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_Toc161750496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_Toc161750497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_Toc161750498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_Toc161750499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_Toc161750500 \h </w:instrText>
      </w:r>
      <w:r>
        <w:fldChar w:fldCharType="separate"/>
      </w:r>
      <w:r>
        <w:t>1</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_Toc161750501 \h </w:instrText>
      </w:r>
      <w:r>
        <w:fldChar w:fldCharType="separate"/>
      </w:r>
      <w:r>
        <w:t>1</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_Toc161750502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_Toc161750503 \h </w:instrText>
      </w:r>
      <w:r>
        <w:fldChar w:fldCharType="separate"/>
      </w:r>
      <w:r>
        <w:t>1</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_Toc161750504 \h </w:instrText>
      </w:r>
      <w:r>
        <w:fldChar w:fldCharType="separate"/>
      </w:r>
      <w:r>
        <w:t>1</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_Toc161750505 \h </w:instrText>
      </w:r>
      <w:r>
        <w:fldChar w:fldCharType="separate"/>
      </w:r>
      <w:r>
        <w:t>1</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_Toc161750506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_Toc161750507 \h </w:instrText>
      </w:r>
      <w:r>
        <w:fldChar w:fldCharType="separate"/>
      </w:r>
      <w:r>
        <w:t>1</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_Toc161750508 \h </w:instrText>
      </w:r>
      <w:r>
        <w:fldChar w:fldCharType="separate"/>
      </w:r>
      <w:r>
        <w:t>1</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_Toc161750509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keepNext w:val="0"/>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keepNext w:val="0"/>
        <w:tabs>
          <w:tab w:val="right" w:leader="dot" w:pos="7077"/>
        </w:tabs>
        <w:rPr>
          <w:rFonts w:asciiTheme="minorHAnsi" w:eastAsiaTheme="minorEastAsia" w:hAnsiTheme="minorHAnsi" w:cstheme="minorBidi"/>
          <w:b w:val="0"/>
          <w:sz w:val="22"/>
          <w:szCs w:val="22"/>
        </w:rPr>
      </w:pPr>
      <w:r>
        <w:t>Division 1 — Procedures</w:t>
      </w:r>
    </w:p>
    <w:p>
      <w:pPr>
        <w:pStyle w:val="TOC6"/>
        <w:keepNext w:val="0"/>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keepNext w:val="0"/>
        <w:tabs>
          <w:tab w:val="right" w:leader="dot" w:pos="7077"/>
        </w:tabs>
        <w:rPr>
          <w:rFonts w:asciiTheme="minorHAnsi" w:eastAsiaTheme="minorEastAsia" w:hAnsiTheme="minorHAnsi" w:cstheme="minorBidi"/>
          <w:b w:val="0"/>
          <w:szCs w:val="22"/>
        </w:rPr>
      </w:pPr>
      <w:r>
        <w:t>Part 2 — Medical procedures</w:t>
      </w:r>
    </w:p>
    <w:p>
      <w:pPr>
        <w:pStyle w:val="TOC4"/>
        <w:keepNext w:val="0"/>
        <w:tabs>
          <w:tab w:val="right" w:leader="dot" w:pos="7077"/>
        </w:tabs>
        <w:rPr>
          <w:rFonts w:asciiTheme="minorHAnsi" w:eastAsiaTheme="minorEastAsia" w:hAnsiTheme="minorHAnsi" w:cstheme="minorBidi"/>
          <w:b w:val="0"/>
          <w:szCs w:val="22"/>
        </w:rPr>
      </w:pPr>
      <w:r>
        <w:t>Part 3 — Diagnostic Imaging Services</w:t>
      </w:r>
    </w:p>
    <w:p>
      <w:pPr>
        <w:pStyle w:val="TOC2"/>
        <w:tabs>
          <w:tab w:val="right" w:leader="dot" w:pos="7077"/>
        </w:tabs>
        <w:rPr>
          <w:rFonts w:asciiTheme="minorHAnsi" w:eastAsiaTheme="minorEastAsia" w:hAnsiTheme="minorHAnsi" w:cstheme="minorBidi"/>
          <w:b w:val="0"/>
          <w:sz w:val="22"/>
          <w:szCs w:val="22"/>
        </w:rPr>
      </w:pPr>
      <w:r>
        <w:lastRenderedPageBreak/>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 based programs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_Toc161750528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_Toc161750529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840"/>
      </w:pPr>
      <w:r>
        <w:t>Workers’ Compensation and Injury Management (Scales of Fees) Regulations 1998</w:t>
      </w:r>
    </w:p>
    <w:p>
      <w:pPr>
        <w:pStyle w:val="Heading5"/>
        <w:spacing w:before="280"/>
        <w:rPr>
          <w:snapToGrid w:val="0"/>
        </w:rPr>
      </w:pPr>
      <w:bookmarkStart w:id="2" w:name="_Toc161750496"/>
      <w:r>
        <w:rPr>
          <w:rStyle w:val="CharSectno"/>
        </w:rPr>
        <w:t>1</w:t>
      </w:r>
      <w:r>
        <w:rPr>
          <w:snapToGrid w:val="0"/>
        </w:rPr>
        <w:t>.</w:t>
      </w:r>
      <w:r>
        <w:rPr>
          <w:snapToGrid w:val="0"/>
        </w:rPr>
        <w:tab/>
        <w:t>Citation</w:t>
      </w:r>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3" w:name="_Toc161750497"/>
      <w:r>
        <w:rPr>
          <w:rStyle w:val="CharSectno"/>
        </w:rPr>
        <w:t>2</w:t>
      </w:r>
      <w:r>
        <w:rPr>
          <w:snapToGrid w:val="0"/>
        </w:rPr>
        <w:t>.</w:t>
      </w:r>
      <w:r>
        <w:rPr>
          <w:snapToGrid w:val="0"/>
        </w:rPr>
        <w:tab/>
        <w:t>Scales of fees — medical specialists and other medical practitioners</w:t>
      </w:r>
      <w:bookmarkEnd w:id="3"/>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2023.</w:t>
      </w:r>
    </w:p>
    <w:p>
      <w:pPr>
        <w:pStyle w:val="Footnotesection"/>
        <w:keepLines w:val="0"/>
      </w:pPr>
      <w:r>
        <w:tab/>
        <w:t>[Regulation 2 amended: Gazette 28 Dec 2001 p. 6691; 23 Sep 2003 p. 4174; 19 Mar 2004 p. 863; 11 Nov 2005 p. 5569 and 5570; 22 Dec 2006 p. 5757-8; 7 Dec 2007 p. 6034; 6 Oct 2017 p. 5203</w:t>
      </w:r>
      <w:r>
        <w:noBreakHyphen/>
        <w:t>4; 19 Oct 2018 p. 4161; 22 Oct 2019 p. 3734; SL 2020/203 r. 4; SL 2021/169 r. 4; SL 2022/164 r. 4; SL 2023/155 r. 4.]</w:t>
      </w:r>
    </w:p>
    <w:p>
      <w:pPr>
        <w:pStyle w:val="Heading5"/>
        <w:rPr>
          <w:snapToGrid w:val="0"/>
        </w:rPr>
      </w:pPr>
      <w:bookmarkStart w:id="4" w:name="_Toc161750498"/>
      <w:r>
        <w:rPr>
          <w:rStyle w:val="CharSectno"/>
        </w:rPr>
        <w:lastRenderedPageBreak/>
        <w:t>3</w:t>
      </w:r>
      <w:r>
        <w:rPr>
          <w:snapToGrid w:val="0"/>
        </w:rPr>
        <w:t>.</w:t>
      </w:r>
      <w:r>
        <w:rPr>
          <w:snapToGrid w:val="0"/>
        </w:rPr>
        <w:tab/>
        <w:t>Scale of fees — physiotherapists</w:t>
      </w:r>
      <w:bookmarkEnd w:id="4"/>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5" w:name="_Toc161750499"/>
      <w:r>
        <w:rPr>
          <w:rStyle w:val="CharSectno"/>
        </w:rPr>
        <w:t>4</w:t>
      </w:r>
      <w:r>
        <w:rPr>
          <w:snapToGrid w:val="0"/>
        </w:rPr>
        <w:t>.</w:t>
      </w:r>
      <w:r>
        <w:rPr>
          <w:snapToGrid w:val="0"/>
        </w:rPr>
        <w:tab/>
        <w:t>Scale of fees — chiropractors</w:t>
      </w:r>
      <w:bookmarkEnd w:id="5"/>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6" w:name="_Toc161750500"/>
      <w:r>
        <w:rPr>
          <w:rStyle w:val="CharSectno"/>
        </w:rPr>
        <w:t>5</w:t>
      </w:r>
      <w:r>
        <w:rPr>
          <w:snapToGrid w:val="0"/>
        </w:rPr>
        <w:t>.</w:t>
      </w:r>
      <w:r>
        <w:rPr>
          <w:snapToGrid w:val="0"/>
        </w:rPr>
        <w:tab/>
        <w:t>Scale of fees — occupational therapists</w:t>
      </w:r>
      <w:bookmarkEnd w:id="6"/>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7" w:name="_Toc161750501"/>
      <w:r>
        <w:rPr>
          <w:rStyle w:val="CharSectno"/>
        </w:rPr>
        <w:t>6</w:t>
      </w:r>
      <w:r>
        <w:t>.</w:t>
      </w:r>
      <w:r>
        <w:tab/>
        <w:t>Scale of fees — clinical psychologists</w:t>
      </w:r>
      <w:bookmarkEnd w:id="7"/>
    </w:p>
    <w:p>
      <w:pPr>
        <w:pStyle w:val="Subsection"/>
      </w:pPr>
      <w:r>
        <w:tab/>
        <w:t>(1)</w:t>
      </w:r>
      <w:r>
        <w:tab/>
        <w:t>Under section 292(2)(a)(vi) of the Act, the hourly rate of $280.65 per hour is prescribed as the fee to be paid to clinical psychologists for attendance on, and treatment of, workers suffering injuries that are compensable under the Act.</w:t>
      </w:r>
    </w:p>
    <w:p>
      <w:pPr>
        <w:pStyle w:val="Subsection"/>
      </w:pPr>
      <w:r>
        <w:lastRenderedPageBreak/>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 SL 2022/164 r. 5; SL 2023/155 r. 5.]</w:t>
      </w:r>
    </w:p>
    <w:p>
      <w:pPr>
        <w:pStyle w:val="Heading5"/>
      </w:pPr>
      <w:bookmarkStart w:id="8" w:name="_Toc161750502"/>
      <w:r>
        <w:rPr>
          <w:rStyle w:val="CharSectno"/>
        </w:rPr>
        <w:t>6A</w:t>
      </w:r>
      <w:r>
        <w:t>.</w:t>
      </w:r>
      <w:r>
        <w:tab/>
        <w:t>Scale of fees — counselling psychology</w:t>
      </w:r>
      <w:bookmarkEnd w:id="8"/>
    </w:p>
    <w:p>
      <w:pPr>
        <w:pStyle w:val="Subsection"/>
      </w:pPr>
      <w:r>
        <w:tab/>
      </w:r>
      <w:r>
        <w:tab/>
        <w:t>Under section 292(2)(a)(viii) of the Act, the hourly rate of $280.65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 SL 2023/155 r. 5.]</w:t>
      </w:r>
    </w:p>
    <w:p>
      <w:pPr>
        <w:pStyle w:val="Heading5"/>
        <w:rPr>
          <w:snapToGrid w:val="0"/>
        </w:rPr>
      </w:pPr>
      <w:bookmarkStart w:id="9" w:name="_Toc161750503"/>
      <w:r>
        <w:rPr>
          <w:rStyle w:val="CharSectno"/>
        </w:rPr>
        <w:t>7</w:t>
      </w:r>
      <w:r>
        <w:rPr>
          <w:snapToGrid w:val="0"/>
        </w:rPr>
        <w:t>.</w:t>
      </w:r>
      <w:r>
        <w:rPr>
          <w:snapToGrid w:val="0"/>
        </w:rPr>
        <w:tab/>
        <w:t>Scale of fees — speech pathologists</w:t>
      </w:r>
      <w:bookmarkEnd w:id="9"/>
    </w:p>
    <w:p>
      <w:pPr>
        <w:pStyle w:val="Subsection"/>
        <w:keepNext/>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w:t>
      </w:r>
      <w:r>
        <w:rPr>
          <w:snapToGrid w:val="0"/>
        </w:rPr>
        <w:lastRenderedPageBreak/>
        <w:t xml:space="preserve">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0" w:name="_Toc161750504"/>
      <w:r>
        <w:rPr>
          <w:rStyle w:val="CharSectno"/>
        </w:rPr>
        <w:t>7A</w:t>
      </w:r>
      <w:r>
        <w:t>.</w:t>
      </w:r>
      <w:r>
        <w:tab/>
        <w:t>Scale of fees — osteopaths</w:t>
      </w:r>
      <w:bookmarkEnd w:id="10"/>
    </w:p>
    <w:p>
      <w:pPr>
        <w:pStyle w:val="Subsection"/>
      </w:pPr>
      <w:r>
        <w:tab/>
      </w:r>
      <w:r>
        <w:tab/>
        <w:t xml:space="preserve">Under section 292(2)(a)(viii) of the Act, the amount of $88.70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 SL 2023/155 r. 5.]</w:t>
      </w:r>
    </w:p>
    <w:p>
      <w:pPr>
        <w:pStyle w:val="Heading5"/>
      </w:pPr>
      <w:bookmarkStart w:id="11" w:name="_Toc161750505"/>
      <w:r>
        <w:rPr>
          <w:rStyle w:val="CharSectno"/>
        </w:rPr>
        <w:t>7B</w:t>
      </w:r>
      <w:r>
        <w:t>.</w:t>
      </w:r>
      <w:r>
        <w:tab/>
        <w:t>Scale of fees — exercise physiologists</w:t>
      </w:r>
      <w:bookmarkEnd w:id="1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2" w:name="_Toc161750506"/>
      <w:r>
        <w:rPr>
          <w:rStyle w:val="CharSectno"/>
        </w:rPr>
        <w:t>7C</w:t>
      </w:r>
      <w:r>
        <w:t>.</w:t>
      </w:r>
      <w:r>
        <w:tab/>
        <w:t>Scale of fees — acupuncturists</w:t>
      </w:r>
      <w:bookmarkEnd w:id="12"/>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lastRenderedPageBreak/>
        <w:t>Health Practitioner Regulation National Law (Western Australia)</w:t>
      </w:r>
      <w:r>
        <w:t xml:space="preserve"> in the Division of acupuncture.</w:t>
      </w:r>
    </w:p>
    <w:p>
      <w:pPr>
        <w:pStyle w:val="Subsection"/>
        <w:keepNext/>
      </w:pPr>
      <w:r>
        <w:tab/>
        <w:t>(2)</w:t>
      </w:r>
      <w:r>
        <w:tab/>
        <w:t xml:space="preserve">Under section 292(2)(a)(viii) of the Act, the fixed fee of $86.65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5; SL 2021/169 r. 5; SL 2022/164 r. 5; SL 2023/155 r. 5.]</w:t>
      </w:r>
    </w:p>
    <w:p>
      <w:pPr>
        <w:pStyle w:val="Heading5"/>
        <w:rPr>
          <w:snapToGrid w:val="0"/>
        </w:rPr>
      </w:pPr>
      <w:bookmarkStart w:id="13" w:name="_Toc161750507"/>
      <w:r>
        <w:rPr>
          <w:rStyle w:val="CharSectno"/>
        </w:rPr>
        <w:t>8</w:t>
      </w:r>
      <w:r>
        <w:rPr>
          <w:snapToGrid w:val="0"/>
        </w:rPr>
        <w:t>.</w:t>
      </w:r>
      <w:r>
        <w:rPr>
          <w:snapToGrid w:val="0"/>
        </w:rPr>
        <w:tab/>
        <w:t>Scale of fees — vocational rehabilitation providers</w:t>
      </w:r>
      <w:bookmarkEnd w:id="13"/>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$209.35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 SL 2022/164 r. 5; SL 2023/155 r. 5.]</w:t>
      </w:r>
    </w:p>
    <w:p>
      <w:pPr>
        <w:pStyle w:val="Heading5"/>
      </w:pPr>
      <w:bookmarkStart w:id="14" w:name="_Toc161750508"/>
      <w:r>
        <w:rPr>
          <w:rStyle w:val="CharSectno"/>
        </w:rPr>
        <w:t>9</w:t>
      </w:r>
      <w:r>
        <w:t>.</w:t>
      </w:r>
      <w:r>
        <w:tab/>
        <w:t>Scale of maximum fees — approved medical specialists</w:t>
      </w:r>
      <w:bookmarkEnd w:id="14"/>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keepNext/>
      </w:pPr>
      <w:r>
        <w:lastRenderedPageBreak/>
        <w:tab/>
        <w:t>(2)</w:t>
      </w:r>
      <w:r>
        <w:tab/>
        <w:t xml:space="preserve">In Schedule 6 Part 1 — </w:t>
      </w:r>
    </w:p>
    <w:p>
      <w:pPr>
        <w:pStyle w:val="Defstart"/>
        <w:keepNex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5" w:name="_Toc161750509"/>
      <w:r>
        <w:rPr>
          <w:rStyle w:val="CharSectno"/>
        </w:rPr>
        <w:t>10</w:t>
      </w:r>
      <w:r>
        <w:t>.</w:t>
      </w:r>
      <w:r>
        <w:tab/>
        <w:t>Effect of GST</w:t>
      </w:r>
      <w:bookmarkEnd w:id="15"/>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6" w:name="_Toc161386935"/>
      <w:bookmarkStart w:id="17" w:name="_Toc161386995"/>
      <w:bookmarkStart w:id="18" w:name="_Toc161746962"/>
      <w:bookmarkStart w:id="19" w:name="_Toc161747332"/>
      <w:bookmarkStart w:id="20" w:name="_Toc161750510"/>
      <w:r>
        <w:rPr>
          <w:rStyle w:val="CharSchNo"/>
        </w:rPr>
        <w:lastRenderedPageBreak/>
        <w:t>Schedule 1</w:t>
      </w:r>
      <w:r>
        <w:t> — </w:t>
      </w:r>
      <w:r>
        <w:rPr>
          <w:rStyle w:val="CharSchText"/>
        </w:rPr>
        <w:t>Scale of fees: medical specialists and other medical practitioners</w:t>
      </w:r>
      <w:bookmarkEnd w:id="16"/>
      <w:bookmarkEnd w:id="17"/>
      <w:bookmarkEnd w:id="18"/>
      <w:bookmarkEnd w:id="19"/>
      <w:bookmarkEnd w:id="20"/>
    </w:p>
    <w:p>
      <w:pPr>
        <w:pStyle w:val="yShoulderClause"/>
      </w:pPr>
      <w:r>
        <w:t>[r. 2]</w:t>
      </w:r>
    </w:p>
    <w:p>
      <w:pPr>
        <w:pStyle w:val="yFootnoteheading"/>
      </w:pPr>
      <w:r>
        <w:tab/>
        <w:t>[Heading inserted: SL 2023/155 r. 6.]</w:t>
      </w:r>
    </w:p>
    <w:p>
      <w:pPr>
        <w:pStyle w:val="yHeading3"/>
      </w:pPr>
      <w:bookmarkStart w:id="21" w:name="_Toc161386936"/>
      <w:bookmarkStart w:id="22" w:name="_Toc161386996"/>
      <w:bookmarkStart w:id="23" w:name="_Toc161746963"/>
      <w:bookmarkStart w:id="24" w:name="_Toc161747333"/>
      <w:bookmarkStart w:id="25" w:name="_Toc161750511"/>
      <w:r>
        <w:rPr>
          <w:rStyle w:val="CharSDivNo"/>
        </w:rPr>
        <w:t>Part 1</w:t>
      </w:r>
      <w:r>
        <w:t> — </w:t>
      </w:r>
      <w:r>
        <w:rPr>
          <w:rStyle w:val="CharSDivText"/>
        </w:rPr>
        <w:t>Medical specialists and other medical practitioners</w:t>
      </w:r>
      <w:bookmarkEnd w:id="21"/>
      <w:bookmarkEnd w:id="22"/>
      <w:bookmarkEnd w:id="23"/>
      <w:bookmarkEnd w:id="24"/>
      <w:bookmarkEnd w:id="25"/>
    </w:p>
    <w:p>
      <w:pPr>
        <w:pStyle w:val="yFootnoteheading"/>
      </w:pPr>
      <w:r>
        <w:tab/>
        <w:t>[Heading inserted: SL 2023/155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cantSplit/>
        </w:trPr>
        <w:tc>
          <w:tcPr>
            <w:tcW w:w="5245" w:type="dxa"/>
            <w:noWrap/>
          </w:tcPr>
          <w:p>
            <w:pPr>
              <w:pStyle w:val="yTableNAm"/>
              <w:spacing w:after="120"/>
              <w:rPr>
                <w:b/>
              </w:rPr>
            </w:pPr>
            <w:r>
              <w:rPr>
                <w:b/>
              </w:rPr>
              <w:tab/>
              <w:t>Type of service/by whom</w:t>
            </w:r>
          </w:p>
        </w:tc>
        <w:tc>
          <w:tcPr>
            <w:tcW w:w="1134" w:type="dxa"/>
            <w:noWrap/>
          </w:tcPr>
          <w:p>
            <w:pPr>
              <w:pStyle w:val="yTableNAm"/>
              <w:rPr>
                <w:b/>
              </w:rPr>
            </w:pPr>
            <w:r>
              <w:rPr>
                <w:b/>
              </w:rPr>
              <w:t>Fee</w:t>
            </w:r>
          </w:p>
        </w:tc>
      </w:tr>
    </w:tbl>
    <w:p>
      <w:pPr>
        <w:pStyle w:val="yMiscellaneousHeading"/>
        <w:keepNext w:val="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$87.30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$159.40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$244.80</w:t>
            </w:r>
          </w:p>
        </w:tc>
      </w:tr>
      <w:tr>
        <w:trPr>
          <w:cantSplit/>
        </w:trPr>
        <w:tc>
          <w:tcPr>
            <w:tcW w:w="5245" w:type="dxa"/>
            <w:noWrap/>
          </w:tcPr>
          <w:p>
            <w:pPr>
              <w:pStyle w:val="yTableNAm"/>
              <w:rPr>
                <w:b/>
              </w:rPr>
            </w:pPr>
            <w:r>
              <w:rPr>
                <w:b/>
              </w:rPr>
              <w:t>Time based</w:t>
            </w:r>
          </w:p>
        </w:tc>
        <w:tc>
          <w:tcPr>
            <w:tcW w:w="1134" w:type="dxa"/>
            <w:noWrap/>
            <w:vAlign w:val="bottom"/>
          </w:tcPr>
          <w:p>
            <w:pPr>
              <w:pStyle w:val="yTableNAm"/>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$52.05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$67.80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$130.90</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$198.05</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$268.35</w:t>
            </w:r>
          </w:p>
        </w:tc>
      </w:tr>
    </w:tbl>
    <w:p>
      <w:pPr>
        <w:pStyle w:val="yMiscellaneousHeading"/>
        <w:jc w:val="left"/>
      </w:pPr>
      <w:r>
        <w:lastRenderedPageBreak/>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br w:type="page"/>
              <w:t>Content based</w:t>
            </w:r>
          </w:p>
        </w:tc>
        <w:tc>
          <w:tcPr>
            <w:tcW w:w="1134" w:type="dxa"/>
            <w:noWrap/>
            <w:vAlign w:val="bottom"/>
          </w:tcPr>
          <w:p>
            <w:pPr>
              <w:pStyle w:val="yTableNAm"/>
              <w:jc w:val="right"/>
              <w:rPr>
                <w:b/>
                <w:szCs w:val="22"/>
              </w:rPr>
            </w:pPr>
          </w:p>
        </w:tc>
      </w:tr>
      <w:tr>
        <w:trPr>
          <w:cantSplit/>
        </w:trP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$65.55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$130.90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$238.30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$369.00</w:t>
            </w:r>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$103.70</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$112.45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$174.25</w:t>
            </w:r>
          </w:p>
        </w:tc>
      </w:tr>
      <w:tr>
        <w:trPr>
          <w:cantSplit/>
        </w:trP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$238.30</w:t>
            </w:r>
          </w:p>
        </w:tc>
      </w:tr>
    </w:tbl>
    <w:p>
      <w:pPr>
        <w:pStyle w:val="yMiscellaneousHeading"/>
        <w:jc w:val="left"/>
      </w:pPr>
      <w:r>
        <w:t>VISITS</w:t>
      </w:r>
    </w:p>
    <w:p>
      <w:pPr>
        <w:pStyle w:val="yMiscellaneousHeading"/>
        <w:jc w:val="left"/>
      </w:pPr>
      <w:r>
        <w:t>Consultations at a place other than the Consulting Rooms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in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$109.15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$149.20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$221.40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$308.50</w:t>
            </w:r>
          </w:p>
        </w:tc>
      </w:tr>
      <w:tr>
        <w:trPr>
          <w:cantSplit/>
        </w:trPr>
        <w:tc>
          <w:tcPr>
            <w:tcW w:w="5245" w:type="dxa"/>
            <w:noWrap/>
          </w:tcPr>
          <w:p>
            <w:pPr>
              <w:pStyle w:val="yTableNAm"/>
            </w:pPr>
            <w:r>
              <w:t>out of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$130.90</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$194.65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$298.65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$436.10</w:t>
            </w:r>
          </w:p>
        </w:tc>
      </w:tr>
    </w:tbl>
    <w:p>
      <w:pPr>
        <w:pStyle w:val="yMiscellaneousHeading"/>
        <w:keepNext w:val="0"/>
        <w:jc w:val="left"/>
      </w:pPr>
      <w:r>
        <w:lastRenderedPageBreak/>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noWrap/>
          </w:tcPr>
          <w:p>
            <w:pPr>
              <w:pStyle w:val="yTableNAm"/>
            </w:pPr>
            <w:r>
              <w:t>per hour</w:t>
            </w:r>
          </w:p>
        </w:tc>
        <w:tc>
          <w:tcPr>
            <w:tcW w:w="1134" w:type="dxa"/>
            <w:noWrap/>
            <w:vAlign w:val="bottom"/>
          </w:tcPr>
          <w:p>
            <w:pPr>
              <w:pStyle w:val="yTableNAm"/>
              <w:jc w:val="right"/>
            </w:pPr>
            <w:r>
              <w:rPr>
                <w:szCs w:val="22"/>
              </w:rPr>
              <w:t>$328.15</w:t>
            </w:r>
          </w:p>
        </w:tc>
      </w:tr>
    </w:tbl>
    <w:p>
      <w:pPr>
        <w:pStyle w:val="yMiscellaneousHeading"/>
        <w:keepNext w:val="0"/>
        <w:jc w:val="left"/>
      </w:pPr>
      <w:r>
        <w:t>TRAVELLING FEES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$5.90</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$331.30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$165.65</w:t>
            </w:r>
          </w:p>
        </w:tc>
      </w:tr>
    </w:tbl>
    <w:p>
      <w:pPr>
        <w:pStyle w:val="yMiscellaneousHeading"/>
        <w:jc w:val="left"/>
      </w:pPr>
      <w:r>
        <w:t>VISITS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$396.50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$228.75</w:t>
            </w:r>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$331.30</w:t>
            </w:r>
          </w:p>
        </w:tc>
      </w:tr>
      <w:tr>
        <w:tc>
          <w:tcPr>
            <w:tcW w:w="5245" w:type="dxa"/>
            <w:noWrap/>
          </w:tcPr>
          <w:p>
            <w:pPr>
              <w:pStyle w:val="yTableNAm"/>
            </w:pPr>
            <w:r>
              <w:t>subsequent attendances</w:t>
            </w:r>
          </w:p>
        </w:tc>
        <w:tc>
          <w:tcPr>
            <w:tcW w:w="1134" w:type="dxa"/>
            <w:noWrap/>
            <w:vAlign w:val="bottom"/>
          </w:tcPr>
          <w:p>
            <w:pPr>
              <w:pStyle w:val="yTableNAm"/>
              <w:jc w:val="right"/>
            </w:pPr>
            <w:r>
              <w:t>$165.65</w:t>
            </w:r>
          </w:p>
        </w:tc>
      </w:tr>
    </w:tbl>
    <w:p>
      <w:pPr>
        <w:pStyle w:val="yMiscellaneousHeading"/>
        <w:jc w:val="left"/>
      </w:pPr>
      <w:r>
        <w:lastRenderedPageBreak/>
        <w:t>VISITS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 al</w:t>
            </w:r>
          </w:p>
        </w:tc>
        <w:tc>
          <w:tcPr>
            <w:tcW w:w="1134" w:type="dxa"/>
            <w:noWrap/>
            <w:vAlign w:val="bottom"/>
          </w:tcPr>
          <w:p>
            <w:pPr>
              <w:pStyle w:val="yTableNAm"/>
              <w:keepNext/>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$396.50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$228.75</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$336.60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$165.65</w:t>
            </w:r>
          </w:p>
        </w:tc>
      </w:tr>
    </w:tbl>
    <w:p>
      <w:pPr>
        <w:pStyle w:val="yMiscellaneousHeading"/>
        <w:keepNext w:val="0"/>
        <w:jc w:val="left"/>
      </w:pPr>
      <w:r>
        <w:t>VISITS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$396.50</w:t>
            </w:r>
          </w:p>
        </w:tc>
      </w:tr>
      <w:tr>
        <w:tc>
          <w:tcPr>
            <w:tcW w:w="5245" w:type="dxa"/>
            <w:noWrap/>
          </w:tcPr>
          <w:p>
            <w:pPr>
              <w:pStyle w:val="yTableNAm"/>
            </w:pPr>
            <w:r>
              <w:t>subsequent attendances</w:t>
            </w:r>
          </w:p>
        </w:tc>
        <w:tc>
          <w:tcPr>
            <w:tcW w:w="1134" w:type="dxa"/>
            <w:noWrap/>
            <w:vAlign w:val="bottom"/>
          </w:tcPr>
          <w:p>
            <w:pPr>
              <w:pStyle w:val="yTableNAm"/>
              <w:jc w:val="right"/>
            </w:pPr>
            <w:r>
              <w:t>$228.75</w:t>
            </w:r>
          </w:p>
        </w:tc>
      </w:tr>
    </w:tbl>
    <w:p>
      <w:pPr>
        <w:pStyle w:val="yMiscellaneousHeading"/>
        <w:keepNext w:val="0"/>
        <w:jc w:val="left"/>
      </w:pPr>
      <w:r>
        <w:t>TELEPHONE CONSULTATIONS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5 minutes</w:t>
            </w:r>
          </w:p>
        </w:tc>
        <w:tc>
          <w:tcPr>
            <w:tcW w:w="1134" w:type="dxa"/>
            <w:noWrap/>
            <w:vAlign w:val="bottom"/>
          </w:tcPr>
          <w:p>
            <w:pPr>
              <w:pStyle w:val="yTableNAm"/>
              <w:jc w:val="right"/>
            </w:pPr>
            <w:r>
              <w:t>$43.45</w:t>
            </w:r>
          </w:p>
        </w:tc>
      </w:tr>
      <w:tr>
        <w:tc>
          <w:tcPr>
            <w:tcW w:w="5245" w:type="dxa"/>
            <w:noWrap/>
          </w:tcPr>
          <w:p>
            <w:pPr>
              <w:pStyle w:val="yTableNAm"/>
            </w:pPr>
            <w:r>
              <w:tab/>
              <w:t>more than 5 minutes to 15 minutes</w:t>
            </w:r>
          </w:p>
        </w:tc>
        <w:tc>
          <w:tcPr>
            <w:tcW w:w="1134" w:type="dxa"/>
            <w:noWrap/>
            <w:vAlign w:val="bottom"/>
          </w:tcPr>
          <w:p>
            <w:pPr>
              <w:pStyle w:val="yTableNAm"/>
              <w:jc w:val="right"/>
            </w:pPr>
            <w:r>
              <w:t>$53.55</w:t>
            </w:r>
          </w:p>
        </w:tc>
      </w:tr>
      <w:tr>
        <w:tc>
          <w:tcPr>
            <w:tcW w:w="5245" w:type="dxa"/>
            <w:noWrap/>
          </w:tcPr>
          <w:p>
            <w:pPr>
              <w:pStyle w:val="yTableNAm"/>
            </w:pPr>
            <w:r>
              <w:tab/>
              <w:t>more than 15 minutes to 30 minutes</w:t>
            </w:r>
          </w:p>
        </w:tc>
        <w:tc>
          <w:tcPr>
            <w:tcW w:w="1134" w:type="dxa"/>
            <w:noWrap/>
            <w:vAlign w:val="bottom"/>
          </w:tcPr>
          <w:p>
            <w:pPr>
              <w:pStyle w:val="yTableNAm"/>
              <w:jc w:val="right"/>
            </w:pPr>
            <w:r>
              <w:t>$112.00</w:t>
            </w:r>
          </w:p>
        </w:tc>
      </w:tr>
      <w:tr>
        <w:tc>
          <w:tcPr>
            <w:tcW w:w="5245" w:type="dxa"/>
            <w:noWrap/>
          </w:tcPr>
          <w:p>
            <w:pPr>
              <w:pStyle w:val="yTableNAm"/>
            </w:pPr>
            <w:r>
              <w:tab/>
              <w:t>more than 30 minutes</w:t>
            </w:r>
          </w:p>
        </w:tc>
        <w:tc>
          <w:tcPr>
            <w:tcW w:w="1134" w:type="dxa"/>
            <w:noWrap/>
            <w:vAlign w:val="bottom"/>
          </w:tcPr>
          <w:p>
            <w:pPr>
              <w:pStyle w:val="yTableNAm"/>
              <w:jc w:val="right"/>
            </w:pPr>
            <w:r>
              <w:t>$169.10</w:t>
            </w:r>
          </w:p>
        </w:tc>
      </w:tr>
    </w:tbl>
    <w:p>
      <w:pPr>
        <w:pStyle w:val="yMiscellaneousHeading"/>
        <w:keepNext w:val="0"/>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$486.50</w:t>
            </w:r>
          </w:p>
        </w:tc>
      </w:tr>
    </w:tbl>
    <w:p>
      <w:pPr>
        <w:pStyle w:val="yMiscellaneousHeading"/>
        <w:jc w:val="left"/>
      </w:pPr>
      <w:r>
        <w:lastRenderedPageBreak/>
        <w:t>TRAVELLING FEES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$5.90</w:t>
            </w:r>
          </w:p>
        </w:tc>
      </w:tr>
    </w:tbl>
    <w:p>
      <w:pPr>
        <w:pStyle w:val="yMiscellaneousHeading"/>
        <w:jc w:val="left"/>
        <w:rPr>
          <w:b/>
          <w:i/>
        </w:rPr>
      </w:pPr>
      <w:r>
        <w:rPr>
          <w:b/>
          <w:i/>
        </w:rPr>
        <w:t>CONSULTANT PSYCHIATRISTS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15 minutes</w:t>
            </w:r>
          </w:p>
        </w:tc>
        <w:tc>
          <w:tcPr>
            <w:tcW w:w="1134" w:type="dxa"/>
            <w:noWrap/>
            <w:vAlign w:val="bottom"/>
          </w:tcPr>
          <w:p>
            <w:pPr>
              <w:pStyle w:val="yTableNAm"/>
              <w:jc w:val="right"/>
            </w:pPr>
            <w:r>
              <w:rPr>
                <w:szCs w:val="22"/>
              </w:rPr>
              <w:t>$97.20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$193.80</w:t>
            </w:r>
          </w:p>
        </w:tc>
      </w:tr>
      <w:t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$290.25</w:t>
            </w:r>
          </w:p>
        </w:tc>
      </w:tr>
      <w:t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$388.40</w:t>
            </w:r>
          </w:p>
        </w:tc>
      </w:tr>
      <w:t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$439.50</w:t>
            </w:r>
          </w:p>
        </w:tc>
      </w:tr>
      <w:tr>
        <w:tc>
          <w:tcPr>
            <w:tcW w:w="5245" w:type="dxa"/>
            <w:noWrap/>
          </w:tcPr>
          <w:p>
            <w:pPr>
              <w:pStyle w:val="yTableNAm"/>
            </w:pPr>
            <w:r>
              <w:tab/>
              <w:t>more than 75 minutes</w:t>
            </w:r>
          </w:p>
        </w:tc>
        <w:tc>
          <w:tcPr>
            <w:tcW w:w="1134" w:type="dxa"/>
            <w:noWrap/>
            <w:vAlign w:val="bottom"/>
          </w:tcPr>
          <w:p>
            <w:pPr>
              <w:pStyle w:val="yTableNAm"/>
              <w:jc w:val="right"/>
            </w:pPr>
            <w:r>
              <w:rPr>
                <w:szCs w:val="22"/>
              </w:rPr>
              <w:t>$490.50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$159.50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$257.50</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$351.45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$449.60</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$541.90</w:t>
            </w:r>
          </w:p>
        </w:tc>
      </w:tr>
    </w:tbl>
    <w:p>
      <w:pPr>
        <w:pStyle w:val="yMiscellaneousHeading"/>
        <w:keepNext w:val="0"/>
        <w:jc w:val="left"/>
      </w:pPr>
      <w:r>
        <w:t>TELEPHONE CONSULTATIONS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$129.00</w:t>
            </w:r>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$281.30</w:t>
            </w:r>
          </w:p>
        </w:tc>
      </w:tr>
    </w:tbl>
    <w:p>
      <w:pPr>
        <w:pStyle w:val="yMiscellaneousHeading"/>
        <w:jc w:val="left"/>
      </w:pPr>
      <w:r>
        <w:lastRenderedPageBreak/>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$486.50</w:t>
            </w:r>
          </w:p>
        </w:tc>
      </w:tr>
    </w:tbl>
    <w:p>
      <w:pPr>
        <w:pStyle w:val="yMiscellaneousHeading"/>
        <w:keepNext w:val="0"/>
        <w:jc w:val="left"/>
      </w:pPr>
      <w:r>
        <w:t>TRAVELLING FEES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$5.90</w:t>
            </w:r>
          </w:p>
        </w:tc>
      </w:tr>
    </w:tbl>
    <w:p>
      <w:pPr>
        <w:pStyle w:val="yMiscellaneousHeading"/>
        <w:keepNext w:val="0"/>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$188.25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$98.25</w:t>
            </w:r>
          </w:p>
        </w:tc>
      </w:tr>
    </w:tbl>
    <w:p>
      <w:pPr>
        <w:pStyle w:val="yMiscellaneousHeading"/>
        <w:jc w:val="left"/>
      </w:pPr>
      <w:r>
        <w:t>VISITS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$253.70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$161.85</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$188.25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$98.25</w:t>
            </w:r>
          </w:p>
        </w:tc>
      </w:tr>
    </w:tbl>
    <w:p>
      <w:pPr>
        <w:pStyle w:val="yMiscellaneousHeading"/>
        <w:jc w:val="left"/>
      </w:pPr>
      <w:r>
        <w:lastRenderedPageBreak/>
        <w:t>VISITS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 al</w:t>
            </w:r>
          </w:p>
        </w:tc>
        <w:tc>
          <w:tcPr>
            <w:tcW w:w="1134" w:type="dxa"/>
            <w:noWrap/>
            <w:vAlign w:val="bottom"/>
          </w:tcPr>
          <w:p>
            <w:pPr>
              <w:pStyle w:val="yTableNAm"/>
              <w:keepNext/>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$253.40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$161.50</w:t>
            </w:r>
          </w:p>
        </w:tc>
      </w:tr>
    </w:tbl>
    <w:p>
      <w:pPr>
        <w:pStyle w:val="yMiscellaneousHeading"/>
        <w:keepNext w:val="0"/>
        <w:jc w:val="left"/>
      </w:pPr>
      <w:r>
        <w:t>TELEPHONE CONSULTATIONS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$43.45</w:t>
            </w:r>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$53.55</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$112.00</w:t>
            </w:r>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$169.10</w:t>
            </w:r>
          </w:p>
        </w:tc>
      </w:tr>
    </w:tbl>
    <w:p>
      <w:pPr>
        <w:pStyle w:val="yMiscellaneousHeading"/>
        <w:keepNext w:val="0"/>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$486.50</w:t>
            </w:r>
          </w:p>
        </w:tc>
      </w:tr>
    </w:tbl>
    <w:p>
      <w:pPr>
        <w:pStyle w:val="yMiscellaneousHeading"/>
        <w:jc w:val="left"/>
      </w:pPr>
      <w:r>
        <w:t>TRAVELLING FEES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$5.90</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28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rPr>
                <w:highlight w:val="green"/>
              </w:rPr>
            </w:pPr>
            <w:r>
              <w:t>$ value per unit</w:t>
            </w:r>
          </w:p>
        </w:tc>
        <w:tc>
          <w:tcPr>
            <w:tcW w:w="1134" w:type="dxa"/>
            <w:noWrap/>
            <w:vAlign w:val="bottom"/>
          </w:tcPr>
          <w:p>
            <w:pPr>
              <w:pStyle w:val="yTableNAm"/>
              <w:jc w:val="right"/>
            </w:pPr>
            <w:r>
              <w:rPr>
                <w:szCs w:val="22"/>
              </w:rPr>
              <w:t>$97.90</w:t>
            </w:r>
          </w:p>
        </w:tc>
      </w:tr>
    </w:tbl>
    <w:p>
      <w:pPr>
        <w:pStyle w:val="yMiscellaneousBody"/>
        <w:spacing w:before="0"/>
      </w:pP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center"/>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center"/>
            </w:pPr>
            <w:r>
              <w:t>2</w:t>
            </w:r>
          </w:p>
        </w:tc>
      </w:tr>
      <w:tr>
        <w:tc>
          <w:tcPr>
            <w:tcW w:w="5245" w:type="dxa"/>
            <w:noWrap/>
          </w:tcPr>
          <w:p>
            <w:pPr>
              <w:pStyle w:val="yTableNAm"/>
              <w:tabs>
                <w:tab w:val="clear" w:pos="567"/>
                <w:tab w:val="left" w:pos="425"/>
              </w:tabs>
              <w:ind w:left="425" w:hanging="283"/>
            </w:pPr>
            <w:r>
              <w:lastRenderedPageBreak/>
              <w:t>—</w:t>
            </w:r>
            <w:r>
              <w:tab/>
              <w:t>an attendance of more than 15 minutes but not more than 30 minutes duration</w:t>
            </w:r>
          </w:p>
        </w:tc>
        <w:tc>
          <w:tcPr>
            <w:tcW w:w="1134" w:type="dxa"/>
            <w:noWrap/>
            <w:vAlign w:val="bottom"/>
          </w:tcPr>
          <w:p>
            <w:pPr>
              <w:pStyle w:val="yTableNAm"/>
              <w:jc w:val="center"/>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center"/>
            </w:pPr>
            <w:r>
              <w:t>6</w:t>
            </w:r>
          </w:p>
        </w:tc>
      </w:tr>
      <w:tr>
        <w:tc>
          <w:tcPr>
            <w:tcW w:w="5245" w:type="dxa"/>
            <w:noWrap/>
          </w:tcPr>
          <w:p>
            <w:pPr>
              <w:pStyle w:val="yTableNAm"/>
              <w:tabs>
                <w:tab w:val="clear" w:pos="567"/>
                <w:tab w:val="left" w:pos="425"/>
              </w:tabs>
              <w:ind w:left="425" w:hanging="283"/>
            </w:pPr>
            <w:r>
              <w:t>—</w:t>
            </w:r>
            <w:r>
              <w:tab/>
              <w:t>an attendance of more than 45 minutes duration</w:t>
            </w:r>
          </w:p>
        </w:tc>
        <w:tc>
          <w:tcPr>
            <w:tcW w:w="1134" w:type="dxa"/>
            <w:noWrap/>
            <w:vAlign w:val="bottom"/>
          </w:tcPr>
          <w:p>
            <w:pPr>
              <w:pStyle w:val="yTableNAm"/>
              <w:jc w:val="center"/>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center"/>
            </w:pPr>
            <w:r>
              <w:t>2</w:t>
            </w:r>
          </w:p>
        </w:tc>
      </w:tr>
      <w:tr>
        <w:tc>
          <w:tcPr>
            <w:tcW w:w="5245" w:type="dxa"/>
            <w:noWrap/>
          </w:tcPr>
          <w:p>
            <w:pPr>
              <w:pStyle w:val="yTableNAm"/>
            </w:pPr>
          </w:p>
        </w:tc>
        <w:tc>
          <w:tcPr>
            <w:tcW w:w="1134" w:type="dxa"/>
            <w:noWrap/>
            <w:vAlign w:val="bottom"/>
          </w:tcPr>
          <w:p>
            <w:pPr>
              <w:pStyle w:val="yTableNAm"/>
              <w:jc w:val="center"/>
            </w:pPr>
          </w:p>
        </w:tc>
      </w:tr>
      <w:tr>
        <w:tc>
          <w:tcPr>
            <w:tcW w:w="5245" w:type="dxa"/>
            <w:noWrap/>
          </w:tcPr>
          <w:p>
            <w:pPr>
              <w:pStyle w:val="yTableNAm"/>
            </w:pPr>
            <w:r>
              <w:t>EMERGENCY ATTENDANCES</w:t>
            </w:r>
          </w:p>
        </w:tc>
        <w:tc>
          <w:tcPr>
            <w:tcW w:w="1134" w:type="dxa"/>
            <w:noWrap/>
            <w:vAlign w:val="bottom"/>
          </w:tcPr>
          <w:p>
            <w:pPr>
              <w:pStyle w:val="yTableNAm"/>
              <w:jc w:val="center"/>
            </w:pPr>
          </w:p>
        </w:tc>
      </w:tr>
      <w:tr>
        <w:tc>
          <w:tcPr>
            <w:tcW w:w="5245" w:type="dxa"/>
            <w:noWrap/>
          </w:tcPr>
          <w:p>
            <w:pPr>
              <w:pStyle w:val="yTableNAm"/>
              <w:rPr>
                <w:rStyle w:val="DraftersNotes"/>
                <w:b w:val="0"/>
                <w:i w:val="0"/>
              </w:rPr>
            </w:pPr>
            <w:r>
              <w:t>After hours — where immediate attendance is required after 6 pm and before 8 am on any weekday, or at any time on a Saturday, Sunday or a public holiday</w:t>
            </w:r>
          </w:p>
        </w:tc>
        <w:tc>
          <w:tcPr>
            <w:tcW w:w="1134" w:type="dxa"/>
            <w:noWrap/>
            <w:vAlign w:val="bottom"/>
          </w:tcPr>
          <w:p>
            <w:pPr>
              <w:pStyle w:val="yTableNAm"/>
              <w:jc w:val="center"/>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center"/>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center"/>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center"/>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lastRenderedPageBreak/>
        <w:t>In Division 2, the fee for a therapeutic or diagnostic service only includes modifying units (MUs) and time units (TUs) if the item notes that service as including either or both.</w:t>
      </w:r>
    </w:p>
    <w:p>
      <w:pPr>
        <w:pStyle w:val="yMiscellaneousHeading"/>
        <w:keepNext w:val="0"/>
        <w:jc w:val="left"/>
      </w:pPr>
      <w:r>
        <w:t>Base units</w:t>
      </w:r>
    </w:p>
    <w:p>
      <w:pPr>
        <w:pStyle w:val="yMiscellaneousBody"/>
      </w:pPr>
      <w:r>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keepNext w:val="0"/>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keepNext/>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lastRenderedPageBreak/>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 pm and the following 8 am on weekdays and between 8 am and the following 8 am on weekend days and public holidays.</w:t>
      </w:r>
    </w:p>
    <w:p>
      <w:pPr>
        <w:pStyle w:val="yHeading4"/>
      </w:pPr>
      <w:bookmarkStart w:id="26" w:name="_Toc161386937"/>
      <w:bookmarkStart w:id="27" w:name="_Toc161386997"/>
      <w:bookmarkStart w:id="28" w:name="_Toc161746964"/>
      <w:bookmarkStart w:id="29" w:name="_Toc161747334"/>
      <w:bookmarkStart w:id="30" w:name="_Toc161750512"/>
      <w:r>
        <w:t>Division 1 — Procedures</w:t>
      </w:r>
      <w:bookmarkEnd w:id="26"/>
      <w:bookmarkEnd w:id="27"/>
      <w:bookmarkEnd w:id="28"/>
      <w:bookmarkEnd w:id="29"/>
      <w:bookmarkEnd w:id="30"/>
    </w:p>
    <w:p>
      <w:pPr>
        <w:pStyle w:val="yFootnoteheading"/>
      </w:pPr>
      <w:r>
        <w:tab/>
        <w:t>[Heading inserted: SL 2023/155 r. 6.]</w:t>
      </w:r>
    </w:p>
    <w:tbl>
      <w:tblPr>
        <w:tblW w:w="6946" w:type="dxa"/>
        <w:tblInd w:w="142" w:type="dxa"/>
        <w:tblLayout w:type="fixed"/>
        <w:tblCellMar>
          <w:left w:w="142" w:type="dxa"/>
          <w:right w:w="142" w:type="dxa"/>
        </w:tblCellMar>
        <w:tblLook w:val="0000" w:firstRow="0" w:lastRow="0" w:firstColumn="0" w:lastColumn="0" w:noHBand="0" w:noVBand="0"/>
      </w:tblPr>
      <w:tblGrid>
        <w:gridCol w:w="5954"/>
        <w:gridCol w:w="992"/>
      </w:tblGrid>
      <w:tr>
        <w:trPr>
          <w:cantSplit/>
          <w:tblHeader/>
        </w:trPr>
        <w:tc>
          <w:tcPr>
            <w:tcW w:w="5954" w:type="dxa"/>
            <w:tcBorders>
              <w:top w:val="single" w:sz="4" w:space="0" w:color="auto"/>
              <w:bottom w:val="single" w:sz="4" w:space="0" w:color="auto"/>
            </w:tcBorders>
            <w:noWrap/>
          </w:tcPr>
          <w:p>
            <w:pPr>
              <w:pStyle w:val="yTableNAm"/>
              <w:rPr>
                <w:b/>
              </w:rPr>
            </w:pPr>
            <w:r>
              <w:rPr>
                <w:b/>
              </w:rPr>
              <w:t>Description of procedure, etc.</w:t>
            </w:r>
          </w:p>
        </w:tc>
        <w:tc>
          <w:tcPr>
            <w:tcW w:w="992"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954" w:type="dxa"/>
            <w:tcBorders>
              <w:top w:val="single" w:sz="4" w:space="0" w:color="auto"/>
            </w:tcBorders>
            <w:noWrap/>
          </w:tcPr>
          <w:p>
            <w:pPr>
              <w:pStyle w:val="yTableNAm"/>
              <w:rPr>
                <w:b/>
              </w:rPr>
            </w:pPr>
            <w:r>
              <w:rPr>
                <w:b/>
              </w:rPr>
              <w:t>Head</w:t>
            </w:r>
          </w:p>
        </w:tc>
        <w:tc>
          <w:tcPr>
            <w:tcW w:w="992" w:type="dxa"/>
            <w:tcBorders>
              <w:top w:val="single" w:sz="4" w:space="0" w:color="auto"/>
            </w:tcBorders>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and subcutaneous tissue, muscles, salivary glands and superficial blood vessels of the head, including biopsy,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plastic repair of cleft lip</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electroconvulsive therapy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lastRenderedPageBreak/>
              <w:t>Anaesthesia for all procedures on external, middle or inner ear, including biopsy,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otoscopy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keepNext/>
            </w:pPr>
            <w:r>
              <w:t>Anaesthesia for all procedures on eye unless otherwise specified</w:t>
            </w:r>
          </w:p>
        </w:tc>
        <w:tc>
          <w:tcPr>
            <w:tcW w:w="992" w:type="dxa"/>
            <w:noWrap/>
            <w:vAlign w:val="bottom"/>
          </w:tcPr>
          <w:p>
            <w:pPr>
              <w:pStyle w:val="yTableNAm"/>
              <w:keepNext/>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lens surgery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retinal surgery</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corneal transplant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vitrectomy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biopsy of conjunctiva</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ophthalmoscopy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procedures on nose and accessory sinuses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radical surgery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biopsy, soft tissue</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intraoral procedures, including biopsy,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repair of cleft palate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excision of retropharyngeal tumour</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tabs>
                <w:tab w:val="clear" w:pos="567"/>
                <w:tab w:val="left" w:pos="425"/>
              </w:tabs>
              <w:ind w:left="425" w:hanging="283"/>
            </w:pPr>
            <w:r>
              <w:t>—</w:t>
            </w:r>
            <w:r>
              <w:tab/>
              <w:t>radical intraoral surgery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procedures on facial bones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intracranial procedures unless otherwise specified</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subdural taps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burr holes</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tabs>
                <w:tab w:val="clear" w:pos="567"/>
                <w:tab w:val="left" w:pos="425"/>
              </w:tabs>
              <w:ind w:left="425" w:hanging="283"/>
              <w:rPr>
                <w:rStyle w:val="DraftersNotes"/>
                <w:b w:val="0"/>
                <w:i w:val="0"/>
              </w:rPr>
            </w:pPr>
            <w:r>
              <w:lastRenderedPageBreak/>
              <w:t>—</w:t>
            </w:r>
            <w:r>
              <w:tab/>
              <w:t>intracranial vascular procedures, including those for aneurysms and arterio</w:t>
            </w:r>
            <w:r>
              <w:noBreakHyphen/>
              <w:t>venous abnormalities</w:t>
            </w:r>
          </w:p>
        </w:tc>
        <w:tc>
          <w:tcPr>
            <w:tcW w:w="992" w:type="dxa"/>
            <w:noWrap/>
            <w:vAlign w:val="bottom"/>
          </w:tcPr>
          <w:p>
            <w:pPr>
              <w:pStyle w:val="yTableNAm"/>
              <w:tabs>
                <w:tab w:val="clear" w:pos="567"/>
                <w:tab w:val="right" w:pos="403"/>
              </w:tabs>
              <w:ind w:right="142"/>
              <w:jc w:val="right"/>
            </w:pPr>
            <w:r>
              <w:t>20</w:t>
            </w:r>
          </w:p>
        </w:tc>
      </w:tr>
      <w:tr>
        <w:trPr>
          <w:cantSplit/>
        </w:trPr>
        <w:tc>
          <w:tcPr>
            <w:tcW w:w="5954" w:type="dxa"/>
            <w:noWrap/>
          </w:tcPr>
          <w:p>
            <w:pPr>
              <w:pStyle w:val="yTableNAm"/>
              <w:tabs>
                <w:tab w:val="clear" w:pos="567"/>
                <w:tab w:val="left" w:pos="425"/>
              </w:tabs>
              <w:ind w:left="425" w:hanging="283"/>
            </w:pPr>
            <w:r>
              <w:t>—</w:t>
            </w:r>
            <w:r>
              <w:tab/>
              <w:t>spinal fluid shunt procedures</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ablation of intracranial nerve</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cranial bone procedures</w:t>
            </w:r>
          </w:p>
        </w:tc>
        <w:tc>
          <w:tcPr>
            <w:tcW w:w="992" w:type="dxa"/>
            <w:noWrap/>
            <w:vAlign w:val="bottom"/>
          </w:tcPr>
          <w:p>
            <w:pPr>
              <w:pStyle w:val="yTableNAm"/>
              <w:tabs>
                <w:tab w:val="clear" w:pos="567"/>
                <w:tab w:val="right" w:pos="403"/>
              </w:tabs>
              <w:ind w:right="142"/>
              <w:jc w:val="right"/>
            </w:pPr>
            <w:r>
              <w:t>12</w:t>
            </w:r>
          </w:p>
        </w:tc>
      </w:tr>
      <w:tr>
        <w:trPr>
          <w:cantSplit/>
        </w:trPr>
        <w:tc>
          <w:tcPr>
            <w:tcW w:w="5954" w:type="dxa"/>
            <w:noWrap/>
          </w:tcPr>
          <w:p>
            <w:pPr>
              <w:pStyle w:val="yTableNAm"/>
              <w:rPr>
                <w:b/>
              </w:rPr>
            </w:pPr>
            <w:r>
              <w:rPr>
                <w:b/>
              </w:rPr>
              <w:t>Neck</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neck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incision and drainage of large haematoma, large abscess, cellulitis or similar lesion causing life threatening airway obstruction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 xml:space="preserve">Anaesthesia for all procedures on oesophagus, thyroid, larynx, trachea and lymphatic system muscles, nerves or other deep tissues of the neck unless otherwise specified </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laser surgery to the airway</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all procedures on major vessels of neck unless otherwise specified</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simple ligation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keepNext/>
              <w:rPr>
                <w:b/>
              </w:rPr>
            </w:pPr>
            <w:r>
              <w:rPr>
                <w:b/>
              </w:rPr>
              <w:t>Thorax (chest wall/shoulder girdle)</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chest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breast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reconstructive procedures on the breast (e.g. reduction or augmentation, mammoplasty)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lastRenderedPageBreak/>
              <w:t>—</w:t>
            </w:r>
            <w:r>
              <w:tab/>
              <w:t>mastectomy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reconstructive procedures on the breast using myocutaneous flaps</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radical or modified radical procedures on breast with internal mammary node dissection</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tabs>
                <w:tab w:val="clear" w:pos="567"/>
                <w:tab w:val="left" w:pos="425"/>
              </w:tabs>
              <w:ind w:left="425" w:hanging="283"/>
            </w:pPr>
            <w:r>
              <w:t>—</w:t>
            </w:r>
            <w:r>
              <w:tab/>
              <w:t>electrical conversion of arrhythmias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percutaneous bone marrow biopsy of the sternum</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procedures on the clavicle, scapula or sternum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radical surgery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partial rib resection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thoracoplasty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extensive procedures (e.g. pectus excavatum)</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rPr>
                <w:b/>
              </w:rPr>
            </w:pPr>
            <w:r>
              <w:rPr>
                <w:b/>
              </w:rPr>
              <w:t>Intrathoracic</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open procedures on the oesophagus</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all closed chest procedures (including rigid oesophagoscopy or bronchoscopy)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needle biopsy of pleura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pneumocentesis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thoracoscopy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mediastinoscopy</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all thoracotomy procedures involving lungs, pleura, diaphragm and mediastinum unless otherwise specified</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tabs>
                <w:tab w:val="clear" w:pos="567"/>
                <w:tab w:val="left" w:pos="425"/>
              </w:tabs>
              <w:ind w:left="425" w:hanging="283"/>
            </w:pPr>
            <w:r>
              <w:t>—</w:t>
            </w:r>
            <w:r>
              <w:tab/>
              <w:t>pulmonary decortication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pulmonary resection with thoracoplasty</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intrathoracic repair of trauma to trachea and bronchi</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lastRenderedPageBreak/>
              <w:t>Anaesthesia for all open procedures on the heart, pericardium and great vessels of the chest</w:t>
            </w:r>
          </w:p>
        </w:tc>
        <w:tc>
          <w:tcPr>
            <w:tcW w:w="992" w:type="dxa"/>
            <w:noWrap/>
            <w:vAlign w:val="bottom"/>
          </w:tcPr>
          <w:p>
            <w:pPr>
              <w:pStyle w:val="yTableNAm"/>
              <w:tabs>
                <w:tab w:val="clear" w:pos="567"/>
                <w:tab w:val="right" w:pos="403"/>
              </w:tabs>
              <w:ind w:right="142"/>
              <w:jc w:val="right"/>
            </w:pPr>
            <w:r>
              <w:t>20</w:t>
            </w:r>
          </w:p>
        </w:tc>
      </w:tr>
      <w:tr>
        <w:trPr>
          <w:cantSplit/>
        </w:trPr>
        <w:tc>
          <w:tcPr>
            <w:tcW w:w="5954" w:type="dxa"/>
            <w:noWrap/>
          </w:tcPr>
          <w:p>
            <w:pPr>
              <w:pStyle w:val="yTableNAm"/>
            </w:pPr>
            <w:r>
              <w:t>Anaesthesia for heart transplant</w:t>
            </w:r>
          </w:p>
        </w:tc>
        <w:tc>
          <w:tcPr>
            <w:tcW w:w="992" w:type="dxa"/>
            <w:noWrap/>
            <w:vAlign w:val="bottom"/>
          </w:tcPr>
          <w:p>
            <w:pPr>
              <w:pStyle w:val="yTableNAm"/>
              <w:tabs>
                <w:tab w:val="clear" w:pos="567"/>
                <w:tab w:val="right" w:pos="403"/>
              </w:tabs>
              <w:ind w:right="142"/>
              <w:jc w:val="right"/>
            </w:pPr>
            <w:r>
              <w:t>20</w:t>
            </w:r>
          </w:p>
        </w:tc>
      </w:tr>
      <w:tr>
        <w:trPr>
          <w:cantSplit/>
        </w:trPr>
        <w:tc>
          <w:tcPr>
            <w:tcW w:w="5954" w:type="dxa"/>
            <w:noWrap/>
          </w:tcPr>
          <w:p>
            <w:pPr>
              <w:pStyle w:val="yTableNAm"/>
            </w:pPr>
            <w:r>
              <w:t>Anaesthesia for heart and lung transplant</w:t>
            </w:r>
          </w:p>
        </w:tc>
        <w:tc>
          <w:tcPr>
            <w:tcW w:w="992" w:type="dxa"/>
            <w:noWrap/>
            <w:vAlign w:val="bottom"/>
          </w:tcPr>
          <w:p>
            <w:pPr>
              <w:pStyle w:val="yTableNAm"/>
              <w:tabs>
                <w:tab w:val="clear" w:pos="567"/>
                <w:tab w:val="right" w:pos="403"/>
              </w:tabs>
              <w:ind w:right="142"/>
              <w:jc w:val="right"/>
            </w:pPr>
            <w:r>
              <w:t>20</w:t>
            </w:r>
          </w:p>
        </w:tc>
      </w:tr>
      <w:tr>
        <w:trPr>
          <w:cantSplit/>
        </w:trPr>
        <w:tc>
          <w:tcPr>
            <w:tcW w:w="5954" w:type="dxa"/>
            <w:noWrap/>
          </w:tcPr>
          <w:p>
            <w:pPr>
              <w:pStyle w:val="yTableNAm"/>
            </w:pPr>
            <w:r>
              <w:t>Cadaver harvesting of heart and/or lungs</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rPr>
                <w:b/>
              </w:rPr>
            </w:pPr>
            <w:r>
              <w:rPr>
                <w:b/>
              </w:rPr>
              <w:t>Spine and spinal cord</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cervical spine and/or cord unless otherwise specified (for myelography and discography see items in ‘Other Procedures’)</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posterior cervical laminectomy in sitting position</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pPr>
            <w:r>
              <w:t>Anaesthesia for all procedures on the thoracic spine and/or cord unless otherwise specified</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thoracolumbar sympathectomy</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pPr>
            <w:r>
              <w:t>Anaesthesia for all procedures in the lumbar region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lumbar sympathectomy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chemonucleolysis</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extensive spine and spinal cord procedures</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pPr>
            <w:r>
              <w:t>Anaesthesia for manipulation of spine</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percutaneous spinal procedures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rPr>
                <w:b/>
              </w:rPr>
            </w:pPr>
            <w:r>
              <w:rPr>
                <w:b/>
              </w:rPr>
              <w:t>Upper abdomen</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upper abdominal wall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nerves, muscles, tendons and fascia of the upper abdominal wall</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laparoscopic procedures unless otherwise specified</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extracorporeal shock wave lithotripsy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lastRenderedPageBreak/>
              <w:t>Anaesthesia for upper gastrointestinal endoscopic procedures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upper gastrointestinal endoscopic procedures in association with imaging techniques including fluoroscopy and ultrasound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upper gastrointestinal endoscopic procedures in association with acute gastrointestinal haemorrhage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all hernia repairs in upper abdomen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repair of incisional hernia and/or wound dehiscence</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repair of omphalocele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transabdominal repair of diaphragmatic hernia</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pPr>
            <w:r>
              <w:t>Anaesthesia for all procedures on major abdominal blood vessels</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bariatric surgery in a patient with clinically severe obesity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partial hepatectomy (excluding liver biopsy)</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pPr>
            <w:r>
              <w:t>Anaesthesia for extended or trisegmental hepatectomy</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pancreatectomy, partial or total (e.g. Whipple procedure)</w:t>
            </w:r>
          </w:p>
        </w:tc>
        <w:tc>
          <w:tcPr>
            <w:tcW w:w="992" w:type="dxa"/>
            <w:noWrap/>
            <w:vAlign w:val="bottom"/>
          </w:tcPr>
          <w:p>
            <w:pPr>
              <w:pStyle w:val="yTableNAm"/>
              <w:tabs>
                <w:tab w:val="clear" w:pos="567"/>
                <w:tab w:val="right" w:pos="403"/>
              </w:tabs>
              <w:ind w:right="142"/>
              <w:jc w:val="right"/>
            </w:pPr>
            <w:r>
              <w:t>12</w:t>
            </w:r>
          </w:p>
        </w:tc>
      </w:tr>
      <w:tr>
        <w:trPr>
          <w:cantSplit/>
        </w:trPr>
        <w:tc>
          <w:tcPr>
            <w:tcW w:w="5954" w:type="dxa"/>
            <w:noWrap/>
          </w:tcPr>
          <w:p>
            <w:pPr>
              <w:pStyle w:val="yTableNAm"/>
            </w:pPr>
            <w:r>
              <w:t>Anaesthesia for liver transplant (recipient)</w:t>
            </w:r>
          </w:p>
        </w:tc>
        <w:tc>
          <w:tcPr>
            <w:tcW w:w="992" w:type="dxa"/>
            <w:noWrap/>
            <w:vAlign w:val="bottom"/>
          </w:tcPr>
          <w:p>
            <w:pPr>
              <w:pStyle w:val="yTableNAm"/>
              <w:tabs>
                <w:tab w:val="clear" w:pos="567"/>
                <w:tab w:val="right" w:pos="403"/>
              </w:tabs>
              <w:ind w:right="142"/>
              <w:jc w:val="right"/>
            </w:pPr>
            <w:r>
              <w:t>30</w:t>
            </w:r>
          </w:p>
        </w:tc>
      </w:tr>
      <w:tr>
        <w:trPr>
          <w:cantSplit/>
        </w:trPr>
        <w:tc>
          <w:tcPr>
            <w:tcW w:w="5954" w:type="dxa"/>
            <w:noWrap/>
          </w:tcPr>
          <w:p>
            <w:pPr>
              <w:pStyle w:val="yTableNAm"/>
            </w:pPr>
            <w:r>
              <w:t>Anaesthesia for neuro endocrine tumour removal (e.g. carcinoid)</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percutaneous procedures on an intra</w:t>
            </w:r>
            <w:r>
              <w:noBreakHyphen/>
              <w:t>abdominal organ in the upper abdomen</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keepNext/>
              <w:rPr>
                <w:b/>
              </w:rPr>
            </w:pPr>
            <w:r>
              <w:rPr>
                <w:b/>
              </w:rPr>
              <w:lastRenderedPageBreak/>
              <w:t>Lower abdomen</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lower abdominal wall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lipectomy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procedures on the nerves, muscles, tendons and fascia of the lower abdominal wall (with the exception of abdominal lipectomy)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laparoscopic procedures</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all lower intestinal endoscopic procedures (modifier for prone position is not applicable)</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extracorporeal shock wave lithotripsy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hernia repairs in lower abdomen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repair of incisional hernia and/or wound dehiscence</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procedures within the peritoneal cavity in the lower abdomen (including appendicetomy)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bowel resection, including laparascopic bowel resection,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amniocentesis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radical prostatectomy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radical hysterectomy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radical ovarian surgery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pelvic exenteration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Caesarean section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lastRenderedPageBreak/>
              <w:t>—</w:t>
            </w:r>
            <w:r>
              <w:tab/>
              <w:t>Caesarean hysterectomy or hysterectomy within 24 hours of delivery</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all extraperitoneal procedures in lower abdomen, including urinary tract,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total cystectomy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adrenalectomy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neuro endocrine tumour removal (e.g. carcinoid)</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renal transplant (donor or recipient)</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procedures on major lower abdominal vessels unless otherwise specified</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inferior vena cava ligation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percutaneous umbrella insertion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percutaneous procedures on an intra</w:t>
            </w:r>
            <w:r>
              <w:noBreakHyphen/>
              <w:t>abdominal organ in the lower abdomen</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rPr>
                <w:b/>
              </w:rPr>
            </w:pPr>
            <w:r>
              <w:rPr>
                <w:b/>
              </w:rPr>
              <w:t>Perineum</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perineum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vulvectomy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transurethral procedures (including urethrocystoscopy)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transurethral resection of bladder tumour(s)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transurethral resection of prostate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post</w:t>
            </w:r>
            <w:r>
              <w:noBreakHyphen/>
              <w:t>transurethral resection bleeding</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lastRenderedPageBreak/>
              <w:t>Anaesthesia for all procedures on male external genitalia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undescended testis, unilateral or bilateral</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procedures on the cord and/or testes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radical orchidectomy, inguinal approach</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radical orchidectomy, abdominal approach</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orchiopexy, unilateral or bilateral</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complete amputation of the penis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complete amputation of the penis with bilateral inguinal lymphadenectomy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complete amputation of the penis with bilateral inguinal and iliac lymphadenectomy</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insertion of penile prosthesis (perianal approach)</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vaginal procedures (including biopsy of labia, vagina, cervix or endometrium)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transvaginal assisted reproductive services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vaginal hysterectomy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vaginal delivery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purse string ligation of cervix</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culdoscopy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hysteroscopy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correction of inverted uterus</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evacuation of retained products of conception, as a complication of confinement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lastRenderedPageBreak/>
              <w:t>—</w:t>
            </w:r>
            <w:r>
              <w:tab/>
              <w:t>for vaginal procedures in the management of post partum haemorrhage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rPr>
                <w:b/>
              </w:rPr>
            </w:pPr>
            <w:r>
              <w:rPr>
                <w:b/>
              </w:rPr>
              <w:t>Pelvis — except hip</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and subcutaneous tissue of the pelvic region, except external genitalia</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percutaneous bone marrow biopsy of the anterior iliac crest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percutaneous bone marrow biopsy of the posterior iliac crest</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percutaneous bone marrow harvesting from the pelvis</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procedures on bony pelvis</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body cast application or revision</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interpelviabdominal (hind quarter) amputation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radical procedures for tumour of pelvis, except hind quarter amputation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closed procedures involving symphysis pubis or sacroiliac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open procedures involving symphysis pubis or sacroiliac joint</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keepNext/>
              <w:rPr>
                <w:b/>
              </w:rPr>
            </w:pPr>
            <w:r>
              <w:rPr>
                <w:b/>
              </w:rPr>
              <w:t>Upper leg — except knee</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upper leg</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on the nerves, muscles, tendons, fascia or bursae of the upper leg</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closed procedures involving hip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arthroscopic procedures of hip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keepNext/>
            </w:pPr>
            <w:r>
              <w:lastRenderedPageBreak/>
              <w:t>Anaesthesia for all open procedures involving hip joint unless otherwise specified</w:t>
            </w:r>
          </w:p>
        </w:tc>
        <w:tc>
          <w:tcPr>
            <w:tcW w:w="992" w:type="dxa"/>
            <w:noWrap/>
            <w:vAlign w:val="bottom"/>
          </w:tcPr>
          <w:p>
            <w:pPr>
              <w:pStyle w:val="yTableNAm"/>
              <w:keepNext/>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hip disarticulation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total hip replacement or revision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bilateral total hip replacement</w:t>
            </w:r>
          </w:p>
        </w:tc>
        <w:tc>
          <w:tcPr>
            <w:tcW w:w="992" w:type="dxa"/>
            <w:noWrap/>
            <w:vAlign w:val="bottom"/>
          </w:tcPr>
          <w:p>
            <w:pPr>
              <w:pStyle w:val="yTableNAm"/>
              <w:tabs>
                <w:tab w:val="clear" w:pos="567"/>
                <w:tab w:val="right" w:pos="403"/>
              </w:tabs>
              <w:ind w:right="142"/>
              <w:jc w:val="right"/>
            </w:pPr>
            <w:r>
              <w:t>14</w:t>
            </w:r>
          </w:p>
        </w:tc>
      </w:tr>
      <w:tr>
        <w:trPr>
          <w:cantSplit/>
        </w:trPr>
        <w:tc>
          <w:tcPr>
            <w:tcW w:w="5954" w:type="dxa"/>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amputation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radical resection</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all procedures involving veins of the upper leg including exploration</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procedures involving arteries of the upper leg, including bypass graft,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femoral artery ligation</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femoral artery embolectomy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for microsurgical reimplantation of upper leg</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rPr>
                <w:b/>
              </w:rPr>
            </w:pPr>
            <w:r>
              <w:rPr>
                <w:b/>
              </w:rPr>
              <w:t>Knee and popliteal area</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and subcutaneous tissue of the knee and/or popliteal area</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nerves, muscles, tendons, fascia and bursae of the knee and/or popliteal area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closed procedures on the knee joint</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arthroscopic procedures of the knee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lastRenderedPageBreak/>
              <w:t>Anaesthesia for all closed procedures on upper ends of the tibia and fibula and/or patella</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open procedures on upper ends of the tibia and fibula and/or patella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open procedures on the knee joint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knee replacement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bilateral knee replacement</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disarticulation of knee</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cast applications, removal or repair involving the knee joint</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veins of the knee and popliteal area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repair of arteriovenous fistula</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procedures on the arteries of the knee and popliteal area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rPr>
                <w:b/>
              </w:rPr>
            </w:pPr>
            <w:r>
              <w:rPr>
                <w:b/>
              </w:rPr>
              <w:t>Lower leg — below knee (includes ankle and foot)</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lower leg, ankle and foot</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nerves, muscles, tendons and fascia of the lower leg, ankle and foot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closed procedures on the lower leg, ankle and foot</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arthroscopic procedure of ankle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gastrocnemius recession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keepNext/>
            </w:pPr>
            <w:r>
              <w:lastRenderedPageBreak/>
              <w:t>Anaesthesia for all open procedures on the bones of the lower leg, ankle and foot, including amputation, unless otherwise specified</w:t>
            </w:r>
          </w:p>
        </w:tc>
        <w:tc>
          <w:tcPr>
            <w:tcW w:w="992" w:type="dxa"/>
            <w:noWrap/>
            <w:vAlign w:val="bottom"/>
          </w:tcPr>
          <w:p>
            <w:pPr>
              <w:pStyle w:val="yTableNAm"/>
              <w:keepNext/>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radical resection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osteotomy or osteoplasty of tibia and fibula</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total ankle replacement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lower leg cast application, removal or repair</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arteries of the lower leg, including bypass graft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embolectomy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procedures on the veins of the lower leg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venous thrombectomy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for microsurgical reimplantation of the lower leg, ankle or foot</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for microsurgical reimplantation of the toe</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rPr>
                <w:b/>
              </w:rPr>
            </w:pPr>
            <w:r>
              <w:rPr>
                <w:b/>
              </w:rPr>
              <w:t>Shoulder and axilla (includes humeral head and neck, sternoclavicular joint, acromioclavicular joint and shoulder joint)</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shoulder or axilla</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nerves, muscles, tendons, fascia and bursae of shoulder and axilla, including axillary dissection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closed procedures on humeral head and neck, sternoclavicular joint, acromioclavicular joint or the shoulder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arthroscopic procedures of the shoulder joint</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lastRenderedPageBreak/>
              <w:t>Anaesthesia for all open procedures on the humeral head and neck, sternoclavicular joint, acromioclavicular joint or the shoulder joint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radical resection</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shoulder disarticulation</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tabs>
                <w:tab w:val="clear" w:pos="567"/>
                <w:tab w:val="left" w:pos="425"/>
              </w:tabs>
              <w:ind w:left="425" w:hanging="283"/>
            </w:pPr>
            <w:r>
              <w:t>—</w:t>
            </w:r>
            <w:r>
              <w:tab/>
              <w:t>interthoracoscapular (forequarter) amputation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total shoulder replacement</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procedures on arteries of shoulder and axilla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axillary</w:t>
            </w:r>
            <w:r>
              <w:noBreakHyphen/>
              <w:t>brachial aneurysm</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bypass graft</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axillary</w:t>
            </w:r>
            <w:r>
              <w:noBreakHyphen/>
              <w:t>femoral bypass graft</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procedures on veins of shoulder and axilla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shoulder cast application, removal or repair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shoulder spica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rPr>
                <w:b/>
              </w:rPr>
            </w:pPr>
            <w:r>
              <w:rPr>
                <w:b/>
              </w:rPr>
              <w:t>Upper arm and elbow</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upper arm and elbow</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nerves, muscles, tendons, fascia and bursae of upper arm and elbow,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tenotomy, elbow to shoulder, open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tenoplasty, elbow to shoulder</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tenodesis, rupture of long tendon of biceps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closed procedures on the humerus and elbow</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arthroscopic procedures of elbow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lastRenderedPageBreak/>
              <w:t>Anaesthesia for all open procedures on the humerus and elbow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radical procedures</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total elbow replacement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all procedures on the arteries of the upper arm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embolectomy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procedures on the veins of the upper arm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for microsurgical reimplantation of the upper arm</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rPr>
                <w:b/>
              </w:rPr>
            </w:pPr>
            <w:r>
              <w:rPr>
                <w:b/>
              </w:rPr>
              <w:t>Forearm, wrist and hand</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forearm, wrist and hand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nerves, muscles, tendons, fascia and bursae of the forearm, wrist and hand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closed procedures on radius, ulna, wrist or hand bones</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open procedures on radius, ulna, wrist or hand bones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total wrist replacement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arthroscopic procedures of the wrist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procedures on the arteries of the forearm, wrist and hand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embolectomy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procedures on the veins of the forearm, wrist and hand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keepNext/>
            </w:pPr>
            <w:r>
              <w:lastRenderedPageBreak/>
              <w:t>Anaesthesia for forearm, wrist or hand cast application, removal or repair</w:t>
            </w:r>
          </w:p>
        </w:tc>
        <w:tc>
          <w:tcPr>
            <w:tcW w:w="992" w:type="dxa"/>
            <w:noWrap/>
            <w:vAlign w:val="bottom"/>
          </w:tcPr>
          <w:p>
            <w:pPr>
              <w:pStyle w:val="yTableNAm"/>
              <w:keepNext/>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for microsurgical reimplantation of forearm, wrist or hand</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for microsurgical reimplantation of a finger</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rPr>
                <w:b/>
              </w:rPr>
            </w:pPr>
            <w:r>
              <w:rPr>
                <w:b/>
              </w:rPr>
              <w:t>Burns</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excision of debridement of burns with or without skin grafting</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tabs>
                <w:tab w:val="clear" w:pos="567"/>
                <w:tab w:val="left" w:pos="425"/>
              </w:tabs>
              <w:ind w:left="425" w:hanging="283"/>
            </w:pPr>
            <w:r>
              <w:t>—</w:t>
            </w:r>
            <w:r>
              <w:tab/>
              <w:t>where the burnt area involves not more than 3% of total body surface</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where the burnt area involves more than 3% but less than 10% of total body surface</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where the burnt area involves 10% or more but less than 20% of total body surface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where the burnt area involves 20% or more but less than 30% of total body surface</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tabs>
                <w:tab w:val="clear" w:pos="567"/>
                <w:tab w:val="left" w:pos="425"/>
              </w:tabs>
              <w:ind w:left="425" w:hanging="283"/>
            </w:pPr>
            <w:r>
              <w:t>—</w:t>
            </w:r>
            <w:r>
              <w:tab/>
              <w:t>where the burnt area involves 30% or more but less than 40% of total body surface</w:t>
            </w:r>
          </w:p>
        </w:tc>
        <w:tc>
          <w:tcPr>
            <w:tcW w:w="992" w:type="dxa"/>
            <w:noWrap/>
            <w:vAlign w:val="bottom"/>
          </w:tcPr>
          <w:p>
            <w:pPr>
              <w:pStyle w:val="yTableNAm"/>
              <w:tabs>
                <w:tab w:val="clear" w:pos="567"/>
                <w:tab w:val="right" w:pos="403"/>
              </w:tabs>
              <w:ind w:right="142"/>
              <w:jc w:val="right"/>
            </w:pPr>
            <w:r>
              <w:t>11</w:t>
            </w:r>
          </w:p>
        </w:tc>
      </w:tr>
      <w:tr>
        <w:trPr>
          <w:cantSplit/>
        </w:trPr>
        <w:tc>
          <w:tcPr>
            <w:tcW w:w="5954" w:type="dxa"/>
            <w:noWrap/>
          </w:tcPr>
          <w:p>
            <w:pPr>
              <w:pStyle w:val="yTableNAm"/>
              <w:tabs>
                <w:tab w:val="clear" w:pos="567"/>
                <w:tab w:val="left" w:pos="425"/>
              </w:tabs>
              <w:ind w:left="425" w:hanging="283"/>
            </w:pPr>
            <w:r>
              <w:t>—</w:t>
            </w:r>
            <w:r>
              <w:tab/>
              <w:t>where the burnt area involves 40% or more but less than 50% of total body surface</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tabs>
                <w:tab w:val="clear" w:pos="567"/>
                <w:tab w:val="left" w:pos="425"/>
              </w:tabs>
              <w:ind w:left="425" w:hanging="283"/>
            </w:pPr>
            <w:r>
              <w:t>—</w:t>
            </w:r>
            <w:r>
              <w:tab/>
              <w:t>where the burnt area involves 50% or more but less than 60% of total body surface</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where the burnt area involves 60% or more but less than 70% of total body surface</w:t>
            </w:r>
          </w:p>
        </w:tc>
        <w:tc>
          <w:tcPr>
            <w:tcW w:w="992" w:type="dxa"/>
            <w:noWrap/>
            <w:vAlign w:val="bottom"/>
          </w:tcPr>
          <w:p>
            <w:pPr>
              <w:pStyle w:val="yTableNAm"/>
              <w:tabs>
                <w:tab w:val="clear" w:pos="567"/>
                <w:tab w:val="right" w:pos="403"/>
              </w:tabs>
              <w:ind w:right="142"/>
              <w:jc w:val="right"/>
            </w:pPr>
            <w:r>
              <w:t>17</w:t>
            </w:r>
          </w:p>
        </w:tc>
      </w:tr>
      <w:tr>
        <w:trPr>
          <w:cantSplit/>
        </w:trPr>
        <w:tc>
          <w:tcPr>
            <w:tcW w:w="5954" w:type="dxa"/>
            <w:noWrap/>
          </w:tcPr>
          <w:p>
            <w:pPr>
              <w:pStyle w:val="yTableNAm"/>
              <w:tabs>
                <w:tab w:val="clear" w:pos="567"/>
                <w:tab w:val="left" w:pos="425"/>
              </w:tabs>
              <w:ind w:left="425" w:hanging="283"/>
            </w:pPr>
            <w:r>
              <w:t>—</w:t>
            </w:r>
            <w:r>
              <w:tab/>
              <w:t>where the burnt area involves 70% or more but less than 80% of total body surface</w:t>
            </w:r>
          </w:p>
        </w:tc>
        <w:tc>
          <w:tcPr>
            <w:tcW w:w="992" w:type="dxa"/>
            <w:noWrap/>
            <w:vAlign w:val="bottom"/>
          </w:tcPr>
          <w:p>
            <w:pPr>
              <w:pStyle w:val="yTableNAm"/>
              <w:tabs>
                <w:tab w:val="clear" w:pos="567"/>
                <w:tab w:val="right" w:pos="403"/>
              </w:tabs>
              <w:ind w:right="142"/>
              <w:jc w:val="right"/>
            </w:pPr>
            <w:r>
              <w:t>19</w:t>
            </w:r>
          </w:p>
        </w:tc>
      </w:tr>
      <w:tr>
        <w:trPr>
          <w:cantSplit/>
        </w:trPr>
        <w:tc>
          <w:tcPr>
            <w:tcW w:w="5954" w:type="dxa"/>
            <w:noWrap/>
          </w:tcPr>
          <w:p>
            <w:pPr>
              <w:pStyle w:val="yTableNAm"/>
              <w:tabs>
                <w:tab w:val="clear" w:pos="567"/>
                <w:tab w:val="left" w:pos="425"/>
              </w:tabs>
              <w:ind w:left="425" w:hanging="283"/>
            </w:pPr>
            <w:r>
              <w:t>—</w:t>
            </w:r>
            <w:r>
              <w:tab/>
              <w:t>where the burnt area involves 80% or more of total body surface</w:t>
            </w:r>
          </w:p>
        </w:tc>
        <w:tc>
          <w:tcPr>
            <w:tcW w:w="992" w:type="dxa"/>
            <w:noWrap/>
            <w:vAlign w:val="bottom"/>
          </w:tcPr>
          <w:p>
            <w:pPr>
              <w:pStyle w:val="yTableNAm"/>
              <w:tabs>
                <w:tab w:val="clear" w:pos="567"/>
                <w:tab w:val="right" w:pos="403"/>
              </w:tabs>
              <w:ind w:right="142"/>
              <w:jc w:val="right"/>
            </w:pPr>
            <w:r>
              <w:t>21</w:t>
            </w:r>
          </w:p>
        </w:tc>
      </w:tr>
      <w:tr>
        <w:trPr>
          <w:cantSplit/>
        </w:trPr>
        <w:tc>
          <w:tcPr>
            <w:tcW w:w="5954" w:type="dxa"/>
            <w:noWrap/>
          </w:tcPr>
          <w:p>
            <w:pPr>
              <w:pStyle w:val="yTableNAm"/>
              <w:keepNext/>
              <w:rPr>
                <w:b/>
              </w:rPr>
            </w:pPr>
            <w:r>
              <w:rPr>
                <w:b/>
              </w:rPr>
              <w:lastRenderedPageBreak/>
              <w:t>Other Procedures</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keepNext/>
            </w:pPr>
            <w:r>
              <w:t>Anaesthesia for injection procedure for myelography</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tabs>
                <w:tab w:val="clear" w:pos="567"/>
                <w:tab w:val="left" w:pos="425"/>
              </w:tabs>
              <w:ind w:left="425" w:hanging="283"/>
            </w:pPr>
            <w:r>
              <w:t>—</w:t>
            </w:r>
            <w:r>
              <w:tab/>
              <w:t>lumbar or thoracic</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cervical</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posterior fossa</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pPr>
            <w:r>
              <w:t>Anaesthesia for injection procedure for discography</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tabs>
                <w:tab w:val="clear" w:pos="567"/>
                <w:tab w:val="left" w:pos="425"/>
              </w:tabs>
              <w:ind w:left="425" w:hanging="283"/>
            </w:pPr>
            <w:r>
              <w:t>—</w:t>
            </w:r>
            <w:r>
              <w:tab/>
              <w:t>lumbar or thoracic</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cervical</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peripheral arteriogram</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arteriograms</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tabs>
                <w:tab w:val="clear" w:pos="567"/>
                <w:tab w:val="left" w:pos="425"/>
              </w:tabs>
              <w:ind w:left="425" w:hanging="283"/>
            </w:pPr>
            <w:r>
              <w:t>—</w:t>
            </w:r>
            <w:r>
              <w:tab/>
              <w:t>carotid, cerebral or vertebral</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retrograde, brachial or femoral</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computerised axial tomography scanning, magnetic resonance scanning, ultrasound scanning or digital subtraction angiography scanning</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radiology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retrograde cystography, retrograde urethrography or retrograde cystourethrography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Initiation of management of anaesthesia for fluoroscopy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bronchography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phlebography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heart, 2 dimensional real time transoesophageal examination</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peripheral venous cannulation</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cardiac catheterisation including coronary arteriography, ventriculography, cardiac mapping, insertion of automatic defibrillator or transvenous pacemaker</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lastRenderedPageBreak/>
              <w:t>Anaesthesia for cardiac electrophysiological procedures including radio frequency ablation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central vein catheterisation or insertion of right heart balloon catheter</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lumbar puncture, cisternal puncture or epidural injection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harvesting of bone marrow for the purpose of transplantation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muscle biopsy for malignant hyperpyrexia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electroencephalography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brain stem evoked audiometry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electrocochleography by extratympanic method or transtympanic membrane insertion method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 therapeutic procedure where it can be demonstrated that there is a clinical need for anaesthesia</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during hyperbaric therapy where the medical practitioner is not confined in the chamber (including the administration of oxygen)</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during hyperbaric therapy where the medical practitioner is confined in the chamber (including the administration of oxygen)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brachytherapy using radioactive sealed sources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therapeutic nuclear medicine</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radiotherapy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tcBorders>
              <w:bottom w:val="single" w:sz="4" w:space="0" w:color="auto"/>
            </w:tcBorders>
            <w:noWrap/>
          </w:tcPr>
          <w:p>
            <w:pPr>
              <w:pStyle w:val="yTableNAm"/>
            </w:pPr>
            <w:r>
              <w:t>Anaesthesia where no procedure ensues</w:t>
            </w:r>
          </w:p>
        </w:tc>
        <w:tc>
          <w:tcPr>
            <w:tcW w:w="992" w:type="dxa"/>
            <w:tcBorders>
              <w:bottom w:val="single" w:sz="4" w:space="0" w:color="auto"/>
            </w:tcBorders>
            <w:noWrap/>
            <w:vAlign w:val="bottom"/>
          </w:tcPr>
          <w:p>
            <w:pPr>
              <w:pStyle w:val="yTableNAm"/>
              <w:tabs>
                <w:tab w:val="clear" w:pos="567"/>
                <w:tab w:val="right" w:pos="403"/>
              </w:tabs>
              <w:ind w:right="142"/>
              <w:jc w:val="right"/>
            </w:pPr>
            <w:r>
              <w:t>3</w:t>
            </w:r>
          </w:p>
        </w:tc>
      </w:tr>
    </w:tbl>
    <w:p>
      <w:pPr>
        <w:pStyle w:val="yMiscellaneousHeading"/>
        <w:jc w:val="left"/>
        <w:rPr>
          <w:b/>
          <w:bCs/>
        </w:rPr>
      </w:pPr>
      <w:r>
        <w:rPr>
          <w:b/>
          <w:bCs/>
        </w:rPr>
        <w:t>Note — Unlisted anaesthetic procedures</w:t>
      </w:r>
    </w:p>
    <w:tbl>
      <w:tblPr>
        <w:tblW w:w="6521" w:type="dxa"/>
        <w:tblInd w:w="142"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31" w:name="_Toc161386938"/>
      <w:bookmarkStart w:id="32" w:name="_Toc161386998"/>
      <w:bookmarkStart w:id="33" w:name="_Toc161746965"/>
      <w:bookmarkStart w:id="34" w:name="_Toc161747335"/>
      <w:bookmarkStart w:id="35" w:name="_Toc161750513"/>
      <w:r>
        <w:lastRenderedPageBreak/>
        <w:t>Division 2 — Therapeutic and diagnostic services</w:t>
      </w:r>
      <w:bookmarkEnd w:id="31"/>
      <w:bookmarkEnd w:id="32"/>
      <w:bookmarkEnd w:id="33"/>
      <w:bookmarkEnd w:id="34"/>
      <w:bookmarkEnd w:id="35"/>
    </w:p>
    <w:p>
      <w:pPr>
        <w:pStyle w:val="yFootnoteheading"/>
        <w:keepNext/>
      </w:pPr>
      <w:r>
        <w:tab/>
        <w:t>[Heading inserted: SL 2023/155 r. 6.]</w:t>
      </w:r>
    </w:p>
    <w:tbl>
      <w:tblPr>
        <w:tblW w:w="6946" w:type="dxa"/>
        <w:tblInd w:w="142" w:type="dxa"/>
        <w:tblLayout w:type="fixed"/>
        <w:tblCellMar>
          <w:left w:w="113" w:type="dxa"/>
          <w:right w:w="113" w:type="dxa"/>
        </w:tblCellMar>
        <w:tblLook w:val="0000" w:firstRow="0" w:lastRow="0" w:firstColumn="0" w:lastColumn="0" w:noHBand="0" w:noVBand="0"/>
      </w:tblPr>
      <w:tblGrid>
        <w:gridCol w:w="4111"/>
        <w:gridCol w:w="945"/>
        <w:gridCol w:w="945"/>
        <w:gridCol w:w="945"/>
      </w:tblGrid>
      <w:tr>
        <w:trPr>
          <w:cantSplit/>
          <w:tblHeader/>
        </w:trPr>
        <w:tc>
          <w:tcPr>
            <w:tcW w:w="4111" w:type="dxa"/>
            <w:tcBorders>
              <w:top w:val="single" w:sz="4" w:space="0" w:color="auto"/>
              <w:bottom w:val="single" w:sz="4" w:space="0" w:color="auto"/>
            </w:tcBorders>
            <w:noWrap/>
          </w:tcPr>
          <w:p>
            <w:pPr>
              <w:pStyle w:val="yTableNAm"/>
              <w:rPr>
                <w:b/>
              </w:rPr>
            </w:pPr>
            <w:r>
              <w:rPr>
                <w:b/>
              </w:rPr>
              <w:t>Description of service, etc.</w:t>
            </w:r>
          </w:p>
        </w:tc>
        <w:tc>
          <w:tcPr>
            <w:tcW w:w="945" w:type="dxa"/>
            <w:tcBorders>
              <w:top w:val="single" w:sz="4" w:space="0" w:color="auto"/>
              <w:bottom w:val="single" w:sz="4" w:space="0" w:color="auto"/>
            </w:tcBorders>
            <w:noWrap/>
            <w:vAlign w:val="bottom"/>
          </w:tcPr>
          <w:p>
            <w:pPr>
              <w:pStyle w:val="yTableNAm"/>
              <w:jc w:val="center"/>
              <w:rPr>
                <w:b/>
              </w:rPr>
            </w:pPr>
            <w:r>
              <w:rPr>
                <w:b/>
              </w:rPr>
              <w:t>MUs</w:t>
            </w:r>
          </w:p>
        </w:tc>
        <w:tc>
          <w:tcPr>
            <w:tcW w:w="945" w:type="dxa"/>
            <w:tcBorders>
              <w:top w:val="single" w:sz="4" w:space="0" w:color="auto"/>
              <w:bottom w:val="single" w:sz="4" w:space="0" w:color="auto"/>
            </w:tcBorders>
            <w:noWrap/>
            <w:vAlign w:val="bottom"/>
          </w:tcPr>
          <w:p>
            <w:pPr>
              <w:pStyle w:val="yTableNAm"/>
              <w:jc w:val="center"/>
              <w:rPr>
                <w:b/>
              </w:rPr>
            </w:pPr>
            <w:r>
              <w:rPr>
                <w:b/>
              </w:rPr>
              <w:t>TUs</w:t>
            </w:r>
          </w:p>
        </w:tc>
        <w:tc>
          <w:tcPr>
            <w:tcW w:w="94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4111" w:type="dxa"/>
            <w:noWrap/>
          </w:tcPr>
          <w:p>
            <w:pPr>
              <w:pStyle w:val="yTableNAm"/>
            </w:pPr>
            <w:r>
              <w:t>Administration of blood or bone marrow already collected when performed in association with the administration of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Venous cannulation and blood transfusion (or blood products) not associated with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15</w:t>
            </w:r>
          </w:p>
        </w:tc>
      </w:tr>
      <w:tr>
        <w:trPr>
          <w:cantSplit/>
        </w:trPr>
        <w:tc>
          <w:tcPr>
            <w:tcW w:w="4111" w:type="dxa"/>
            <w:noWrap/>
          </w:tcPr>
          <w:p>
            <w:pPr>
              <w:pStyle w:val="yTableNAm"/>
            </w:pPr>
            <w:r>
              <w:t>Intubation, endotracheal, not associated with anaesthesia, when subsequent management is not in an intensive care unit</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Awake endotracheal intubation with flexible fibreoptic scope, associated with difficult airway, when performed in association with the administration of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Double lumen endobronchial tube or bronchial blocker, insertion of, when performed in association with the administration of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Monitoring of depth of anaesthesia, incorporating continuous measurement of the EEG during anaesthesia for the diagnosis of awareness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Venous cannulation and commencement of intravenous infusion, under age of 3 years, not associated with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lastRenderedPageBreak/>
              <w:t>Venous cannulation, cutdown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Venous cannulation and commencement of intravenous infusion not associated with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w:t>
            </w:r>
          </w:p>
        </w:tc>
      </w:tr>
      <w:tr>
        <w:trPr>
          <w:cantSplit/>
        </w:trPr>
        <w:tc>
          <w:tcPr>
            <w:tcW w:w="4111" w:type="dxa"/>
            <w:noWrap/>
          </w:tcPr>
          <w:p>
            <w:pPr>
              <w:pStyle w:val="yTableNAm"/>
            </w:pPr>
            <w:r>
              <w:t>Right heart balloon catheter, insertion of, including pulmonary wedge pressure and cardiac output measurement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pPr>
            <w:r>
              <w:t>Central vein catheterisation, percutaneous via jugular, subclavian or femoral vein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Central vein catheterisation by cutdown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Central venous pressure monitoring</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Arterial cannulation, percutaneous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Arterial puncture, withdrawal of blood for diagnosis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w:t>
            </w:r>
          </w:p>
        </w:tc>
      </w:tr>
      <w:tr>
        <w:trPr>
          <w:cantSplit/>
        </w:trPr>
        <w:tc>
          <w:tcPr>
            <w:tcW w:w="4111" w:type="dxa"/>
            <w:noWrap/>
          </w:tcPr>
          <w:p>
            <w:pPr>
              <w:pStyle w:val="yTableNAm"/>
            </w:pPr>
            <w:r>
              <w:t>Arterial cannulation, by cutdown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Catheterisation, umbilical artery, newborn, for diagnosis or therapy</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Intra</w:t>
            </w:r>
            <w:r>
              <w:noBreakHyphen/>
              <w:t>arterial infusion or retrograde intravenous perfusion of a sympatholytic agent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Intravenous regional anaesthesia of limb by retrograde perfusion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Perfusion of limb or organ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12</w:t>
            </w:r>
          </w:p>
        </w:tc>
      </w:tr>
      <w:tr>
        <w:trPr>
          <w:cantSplit/>
        </w:trPr>
        <w:tc>
          <w:tcPr>
            <w:tcW w:w="4111" w:type="dxa"/>
            <w:noWrap/>
          </w:tcPr>
          <w:p>
            <w:pPr>
              <w:pStyle w:val="yTableNAm"/>
            </w:pPr>
            <w:r>
              <w:t>Medical management of cardio</w:t>
            </w:r>
            <w:r>
              <w:noBreakHyphen/>
              <w:t>pulmonary bypass perfusion using heart/lung machine</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t>Hypothermia, total body</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keepNext/>
            </w:pPr>
            <w:r>
              <w:lastRenderedPageBreak/>
              <w:t>Deep hypothermia to a core temperature of less than 22 degrees in association with circulatory arrest</w:t>
            </w:r>
          </w:p>
        </w:tc>
        <w:tc>
          <w:tcPr>
            <w:tcW w:w="945" w:type="dxa"/>
            <w:noWrap/>
            <w:vAlign w:val="bottom"/>
          </w:tcPr>
          <w:p>
            <w:pPr>
              <w:pStyle w:val="yTableNAm"/>
              <w:keepNext/>
              <w:jc w:val="center"/>
            </w:pPr>
            <w:r>
              <w:t>no</w:t>
            </w:r>
          </w:p>
        </w:tc>
        <w:tc>
          <w:tcPr>
            <w:tcW w:w="945" w:type="dxa"/>
            <w:noWrap/>
            <w:vAlign w:val="bottom"/>
          </w:tcPr>
          <w:p>
            <w:pPr>
              <w:pStyle w:val="yTableNAm"/>
              <w:keepNext/>
              <w:jc w:val="center"/>
            </w:pPr>
            <w:r>
              <w:t>no</w:t>
            </w:r>
          </w:p>
        </w:tc>
        <w:tc>
          <w:tcPr>
            <w:tcW w:w="945" w:type="dxa"/>
            <w:noWrap/>
            <w:vAlign w:val="bottom"/>
          </w:tcPr>
          <w:p>
            <w:pPr>
              <w:pStyle w:val="yTableNAm"/>
              <w:keepNext/>
              <w:tabs>
                <w:tab w:val="clear" w:pos="567"/>
              </w:tabs>
              <w:ind w:left="-68" w:right="284"/>
              <w:jc w:val="right"/>
            </w:pPr>
            <w:r>
              <w:t>15</w:t>
            </w:r>
          </w:p>
        </w:tc>
      </w:tr>
      <w:tr>
        <w:trPr>
          <w:cantSplit/>
        </w:trPr>
        <w:tc>
          <w:tcPr>
            <w:tcW w:w="4111" w:type="dxa"/>
            <w:noWrap/>
          </w:tcPr>
          <w:p>
            <w:pPr>
              <w:pStyle w:val="yTableNAm"/>
            </w:pPr>
            <w:r>
              <w:t>Standby medical management of cardio</w:t>
            </w:r>
            <w:r>
              <w:noBreakHyphen/>
              <w:t>pulmonary bypass perfusion using heart/lung machine</w:t>
            </w:r>
          </w:p>
        </w:tc>
        <w:tc>
          <w:tcPr>
            <w:tcW w:w="945" w:type="dxa"/>
            <w:noWrap/>
            <w:vAlign w:val="bottom"/>
          </w:tcPr>
          <w:p>
            <w:pPr>
              <w:pStyle w:val="yTableNAm"/>
              <w:jc w:val="center"/>
            </w:pPr>
            <w:r>
              <w:t>no</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Major nerve block (proximal to the elbow or knee), including intercostal nerve block(s) or plexus block to provide post operative pain relief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Minor nerve block (specify type) to provide post operative pain relief (does not include subcutaneous infiltration)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w:t>
            </w:r>
          </w:p>
        </w:tc>
      </w:tr>
      <w:tr>
        <w:trPr>
          <w:cantSplit/>
        </w:trPr>
        <w:tc>
          <w:tcPr>
            <w:tcW w:w="4111"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Intrathecal or epidural injection (subsequent) of a therapeutic substance, in association with anaesthesia and surgery, for post operative pain management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Subarachnoid puncture, lumbar, diagnostic</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Insertion of subarachnoid drain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pPr>
            <w:r>
              <w:t>Intrathecal, or epidural or injection, (initial or commencement of infusion) of a therapeutic substance, including up to 1 hour of continuous attendance by a medical practitioner</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pPr>
            <w:r>
              <w:lastRenderedPageBreak/>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0</w:t>
            </w:r>
          </w:p>
        </w:tc>
      </w:tr>
      <w:tr>
        <w:trPr>
          <w:cantSplit/>
        </w:trPr>
        <w:tc>
          <w:tcPr>
            <w:tcW w:w="4111"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15</w:t>
            </w:r>
          </w:p>
        </w:tc>
      </w:tr>
      <w:tr>
        <w:trPr>
          <w:cantSplit/>
        </w:trPr>
        <w:tc>
          <w:tcPr>
            <w:tcW w:w="4111" w:type="dxa"/>
            <w:noWrap/>
          </w:tcPr>
          <w:p>
            <w:pPr>
              <w:pStyle w:val="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0</w:t>
            </w:r>
          </w:p>
        </w:tc>
      </w:tr>
      <w:tr>
        <w:trPr>
          <w:cantSplit/>
        </w:trPr>
        <w:tc>
          <w:tcPr>
            <w:tcW w:w="4111"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lastRenderedPageBreak/>
              <w:t>Interpleural block, initial injection or commencement of infusion of a therapeutic substance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Intrathecal, epidural or caudal injection of neurolytic substance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t>Intrathecal, epidural or caudal injection of substance other than anaesthetic, contrast or neurolytic solutions, not being a service to which another item in the Group applies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pPr>
            <w:r>
              <w:t>Epidural injection of blood for blood patch</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pPr>
            <w:r>
              <w:t>Injection of an anaesthetic agent</w:t>
            </w:r>
          </w:p>
        </w:tc>
        <w:tc>
          <w:tcPr>
            <w:tcW w:w="945" w:type="dxa"/>
            <w:noWrap/>
            <w:vAlign w:val="bottom"/>
          </w:tcPr>
          <w:p>
            <w:pPr>
              <w:pStyle w:val="yTableNAm"/>
              <w:jc w:val="center"/>
            </w:pPr>
          </w:p>
        </w:tc>
        <w:tc>
          <w:tcPr>
            <w:tcW w:w="945" w:type="dxa"/>
            <w:noWrap/>
            <w:vAlign w:val="bottom"/>
          </w:tcPr>
          <w:p>
            <w:pPr>
              <w:pStyle w:val="yTableNAm"/>
              <w:jc w:val="center"/>
            </w:pPr>
          </w:p>
        </w:tc>
        <w:tc>
          <w:tcPr>
            <w:tcW w:w="945" w:type="dxa"/>
            <w:noWrap/>
            <w:vAlign w:val="bottom"/>
          </w:tcPr>
          <w:p>
            <w:pPr>
              <w:pStyle w:val="yTableNAm"/>
              <w:tabs>
                <w:tab w:val="clear" w:pos="567"/>
              </w:tabs>
              <w:ind w:left="-68" w:right="284"/>
              <w:jc w:val="right"/>
            </w:pPr>
          </w:p>
        </w:tc>
      </w:tr>
      <w:tr>
        <w:trPr>
          <w:cantSplit/>
        </w:trPr>
        <w:tc>
          <w:tcPr>
            <w:tcW w:w="4111" w:type="dxa"/>
            <w:noWrap/>
          </w:tcPr>
          <w:p>
            <w:pPr>
              <w:pStyle w:val="yTableNAm"/>
              <w:tabs>
                <w:tab w:val="clear" w:pos="567"/>
                <w:tab w:val="left" w:pos="425"/>
              </w:tabs>
              <w:ind w:left="425" w:hanging="283"/>
            </w:pPr>
            <w:r>
              <w:t>—</w:t>
            </w:r>
            <w:r>
              <w:tab/>
              <w:t>trigeminal nerve, primary division 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tabs>
                <w:tab w:val="clear" w:pos="567"/>
                <w:tab w:val="left" w:pos="425"/>
              </w:tabs>
              <w:ind w:left="425" w:hanging="283"/>
            </w:pPr>
            <w:r>
              <w:t>—</w:t>
            </w:r>
            <w:r>
              <w:tab/>
              <w:t>trigeminal nerve, peripheral branch 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facial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tabs>
                <w:tab w:val="clear" w:pos="567"/>
                <w:tab w:val="left" w:pos="425"/>
              </w:tabs>
              <w:ind w:left="425" w:hanging="283"/>
            </w:pPr>
            <w:r>
              <w:t>—</w:t>
            </w:r>
            <w:r>
              <w:tab/>
              <w:t>retrobulbar or peribulbar</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greater occipital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tabs>
                <w:tab w:val="clear" w:pos="567"/>
                <w:tab w:val="left" w:pos="425"/>
              </w:tabs>
              <w:ind w:left="425" w:hanging="283"/>
            </w:pPr>
            <w:r>
              <w:t>—</w:t>
            </w:r>
            <w:r>
              <w:tab/>
              <w:t>vagus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t>—</w:t>
            </w:r>
            <w:r>
              <w:tab/>
              <w:t>phrenic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spinal accessory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cervical plexus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keepNext/>
              <w:tabs>
                <w:tab w:val="clear" w:pos="567"/>
                <w:tab w:val="left" w:pos="425"/>
              </w:tabs>
              <w:ind w:left="425" w:hanging="283"/>
            </w:pPr>
            <w:r>
              <w:t>—</w:t>
            </w:r>
            <w:r>
              <w:tab/>
              <w:t>brachial plexus</w:t>
            </w:r>
          </w:p>
        </w:tc>
        <w:tc>
          <w:tcPr>
            <w:tcW w:w="945" w:type="dxa"/>
            <w:noWrap/>
            <w:vAlign w:val="bottom"/>
          </w:tcPr>
          <w:p>
            <w:pPr>
              <w:pStyle w:val="yTableNAm"/>
              <w:keepNext/>
              <w:jc w:val="center"/>
            </w:pPr>
            <w:r>
              <w:t>no</w:t>
            </w:r>
          </w:p>
        </w:tc>
        <w:tc>
          <w:tcPr>
            <w:tcW w:w="945" w:type="dxa"/>
            <w:noWrap/>
            <w:vAlign w:val="bottom"/>
          </w:tcPr>
          <w:p>
            <w:pPr>
              <w:pStyle w:val="yTableNAm"/>
              <w:keepNext/>
              <w:jc w:val="center"/>
            </w:pPr>
            <w:r>
              <w:t>no</w:t>
            </w:r>
          </w:p>
        </w:tc>
        <w:tc>
          <w:tcPr>
            <w:tcW w:w="945" w:type="dxa"/>
            <w:noWrap/>
            <w:vAlign w:val="bottom"/>
          </w:tcPr>
          <w:p>
            <w:pPr>
              <w:pStyle w:val="yTableNAm"/>
              <w:keepNext/>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t>—</w:t>
            </w:r>
            <w:r>
              <w:tab/>
              <w:t>suprascapular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intercostal nerve, single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intercostal nerves, multiple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ilioinguinal, iliohypogastric or genito femoral nerves, 1 or more 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pudendal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lastRenderedPageBreak/>
              <w:t>—</w:t>
            </w:r>
            <w:r>
              <w:tab/>
              <w:t>ulnar, radial or median nerve of main trunk, 1 or more of, not being associated with a brachial plexus block</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paracervical (uterine)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obturator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femoral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saphenous, sural, popliteal or posterior tibial nerve of main trunk, 1 or more 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paravertebral nerves, multiple levels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tabs>
                <w:tab w:val="clear" w:pos="567"/>
                <w:tab w:val="left" w:pos="425"/>
              </w:tabs>
              <w:ind w:left="425" w:hanging="283"/>
            </w:pPr>
            <w:r>
              <w:t>—</w:t>
            </w:r>
            <w:r>
              <w:tab/>
              <w:t>sciatic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other peripheral nerve or branch</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sphenopalatine ganglion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tabs>
                <w:tab w:val="clear" w:pos="567"/>
                <w:tab w:val="left" w:pos="425"/>
              </w:tabs>
              <w:ind w:left="425" w:hanging="283"/>
            </w:pPr>
            <w:r>
              <w:t>—</w:t>
            </w:r>
            <w:r>
              <w:tab/>
              <w:t>carotid sinus, as an independent percutaneous procedure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keepNext/>
              <w:tabs>
                <w:tab w:val="clear" w:pos="567"/>
                <w:tab w:val="left" w:pos="425"/>
              </w:tabs>
              <w:ind w:left="425" w:hanging="283"/>
            </w:pPr>
            <w:r>
              <w:t>—</w:t>
            </w:r>
            <w:r>
              <w:tab/>
              <w:t>stellate ganglion (cervical sympathetic block)</w:t>
            </w:r>
          </w:p>
        </w:tc>
        <w:tc>
          <w:tcPr>
            <w:tcW w:w="945" w:type="dxa"/>
            <w:noWrap/>
            <w:vAlign w:val="bottom"/>
          </w:tcPr>
          <w:p>
            <w:pPr>
              <w:pStyle w:val="yTableNAm"/>
              <w:keepNext/>
              <w:jc w:val="center"/>
            </w:pPr>
            <w:r>
              <w:t>no</w:t>
            </w:r>
          </w:p>
        </w:tc>
        <w:tc>
          <w:tcPr>
            <w:tcW w:w="945" w:type="dxa"/>
            <w:noWrap/>
            <w:vAlign w:val="bottom"/>
          </w:tcPr>
          <w:p>
            <w:pPr>
              <w:pStyle w:val="yTableNAm"/>
              <w:keepNext/>
              <w:jc w:val="center"/>
            </w:pPr>
            <w:r>
              <w:t>no</w:t>
            </w:r>
          </w:p>
        </w:tc>
        <w:tc>
          <w:tcPr>
            <w:tcW w:w="945" w:type="dxa"/>
            <w:noWrap/>
            <w:vAlign w:val="bottom"/>
          </w:tcPr>
          <w:p>
            <w:pPr>
              <w:pStyle w:val="yTableNAm"/>
              <w:keepNext/>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t>—</w:t>
            </w:r>
            <w:r>
              <w:tab/>
              <w:t>lumbar or thoracic nerves (paravertebral sympathetic block)</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t>—</w:t>
            </w:r>
            <w:r>
              <w:tab/>
              <w:t>coeliac plexus or splanchnic nerves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pPr>
            <w:r>
              <w:t>Cranial nerve other than trigeminal, destruction by a neurolytic agent, not being a service associated with the injection of botulinum toxin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lastRenderedPageBreak/>
              <w:t>Nerve branch, not covered by any other item in this Group, destruction by a neurolytic agent, not being a service associated with the injection of botulinum toxin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pPr>
            <w:r>
              <w:t>Coeliac plexus or splanchnic nerves, destruction by a neurolytic agent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t>Lumbar sympathetic chain, destruction by a neurolytic agent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15</w:t>
            </w:r>
          </w:p>
        </w:tc>
      </w:tr>
      <w:tr>
        <w:trPr>
          <w:cantSplit/>
        </w:trPr>
        <w:tc>
          <w:tcPr>
            <w:tcW w:w="4111" w:type="dxa"/>
            <w:noWrap/>
          </w:tcPr>
          <w:p>
            <w:pPr>
              <w:pStyle w:val="yTableNAm"/>
            </w:pPr>
            <w:r>
              <w:t>Cervical or thoracic sympathetic chain, destruction by a neurolytic agent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t>Cardioversion, elective, electrical conversion of arrhythmia, external</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Hyperbaric oxygen treatment when the specialist is inside the chamber</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15</w:t>
            </w:r>
          </w:p>
        </w:tc>
      </w:tr>
      <w:tr>
        <w:trPr>
          <w:cantSplit/>
        </w:trPr>
        <w:tc>
          <w:tcPr>
            <w:tcW w:w="4111" w:type="dxa"/>
            <w:noWrap/>
          </w:tcPr>
          <w:p>
            <w:pPr>
              <w:pStyle w:val="yTableNAm"/>
            </w:pPr>
            <w:r>
              <w:t>Hyperbaric oxygen treatment when the specialist is outside the chamber</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8</w:t>
            </w:r>
          </w:p>
        </w:tc>
      </w:tr>
      <w:tr>
        <w:tc>
          <w:tcPr>
            <w:tcW w:w="4111" w:type="dxa"/>
            <w:noWrap/>
          </w:tcPr>
          <w:p>
            <w:pPr>
              <w:pStyle w:val="yTableNAm"/>
              <w:keepNext/>
            </w:pPr>
            <w:r>
              <w:t>Heart, 2</w:t>
            </w:r>
            <w:r>
              <w:noBreakHyphen/>
              <w:t xml:space="preserve">dimensional real time transoesophageal examination of, at least 2 oesophageal windows performed using a mechanical sector scanner or phased array transducer with — </w:t>
            </w:r>
          </w:p>
        </w:tc>
        <w:tc>
          <w:tcPr>
            <w:tcW w:w="945" w:type="dxa"/>
            <w:noWrap/>
            <w:vAlign w:val="bottom"/>
          </w:tcPr>
          <w:p>
            <w:pPr>
              <w:pStyle w:val="yTableNAm"/>
              <w:jc w:val="center"/>
            </w:pPr>
          </w:p>
        </w:tc>
        <w:tc>
          <w:tcPr>
            <w:tcW w:w="945" w:type="dxa"/>
            <w:noWrap/>
            <w:vAlign w:val="bottom"/>
          </w:tcPr>
          <w:p>
            <w:pPr>
              <w:pStyle w:val="yTableNAm"/>
              <w:jc w:val="center"/>
            </w:pPr>
          </w:p>
        </w:tc>
        <w:tc>
          <w:tcPr>
            <w:tcW w:w="945" w:type="dxa"/>
            <w:noWrap/>
            <w:vAlign w:val="bottom"/>
          </w:tcPr>
          <w:p>
            <w:pPr>
              <w:pStyle w:val="yTableNAm"/>
              <w:tabs>
                <w:tab w:val="clear" w:pos="567"/>
              </w:tabs>
              <w:ind w:left="-68" w:right="284"/>
              <w:jc w:val="right"/>
            </w:pPr>
          </w:p>
        </w:tc>
      </w:tr>
      <w:tr>
        <w:trPr>
          <w:cantSplit/>
        </w:trPr>
        <w:tc>
          <w:tcPr>
            <w:tcW w:w="4111"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45" w:type="dxa"/>
            <w:noWrap/>
            <w:vAlign w:val="bottom"/>
          </w:tcPr>
          <w:p>
            <w:pPr>
              <w:pStyle w:val="yTableNAm"/>
              <w:jc w:val="center"/>
            </w:pPr>
          </w:p>
        </w:tc>
        <w:tc>
          <w:tcPr>
            <w:tcW w:w="945" w:type="dxa"/>
            <w:noWrap/>
            <w:vAlign w:val="bottom"/>
          </w:tcPr>
          <w:p>
            <w:pPr>
              <w:pStyle w:val="yTableNAm"/>
              <w:jc w:val="center"/>
            </w:pPr>
          </w:p>
        </w:tc>
        <w:tc>
          <w:tcPr>
            <w:tcW w:w="945" w:type="dxa"/>
            <w:noWrap/>
            <w:vAlign w:val="bottom"/>
          </w:tcPr>
          <w:p>
            <w:pPr>
              <w:pStyle w:val="yTableNAm"/>
              <w:tabs>
                <w:tab w:val="clear" w:pos="567"/>
              </w:tabs>
              <w:ind w:left="-68" w:right="284"/>
              <w:jc w:val="right"/>
            </w:pPr>
          </w:p>
        </w:tc>
      </w:tr>
      <w:tr>
        <w:trPr>
          <w:cantSplit/>
        </w:trPr>
        <w:tc>
          <w:tcPr>
            <w:tcW w:w="4111"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pPr>
            <w:r>
              <w:lastRenderedPageBreak/>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14</w:t>
            </w:r>
          </w:p>
        </w:tc>
      </w:tr>
      <w:tr>
        <w:trPr>
          <w:cantSplit/>
        </w:trPr>
        <w:tc>
          <w:tcPr>
            <w:tcW w:w="4111" w:type="dxa"/>
            <w:noWrap/>
          </w:tcPr>
          <w:p>
            <w:pPr>
              <w:pStyle w:val="yTableNAm"/>
            </w:pPr>
            <w:r>
              <w:t>The use of 2</w:t>
            </w:r>
            <w:r>
              <w:noBreakHyphen/>
              <w:t>dimensional imaging ultrasound guidance to assist percutaneous major vascular access involving catheterisation of the jugular, subclavian or femoral vein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The use of 2</w:t>
            </w:r>
            <w:r>
              <w:noBreakHyphen/>
              <w:t>dimensional imaging ultrasound guidance to assist percutaneous neural blockade involving the branchial plexus, or femoral and/or sciatic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tcBorders>
              <w:bottom w:val="single" w:sz="4" w:space="0" w:color="auto"/>
            </w:tcBorders>
            <w:noWrap/>
          </w:tcPr>
          <w:p>
            <w:pPr>
              <w:pStyle w:val="yTableNAm"/>
            </w:pPr>
            <w:r>
              <w:t>Assistance in the administration of an anaesthetic</w:t>
            </w:r>
          </w:p>
        </w:tc>
        <w:tc>
          <w:tcPr>
            <w:tcW w:w="945" w:type="dxa"/>
            <w:tcBorders>
              <w:bottom w:val="single" w:sz="4" w:space="0" w:color="auto"/>
            </w:tcBorders>
            <w:noWrap/>
            <w:vAlign w:val="bottom"/>
          </w:tcPr>
          <w:p>
            <w:pPr>
              <w:pStyle w:val="yTableNAm"/>
              <w:jc w:val="center"/>
            </w:pPr>
            <w:r>
              <w:t>yes</w:t>
            </w:r>
          </w:p>
        </w:tc>
        <w:tc>
          <w:tcPr>
            <w:tcW w:w="945" w:type="dxa"/>
            <w:tcBorders>
              <w:bottom w:val="single" w:sz="4" w:space="0" w:color="auto"/>
            </w:tcBorders>
            <w:noWrap/>
            <w:vAlign w:val="bottom"/>
          </w:tcPr>
          <w:p>
            <w:pPr>
              <w:pStyle w:val="yTableNAm"/>
              <w:jc w:val="center"/>
            </w:pPr>
            <w:r>
              <w:t>yes</w:t>
            </w:r>
          </w:p>
        </w:tc>
        <w:tc>
          <w:tcPr>
            <w:tcW w:w="945" w:type="dxa"/>
            <w:tcBorders>
              <w:bottom w:val="single" w:sz="4" w:space="0" w:color="auto"/>
            </w:tcBorders>
            <w:noWrap/>
            <w:vAlign w:val="bottom"/>
          </w:tcPr>
          <w:p>
            <w:pPr>
              <w:pStyle w:val="yTableNAm"/>
              <w:ind w:left="-68" w:right="284"/>
              <w:jc w:val="right"/>
            </w:pPr>
            <w:r>
              <w:t>5</w:t>
            </w:r>
          </w:p>
        </w:tc>
      </w:tr>
    </w:tbl>
    <w:p>
      <w:pPr>
        <w:pStyle w:val="yMiscellaneousHeading"/>
        <w:ind w:left="142"/>
        <w:jc w:val="left"/>
        <w:rPr>
          <w:b/>
          <w:bCs/>
        </w:rPr>
      </w:pPr>
      <w:r>
        <w:rPr>
          <w:b/>
          <w:bCs/>
        </w:rPr>
        <w:t>Note — Unlisted services</w:t>
      </w:r>
    </w:p>
    <w:tbl>
      <w:tblPr>
        <w:tblW w:w="6663" w:type="dxa"/>
        <w:tblInd w:w="142" w:type="dxa"/>
        <w:tblLayout w:type="fixed"/>
        <w:tblCellMar>
          <w:left w:w="113" w:type="dxa"/>
          <w:right w:w="113" w:type="dxa"/>
        </w:tblCellMar>
        <w:tblLook w:val="0000" w:firstRow="0" w:lastRow="0" w:firstColumn="0" w:lastColumn="0" w:noHBand="0" w:noVBand="0"/>
      </w:tblPr>
      <w:tblGrid>
        <w:gridCol w:w="6663"/>
      </w:tblGrid>
      <w:tr>
        <w:trPr>
          <w:cantSplit/>
        </w:trPr>
        <w:tc>
          <w:tcPr>
            <w:tcW w:w="6663" w:type="dxa"/>
            <w:noWrap/>
          </w:tcPr>
          <w:p>
            <w:pPr>
              <w:pStyle w:val="yTableNAm"/>
              <w:rPr>
                <w:rStyle w:val="DraftersNotes"/>
                <w:b w:val="0"/>
                <w:i w:val="0"/>
              </w:rPr>
            </w:pPr>
            <w:r>
              <w:rPr>
                <w:i/>
              </w:rPr>
              <w:t>For an unlisted service, the number of units is to be determined by reference to the nearest listed anaesthetic procedure.</w:t>
            </w:r>
          </w:p>
        </w:tc>
      </w:tr>
    </w:tbl>
    <w:p>
      <w:pPr>
        <w:pStyle w:val="yFootnotesection"/>
      </w:pPr>
      <w:r>
        <w:tab/>
        <w:t>[Part 1 inserted: SL 2023/155 r. 6.]</w:t>
      </w:r>
    </w:p>
    <w:p>
      <w:pPr>
        <w:pStyle w:val="yHeading3"/>
      </w:pPr>
      <w:bookmarkStart w:id="36" w:name="_Toc161386939"/>
      <w:bookmarkStart w:id="37" w:name="_Toc161386999"/>
      <w:bookmarkStart w:id="38" w:name="_Toc161746966"/>
      <w:bookmarkStart w:id="39" w:name="_Toc161747336"/>
      <w:bookmarkStart w:id="40" w:name="_Toc161750514"/>
      <w:r>
        <w:rPr>
          <w:rStyle w:val="CharSDivNo"/>
        </w:rPr>
        <w:t>Part 2</w:t>
      </w:r>
      <w:r>
        <w:t> — </w:t>
      </w:r>
      <w:r>
        <w:rPr>
          <w:rStyle w:val="CharSDivText"/>
        </w:rPr>
        <w:t>Medical procedures</w:t>
      </w:r>
      <w:bookmarkEnd w:id="36"/>
      <w:bookmarkEnd w:id="37"/>
      <w:bookmarkEnd w:id="38"/>
      <w:bookmarkEnd w:id="39"/>
      <w:bookmarkEnd w:id="40"/>
    </w:p>
    <w:p>
      <w:pPr>
        <w:pStyle w:val="yFootnoteheading"/>
      </w:pPr>
      <w:r>
        <w:tab/>
        <w:t>[Heading inserted: SL 2023/155 r. 6.]</w:t>
      </w:r>
    </w:p>
    <w:tbl>
      <w:tblPr>
        <w:tblW w:w="0" w:type="auto"/>
        <w:tblInd w:w="142"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$72.75</w:t>
            </w:r>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$206.80</w:t>
            </w:r>
          </w:p>
        </w:tc>
      </w:tr>
      <w:tr>
        <w:trPr>
          <w:cantSplit/>
        </w:trPr>
        <w:tc>
          <w:tcPr>
            <w:tcW w:w="5670" w:type="dxa"/>
            <w:noWrap/>
          </w:tcPr>
          <w:p>
            <w:pPr>
              <w:pStyle w:val="yTableNAm"/>
            </w:pPr>
            <w:r>
              <w:lastRenderedPageBreak/>
              <w:t>Extensive burns</w:t>
            </w:r>
          </w:p>
        </w:tc>
        <w:tc>
          <w:tcPr>
            <w:tcW w:w="1134" w:type="dxa"/>
            <w:noWrap/>
            <w:vAlign w:val="bottom"/>
          </w:tcPr>
          <w:p>
            <w:pPr>
              <w:pStyle w:val="yTableNAm"/>
              <w:jc w:val="right"/>
            </w:pPr>
            <w:r>
              <w:t>$125.60</w:t>
            </w:r>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$437.80</w:t>
            </w:r>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$206.80</w:t>
            </w:r>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$96.50</w:t>
            </w:r>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rPr>
                <w:rStyle w:val="DraftersNotes"/>
              </w:rPr>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$390.10</w:t>
            </w:r>
          </w:p>
        </w:tc>
      </w:tr>
      <w:tr>
        <w:trPr>
          <w:cantSplit/>
        </w:trPr>
        <w:tc>
          <w:tcPr>
            <w:tcW w:w="5670" w:type="dxa"/>
            <w:noWrap/>
          </w:tcPr>
          <w:p>
            <w:pPr>
              <w:pStyle w:val="yTableNAm"/>
            </w:pPr>
            <w:r>
              <w:t>Elbow, by open reduction</w:t>
            </w:r>
          </w:p>
        </w:tc>
        <w:tc>
          <w:tcPr>
            <w:tcW w:w="1134" w:type="dxa"/>
            <w:noWrap/>
            <w:vAlign w:val="bottom"/>
          </w:tcPr>
          <w:p>
            <w:pPr>
              <w:pStyle w:val="yTableNAm"/>
              <w:jc w:val="right"/>
            </w:pPr>
            <w:r>
              <w:t>$517.40</w:t>
            </w:r>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$139.45</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$165.40</w:t>
            </w:r>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$186.00</w:t>
            </w:r>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$666.90</w:t>
            </w:r>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$330.20</w:t>
            </w:r>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$222.90</w:t>
            </w:r>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$250.55</w:t>
            </w:r>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$334.35</w:t>
            </w:r>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$390.10</w:t>
            </w:r>
          </w:p>
        </w:tc>
      </w:tr>
      <w:tr>
        <w:trPr>
          <w:cantSplit/>
        </w:trPr>
        <w:tc>
          <w:tcPr>
            <w:tcW w:w="5670" w:type="dxa"/>
            <w:noWrap/>
          </w:tcPr>
          <w:p>
            <w:pPr>
              <w:pStyle w:val="yTableNAm"/>
            </w:pPr>
            <w:r>
              <w:lastRenderedPageBreak/>
              <w:t>Toe, by closed reduction</w:t>
            </w:r>
          </w:p>
        </w:tc>
        <w:tc>
          <w:tcPr>
            <w:tcW w:w="1134" w:type="dxa"/>
            <w:noWrap/>
            <w:vAlign w:val="bottom"/>
          </w:tcPr>
          <w:p>
            <w:pPr>
              <w:pStyle w:val="yTableNAm"/>
              <w:jc w:val="right"/>
            </w:pPr>
            <w:r>
              <w:t>$139.45</w:t>
            </w:r>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$60.70</w:t>
            </w:r>
          </w:p>
        </w:tc>
      </w:tr>
      <w:tr>
        <w:trPr>
          <w:cantSplit/>
        </w:trPr>
        <w:tc>
          <w:tcPr>
            <w:tcW w:w="5670" w:type="dxa"/>
            <w:noWrap/>
          </w:tcPr>
          <w:p>
            <w:pPr>
              <w:pStyle w:val="yTableNAm"/>
            </w:pPr>
            <w:r>
              <w:tab/>
              <w:t>superficial</w:t>
            </w:r>
          </w:p>
        </w:tc>
        <w:tc>
          <w:tcPr>
            <w:tcW w:w="1134" w:type="dxa"/>
            <w:noWrap/>
            <w:vAlign w:val="bottom"/>
          </w:tcPr>
          <w:p>
            <w:pPr>
              <w:pStyle w:val="yTableNAm"/>
              <w:jc w:val="right"/>
            </w:pPr>
            <w:r>
              <w:t>$270.65</w:t>
            </w:r>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$756.30</w:t>
            </w:r>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$195.00</w:t>
            </w:r>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$195.00</w:t>
            </w:r>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$199.10</w:t>
            </w:r>
          </w:p>
        </w:tc>
      </w:tr>
      <w:tr>
        <w:trPr>
          <w:cantSplit/>
        </w:trPr>
        <w:tc>
          <w:tcPr>
            <w:tcW w:w="5670" w:type="dxa"/>
            <w:noWrap/>
          </w:tcPr>
          <w:p>
            <w:pPr>
              <w:pStyle w:val="yTableNAm"/>
            </w:pPr>
            <w:r>
              <w:t>FRACTURES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$1 114.40</w:t>
            </w:r>
          </w:p>
        </w:tc>
      </w:tr>
      <w:tr>
        <w:trPr>
          <w:cantSplit/>
        </w:trPr>
        <w:tc>
          <w:tcPr>
            <w:tcW w:w="5670" w:type="dxa"/>
            <w:noWrap/>
          </w:tcPr>
          <w:p>
            <w:pPr>
              <w:pStyle w:val="yTableNAm"/>
            </w:pPr>
            <w:r>
              <w:t>Carpal Scaphoid, other</w:t>
            </w:r>
          </w:p>
        </w:tc>
        <w:tc>
          <w:tcPr>
            <w:tcW w:w="1134" w:type="dxa"/>
            <w:noWrap/>
            <w:vAlign w:val="bottom"/>
          </w:tcPr>
          <w:p>
            <w:pPr>
              <w:pStyle w:val="yTableNAm"/>
              <w:jc w:val="right"/>
            </w:pPr>
            <w:r>
              <w:t>$497.40</w:t>
            </w:r>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$696.40</w:t>
            </w:r>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$278.65</w:t>
            </w:r>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$557.00</w:t>
            </w:r>
          </w:p>
        </w:tc>
      </w:tr>
      <w:tr>
        <w:trPr>
          <w:cantSplit/>
        </w:trPr>
        <w:tc>
          <w:tcPr>
            <w:tcW w:w="5670" w:type="dxa"/>
            <w:noWrap/>
          </w:tcPr>
          <w:p>
            <w:pPr>
              <w:pStyle w:val="yTableNAm"/>
            </w:pPr>
            <w:r>
              <w:lastRenderedPageBreak/>
              <w:tab/>
              <w:t>by open management</w:t>
            </w:r>
          </w:p>
        </w:tc>
        <w:tc>
          <w:tcPr>
            <w:tcW w:w="1134" w:type="dxa"/>
            <w:noWrap/>
            <w:vAlign w:val="bottom"/>
          </w:tcPr>
          <w:p>
            <w:pPr>
              <w:pStyle w:val="yTableNAm"/>
              <w:jc w:val="right"/>
            </w:pPr>
            <w:r>
              <w:t>$1 114.40</w:t>
            </w:r>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$127.45</w:t>
            </w:r>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$1 005.05</w:t>
            </w:r>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$1 671.55</w:t>
            </w:r>
          </w:p>
        </w:tc>
      </w:tr>
      <w:tr>
        <w:trPr>
          <w:cantSplit/>
        </w:trPr>
        <w:tc>
          <w:tcPr>
            <w:tcW w:w="5670" w:type="dxa"/>
            <w:noWrap/>
          </w:tcPr>
          <w:p>
            <w:pPr>
              <w:pStyle w:val="yTableNAm"/>
            </w:pPr>
            <w:r>
              <w:tab/>
              <w:t>by open reduction</w:t>
            </w:r>
          </w:p>
        </w:tc>
        <w:tc>
          <w:tcPr>
            <w:tcW w:w="1134" w:type="dxa"/>
            <w:noWrap/>
            <w:vAlign w:val="bottom"/>
          </w:tcPr>
          <w:p>
            <w:pPr>
              <w:pStyle w:val="yTableNAm"/>
              <w:jc w:val="right"/>
            </w:pPr>
            <w:r>
              <w:t>$2 238.80</w:t>
            </w:r>
          </w:p>
        </w:tc>
      </w:tr>
      <w:tr>
        <w:trPr>
          <w:cantSplit/>
        </w:trPr>
        <w:tc>
          <w:tcPr>
            <w:tcW w:w="5670" w:type="dxa"/>
            <w:noWrap/>
          </w:tcPr>
          <w:p>
            <w:pPr>
              <w:pStyle w:val="yTableNAm"/>
            </w:pPr>
            <w:r>
              <w:t>SUTURES</w:t>
            </w:r>
          </w:p>
        </w:tc>
        <w:tc>
          <w:tcPr>
            <w:tcW w:w="1134" w:type="dxa"/>
            <w:noWrap/>
            <w:vAlign w:val="bottom"/>
          </w:tcPr>
          <w:p>
            <w:pPr>
              <w:pStyle w:val="yTableNAm"/>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$199.10</w:t>
            </w:r>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$302.55</w:t>
            </w:r>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$302.55</w:t>
            </w:r>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$517.40</w:t>
            </w:r>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$151.30</w:t>
            </w:r>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$226.85</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$226.85</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$497.40</w:t>
            </w:r>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$756.30</w:t>
            </w:r>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$875.60</w:t>
            </w:r>
          </w:p>
        </w:tc>
      </w:tr>
      <w:tr>
        <w:trPr>
          <w:cantSplit/>
        </w:trPr>
        <w:tc>
          <w:tcPr>
            <w:tcW w:w="5670" w:type="dxa"/>
            <w:noWrap/>
          </w:tcPr>
          <w:p>
            <w:pPr>
              <w:pStyle w:val="yTableNAm"/>
            </w:pPr>
            <w:r>
              <w:t>At shoulder</w:t>
            </w:r>
          </w:p>
        </w:tc>
        <w:tc>
          <w:tcPr>
            <w:tcW w:w="1134" w:type="dxa"/>
            <w:noWrap/>
            <w:vAlign w:val="bottom"/>
          </w:tcPr>
          <w:p>
            <w:pPr>
              <w:pStyle w:val="yTableNAm"/>
              <w:jc w:val="right"/>
            </w:pPr>
            <w:r>
              <w:t>$1 482.40</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$2 945.10</w:t>
            </w:r>
          </w:p>
        </w:tc>
      </w:tr>
      <w:tr>
        <w:trPr>
          <w:cantSplit/>
        </w:trPr>
        <w:tc>
          <w:tcPr>
            <w:tcW w:w="5670" w:type="dxa"/>
            <w:noWrap/>
          </w:tcPr>
          <w:p>
            <w:pPr>
              <w:pStyle w:val="yTableNAm"/>
            </w:pPr>
            <w:r>
              <w:t>1 digit of foot</w:t>
            </w:r>
          </w:p>
        </w:tc>
        <w:tc>
          <w:tcPr>
            <w:tcW w:w="1134" w:type="dxa"/>
            <w:noWrap/>
            <w:vAlign w:val="bottom"/>
          </w:tcPr>
          <w:p>
            <w:pPr>
              <w:pStyle w:val="yTableNAm"/>
              <w:jc w:val="right"/>
            </w:pPr>
            <w:r>
              <w:t>$397.90</w:t>
            </w:r>
          </w:p>
        </w:tc>
      </w:tr>
      <w:tr>
        <w:trPr>
          <w:cantSplit/>
        </w:trPr>
        <w:tc>
          <w:tcPr>
            <w:tcW w:w="5670" w:type="dxa"/>
            <w:noWrap/>
          </w:tcPr>
          <w:p>
            <w:pPr>
              <w:pStyle w:val="yTableNAm"/>
            </w:pPr>
            <w:r>
              <w:t>2 digits of 1 foot</w:t>
            </w:r>
          </w:p>
        </w:tc>
        <w:tc>
          <w:tcPr>
            <w:tcW w:w="1134" w:type="dxa"/>
            <w:noWrap/>
            <w:vAlign w:val="bottom"/>
          </w:tcPr>
          <w:p>
            <w:pPr>
              <w:pStyle w:val="yTableNAm"/>
              <w:jc w:val="right"/>
            </w:pPr>
            <w:r>
              <w:t>$597.10</w:t>
            </w:r>
          </w:p>
        </w:tc>
      </w:tr>
      <w:tr>
        <w:trPr>
          <w:cantSplit/>
        </w:trPr>
        <w:tc>
          <w:tcPr>
            <w:tcW w:w="5670" w:type="dxa"/>
            <w:noWrap/>
          </w:tcPr>
          <w:p>
            <w:pPr>
              <w:pStyle w:val="yTableNAm"/>
            </w:pPr>
            <w:r>
              <w:t>3 digits of 1 foot</w:t>
            </w:r>
          </w:p>
        </w:tc>
        <w:tc>
          <w:tcPr>
            <w:tcW w:w="1134" w:type="dxa"/>
            <w:noWrap/>
            <w:vAlign w:val="bottom"/>
          </w:tcPr>
          <w:p>
            <w:pPr>
              <w:pStyle w:val="yTableNAm"/>
              <w:jc w:val="right"/>
            </w:pPr>
            <w:r>
              <w:t>$806.00</w:t>
            </w:r>
          </w:p>
        </w:tc>
      </w:tr>
      <w:tr>
        <w:trPr>
          <w:cantSplit/>
        </w:trPr>
        <w:tc>
          <w:tcPr>
            <w:tcW w:w="5670" w:type="dxa"/>
            <w:noWrap/>
          </w:tcPr>
          <w:p>
            <w:pPr>
              <w:pStyle w:val="yTableNAm"/>
            </w:pPr>
            <w:r>
              <w:t>4 digits of 1 foot</w:t>
            </w:r>
          </w:p>
        </w:tc>
        <w:tc>
          <w:tcPr>
            <w:tcW w:w="1134" w:type="dxa"/>
            <w:noWrap/>
            <w:vAlign w:val="bottom"/>
          </w:tcPr>
          <w:p>
            <w:pPr>
              <w:pStyle w:val="yTableNAm"/>
              <w:jc w:val="right"/>
            </w:pPr>
            <w:r>
              <w:t>$1 005.05</w:t>
            </w:r>
          </w:p>
        </w:tc>
      </w:tr>
      <w:tr>
        <w:trPr>
          <w:cantSplit/>
        </w:trPr>
        <w:tc>
          <w:tcPr>
            <w:tcW w:w="5670" w:type="dxa"/>
            <w:noWrap/>
          </w:tcPr>
          <w:p>
            <w:pPr>
              <w:pStyle w:val="yTableNAm"/>
            </w:pPr>
            <w:r>
              <w:t>5 digits of 1 foot</w:t>
            </w:r>
          </w:p>
        </w:tc>
        <w:tc>
          <w:tcPr>
            <w:tcW w:w="1134" w:type="dxa"/>
            <w:noWrap/>
            <w:vAlign w:val="bottom"/>
          </w:tcPr>
          <w:p>
            <w:pPr>
              <w:pStyle w:val="yTableNAm"/>
              <w:jc w:val="right"/>
            </w:pPr>
            <w:r>
              <w:t>$1 203.90</w:t>
            </w:r>
          </w:p>
        </w:tc>
      </w:tr>
      <w:tr>
        <w:trPr>
          <w:cantSplit/>
        </w:trPr>
        <w:tc>
          <w:tcPr>
            <w:tcW w:w="5670" w:type="dxa"/>
            <w:noWrap/>
          </w:tcPr>
          <w:p>
            <w:pPr>
              <w:pStyle w:val="yTableNAm"/>
            </w:pPr>
            <w:r>
              <w:lastRenderedPageBreak/>
              <w:t>Foot, midtarsal or transmetatarsal</w:t>
            </w:r>
          </w:p>
        </w:tc>
        <w:tc>
          <w:tcPr>
            <w:tcW w:w="1134" w:type="dxa"/>
            <w:noWrap/>
            <w:vAlign w:val="bottom"/>
          </w:tcPr>
          <w:p>
            <w:pPr>
              <w:pStyle w:val="yTableNAm"/>
              <w:jc w:val="right"/>
            </w:pPr>
            <w:r>
              <w:t>$756.30</w:t>
            </w:r>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$1 293.65</w:t>
            </w:r>
          </w:p>
        </w:tc>
      </w:tr>
      <w:tr>
        <w:trPr>
          <w:cantSplit/>
        </w:trPr>
        <w:tc>
          <w:tcPr>
            <w:tcW w:w="5670" w:type="dxa"/>
            <w:noWrap/>
          </w:tcPr>
          <w:p>
            <w:pPr>
              <w:pStyle w:val="yTableNAm"/>
            </w:pPr>
            <w:r>
              <w:t>At hip</w:t>
            </w:r>
          </w:p>
        </w:tc>
        <w:tc>
          <w:tcPr>
            <w:tcW w:w="1134" w:type="dxa"/>
            <w:noWrap/>
            <w:vAlign w:val="bottom"/>
          </w:tcPr>
          <w:p>
            <w:pPr>
              <w:pStyle w:val="yTableNAm"/>
              <w:jc w:val="right"/>
            </w:pPr>
            <w:r>
              <w:t>$1 820.65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rPr>
                <w:rStyle w:val="DraftersNotes"/>
              </w:rPr>
            </w:pPr>
            <w:r>
              <w:t>The fee is 20% of the total fee or the minimum sum of $250.55, whichever is greater.</w:t>
            </w:r>
          </w:p>
        </w:tc>
        <w:tc>
          <w:tcPr>
            <w:tcW w:w="1134" w:type="dxa"/>
            <w:tcBorders>
              <w:bottom w:val="single" w:sz="4" w:space="0" w:color="auto"/>
            </w:tcBorders>
            <w:noWrap/>
            <w:vAlign w:val="bottom"/>
          </w:tcPr>
          <w:p>
            <w:pPr>
              <w:pStyle w:val="yTableNAm"/>
              <w:jc w:val="right"/>
            </w:pPr>
          </w:p>
        </w:tc>
      </w:tr>
    </w:tbl>
    <w:p>
      <w:pPr>
        <w:pStyle w:val="yFootnotesection"/>
      </w:pPr>
      <w:r>
        <w:tab/>
        <w:t>[Part 2 inserted: SL 2023/155 r. 6.]</w:t>
      </w:r>
    </w:p>
    <w:p>
      <w:pPr>
        <w:pStyle w:val="yHeading3"/>
      </w:pPr>
      <w:bookmarkStart w:id="41" w:name="_Toc161386940"/>
      <w:bookmarkStart w:id="42" w:name="_Toc161387000"/>
      <w:bookmarkStart w:id="43" w:name="_Toc161746967"/>
      <w:bookmarkStart w:id="44" w:name="_Toc161747337"/>
      <w:bookmarkStart w:id="45" w:name="_Toc161750515"/>
      <w:r>
        <w:rPr>
          <w:rStyle w:val="CharSDivNo"/>
        </w:rPr>
        <w:t>Part 3</w:t>
      </w:r>
      <w:r>
        <w:t> — </w:t>
      </w:r>
      <w:r>
        <w:rPr>
          <w:rStyle w:val="CharSDivText"/>
        </w:rPr>
        <w:t>Diagnostic Imaging Services</w:t>
      </w:r>
      <w:bookmarkEnd w:id="41"/>
      <w:bookmarkEnd w:id="42"/>
      <w:bookmarkEnd w:id="43"/>
      <w:bookmarkEnd w:id="44"/>
      <w:bookmarkEnd w:id="45"/>
    </w:p>
    <w:p>
      <w:pPr>
        <w:pStyle w:val="yFootnoteheading"/>
      </w:pPr>
      <w:r>
        <w:tab/>
        <w:t>[Heading inserted: SL 2023/155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243.80</w:t>
            </w:r>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84.55</w:t>
            </w:r>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243.80</w:t>
            </w:r>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84.55</w:t>
            </w:r>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243.80</w:t>
            </w:r>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84.55</w:t>
            </w:r>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248.50</w:t>
            </w:r>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84.55</w:t>
            </w:r>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243.80</w:t>
            </w:r>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84.55</w:t>
            </w:r>
          </w:p>
        </w:tc>
      </w:tr>
      <w:tr>
        <w:tblPrEx>
          <w:tblCellMar>
            <w:left w:w="108" w:type="dxa"/>
            <w:right w:w="108" w:type="dxa"/>
          </w:tblCellMar>
        </w:tblPrEx>
        <w:trPr>
          <w:cantSplit/>
          <w:trHeight w:val="373"/>
          <w:jc w:val="center"/>
        </w:trPr>
        <w:tc>
          <w:tcPr>
            <w:tcW w:w="4535" w:type="dxa"/>
            <w:noWrap/>
            <w:vAlign w:val="bottom"/>
          </w:tcPr>
          <w:p>
            <w:pPr>
              <w:pStyle w:val="yTableNAm"/>
            </w:pPr>
            <w:r>
              <w:lastRenderedPageBreak/>
              <w:t>55048</w:t>
            </w:r>
          </w:p>
        </w:tc>
        <w:tc>
          <w:tcPr>
            <w:tcW w:w="1134" w:type="dxa"/>
            <w:noWrap/>
            <w:vAlign w:val="bottom"/>
          </w:tcPr>
          <w:p>
            <w:pPr>
              <w:pStyle w:val="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84.55</w:t>
            </w:r>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219.45</w:t>
            </w:r>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r>
              <w:t>76.05</w:t>
            </w:r>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84.55</w:t>
            </w:r>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219.45</w:t>
            </w:r>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76.05</w:t>
            </w:r>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615.35</w:t>
            </w:r>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379.90</w:t>
            </w:r>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r>
              <w:t>789.90</w:t>
            </w:r>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55294</w:t>
            </w:r>
          </w:p>
        </w:tc>
        <w:tc>
          <w:tcPr>
            <w:tcW w:w="1134" w:type="dxa"/>
            <w:noWrap/>
            <w:vAlign w:val="bottom"/>
          </w:tcPr>
          <w:p>
            <w:pPr>
              <w:pStyle w:val="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248.10</w:t>
            </w:r>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133.90</w:t>
            </w:r>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78.25</w:t>
            </w:r>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156.40</w:t>
            </w:r>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r>
              <w:t>78.25</w:t>
            </w:r>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223.35</w:t>
            </w:r>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156.40</w:t>
            </w:r>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78.25</w:t>
            </w:r>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r>
              <w:t>84.90</w:t>
            </w:r>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256.95</w:t>
            </w:r>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89.40</w:t>
            </w:r>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223.35</w:t>
            </w:r>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256.95</w:t>
            </w:r>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84.90</w:t>
            </w:r>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89.40</w:t>
            </w:r>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60.90</w:t>
            </w:r>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283.60</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127.25</w:t>
            </w:r>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335.15</w:t>
            </w:r>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133.90</w:t>
            </w:r>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357.40</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55766</w:t>
            </w:r>
          </w:p>
        </w:tc>
        <w:tc>
          <w:tcPr>
            <w:tcW w:w="1134" w:type="dxa"/>
            <w:noWrap/>
            <w:vAlign w:val="bottom"/>
          </w:tcPr>
          <w:p>
            <w:pPr>
              <w:pStyle w:val="yTableNAm"/>
              <w:jc w:val="right"/>
            </w:pPr>
            <w:r>
              <w:t>145.10</w:t>
            </w:r>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r>
              <w:t>335.15</w:t>
            </w:r>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133.90</w:t>
            </w:r>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357.40</w:t>
            </w:r>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145.10</w:t>
            </w:r>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84.55</w:t>
            </w:r>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r>
              <w:t>195.10</w:t>
            </w:r>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84.55</w:t>
            </w:r>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341.45</w:t>
            </w:r>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r>
              <w:t>243.80</w:t>
            </w:r>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r>
              <w:t>84.55</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r>
              <w:t>400.05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r>
              <w:t>512.90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r>
              <w:t>517.20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r>
              <w:t>512.90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r>
              <w:t>594.95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r>
              <w:t>461.65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r>
              <w:t>691.10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r>
              <w:t>461.65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lastRenderedPageBreak/>
              <w:t>56036</w:t>
            </w:r>
          </w:p>
        </w:tc>
        <w:tc>
          <w:tcPr>
            <w:tcW w:w="1134" w:type="dxa"/>
            <w:noWrap/>
            <w:vAlign w:val="bottom"/>
          </w:tcPr>
          <w:p>
            <w:pPr>
              <w:pStyle w:val="yTableNAm"/>
              <w:jc w:val="right"/>
            </w:pPr>
            <w:r>
              <w:t>691.10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r>
              <w:t>472.05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r>
              <w:t>697.75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r>
              <w:t>669.35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r>
              <w:t>492.45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r>
              <w:t>492.45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r>
              <w:t>492.45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r>
              <w:t>720.95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r>
              <w:t>720.95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r>
              <w:t>720.95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r>
              <w:t>492.45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r>
              <w:t>720.95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r>
              <w:t>492.45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r>
              <w:t>720.95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r>
              <w:t>605.30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r>
              <w:t>820.50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r>
              <w:t>512.90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r>
              <w:t>738.55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r>
              <w:t>512.90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r>
              <w:t>738.55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r>
              <w:t>789.90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r>
              <w:t>984.75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r>
              <w:t>957.35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1 149.05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57001</w:t>
            </w:r>
          </w:p>
        </w:tc>
        <w:tc>
          <w:tcPr>
            <w:tcW w:w="1134" w:type="dxa"/>
            <w:noWrap/>
            <w:vAlign w:val="bottom"/>
          </w:tcPr>
          <w:p>
            <w:pPr>
              <w:pStyle w:val="yTableNAm"/>
              <w:jc w:val="right"/>
            </w:pPr>
            <w:r>
              <w:t>957.55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vAlign w:val="bottom"/>
          </w:tcPr>
          <w:p>
            <w:pPr>
              <w:pStyle w:val="yTableNAm"/>
              <w:jc w:val="right"/>
            </w:pPr>
            <w:r>
              <w:t>1 164.85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r>
              <w:t>318.35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r>
              <w:t>964.35</w:t>
            </w:r>
          </w:p>
        </w:tc>
      </w:tr>
    </w:tbl>
    <w:p>
      <w:pPr>
        <w:pStyle w:val="yMiscellaneousBody"/>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r>
              <w:t>70.40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r>
              <w:t>94.20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r>
              <w:t>96.00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r>
              <w:t>127.85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r>
              <w:t>76.85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r>
              <w:t>102.80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r>
              <w:t>117.10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r>
              <w:t>155.90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r>
              <w:t>96.00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r>
              <w:t>127.85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r>
              <w:t>76.85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r>
              <w:t>102.80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r>
              <w:t>111.75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r>
              <w:t>144.45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r>
              <w:t>235.15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r>
              <w:t>152.75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r>
              <w:t>152.75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57915</w:t>
            </w:r>
          </w:p>
        </w:tc>
        <w:tc>
          <w:tcPr>
            <w:tcW w:w="1134" w:type="dxa"/>
            <w:noWrap/>
            <w:vAlign w:val="bottom"/>
          </w:tcPr>
          <w:p>
            <w:pPr>
              <w:pStyle w:val="yTableNAm"/>
              <w:jc w:val="right"/>
            </w:pPr>
            <w:r>
              <w:t>111.75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r>
              <w:t>111.75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r>
              <w:t>111.75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r>
              <w:t>111.75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r>
              <w:t>117.45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r>
              <w:t>78.00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r>
              <w:t>185.40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r>
              <w:t>152.75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r>
              <w:t>117.45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r>
              <w:t>102.80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r>
              <w:t>112.40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r>
              <w:t>112.40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r>
              <w:t>112.40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r>
              <w:t>112.40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r>
              <w:t>159.00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r>
              <w:t>130.55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r>
              <w:t>182.40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r>
              <w:t>314.80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r>
              <w:t>111.45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r>
              <w:t>230.45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r>
              <w:t>314.80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r>
              <w:t>95.05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r>
              <w:t>211.65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r>
              <w:t>83.75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58503</w:t>
            </w:r>
          </w:p>
        </w:tc>
        <w:tc>
          <w:tcPr>
            <w:tcW w:w="1134" w:type="dxa"/>
            <w:noWrap/>
            <w:vAlign w:val="bottom"/>
          </w:tcPr>
          <w:p>
            <w:pPr>
              <w:pStyle w:val="yTableNAm"/>
              <w:jc w:val="right"/>
            </w:pPr>
            <w:r>
              <w:t>111.75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r>
              <w:t>144.20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r>
              <w:t>94.20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r>
              <w:t>102.80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r>
              <w:t>133.85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r>
              <w:t>164.35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r>
              <w:t>109.30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r>
              <w:t>374.05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r>
              <w:t>359.10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r>
              <w:t>299.00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r>
              <w:t>327.60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r>
              <w:t>84.55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r>
              <w:t>112.70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r>
              <w:t>213.00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r>
              <w:t>261.25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r>
              <w:t>187.00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r>
              <w:t>328.15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r>
              <w:t>320.50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r>
              <w:t>181.10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r>
              <w:t>487.20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r>
              <w:t>464.35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r>
              <w:t>330.00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r>
              <w:t>50.55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r>
              <w:t>212.10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59303</w:t>
            </w:r>
          </w:p>
        </w:tc>
        <w:tc>
          <w:tcPr>
            <w:tcW w:w="1134" w:type="dxa"/>
            <w:noWrap/>
            <w:vAlign w:val="bottom"/>
          </w:tcPr>
          <w:p>
            <w:pPr>
              <w:pStyle w:val="yTableNAm"/>
              <w:jc w:val="right"/>
            </w:pPr>
            <w:r>
              <w:t>127.75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r>
              <w:t>206.15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r>
              <w:t>124.30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r>
              <w:t>111.50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r>
              <w:t>228.75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r>
              <w:t>179.95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r>
              <w:t>269.40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r>
              <w:t>340.15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r>
              <w:t>319.05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r>
              <w:t>536.65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r>
              <w:t>255.15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r>
              <w:t>175.00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r>
              <w:t>329.70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r>
              <w:t>519.70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r>
              <w:t>317.30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r>
              <w:t>398.85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1 336.40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1 959.90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2 786.65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3 261.15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1 336.40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1 959.90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2 786.65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3 261.15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60024</w:t>
            </w:r>
          </w:p>
        </w:tc>
        <w:tc>
          <w:tcPr>
            <w:tcW w:w="1134" w:type="dxa"/>
            <w:noWrap/>
            <w:vAlign w:val="bottom"/>
          </w:tcPr>
          <w:p>
            <w:pPr>
              <w:pStyle w:val="yTableNAm"/>
              <w:jc w:val="right"/>
            </w:pPr>
            <w:r>
              <w:t>1 336.40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1 959.90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2 786.65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3 261.15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1 336.40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1 959.90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2 786.65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3 261.15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1 336.40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1 959.90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2 786.65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3 261.15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rPr>
                <w:rStyle w:val="DraftersNotes"/>
                <w:b w:val="0"/>
                <w:i w:val="0"/>
              </w:rPr>
            </w:pPr>
            <w:r>
              <w:t>1 336.40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1 959.90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2 786.65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3 261.15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r>
              <w:t>114.15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r>
              <w:t>227.75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r>
              <w:t>341.65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r>
              <w:t>102.80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r>
              <w:t>70.40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r>
              <w:t>151.20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r>
              <w:t>234.30</w:t>
            </w:r>
          </w:p>
        </w:tc>
      </w:tr>
      <w:tr>
        <w:tblPrEx>
          <w:tblCellMar>
            <w:left w:w="108" w:type="dxa"/>
            <w:right w:w="108" w:type="dxa"/>
          </w:tblCellMar>
        </w:tblPrEx>
        <w:trPr>
          <w:cantSplit/>
          <w:trHeight w:val="312"/>
          <w:jc w:val="center"/>
        </w:trPr>
        <w:tc>
          <w:tcPr>
            <w:tcW w:w="4535" w:type="dxa"/>
            <w:noWrap/>
          </w:tcPr>
          <w:p>
            <w:pPr>
              <w:pStyle w:val="yTableNAm"/>
              <w:keepNext/>
              <w:rPr>
                <w:szCs w:val="22"/>
              </w:rPr>
            </w:pPr>
            <w:r>
              <w:rPr>
                <w:szCs w:val="22"/>
              </w:rPr>
              <w:lastRenderedPageBreak/>
              <w:t>60918</w:t>
            </w:r>
          </w:p>
        </w:tc>
        <w:tc>
          <w:tcPr>
            <w:tcW w:w="1134" w:type="dxa"/>
            <w:noWrap/>
            <w:vAlign w:val="bottom"/>
          </w:tcPr>
          <w:p>
            <w:pPr>
              <w:pStyle w:val="yTableNAm"/>
              <w:keepNext/>
              <w:jc w:val="right"/>
            </w:pPr>
            <w:r>
              <w:t>111.75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r>
              <w:t>90.25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r>
              <w:t>613.45</w:t>
            </w:r>
          </w:p>
        </w:tc>
      </w:tr>
    </w:tbl>
    <w:p>
      <w:pPr>
        <w:pStyle w:val="yMiscellaneousBody"/>
        <w:keepNext/>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r>
              <w:t>670.30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r>
              <w:t>553.70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r>
              <w:t>766.45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r>
              <w:t>415.50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r>
              <w:t>461.75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r>
              <w:t>809.20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r>
              <w:t>705.45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r>
              <w:t>716.85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r>
              <w:t>736.20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r>
              <w:t>842.15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r>
              <w:t>907.05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r>
              <w:t>407.25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3 678.75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r>
              <w:t>407.25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r>
              <w:t>893.70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r>
              <w:t>261.65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1 048.15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lastRenderedPageBreak/>
              <w:t>61383</w:t>
            </w:r>
          </w:p>
        </w:tc>
        <w:tc>
          <w:tcPr>
            <w:tcW w:w="1154" w:type="dxa"/>
            <w:noWrap/>
            <w:vAlign w:val="bottom"/>
          </w:tcPr>
          <w:p>
            <w:pPr>
              <w:pStyle w:val="yTableNAm"/>
              <w:keepNext/>
              <w:jc w:val="right"/>
            </w:pPr>
            <w:r>
              <w:t>1 140.40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1 255.05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vAlign w:val="bottom"/>
          </w:tcPr>
          <w:p>
            <w:pPr>
              <w:pStyle w:val="yTableNAm"/>
              <w:jc w:val="right"/>
            </w:pPr>
            <w:r>
              <w:t>606.90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r>
              <w:t>786.20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r>
              <w:t>676.25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r>
              <w:t>748.25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1 105.05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r>
              <w:t>450.45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1 104.25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1 594.30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r>
              <w:t>412.30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r>
              <w:t>875.65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1 096.30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r>
              <w:t>1 012.50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r>
              <w:t>990.95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1 203.55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r>
              <w:t>907.05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1 123.10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1 228.20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r>
              <w:t>893.70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1 373.10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r>
              <w:t>523.35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r>
              <w:t>608.85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r>
              <w:t>832.50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61450</w:t>
            </w:r>
          </w:p>
        </w:tc>
        <w:tc>
          <w:tcPr>
            <w:tcW w:w="1154" w:type="dxa"/>
            <w:noWrap/>
            <w:vAlign w:val="bottom"/>
          </w:tcPr>
          <w:p>
            <w:pPr>
              <w:pStyle w:val="yTableNAm"/>
              <w:jc w:val="right"/>
            </w:pPr>
            <w:r>
              <w:t>725.50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r>
              <w:t>939.35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vAlign w:val="bottom"/>
          </w:tcPr>
          <w:p>
            <w:pPr>
              <w:pStyle w:val="yTableNAm"/>
              <w:jc w:val="right"/>
            </w:pPr>
            <w:r>
              <w:t>635.20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r>
              <w:t>858.55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r>
              <w:t>963.20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r>
              <w:t>237.80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r>
              <w:t>635.20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r>
              <w:t>320.05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r>
              <w:t>706.10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1 823.60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r>
              <w:t>407.25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r>
              <w:t>461.75</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1 188.45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1 782.60</w:t>
            </w:r>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1 782.60</w:t>
            </w:r>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1 782.60</w:t>
            </w:r>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rPr>
                <w:rStyle w:val="DraftersNotes"/>
                <w:b w:val="0"/>
                <w:i w:val="0"/>
              </w:rPr>
            </w:pPr>
            <w:r>
              <w:t>1 188.45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r>
              <w:t>135.90</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r>
              <w:t>407.90</w:t>
            </w:r>
          </w:p>
        </w:tc>
      </w:tr>
    </w:tbl>
    <w:p>
      <w:pPr>
        <w:pStyle w:val="yFootnotesection"/>
      </w:pPr>
      <w:r>
        <w:tab/>
        <w:t>[Part 3 inserted: SL 2023/155 r. 6.]</w:t>
      </w:r>
    </w:p>
    <w:p>
      <w:pPr>
        <w:pStyle w:val="yScheduleHeading"/>
      </w:pPr>
      <w:bookmarkStart w:id="46" w:name="_Toc161386941"/>
      <w:bookmarkStart w:id="47" w:name="_Toc161387001"/>
      <w:bookmarkStart w:id="48" w:name="_Toc161746968"/>
      <w:bookmarkStart w:id="49" w:name="_Toc161747338"/>
      <w:bookmarkStart w:id="50" w:name="_Toc161750516"/>
      <w:r>
        <w:rPr>
          <w:rStyle w:val="CharSchNo"/>
        </w:rPr>
        <w:lastRenderedPageBreak/>
        <w:t>Schedule 2</w:t>
      </w:r>
      <w:r>
        <w:t> — </w:t>
      </w:r>
      <w:r>
        <w:rPr>
          <w:rStyle w:val="CharSchText"/>
        </w:rPr>
        <w:t>Scale of fees: physiotherapists</w:t>
      </w:r>
      <w:bookmarkEnd w:id="46"/>
      <w:bookmarkEnd w:id="47"/>
      <w:bookmarkEnd w:id="48"/>
      <w:bookmarkEnd w:id="49"/>
      <w:bookmarkEnd w:id="50"/>
    </w:p>
    <w:p>
      <w:pPr>
        <w:pStyle w:val="yShoulderClause"/>
      </w:pPr>
      <w:r>
        <w:t>[r. 3]</w:t>
      </w:r>
    </w:p>
    <w:p>
      <w:pPr>
        <w:pStyle w:val="yFootnoteheading"/>
      </w:pPr>
      <w:r>
        <w:tab/>
        <w:t>[Heading inserted: SL 2023/155 r. 6.]</w:t>
      </w:r>
    </w:p>
    <w:p>
      <w:pPr>
        <w:pStyle w:val="yHeading3"/>
      </w:pPr>
      <w:bookmarkStart w:id="51" w:name="_Toc161386942"/>
      <w:bookmarkStart w:id="52" w:name="_Toc161387002"/>
      <w:bookmarkStart w:id="53" w:name="_Toc161746969"/>
      <w:bookmarkStart w:id="54" w:name="_Toc161747339"/>
      <w:bookmarkStart w:id="55" w:name="_Toc161750517"/>
      <w:r>
        <w:rPr>
          <w:rStyle w:val="CharSDivNo"/>
        </w:rPr>
        <w:t>Part 1</w:t>
      </w:r>
      <w:r>
        <w:t> — </w:t>
      </w:r>
      <w:r>
        <w:rPr>
          <w:rStyle w:val="CharSDivText"/>
        </w:rPr>
        <w:t>General</w:t>
      </w:r>
      <w:bookmarkEnd w:id="51"/>
      <w:bookmarkEnd w:id="52"/>
      <w:bookmarkEnd w:id="53"/>
      <w:bookmarkEnd w:id="54"/>
      <w:bookmarkEnd w:id="55"/>
    </w:p>
    <w:p>
      <w:pPr>
        <w:pStyle w:val="yFootnoteheading"/>
      </w:pPr>
      <w:r>
        <w:tab/>
        <w:t>[Heading inserted: SL 2023/155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$97.20</w:t>
            </w:r>
          </w:p>
        </w:tc>
      </w:tr>
      <w:t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 xml:space="preserve">Provisional diagnosis; goals of treatment; treatment plan. Discussion with the patient regarding working hypothesis and treatment goals and expected outcomes; initial treatment and response; advice regarding </w:t>
            </w:r>
            <w:r>
              <w:lastRenderedPageBreak/>
              <w:t>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$98.60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$24.05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$221.50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lastRenderedPageBreak/>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$97.20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lastRenderedPageBreak/>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$221.50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$97.20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$177.35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$22.20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lastRenderedPageBreak/>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$22.20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$221.50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$221.50</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1 inserted: SL 2023/155 r. 6.]</w:t>
      </w:r>
    </w:p>
    <w:p>
      <w:pPr>
        <w:pStyle w:val="yHeading3"/>
        <w:rPr>
          <w:rStyle w:val="DraftersNotes"/>
          <w:b/>
          <w:i w:val="0"/>
        </w:rPr>
      </w:pPr>
      <w:bookmarkStart w:id="56" w:name="_Toc161386943"/>
      <w:bookmarkStart w:id="57" w:name="_Toc161387003"/>
      <w:bookmarkStart w:id="58" w:name="_Toc161746970"/>
      <w:bookmarkStart w:id="59" w:name="_Toc161747340"/>
      <w:bookmarkStart w:id="60" w:name="_Toc161750518"/>
      <w:r>
        <w:rPr>
          <w:rStyle w:val="CharSDivNo"/>
        </w:rPr>
        <w:t>Part 2</w:t>
      </w:r>
      <w:r>
        <w:t> — </w:t>
      </w:r>
      <w:r>
        <w:rPr>
          <w:rStyle w:val="CharSDivText"/>
        </w:rPr>
        <w:t>Exercise based programs</w:t>
      </w:r>
      <w:bookmarkEnd w:id="56"/>
      <w:bookmarkEnd w:id="57"/>
      <w:bookmarkEnd w:id="58"/>
      <w:bookmarkEnd w:id="59"/>
      <w:bookmarkEnd w:id="60"/>
    </w:p>
    <w:p>
      <w:pPr>
        <w:pStyle w:val="yFootnoteheading"/>
      </w:pPr>
      <w:r>
        <w:tab/>
        <w:t>[Heading inserted: SL 2023/155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$221.50</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$221.50</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$221.50</w:t>
            </w:r>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lastRenderedPageBreak/>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$221.50</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$221.50</w:t>
            </w:r>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$177.35</w:t>
            </w:r>
            <w:r>
              <w:br/>
              <w:t>per hour**</w:t>
            </w:r>
          </w:p>
        </w:tc>
      </w:tr>
      <w:tr>
        <w:trPr>
          <w:cantSplit/>
        </w:trPr>
        <w:tc>
          <w:tcPr>
            <w:tcW w:w="1560" w:type="dxa"/>
            <w:tcBorders>
              <w:top w:val="single" w:sz="4" w:space="0" w:color="auto"/>
              <w:bottom w:val="single" w:sz="4" w:space="0" w:color="auto"/>
            </w:tcBorders>
            <w:noWrap/>
          </w:tcPr>
          <w:p>
            <w:pPr>
              <w:pStyle w:val="yTableNAm"/>
            </w:pPr>
            <w:r>
              <w:lastRenderedPageBreak/>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$22.20</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$221.50</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2023/155 r. 6.]</w:t>
      </w:r>
    </w:p>
    <w:p>
      <w:pPr>
        <w:pStyle w:val="yScheduleHeading"/>
      </w:pPr>
      <w:bookmarkStart w:id="61" w:name="_Toc161386944"/>
      <w:bookmarkStart w:id="62" w:name="_Toc161387004"/>
      <w:bookmarkStart w:id="63" w:name="_Toc161746971"/>
      <w:bookmarkStart w:id="64" w:name="_Toc161747341"/>
      <w:bookmarkStart w:id="65" w:name="_Toc161750519"/>
      <w:r>
        <w:rPr>
          <w:rStyle w:val="CharSchNo"/>
        </w:rPr>
        <w:lastRenderedPageBreak/>
        <w:t>Schedule 3</w:t>
      </w:r>
      <w:r>
        <w:rPr>
          <w:rStyle w:val="CharSDivNo"/>
        </w:rPr>
        <w:t> </w:t>
      </w:r>
      <w:r>
        <w:t>—</w:t>
      </w:r>
      <w:r>
        <w:rPr>
          <w:rStyle w:val="CharSDivText"/>
        </w:rPr>
        <w:t> </w:t>
      </w:r>
      <w:r>
        <w:rPr>
          <w:rStyle w:val="CharSchText"/>
        </w:rPr>
        <w:t>Scale of fees: chiropractors</w:t>
      </w:r>
      <w:bookmarkEnd w:id="61"/>
      <w:bookmarkEnd w:id="62"/>
      <w:bookmarkEnd w:id="63"/>
      <w:bookmarkEnd w:id="64"/>
      <w:bookmarkEnd w:id="65"/>
    </w:p>
    <w:p>
      <w:pPr>
        <w:pStyle w:val="yShoulderClause"/>
      </w:pPr>
      <w:r>
        <w:t>[r. 4]</w:t>
      </w:r>
    </w:p>
    <w:p>
      <w:pPr>
        <w:pStyle w:val="yFootnoteheading"/>
      </w:pPr>
      <w:r>
        <w:tab/>
        <w:t>[Heading inserted: SL 2023/155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$76.75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$64.05</w:t>
            </w:r>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$152.55</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$229.05</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$1.05</w:t>
            </w:r>
          </w:p>
        </w:tc>
      </w:tr>
    </w:tbl>
    <w:p>
      <w:pPr>
        <w:pStyle w:val="yFootnotesection"/>
      </w:pPr>
      <w:r>
        <w:tab/>
        <w:t>[Schedule 3 inserted: SL 2023/155 r. 6.]</w:t>
      </w:r>
    </w:p>
    <w:p>
      <w:pPr>
        <w:pStyle w:val="yScheduleHeading"/>
      </w:pPr>
      <w:bookmarkStart w:id="66" w:name="_Toc161386945"/>
      <w:bookmarkStart w:id="67" w:name="_Toc161387005"/>
      <w:bookmarkStart w:id="68" w:name="_Toc161746972"/>
      <w:bookmarkStart w:id="69" w:name="_Toc161747342"/>
      <w:bookmarkStart w:id="70" w:name="_Toc161750520"/>
      <w:r>
        <w:rPr>
          <w:rStyle w:val="CharSchNo"/>
        </w:rPr>
        <w:lastRenderedPageBreak/>
        <w:t>Schedule 4</w:t>
      </w:r>
      <w:r>
        <w:rPr>
          <w:rStyle w:val="CharSDivNo"/>
        </w:rPr>
        <w:t> </w:t>
      </w:r>
      <w:r>
        <w:t>—</w:t>
      </w:r>
      <w:r>
        <w:rPr>
          <w:rStyle w:val="CharSDivText"/>
        </w:rPr>
        <w:t> </w:t>
      </w:r>
      <w:r>
        <w:rPr>
          <w:rStyle w:val="CharSchText"/>
        </w:rPr>
        <w:t>Scale of fees: occupational therapists</w:t>
      </w:r>
      <w:bookmarkEnd w:id="66"/>
      <w:bookmarkEnd w:id="67"/>
      <w:bookmarkEnd w:id="68"/>
      <w:bookmarkEnd w:id="69"/>
      <w:bookmarkEnd w:id="70"/>
    </w:p>
    <w:p>
      <w:pPr>
        <w:pStyle w:val="yShoulderClause"/>
      </w:pPr>
      <w:r>
        <w:t>[r. 5]</w:t>
      </w:r>
    </w:p>
    <w:p>
      <w:pPr>
        <w:pStyle w:val="yFootnoteheading"/>
      </w:pPr>
      <w:r>
        <w:tab/>
        <w:t>[Heading inserted: SL 2023/155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jc w:val="right"/>
            </w:pPr>
            <w:r>
              <w:t>$33.00</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jc w:val="right"/>
            </w:pPr>
            <w:r>
              <w:t>$66.45</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jc w:val="right"/>
            </w:pPr>
            <w:r>
              <w:t>$109.55</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jc w:val="right"/>
            </w:pPr>
            <w:r>
              <w:t>$164.25</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jc w:val="right"/>
            </w:pPr>
            <w:r>
              <w:t>$219.25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jc w:val="right"/>
            </w:pPr>
            <w:r>
              <w:t>$72.00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jc w:val="right"/>
            </w:pPr>
            <w:r>
              <w:t>$219.25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jc w:val="right"/>
            </w:pPr>
            <w:r>
              <w:t>$97.20</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4 inserted: SL 2023/155 r. 6.]</w:t>
      </w:r>
    </w:p>
    <w:p>
      <w:pPr>
        <w:pStyle w:val="yScheduleHeading"/>
      </w:pPr>
      <w:bookmarkStart w:id="71" w:name="_Toc161386946"/>
      <w:bookmarkStart w:id="72" w:name="_Toc161387006"/>
      <w:bookmarkStart w:id="73" w:name="_Toc161746973"/>
      <w:bookmarkStart w:id="74" w:name="_Toc161747343"/>
      <w:bookmarkStart w:id="75" w:name="_Toc161750521"/>
      <w:r>
        <w:rPr>
          <w:rStyle w:val="CharSchNo"/>
        </w:rPr>
        <w:lastRenderedPageBreak/>
        <w:t>Schedule 5</w:t>
      </w:r>
      <w:r>
        <w:rPr>
          <w:rStyle w:val="CharSDivNo"/>
        </w:rPr>
        <w:t> </w:t>
      </w:r>
      <w:r>
        <w:t>—</w:t>
      </w:r>
      <w:r>
        <w:rPr>
          <w:rStyle w:val="CharSDivText"/>
        </w:rPr>
        <w:t> </w:t>
      </w:r>
      <w:r>
        <w:rPr>
          <w:rStyle w:val="CharSchText"/>
        </w:rPr>
        <w:t>Scale of fees: speech pathologists</w:t>
      </w:r>
      <w:bookmarkEnd w:id="71"/>
      <w:bookmarkEnd w:id="72"/>
      <w:bookmarkEnd w:id="73"/>
      <w:bookmarkEnd w:id="74"/>
      <w:bookmarkEnd w:id="75"/>
    </w:p>
    <w:p>
      <w:pPr>
        <w:pStyle w:val="yShoulderClause"/>
      </w:pPr>
      <w:r>
        <w:t>[r. 7]</w:t>
      </w:r>
    </w:p>
    <w:p>
      <w:pPr>
        <w:pStyle w:val="yFootnoteheading"/>
      </w:pPr>
      <w:r>
        <w:tab/>
        <w:t>[Heading inserted: SL 2023/155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$202.50</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$262.25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$88.30</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$114.70</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$154.80</w:t>
            </w:r>
          </w:p>
        </w:tc>
      </w:tr>
    </w:tbl>
    <w:p>
      <w:pPr>
        <w:pStyle w:val="yFootnotesection"/>
      </w:pPr>
      <w:r>
        <w:tab/>
        <w:t>[Schedule 5 inserted: SL 2023/155 r. 6.]</w:t>
      </w:r>
    </w:p>
    <w:p>
      <w:pPr>
        <w:pStyle w:val="yScheduleHeading"/>
      </w:pPr>
      <w:bookmarkStart w:id="76" w:name="_Toc161386947"/>
      <w:bookmarkStart w:id="77" w:name="_Toc161387007"/>
      <w:bookmarkStart w:id="78" w:name="_Toc161746974"/>
      <w:bookmarkStart w:id="79" w:name="_Toc161747344"/>
      <w:bookmarkStart w:id="80" w:name="_Toc161750522"/>
      <w:r>
        <w:rPr>
          <w:rStyle w:val="CharSchNo"/>
        </w:rPr>
        <w:lastRenderedPageBreak/>
        <w:t>Schedule 5A</w:t>
      </w:r>
      <w:r>
        <w:rPr>
          <w:rStyle w:val="CharSDivNo"/>
        </w:rPr>
        <w:t> </w:t>
      </w:r>
      <w:r>
        <w:t>—</w:t>
      </w:r>
      <w:r>
        <w:rPr>
          <w:rStyle w:val="CharSDivText"/>
        </w:rPr>
        <w:t> </w:t>
      </w:r>
      <w:r>
        <w:rPr>
          <w:rStyle w:val="CharSchText"/>
        </w:rPr>
        <w:t>Scale of fees: exercise physiologists</w:t>
      </w:r>
      <w:bookmarkEnd w:id="76"/>
      <w:bookmarkEnd w:id="77"/>
      <w:bookmarkEnd w:id="78"/>
      <w:bookmarkEnd w:id="79"/>
      <w:bookmarkEnd w:id="80"/>
    </w:p>
    <w:p>
      <w:pPr>
        <w:pStyle w:val="yShoulderClause"/>
      </w:pPr>
      <w:r>
        <w:t>[r. 7B]</w:t>
      </w:r>
    </w:p>
    <w:p>
      <w:pPr>
        <w:pStyle w:val="yFootnoteheading"/>
      </w:pPr>
      <w:r>
        <w:tab/>
        <w:t>[Heading inserted: SL 2023/155 r. 6.]</w:t>
      </w:r>
    </w:p>
    <w:p>
      <w:pPr>
        <w:pStyle w:val="yHeading3"/>
      </w:pPr>
      <w:bookmarkStart w:id="81" w:name="_Toc161386948"/>
      <w:bookmarkStart w:id="82" w:name="_Toc161387008"/>
      <w:bookmarkStart w:id="83" w:name="_Toc161746975"/>
      <w:bookmarkStart w:id="84" w:name="_Toc161747345"/>
      <w:bookmarkStart w:id="85" w:name="_Toc161750523"/>
      <w:r>
        <w:t>Exercise</w:t>
      </w:r>
      <w:r>
        <w:noBreakHyphen/>
        <w:t>based programs</w:t>
      </w:r>
      <w:bookmarkEnd w:id="81"/>
      <w:bookmarkEnd w:id="82"/>
      <w:bookmarkEnd w:id="83"/>
      <w:bookmarkEnd w:id="84"/>
      <w:bookmarkEnd w:id="85"/>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vMerge w:val="restart"/>
            <w:tcBorders>
              <w:top w:val="single" w:sz="4" w:space="0" w:color="auto"/>
            </w:tcBorders>
            <w:noWrap/>
          </w:tcPr>
          <w:p>
            <w:pPr>
              <w:pStyle w:val="yTableNAm"/>
            </w:pPr>
            <w:r>
              <w:t>EPE20</w:t>
            </w:r>
          </w:p>
        </w:tc>
        <w:tc>
          <w:tcPr>
            <w:tcW w:w="4536" w:type="dxa"/>
            <w:vMerge w:val="restart"/>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p>
            <w:pPr>
              <w:pStyle w:val="yTableNAm"/>
            </w:pPr>
            <w:r>
              <w:t>Communication/liaison with relevant parties.</w:t>
            </w:r>
          </w:p>
          <w:p>
            <w:pPr>
              <w:pStyle w:val="yTableNAm"/>
            </w:pPr>
            <w:r>
              <w:t>Physiological assessment/testing.</w:t>
            </w:r>
          </w:p>
          <w:p>
            <w:pPr>
              <w:pStyle w:val="yTableNAm"/>
            </w:pPr>
            <w:r>
              <w:t>Screening questionnaires relating to worker’s level of function.</w:t>
            </w:r>
          </w:p>
          <w:p>
            <w:pPr>
              <w:pStyle w:val="yTableNAm"/>
            </w:pPr>
            <w:r>
              <w:t>Program design based on above.</w:t>
            </w:r>
          </w:p>
          <w:p>
            <w:pPr>
              <w:pStyle w:val="yTableNAm"/>
            </w:pPr>
            <w:r>
              <w:t>Exercise facility/equipment coordination (pool or gym based).</w:t>
            </w:r>
          </w:p>
          <w:p>
            <w:pPr>
              <w:pStyle w:val="yTableNAm"/>
            </w:pPr>
            <w:r>
              <w:t>Provider to patient ratio must be 1:1 for the duration of the consultation.</w:t>
            </w:r>
          </w:p>
        </w:tc>
        <w:tc>
          <w:tcPr>
            <w:tcW w:w="1276" w:type="dxa"/>
            <w:tcBorders>
              <w:top w:val="single" w:sz="4" w:space="0" w:color="auto"/>
            </w:tcBorders>
            <w:noWrap/>
          </w:tcPr>
          <w:p>
            <w:pPr>
              <w:pStyle w:val="yTableNAm"/>
            </w:pPr>
          </w:p>
          <w:p>
            <w:pPr>
              <w:pStyle w:val="yTableNAm"/>
            </w:pPr>
            <w:r>
              <w:t>$221.50</w:t>
            </w:r>
            <w:r>
              <w:br/>
              <w:t>per hour to a maximum of 2 hours**</w:t>
            </w:r>
          </w:p>
        </w:tc>
      </w:tr>
      <w:tr>
        <w:trPr>
          <w:cantSplit/>
        </w:trPr>
        <w:tc>
          <w:tcPr>
            <w:tcW w:w="992" w:type="dxa"/>
            <w:vMerge/>
            <w:noWrap/>
          </w:tcPr>
          <w:p>
            <w:pPr>
              <w:pStyle w:val="yTableNAm"/>
            </w:pPr>
          </w:p>
        </w:tc>
        <w:tc>
          <w:tcPr>
            <w:tcW w:w="4536" w:type="dxa"/>
            <w:vMerge/>
            <w:noWrap/>
          </w:tcPr>
          <w:p>
            <w:pPr>
              <w:pStyle w:val="yTableNAm"/>
            </w:pPr>
          </w:p>
        </w:tc>
        <w:tc>
          <w:tcPr>
            <w:tcW w:w="1276" w:type="dxa"/>
            <w:noWrap/>
          </w:tcPr>
          <w:p>
            <w:pPr>
              <w:pStyle w:val="yTableNAm"/>
            </w:pPr>
          </w:p>
        </w:tc>
      </w:tr>
      <w:tr>
        <w:trPr>
          <w:cantSplit/>
        </w:trPr>
        <w:tc>
          <w:tcPr>
            <w:tcW w:w="992" w:type="dxa"/>
            <w:vMerge/>
            <w:noWrap/>
          </w:tcPr>
          <w:p>
            <w:pPr>
              <w:pStyle w:val="yTableNAm"/>
            </w:pPr>
          </w:p>
        </w:tc>
        <w:tc>
          <w:tcPr>
            <w:tcW w:w="4536" w:type="dxa"/>
            <w:vMerge/>
            <w:noWrap/>
          </w:tcPr>
          <w:p>
            <w:pPr>
              <w:pStyle w:val="yTableNAm"/>
            </w:pPr>
          </w:p>
        </w:tc>
        <w:tc>
          <w:tcPr>
            <w:tcW w:w="1276" w:type="dxa"/>
            <w:noWrap/>
          </w:tcPr>
          <w:p>
            <w:pPr>
              <w:pStyle w:val="yTableNAm"/>
            </w:pPr>
          </w:p>
        </w:tc>
      </w:tr>
      <w:tr>
        <w:trPr>
          <w:cantSplit/>
        </w:trPr>
        <w:tc>
          <w:tcPr>
            <w:tcW w:w="992" w:type="dxa"/>
            <w:vMerge/>
            <w:noWrap/>
          </w:tcPr>
          <w:p>
            <w:pPr>
              <w:pStyle w:val="yTableNAm"/>
            </w:pPr>
          </w:p>
        </w:tc>
        <w:tc>
          <w:tcPr>
            <w:tcW w:w="4536" w:type="dxa"/>
            <w:vMerge/>
            <w:noWrap/>
          </w:tcPr>
          <w:p>
            <w:pPr>
              <w:pStyle w:val="yTableNAm"/>
            </w:pPr>
          </w:p>
        </w:tc>
        <w:tc>
          <w:tcPr>
            <w:tcW w:w="1276" w:type="dxa"/>
            <w:noWrap/>
          </w:tcPr>
          <w:p>
            <w:pPr>
              <w:pStyle w:val="yTableNAm"/>
            </w:pPr>
          </w:p>
        </w:tc>
      </w:tr>
      <w:tr>
        <w:trPr>
          <w:cantSplit/>
        </w:trPr>
        <w:tc>
          <w:tcPr>
            <w:tcW w:w="992" w:type="dxa"/>
            <w:vMerge/>
            <w:noWrap/>
          </w:tcPr>
          <w:p>
            <w:pPr>
              <w:pStyle w:val="yTableNAm"/>
            </w:pPr>
          </w:p>
        </w:tc>
        <w:tc>
          <w:tcPr>
            <w:tcW w:w="4536" w:type="dxa"/>
            <w:vMerge/>
            <w:noWrap/>
          </w:tcPr>
          <w:p>
            <w:pPr>
              <w:pStyle w:val="yTableNAm"/>
            </w:pPr>
          </w:p>
        </w:tc>
        <w:tc>
          <w:tcPr>
            <w:tcW w:w="1276" w:type="dxa"/>
            <w:noWrap/>
          </w:tcPr>
          <w:p>
            <w:pPr>
              <w:pStyle w:val="yTableNAm"/>
            </w:pPr>
          </w:p>
        </w:tc>
      </w:tr>
      <w:tr>
        <w:trPr>
          <w:cantSplit/>
        </w:trPr>
        <w:tc>
          <w:tcPr>
            <w:tcW w:w="992" w:type="dxa"/>
            <w:vMerge/>
            <w:noWrap/>
          </w:tcPr>
          <w:p>
            <w:pPr>
              <w:pStyle w:val="yTableNAm"/>
            </w:pPr>
          </w:p>
        </w:tc>
        <w:tc>
          <w:tcPr>
            <w:tcW w:w="4536" w:type="dxa"/>
            <w:vMerge/>
            <w:noWrap/>
          </w:tcPr>
          <w:p>
            <w:pPr>
              <w:pStyle w:val="yTableNAm"/>
            </w:pPr>
          </w:p>
        </w:tc>
        <w:tc>
          <w:tcPr>
            <w:tcW w:w="1276" w:type="dxa"/>
            <w:noWrap/>
          </w:tcPr>
          <w:p>
            <w:pPr>
              <w:pStyle w:val="yTableNAm"/>
            </w:pPr>
          </w:p>
        </w:tc>
      </w:tr>
      <w:tr>
        <w:trPr>
          <w:cantSplit/>
        </w:trPr>
        <w:tc>
          <w:tcPr>
            <w:tcW w:w="992" w:type="dxa"/>
            <w:vMerge/>
            <w:noWrap/>
          </w:tcPr>
          <w:p>
            <w:pPr>
              <w:pStyle w:val="yTableNAm"/>
            </w:pPr>
          </w:p>
        </w:tc>
        <w:tc>
          <w:tcPr>
            <w:tcW w:w="4536" w:type="dxa"/>
            <w:vMerge/>
            <w:noWrap/>
          </w:tcPr>
          <w:p>
            <w:pPr>
              <w:pStyle w:val="yTableNAm"/>
            </w:pPr>
          </w:p>
        </w:tc>
        <w:tc>
          <w:tcPr>
            <w:tcW w:w="1276" w:type="dxa"/>
            <w:noWrap/>
          </w:tcPr>
          <w:p>
            <w:pPr>
              <w:pStyle w:val="yTableNAm"/>
            </w:pPr>
          </w:p>
        </w:tc>
      </w:tr>
      <w:tr>
        <w:trPr>
          <w:cantSplit/>
        </w:trPr>
        <w:tc>
          <w:tcPr>
            <w:tcW w:w="992" w:type="dxa"/>
            <w:vMerge/>
            <w:tcBorders>
              <w:bottom w:val="single" w:sz="4" w:space="0" w:color="auto"/>
            </w:tcBorders>
            <w:noWrap/>
          </w:tcPr>
          <w:p>
            <w:pPr>
              <w:pStyle w:val="yTableNAm"/>
            </w:pPr>
          </w:p>
        </w:tc>
        <w:tc>
          <w:tcPr>
            <w:tcW w:w="4536" w:type="dxa"/>
            <w:vMerge/>
            <w:tcBorders>
              <w:bottom w:val="single" w:sz="4" w:space="0" w:color="auto"/>
            </w:tcBorders>
            <w:noWrap/>
          </w:tcPr>
          <w:p>
            <w:pPr>
              <w:pStyle w:val="yTableNAm"/>
            </w:pP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r>
              <w:br/>
            </w:r>
          </w:p>
          <w:p>
            <w:pPr>
              <w:pStyle w:val="yTableNAm"/>
            </w:pPr>
            <w:r>
              <w:t>$221.50</w:t>
            </w:r>
            <w:r>
              <w:br/>
              <w:t>per hour to a maximum of 1 hour**</w:t>
            </w:r>
          </w:p>
        </w:tc>
      </w:tr>
      <w:tr>
        <w:trPr>
          <w:cantSplit/>
        </w:trPr>
        <w:tc>
          <w:tcPr>
            <w:tcW w:w="992" w:type="dxa"/>
            <w:tcBorders>
              <w:top w:val="single" w:sz="4" w:space="0" w:color="auto"/>
            </w:tcBorders>
            <w:noWrap/>
          </w:tcPr>
          <w:p>
            <w:pPr>
              <w:pStyle w:val="yTableNAm"/>
            </w:pPr>
            <w:r>
              <w:lastRenderedPageBreak/>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$221.50</w:t>
            </w:r>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$221.50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$221.50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lastRenderedPageBreak/>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$177.35</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$22.20</w:t>
            </w:r>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$221.50</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5A inserted: SL 2023/155 r. 6.]</w:t>
      </w:r>
    </w:p>
    <w:p>
      <w:pPr>
        <w:pStyle w:val="yScheduleHeading"/>
      </w:pPr>
      <w:bookmarkStart w:id="86" w:name="_Toc161386949"/>
      <w:bookmarkStart w:id="87" w:name="_Toc161387009"/>
      <w:bookmarkStart w:id="88" w:name="_Toc161746976"/>
      <w:bookmarkStart w:id="89" w:name="_Toc161747346"/>
      <w:bookmarkStart w:id="90" w:name="_Toc161750524"/>
      <w:r>
        <w:rPr>
          <w:rStyle w:val="CharSchNo"/>
        </w:rPr>
        <w:lastRenderedPageBreak/>
        <w:t>Schedule 6</w:t>
      </w:r>
      <w:r>
        <w:t> — </w:t>
      </w:r>
      <w:r>
        <w:rPr>
          <w:rStyle w:val="CharSchText"/>
        </w:rPr>
        <w:t>Scale of maximum fees: approved medical specialists</w:t>
      </w:r>
      <w:bookmarkEnd w:id="86"/>
      <w:bookmarkEnd w:id="87"/>
      <w:bookmarkEnd w:id="88"/>
      <w:bookmarkEnd w:id="89"/>
      <w:bookmarkEnd w:id="90"/>
    </w:p>
    <w:p>
      <w:pPr>
        <w:pStyle w:val="yShoulderClause"/>
      </w:pPr>
      <w:r>
        <w:t>[r. 9]</w:t>
      </w:r>
    </w:p>
    <w:p>
      <w:pPr>
        <w:pStyle w:val="yFootnoteheading"/>
      </w:pPr>
      <w:r>
        <w:tab/>
        <w:t>[Heading inserted: SL 2023/155 r. 6.]</w:t>
      </w:r>
    </w:p>
    <w:p>
      <w:pPr>
        <w:pStyle w:val="yHeading3"/>
      </w:pPr>
      <w:bookmarkStart w:id="91" w:name="_Toc161386950"/>
      <w:bookmarkStart w:id="92" w:name="_Toc161387010"/>
      <w:bookmarkStart w:id="93" w:name="_Toc161746977"/>
      <w:bookmarkStart w:id="94" w:name="_Toc161747347"/>
      <w:bookmarkStart w:id="95" w:name="_Toc161750525"/>
      <w:r>
        <w:rPr>
          <w:rStyle w:val="CharSDivNo"/>
        </w:rPr>
        <w:t>Part 1</w:t>
      </w:r>
      <w:r>
        <w:t> — </w:t>
      </w:r>
      <w:r>
        <w:rPr>
          <w:rStyle w:val="CharSDivText"/>
        </w:rPr>
        <w:t>Assessments</w:t>
      </w:r>
      <w:bookmarkEnd w:id="91"/>
      <w:bookmarkEnd w:id="92"/>
      <w:bookmarkEnd w:id="93"/>
      <w:bookmarkEnd w:id="94"/>
      <w:bookmarkEnd w:id="95"/>
    </w:p>
    <w:p>
      <w:pPr>
        <w:pStyle w:val="yFootnoteheading"/>
        <w:spacing w:after="60"/>
      </w:pPr>
      <w:r>
        <w:tab/>
        <w:t>[Heading inserted: SL 2023/155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$1 494.25 (or, if an interpreter is present at the examination, $1 867.80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$1 867.80 (or, if an interpreter is present at the examination, $2 241.35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$2 241.35 (or, if an interpreter is present at the examination, $2 614.70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$1 494.25 (or, if an interpreter is present at the examination, $1 867.80 excluding any fee payable to the interpreter)</w:t>
            </w:r>
          </w:p>
        </w:tc>
      </w:tr>
      <w:tr>
        <w:trPr>
          <w:cantSplit/>
        </w:trPr>
        <w:tc>
          <w:tcPr>
            <w:tcW w:w="425" w:type="dxa"/>
            <w:noWrap/>
          </w:tcPr>
          <w:p>
            <w:pPr>
              <w:pStyle w:val="yTableNAm"/>
            </w:pPr>
            <w:r>
              <w:lastRenderedPageBreak/>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$2 241.35 (or, if an interpreter is present at the examination, $2 614.70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$3 735.25 (or, if an interpreter is present at the examination, $4 108.75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$747.05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$1 120.60 (or, if an interpreter is present at the examination, $1 494.25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$373.60</w:t>
            </w:r>
          </w:p>
        </w:tc>
      </w:tr>
    </w:tbl>
    <w:p>
      <w:pPr>
        <w:pStyle w:val="yFootnotesection"/>
      </w:pPr>
      <w:r>
        <w:tab/>
        <w:t>[Part 1 inserted: SL 2023/155 r. 6.]</w:t>
      </w:r>
    </w:p>
    <w:p>
      <w:pPr>
        <w:pStyle w:val="yHeading3"/>
      </w:pPr>
      <w:bookmarkStart w:id="96" w:name="_Toc161386951"/>
      <w:bookmarkStart w:id="97" w:name="_Toc161387011"/>
      <w:bookmarkStart w:id="98" w:name="_Toc161746978"/>
      <w:bookmarkStart w:id="99" w:name="_Toc161747348"/>
      <w:bookmarkStart w:id="100" w:name="_Toc161750526"/>
      <w:r>
        <w:rPr>
          <w:rStyle w:val="CharSDivNo"/>
        </w:rPr>
        <w:lastRenderedPageBreak/>
        <w:t>Part 2</w:t>
      </w:r>
      <w:r>
        <w:t> — </w:t>
      </w:r>
      <w:r>
        <w:rPr>
          <w:rStyle w:val="CharSDivText"/>
        </w:rPr>
        <w:t>Attempted assessments</w:t>
      </w:r>
      <w:bookmarkEnd w:id="96"/>
      <w:bookmarkEnd w:id="97"/>
      <w:bookmarkEnd w:id="98"/>
      <w:bookmarkEnd w:id="99"/>
      <w:bookmarkEnd w:id="100"/>
    </w:p>
    <w:p>
      <w:pPr>
        <w:pStyle w:val="yFootnoteheading"/>
        <w:keepNext/>
      </w:pPr>
      <w:r>
        <w:tab/>
        <w:t>[Heading inserted: SL 2023/155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c>
          <w:tcPr>
            <w:tcW w:w="425" w:type="dxa"/>
            <w:tcBorders>
              <w:top w:val="single" w:sz="4" w:space="0" w:color="auto"/>
            </w:tcBorders>
            <w:noWrap/>
          </w:tcPr>
          <w:p>
            <w:pPr>
              <w:pStyle w:val="yTableNAm"/>
              <w:keepNext/>
            </w:pPr>
            <w:r>
              <w:t>1.</w:t>
            </w:r>
          </w:p>
        </w:tc>
        <w:tc>
          <w:tcPr>
            <w:tcW w:w="4113" w:type="dxa"/>
            <w:tcBorders>
              <w:top w:val="single" w:sz="4" w:space="0" w:color="auto"/>
            </w:tcBorders>
            <w:noWrap/>
          </w:tcPr>
          <w:p>
            <w:pPr>
              <w:pStyle w:val="yTableNAm"/>
              <w:keepNext/>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keepNext/>
            </w:pPr>
            <w:r>
              <w:t>$747.05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2023/155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02" w:name="_Toc161386952"/>
      <w:bookmarkStart w:id="103" w:name="_Toc161387012"/>
      <w:bookmarkStart w:id="104" w:name="_Toc161746979"/>
      <w:bookmarkStart w:id="105" w:name="_Toc161747349"/>
      <w:bookmarkStart w:id="106" w:name="_Toc161750527"/>
      <w:r>
        <w:lastRenderedPageBreak/>
        <w:t>Notes</w:t>
      </w:r>
      <w:bookmarkEnd w:id="102"/>
      <w:bookmarkEnd w:id="103"/>
      <w:bookmarkEnd w:id="104"/>
      <w:bookmarkEnd w:id="105"/>
      <w:bookmarkEnd w:id="106"/>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xml:space="preserve">. For provisions that have come into operation, and for information about any reprints, see the compilation table. </w:t>
      </w:r>
    </w:p>
    <w:p>
      <w:pPr>
        <w:pStyle w:val="nHeading3"/>
      </w:pPr>
      <w:bookmarkStart w:id="107" w:name="_Toc161750528"/>
      <w:r>
        <w:t>Compilation table</w:t>
      </w:r>
      <w:bookmarkEnd w:id="10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2021</w:t>
            </w:r>
          </w:p>
        </w:tc>
        <w:tc>
          <w:tcPr>
            <w:tcW w:w="1276" w:type="dxa"/>
            <w:tcBorders>
              <w:top w:val="nil"/>
              <w:bottom w:val="nil"/>
            </w:tcBorders>
          </w:tcPr>
          <w:p>
            <w:pPr>
              <w:pStyle w:val="nTable"/>
              <w:spacing w:after="40"/>
            </w:pPr>
            <w:r>
              <w:t>SL 2021/169 8 Oct 2021</w:t>
            </w:r>
          </w:p>
        </w:tc>
        <w:tc>
          <w:tcPr>
            <w:tcW w:w="2693" w:type="dxa"/>
            <w:tcBorders>
              <w:top w:val="nil"/>
              <w:bottom w:val="nil"/>
            </w:tcBorders>
          </w:tcPr>
          <w:p>
            <w:pPr>
              <w:pStyle w:val="nTable"/>
              <w:spacing w:after="40"/>
            </w:pPr>
            <w:r>
              <w:t>r. 1 and 2: 8 Oct 2021 (see r. 2(a));</w:t>
            </w:r>
            <w:r>
              <w:br/>
              <w:t>Regulations other than r. 1 and 2: 1 Nov 2021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2022</w:t>
            </w:r>
          </w:p>
        </w:tc>
        <w:tc>
          <w:tcPr>
            <w:tcW w:w="1276" w:type="dxa"/>
            <w:tcBorders>
              <w:top w:val="nil"/>
              <w:bottom w:val="nil"/>
            </w:tcBorders>
          </w:tcPr>
          <w:p>
            <w:pPr>
              <w:pStyle w:val="nTable"/>
              <w:spacing w:after="40"/>
            </w:pPr>
            <w:r>
              <w:t>SL 2022/164 7 Oct 2022</w:t>
            </w:r>
          </w:p>
        </w:tc>
        <w:tc>
          <w:tcPr>
            <w:tcW w:w="2693" w:type="dxa"/>
            <w:tcBorders>
              <w:top w:val="nil"/>
              <w:bottom w:val="nil"/>
            </w:tcBorders>
          </w:tcPr>
          <w:p>
            <w:pPr>
              <w:pStyle w:val="nTable"/>
              <w:spacing w:after="40"/>
            </w:pPr>
            <w:r>
              <w:t>r. 1 and 2: 7 Oct 2022 (see r. 2(a));</w:t>
            </w:r>
            <w:r>
              <w:br/>
              <w:t>Regulations other than r. 1 and 2: 1 Nov 2022 (see r. 2(b))</w:t>
            </w:r>
          </w:p>
        </w:tc>
      </w:tr>
      <w:tr>
        <w:trPr>
          <w:cantSplit/>
        </w:trPr>
        <w:tc>
          <w:tcPr>
            <w:tcW w:w="3119" w:type="dxa"/>
            <w:tcBorders>
              <w:top w:val="nil"/>
              <w:bottom w:val="single" w:sz="4" w:space="0" w:color="auto"/>
            </w:tcBorders>
          </w:tcPr>
          <w:p>
            <w:pPr>
              <w:pStyle w:val="nTable"/>
              <w:spacing w:after="40"/>
              <w:rPr>
                <w:i/>
              </w:rPr>
            </w:pPr>
            <w:r>
              <w:rPr>
                <w:i/>
              </w:rPr>
              <w:lastRenderedPageBreak/>
              <w:t>Workers’ Compensation and Injury Management (Scales of Fees) Amendment Regulations 2023</w:t>
            </w:r>
          </w:p>
        </w:tc>
        <w:tc>
          <w:tcPr>
            <w:tcW w:w="1276" w:type="dxa"/>
            <w:tcBorders>
              <w:top w:val="nil"/>
              <w:bottom w:val="single" w:sz="4" w:space="0" w:color="auto"/>
            </w:tcBorders>
          </w:tcPr>
          <w:p>
            <w:pPr>
              <w:pStyle w:val="nTable"/>
              <w:spacing w:after="40"/>
            </w:pPr>
            <w:r>
              <w:t>SL 2023/155 18 Oct 2023</w:t>
            </w:r>
          </w:p>
        </w:tc>
        <w:tc>
          <w:tcPr>
            <w:tcW w:w="2693" w:type="dxa"/>
            <w:tcBorders>
              <w:top w:val="nil"/>
              <w:bottom w:val="single" w:sz="4" w:space="0" w:color="auto"/>
            </w:tcBorders>
          </w:tcPr>
          <w:p>
            <w:pPr>
              <w:pStyle w:val="nTable"/>
              <w:spacing w:after="40"/>
            </w:pPr>
            <w:r>
              <w:t>r. 1 and 2: 18 Oct 2023 (see r. 2(a))</w:t>
            </w:r>
            <w:r>
              <w:br/>
              <w:t>Regulations other than r. 1 and 2: 1 Nov 2023 (see r. 2(b))</w:t>
            </w:r>
          </w:p>
        </w:tc>
      </w:tr>
    </w:tbl>
    <w:p>
      <w:pPr>
        <w:pStyle w:val="nHeading3"/>
      </w:pPr>
      <w:bookmarkStart w:id="108" w:name="_Toc161750529"/>
      <w:r>
        <w:t>Uncommenced provisions table</w:t>
      </w:r>
      <w:bookmarkEnd w:id="108"/>
    </w:p>
    <w:p>
      <w:pPr>
        <w:pStyle w:val="nStatement"/>
        <w:keepNext/>
        <w:spacing w:after="240"/>
      </w:pPr>
      <w:r>
        <w:t xml:space="preserve">To view the text of the uncommenced provisions see </w:t>
      </w:r>
      <w:r>
        <w:rPr>
          <w:i/>
          <w:iCs/>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Workers Compensation and Injury Management Act 2023</w:t>
            </w:r>
            <w:r>
              <w:rPr>
                <w:iCs/>
              </w:rPr>
              <w:t xml:space="preserve"> s. 621 assented to 24 Oct 2023</w:t>
            </w:r>
          </w:p>
        </w:tc>
        <w:tc>
          <w:tcPr>
            <w:tcW w:w="2693" w:type="dxa"/>
          </w:tcPr>
          <w:p>
            <w:pPr>
              <w:pStyle w:val="nTable"/>
              <w:spacing w:after="40"/>
            </w:pPr>
            <w:r>
              <w:rPr>
                <w:noProof/>
              </w:rPr>
              <w:t>1 Jul 2024</w:t>
            </w:r>
            <w:r>
              <w:t xml:space="preserve"> (see s. 2(d)</w:t>
            </w:r>
            <w:r>
              <w:rPr>
                <w:noProof/>
              </w:rPr>
              <w:t xml:space="preserve"> and SL 2024/34 cl. 2</w:t>
            </w:r>
            <w:r>
              <w:t>)</w:t>
            </w:r>
          </w:p>
        </w:tc>
      </w:tr>
    </w:tbl>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8"/>
          <w:headerReference w:type="default" r:id="rId29"/>
          <w:pgSz w:w="11907" w:h="16840" w:code="9"/>
          <w:pgMar w:top="2376" w:right="2404" w:bottom="3544" w:left="2404" w:header="720" w:footer="3544"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pPr>
        <w:pStyle w:val="nHeading2"/>
        <w:rPr>
          <w:sz w:val="28"/>
        </w:rPr>
      </w:pPr>
      <w:bookmarkStart w:id="110" w:name="_Toc161386955"/>
      <w:bookmarkStart w:id="111" w:name="_Toc161387015"/>
      <w:bookmarkStart w:id="112" w:name="_Toc161746982"/>
      <w:bookmarkStart w:id="113" w:name="_Toc161747352"/>
      <w:bookmarkStart w:id="114" w:name="_Toc161750530"/>
      <w:r>
        <w:rPr>
          <w:sz w:val="28"/>
        </w:rPr>
        <w:lastRenderedPageBreak/>
        <w:t>Defined terms</w:t>
      </w:r>
      <w:bookmarkEnd w:id="110"/>
      <w:bookmarkEnd w:id="111"/>
      <w:bookmarkEnd w:id="112"/>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 hours</w:t>
      </w:r>
      <w:r>
        <w:tab/>
        <w:t>Sch. 1</w:t>
      </w:r>
    </w:p>
    <w:p>
      <w:pPr>
        <w:pStyle w:val="DefinedTerms"/>
      </w:pPr>
      <w:r>
        <w:t>closed reduction</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05-w0-02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05-w0-02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05-w0-02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05-w0-02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05-w0-02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05-w0-02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5" w:name="DefinedTerms"/>
    <w:bookmarkEnd w:id="1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1"/>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4"/>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204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 w:name="WAFER_20221021152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52734_GUID" w:val="4e54e001-14ee-4390-b80c-483d5348e574"/>
    <w:docVar w:name="WAFER_202310131311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3131100_GUID" w:val="90702860-e459-4a0b-8f7f-6b481f78c264"/>
    <w:docVar w:name="WAFER_20231024092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4092509_GUID" w:val="bb8a14ba-07fc-431d-a3be-56fb68ce0f77"/>
    <w:docVar w:name="WAFER_202312291115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1548_GUID" w:val="87c260e1-f3a6-4ee3-8266-f2f1ed7db1c1"/>
    <w:docVar w:name="WAFER_202403150920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2043_GUID" w:val="7a250db8-f1e0-48eb-aed5-0ff982a9cf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AD2E-C158-4E2B-ABDA-65660753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13413</Words>
  <Characters>72972</Characters>
  <Application>Microsoft Office Word</Application>
  <DocSecurity>0</DocSecurity>
  <Lines>4054</Lines>
  <Paragraphs>3085</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1998 - 05-w0-02</dc:title>
  <dc:subject/>
  <dc:creator/>
  <cp:keywords/>
  <dc:description/>
  <cp:lastModifiedBy>Master Repository Process</cp:lastModifiedBy>
  <cp:revision>4</cp:revision>
  <cp:lastPrinted>2022-10-24T00:18:00Z</cp:lastPrinted>
  <dcterms:created xsi:type="dcterms:W3CDTF">2024-03-19T08:20:00Z</dcterms:created>
  <dcterms:modified xsi:type="dcterms:W3CDTF">2024-03-19T08:20:00Z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AsAtDate">
    <vt:lpwstr>01 Nov 2023</vt:lpwstr>
  </property>
  <property fmtid="{D5CDD505-2E9C-101B-9397-08002B2CF9AE}" pid="8" name="Suffix">
    <vt:lpwstr>05-w0-02</vt:lpwstr>
  </property>
  <property fmtid="{D5CDD505-2E9C-101B-9397-08002B2CF9AE}" pid="9" name="Official">
    <vt:lpwstr/>
  </property>
  <property fmtid="{D5CDD505-2E9C-101B-9397-08002B2CF9AE}" pid="10" name="CommencementDate">
    <vt:lpwstr>20231101</vt:lpwstr>
  </property>
  <property fmtid="{D5CDD505-2E9C-101B-9397-08002B2CF9AE}" pid="11" name="CommencementAsAt">
    <vt:filetime>2023-10-31T16:00:00Z</vt:filetime>
  </property>
  <property fmtid="{D5CDD505-2E9C-101B-9397-08002B2CF9AE}" pid="12" name="CommencementYear">
    <vt:lpwstr>2023</vt:lpwstr>
  </property>
</Properties>
</file>