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_Toc155077698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_Toc155077699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_Toc155077700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Intentionally sown, planted or propagated vegetation (s. 51A)</w:t>
      </w:r>
      <w:r>
        <w:tab/>
      </w:r>
      <w:r>
        <w:fldChar w:fldCharType="begin"/>
      </w:r>
      <w:r>
        <w:instrText xml:space="preserve"> PAGEREF _Toc155077702 \h </w:instrText>
      </w:r>
      <w:r>
        <w:fldChar w:fldCharType="separate"/>
      </w:r>
      <w:r>
        <w:t>4</w:t>
      </w:r>
      <w:r>
        <w:fldChar w:fldCharType="end"/>
      </w:r>
    </w:p>
    <w:p>
      <w:pPr>
        <w:pStyle w:val="TOC8"/>
        <w:rPr>
          <w:rFonts w:asciiTheme="minorHAnsi" w:eastAsiaTheme="minorEastAsia" w:hAnsiTheme="minorHAnsi" w:cstheme="minorBidi"/>
          <w:szCs w:val="22"/>
        </w:rPr>
      </w:pPr>
      <w:r>
        <w:t>5.</w:t>
      </w:r>
      <w:r>
        <w:tab/>
        <w:t>Prescribed clearing (s. 51C)</w:t>
      </w:r>
      <w:r>
        <w:tab/>
      </w:r>
      <w:r>
        <w:fldChar w:fldCharType="begin"/>
      </w:r>
      <w:r>
        <w:instrText xml:space="preserve"> PAGEREF _Toc155077703 \h </w:instrText>
      </w:r>
      <w:r>
        <w:fldChar w:fldCharType="separate"/>
      </w:r>
      <w:r>
        <w:t>5</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_Toc155077704 \h </w:instrText>
      </w:r>
      <w:r>
        <w:fldChar w:fldCharType="separate"/>
      </w:r>
      <w:r>
        <w:t>19</w:t>
      </w:r>
      <w:r>
        <w:fldChar w:fldCharType="end"/>
      </w:r>
    </w:p>
    <w:p>
      <w:pPr>
        <w:pStyle w:val="TOC8"/>
        <w:rPr>
          <w:rFonts w:asciiTheme="minorHAnsi" w:eastAsiaTheme="minorEastAsia" w:hAnsiTheme="minorHAnsi" w:cstheme="minorBidi"/>
          <w:szCs w:val="22"/>
        </w:rPr>
      </w:pPr>
      <w:r>
        <w:t>8.</w:t>
      </w:r>
      <w:r>
        <w:tab/>
        <w:t>Public records of particulars to be kept by CEO (s. 51Q(a))</w:t>
      </w:r>
      <w:r>
        <w:tab/>
      </w:r>
      <w:r>
        <w:fldChar w:fldCharType="begin"/>
      </w:r>
      <w:r>
        <w:instrText xml:space="preserve"> PAGEREF _Toc155077705 \h </w:instrText>
      </w:r>
      <w:r>
        <w:fldChar w:fldCharType="separate"/>
      </w:r>
      <w:r>
        <w:t>22</w:t>
      </w:r>
      <w:r>
        <w:fldChar w:fldCharType="end"/>
      </w:r>
    </w:p>
    <w:p>
      <w:pPr>
        <w:pStyle w:val="TOC8"/>
        <w:rPr>
          <w:rFonts w:asciiTheme="minorHAnsi" w:eastAsiaTheme="minorEastAsia" w:hAnsiTheme="minorHAnsi" w:cstheme="minorBidi"/>
          <w:szCs w:val="22"/>
        </w:rPr>
      </w:pPr>
      <w:r>
        <w:t>8A.</w:t>
      </w:r>
      <w:r>
        <w:tab/>
        <w:t>Public records of other information and documents to be kept by CEO (s. 51Q(b))</w:t>
      </w:r>
      <w:r>
        <w:tab/>
      </w:r>
      <w:r>
        <w:fldChar w:fldCharType="begin"/>
      </w:r>
      <w:r>
        <w:instrText xml:space="preserve"> PAGEREF _Toc155077706 \h </w:instrText>
      </w:r>
      <w:r>
        <w:fldChar w:fldCharType="separate"/>
      </w:r>
      <w:r>
        <w:t>25</w:t>
      </w:r>
      <w:r>
        <w:fldChar w:fldCharType="end"/>
      </w:r>
    </w:p>
    <w:p>
      <w:pPr>
        <w:pStyle w:val="TOC8"/>
        <w:rPr>
          <w:rFonts w:asciiTheme="minorHAnsi" w:eastAsiaTheme="minorEastAsia" w:hAnsiTheme="minorHAnsi" w:cstheme="minorBidi"/>
          <w:szCs w:val="22"/>
        </w:rPr>
      </w:pPr>
      <w:r>
        <w:t>9.</w:t>
      </w:r>
      <w:r>
        <w:tab/>
        <w:t>Expiry of certain provisions</w:t>
      </w:r>
      <w:r>
        <w:tab/>
      </w:r>
      <w:r>
        <w:fldChar w:fldCharType="begin"/>
      </w:r>
      <w:r>
        <w:instrText xml:space="preserve"> PAGEREF _Toc155077707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Publication and confidentiality</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_Toc155077709 \h </w:instrText>
      </w:r>
      <w:r>
        <w:fldChar w:fldCharType="separate"/>
      </w:r>
      <w:r>
        <w:t>26</w:t>
      </w:r>
      <w:r>
        <w:fldChar w:fldCharType="end"/>
      </w:r>
    </w:p>
    <w:p>
      <w:pPr>
        <w:pStyle w:val="TOC8"/>
        <w:rPr>
          <w:rFonts w:asciiTheme="minorHAnsi" w:eastAsiaTheme="minorEastAsia" w:hAnsiTheme="minorHAnsi" w:cstheme="minorBidi"/>
          <w:szCs w:val="22"/>
        </w:rPr>
      </w:pPr>
      <w:r>
        <w:t>11.</w:t>
      </w:r>
      <w:r>
        <w:tab/>
        <w:t>CEO may keep documentation confidential on request</w:t>
      </w:r>
      <w:r>
        <w:tab/>
      </w:r>
      <w:r>
        <w:fldChar w:fldCharType="begin"/>
      </w:r>
      <w:r>
        <w:instrText xml:space="preserve"> PAGEREF _Toc155077710 \h </w:instrText>
      </w:r>
      <w:r>
        <w:fldChar w:fldCharType="separate"/>
      </w:r>
      <w:r>
        <w:t>26</w:t>
      </w:r>
      <w:r>
        <w:fldChar w:fldCharType="end"/>
      </w:r>
    </w:p>
    <w:p>
      <w:pPr>
        <w:pStyle w:val="TOC8"/>
        <w:rPr>
          <w:rFonts w:asciiTheme="minorHAnsi" w:eastAsiaTheme="minorEastAsia" w:hAnsiTheme="minorHAnsi" w:cstheme="minorBidi"/>
          <w:szCs w:val="22"/>
        </w:rPr>
      </w:pPr>
      <w:r>
        <w:t>12.</w:t>
      </w:r>
      <w:r>
        <w:tab/>
        <w:t>CEO must keep certain matters confidential</w:t>
      </w:r>
      <w:r>
        <w:tab/>
      </w:r>
      <w:r>
        <w:fldChar w:fldCharType="begin"/>
      </w:r>
      <w:r>
        <w:instrText xml:space="preserve"> PAGEREF _Toc155077711 \h </w:instrText>
      </w:r>
      <w:r>
        <w:fldChar w:fldCharType="separate"/>
      </w:r>
      <w:r>
        <w:t>27</w:t>
      </w:r>
      <w:r>
        <w:fldChar w:fldCharType="end"/>
      </w:r>
    </w:p>
    <w:p>
      <w:pPr>
        <w:pStyle w:val="TOC8"/>
        <w:rPr>
          <w:rFonts w:asciiTheme="minorHAnsi" w:eastAsiaTheme="minorEastAsia" w:hAnsiTheme="minorHAnsi" w:cstheme="minorBidi"/>
          <w:szCs w:val="22"/>
        </w:rPr>
      </w:pPr>
      <w:r>
        <w:t>13.</w:t>
      </w:r>
      <w:r>
        <w:tab/>
        <w:t>CEO may keep certain matters confidential</w:t>
      </w:r>
      <w:r>
        <w:tab/>
      </w:r>
      <w:r>
        <w:fldChar w:fldCharType="begin"/>
      </w:r>
      <w:r>
        <w:instrText xml:space="preserve"> PAGEREF _Toc155077712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Low impact or other mineral or petroleum activities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_Toc155077714 \h </w:instrText>
      </w:r>
      <w:r>
        <w:fldChar w:fldCharType="separate"/>
      </w:r>
      <w:r>
        <w:t>30</w:t>
      </w:r>
      <w:r>
        <w:fldChar w:fldCharType="end"/>
      </w:r>
    </w:p>
    <w:p>
      <w:pPr>
        <w:pStyle w:val="TOC8"/>
        <w:rPr>
          <w:rFonts w:asciiTheme="minorHAnsi" w:eastAsiaTheme="minorEastAsia" w:hAnsiTheme="minorHAnsi" w:cstheme="minorBidi"/>
          <w:szCs w:val="22"/>
        </w:rPr>
      </w:pPr>
      <w:r>
        <w:t>2.</w:t>
      </w:r>
      <w:r>
        <w:tab/>
        <w:t>Low impact mineral and petroleum activities</w:t>
      </w:r>
      <w:r>
        <w:tab/>
      </w:r>
      <w:r>
        <w:fldChar w:fldCharType="begin"/>
      </w:r>
      <w:r>
        <w:instrText xml:space="preserve"> PAGEREF _Toc155077715 \h </w:instrText>
      </w:r>
      <w:r>
        <w:fldChar w:fldCharType="separate"/>
      </w:r>
      <w:r>
        <w:t>30</w:t>
      </w:r>
      <w:r>
        <w:fldChar w:fldCharType="end"/>
      </w:r>
    </w:p>
    <w:p>
      <w:pPr>
        <w:pStyle w:val="TOC8"/>
        <w:rPr>
          <w:rFonts w:asciiTheme="minorHAnsi" w:eastAsiaTheme="minorEastAsia" w:hAnsiTheme="minorHAnsi" w:cstheme="minorBidi"/>
          <w:szCs w:val="22"/>
        </w:rPr>
      </w:pPr>
      <w:r>
        <w:t>3.</w:t>
      </w:r>
      <w:r>
        <w:tab/>
        <w:t>How the activity is to be carried out</w:t>
      </w:r>
      <w:r>
        <w:tab/>
      </w:r>
      <w:r>
        <w:fldChar w:fldCharType="begin"/>
      </w:r>
      <w:r>
        <w:instrText xml:space="preserve"> PAGEREF _Toc155077716 \h </w:instrText>
      </w:r>
      <w:r>
        <w:fldChar w:fldCharType="separate"/>
      </w:r>
      <w:r>
        <w:t>32</w:t>
      </w:r>
      <w:r>
        <w:fldChar w:fldCharType="end"/>
      </w:r>
    </w:p>
    <w:p>
      <w:pPr>
        <w:pStyle w:val="TOC8"/>
        <w:rPr>
          <w:rFonts w:asciiTheme="minorHAnsi" w:eastAsiaTheme="minorEastAsia" w:hAnsiTheme="minorHAnsi" w:cstheme="minorBidi"/>
          <w:szCs w:val="22"/>
        </w:rPr>
      </w:pPr>
      <w:r>
        <w:t>4.</w:t>
      </w:r>
      <w:r>
        <w:tab/>
        <w:t>Non</w:t>
      </w:r>
      <w:r>
        <w:noBreakHyphen/>
        <w:t>permitted areas</w:t>
      </w:r>
      <w:r>
        <w:tab/>
      </w:r>
      <w:r>
        <w:fldChar w:fldCharType="begin"/>
      </w:r>
      <w:r>
        <w:instrText xml:space="preserve"> PAGEREF _Toc155077717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Clearing for maintenance in existing transport corridors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_Toc155077719 \h </w:instrText>
      </w:r>
      <w:r>
        <w:fldChar w:fldCharType="separate"/>
      </w:r>
      <w:r>
        <w:t>35</w:t>
      </w:r>
      <w:r>
        <w:fldChar w:fldCharType="end"/>
      </w:r>
    </w:p>
    <w:p>
      <w:pPr>
        <w:pStyle w:val="TOC8"/>
        <w:rPr>
          <w:rFonts w:asciiTheme="minorHAnsi" w:eastAsiaTheme="minorEastAsia" w:hAnsiTheme="minorHAnsi" w:cstheme="minorBidi"/>
          <w:szCs w:val="22"/>
        </w:rPr>
      </w:pPr>
      <w:r>
        <w:t>2.</w:t>
      </w:r>
      <w:r>
        <w:tab/>
        <w:t>Extent of clearing for an area or purpose in relation to a road or railway</w:t>
      </w:r>
      <w:r>
        <w:tab/>
      </w:r>
      <w:r>
        <w:fldChar w:fldCharType="begin"/>
      </w:r>
      <w:r>
        <w:instrText xml:space="preserve"> PAGEREF _Toc155077720 \h </w:instrText>
      </w:r>
      <w:r>
        <w:fldChar w:fldCharType="separate"/>
      </w:r>
      <w:r>
        <w:t>35</w:t>
      </w:r>
      <w:r>
        <w:fldChar w:fldCharType="end"/>
      </w:r>
    </w:p>
    <w:p>
      <w:pPr>
        <w:pStyle w:val="TOC8"/>
        <w:rPr>
          <w:rFonts w:asciiTheme="minorHAnsi" w:eastAsiaTheme="minorEastAsia" w:hAnsiTheme="minorHAnsi" w:cstheme="minorBidi"/>
          <w:szCs w:val="22"/>
        </w:rPr>
      </w:pPr>
      <w:r>
        <w:t>3.</w:t>
      </w:r>
      <w:r>
        <w:tab/>
        <w:t>How the clearing is to be carried out</w:t>
      </w:r>
      <w:r>
        <w:tab/>
      </w:r>
      <w:r>
        <w:fldChar w:fldCharType="begin"/>
      </w:r>
      <w:r>
        <w:instrText xml:space="preserve"> PAGEREF _Toc155077721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3 — Infrastructure maintenance activities</w:t>
      </w:r>
    </w:p>
    <w:p>
      <w:pPr>
        <w:pStyle w:val="TOC8"/>
        <w:rPr>
          <w:rFonts w:asciiTheme="minorHAnsi" w:eastAsiaTheme="minorEastAsia" w:hAnsiTheme="minorHAnsi" w:cstheme="minorBidi"/>
          <w:szCs w:val="22"/>
        </w:rPr>
      </w:pPr>
      <w:r>
        <w:t>1.</w:t>
      </w:r>
      <w:r>
        <w:tab/>
        <w:t>Infrastructure maintenance activities</w:t>
      </w:r>
      <w:r>
        <w:tab/>
      </w:r>
      <w:r>
        <w:fldChar w:fldCharType="begin"/>
      </w:r>
      <w:r>
        <w:instrText xml:space="preserve"> PAGEREF _Toc155077723 \h </w:instrText>
      </w:r>
      <w:r>
        <w:fldChar w:fldCharType="separate"/>
      </w:r>
      <w:r>
        <w:t>38</w:t>
      </w:r>
      <w:r>
        <w:fldChar w:fldCharType="end"/>
      </w:r>
    </w:p>
    <w:p>
      <w:pPr>
        <w:pStyle w:val="TOC8"/>
        <w:rPr>
          <w:rFonts w:asciiTheme="minorHAnsi" w:eastAsiaTheme="minorEastAsia" w:hAnsiTheme="minorHAnsi" w:cstheme="minorBidi"/>
          <w:szCs w:val="22"/>
        </w:rPr>
      </w:pPr>
      <w:r>
        <w:t>2.</w:t>
      </w:r>
      <w:r>
        <w:tab/>
        <w:t>How the activity is to be carried out</w:t>
      </w:r>
      <w:r>
        <w:tab/>
      </w:r>
      <w:r>
        <w:fldChar w:fldCharType="begin"/>
      </w:r>
      <w:r>
        <w:instrText xml:space="preserve"> PAGEREF _Toc155077724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_Toc155077726 \h </w:instrText>
      </w:r>
      <w:r>
        <w:fldChar w:fldCharType="separate"/>
      </w:r>
      <w:r>
        <w:t>40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_Toc155077727 \h </w:instrText>
      </w:r>
      <w:r>
        <w:fldChar w:fldCharType="separate"/>
      </w:r>
      <w:r>
        <w:t>41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_Toc155077728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3" w:name="_Toc155077697"/>
      <w:r>
        <w:rPr>
          <w:rStyle w:val="CharPartNo"/>
        </w:rPr>
        <w:t>Part 1</w:t>
      </w:r>
      <w:r>
        <w:t> — </w:t>
      </w:r>
      <w:r>
        <w:rPr>
          <w:rStyle w:val="CharPartText"/>
        </w:rPr>
        <w:t>Preliminary</w:t>
      </w:r>
      <w:bookmarkEnd w:id="3"/>
    </w:p>
    <w:p>
      <w:pPr>
        <w:pStyle w:val="Footnoteheading"/>
      </w:pPr>
      <w:r>
        <w:tab/>
        <w:t>[Heading inserted: SL 2021/178 r. 4.]</w:t>
      </w:r>
    </w:p>
    <w:p>
      <w:pPr>
        <w:pStyle w:val="Heading5"/>
      </w:pPr>
      <w:bookmarkStart w:id="4" w:name="_Toc155077698"/>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5" w:name="_Toc155077699"/>
      <w:r>
        <w:rPr>
          <w:rStyle w:val="CharSectno"/>
        </w:rPr>
        <w:t>2</w:t>
      </w:r>
      <w:r>
        <w:rPr>
          <w:spacing w:val="-2"/>
        </w:rPr>
        <w:t>.</w:t>
      </w:r>
      <w:r>
        <w:rPr>
          <w:spacing w:val="-2"/>
        </w:rPr>
        <w:tab/>
        <w:t>Commencement</w:t>
      </w:r>
      <w:bookmarkEnd w:id="5"/>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6" w:name="_Toc155077700"/>
      <w:r>
        <w:rPr>
          <w:rStyle w:val="CharSectno"/>
        </w:rPr>
        <w:t>3</w:t>
      </w:r>
      <w:r>
        <w:t>.</w:t>
      </w:r>
      <w:r>
        <w:tab/>
        <w:t>Terms used</w:t>
      </w:r>
      <w:bookmarkEnd w:id="6"/>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lastRenderedPageBreak/>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7" w:name="_Toc155077701"/>
      <w:r>
        <w:rPr>
          <w:rStyle w:val="CharPartNo"/>
        </w:rPr>
        <w:lastRenderedPageBreak/>
        <w:t>Part 2</w:t>
      </w:r>
      <w:r>
        <w:t> — </w:t>
      </w:r>
      <w:r>
        <w:rPr>
          <w:rStyle w:val="CharPartText"/>
        </w:rPr>
        <w:t>General matters</w:t>
      </w:r>
      <w:bookmarkEnd w:id="7"/>
    </w:p>
    <w:p>
      <w:pPr>
        <w:pStyle w:val="Footnoteheading"/>
      </w:pPr>
      <w:r>
        <w:tab/>
        <w:t>[Heading inserted: SL 2021/178 r. 5.]</w:t>
      </w:r>
    </w:p>
    <w:p>
      <w:pPr>
        <w:pStyle w:val="Heading5"/>
      </w:pPr>
      <w:bookmarkStart w:id="8" w:name="_Toc155077702"/>
      <w:r>
        <w:rPr>
          <w:rStyle w:val="CharSectno"/>
        </w:rPr>
        <w:t>4</w:t>
      </w:r>
      <w:r>
        <w:t>.</w:t>
      </w:r>
      <w:r>
        <w:tab/>
        <w:t>Intentionally sown, planted or propagated vegetation (s. 51A)</w:t>
      </w:r>
      <w:bookmarkEnd w:id="8"/>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lastRenderedPageBreak/>
        <w:tab/>
      </w:r>
      <w:r>
        <w:rPr>
          <w:rStyle w:val="CharDefText"/>
        </w:rPr>
        <w:t>plant</w:t>
      </w:r>
      <w:r>
        <w:t xml:space="preserve"> includes to sow and to propagate.</w:t>
      </w:r>
    </w:p>
    <w:p>
      <w:pPr>
        <w:pStyle w:val="Heading5"/>
        <w:spacing w:before="240"/>
      </w:pPr>
      <w:bookmarkStart w:id="9" w:name="_Toc155077703"/>
      <w:r>
        <w:rPr>
          <w:rStyle w:val="CharSectno"/>
        </w:rPr>
        <w:t>5</w:t>
      </w:r>
      <w:r>
        <w:t>.</w:t>
      </w:r>
      <w:r>
        <w:tab/>
        <w:t>Prescribed clearing (s. 51C)</w:t>
      </w:r>
      <w:bookmarkEnd w:id="9"/>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for the purposes of preventing imminent danger to human life </w:t>
            </w:r>
            <w:r>
              <w:lastRenderedPageBreak/>
              <w:t>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 xml:space="preserve">The owner of the land on which the </w:t>
            </w:r>
            <w:r>
              <w:lastRenderedPageBreak/>
              <w:t>clearing is to take place.</w:t>
            </w:r>
          </w:p>
          <w:p>
            <w:pPr>
              <w:pStyle w:val="TableNAm"/>
              <w:spacing w:before="10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lastRenderedPageBreak/>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keepNext/>
              <w:keepLines/>
            </w:pPr>
            <w:r>
              <w:lastRenderedPageBreak/>
              <w:t>5</w:t>
            </w:r>
          </w:p>
        </w:tc>
        <w:tc>
          <w:tcPr>
            <w:tcW w:w="3827" w:type="dxa"/>
            <w:tcBorders>
              <w:top w:val="dotted" w:sz="4" w:space="0" w:color="auto"/>
            </w:tcBorders>
          </w:tcPr>
          <w:p>
            <w:pPr>
              <w:pStyle w:val="TableNAm"/>
              <w:keepNext/>
              <w:keepLines/>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keepNext/>
              <w:keepLines/>
            </w:pPr>
          </w:p>
        </w:tc>
        <w:tc>
          <w:tcPr>
            <w:tcW w:w="3827" w:type="dxa"/>
          </w:tcPr>
          <w:p>
            <w:pPr>
              <w:pStyle w:val="TableNAm"/>
              <w:keepNext/>
              <w:keepLines/>
              <w:rPr>
                <w:i/>
              </w:rPr>
            </w:pPr>
            <w:r>
              <w:t xml:space="preserve">Clearing to provide firewood for use by the owner or occupier of the property on which the vegetation is located for domestic heating or cooking, being clearing which — </w:t>
            </w:r>
          </w:p>
        </w:tc>
        <w:tc>
          <w:tcPr>
            <w:tcW w:w="2160" w:type="dxa"/>
          </w:tcPr>
          <w:p>
            <w:pPr>
              <w:pStyle w:val="TableNAm"/>
            </w:pPr>
            <w:r>
              <w:t>The owner or occupier.</w:t>
            </w:r>
          </w:p>
        </w:tc>
      </w:tr>
      <w:tr>
        <w:trPr>
          <w:cantSplit/>
        </w:trPr>
        <w:tc>
          <w:tcPr>
            <w:tcW w:w="709" w:type="dxa"/>
          </w:tcPr>
          <w:p>
            <w:pPr>
              <w:pStyle w:val="TableNAm"/>
              <w:keepNext/>
              <w:keepLines/>
            </w:pPr>
          </w:p>
        </w:tc>
        <w:tc>
          <w:tcPr>
            <w:tcW w:w="3827" w:type="dxa"/>
          </w:tcPr>
          <w:p>
            <w:pPr>
              <w:pStyle w:val="TableNAm"/>
              <w:keepNext/>
              <w:keepLines/>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lastRenderedPageBreak/>
              <w:t>(a)</w:t>
            </w:r>
            <w:r>
              <w:tab/>
              <w:t>does not kill any live vegetation and does not prevent regrowth of the vegetation;</w:t>
            </w:r>
          </w:p>
        </w:tc>
        <w:tc>
          <w:tcPr>
            <w:tcW w:w="2160" w:type="dxa"/>
          </w:tcPr>
          <w:p>
            <w:pPr>
              <w:pStyle w:val="TableNAm"/>
            </w:pPr>
            <w:r>
              <w:lastRenderedPageBreak/>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lastRenderedPageBreak/>
              <w:t>10</w:t>
            </w:r>
          </w:p>
        </w:tc>
        <w:tc>
          <w:tcPr>
            <w:tcW w:w="3827" w:type="dxa"/>
            <w:tcBorders>
              <w:top w:val="dotted" w:sz="4" w:space="0" w:color="auto"/>
            </w:tcBorders>
          </w:tcPr>
          <w:p>
            <w:pPr>
              <w:pStyle w:val="TableNAm"/>
              <w:keepNext/>
              <w:keepLines/>
              <w:rPr>
                <w:b/>
              </w:rPr>
            </w:pPr>
            <w:r>
              <w:rPr>
                <w:b/>
              </w:rPr>
              <w:t>Clearing along a fence line – alienated land</w:t>
            </w:r>
          </w:p>
        </w:tc>
        <w:tc>
          <w:tcPr>
            <w:tcW w:w="2160" w:type="dxa"/>
            <w:tcBorders>
              <w:top w:val="dotted" w:sz="4" w:space="0" w:color="auto"/>
            </w:tcBorders>
          </w:tcPr>
          <w:p>
            <w:pPr>
              <w:pStyle w:val="TableNAm"/>
              <w:keepNext/>
              <w:keepLines/>
            </w:pPr>
          </w:p>
        </w:tc>
      </w:tr>
      <w:tr>
        <w:trPr>
          <w:trHeight w:val="856"/>
        </w:trPr>
        <w:tc>
          <w:tcPr>
            <w:tcW w:w="709" w:type="dxa"/>
            <w:tcBorders>
              <w:bottom w:val="dotted" w:sz="4" w:space="0" w:color="auto"/>
            </w:tcBorders>
          </w:tcPr>
          <w:p>
            <w:pPr>
              <w:pStyle w:val="TableNAm"/>
              <w:keepNext/>
              <w:keepLines/>
            </w:pPr>
          </w:p>
        </w:tc>
        <w:tc>
          <w:tcPr>
            <w:tcW w:w="3827" w:type="dxa"/>
            <w:tcBorders>
              <w:bottom w:val="dotted" w:sz="4" w:space="0" w:color="auto"/>
            </w:tcBorders>
          </w:tcPr>
          <w:p>
            <w:pPr>
              <w:pStyle w:val="TableNAm"/>
              <w:keepNext/>
              <w:keepLine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keepNext/>
              <w:keepLines/>
            </w:pPr>
            <w:r>
              <w:t>The owner of the property on which the clearing is to take place.</w:t>
            </w:r>
          </w:p>
        </w:tc>
      </w:tr>
      <w:tr>
        <w:tc>
          <w:tcPr>
            <w:tcW w:w="709" w:type="dxa"/>
            <w:tcBorders>
              <w:top w:val="dotted" w:sz="4" w:space="0" w:color="auto"/>
            </w:tcBorders>
          </w:tcPr>
          <w:p>
            <w:pPr>
              <w:pStyle w:val="TableNAm"/>
              <w:keepNext/>
            </w:pPr>
            <w:r>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lastRenderedPageBreak/>
              <w:t>12</w:t>
            </w:r>
          </w:p>
        </w:tc>
        <w:tc>
          <w:tcPr>
            <w:tcW w:w="3827" w:type="dxa"/>
            <w:tcBorders>
              <w:top w:val="dotted" w:sz="4" w:space="0" w:color="auto"/>
            </w:tcBorders>
          </w:tcPr>
          <w:p>
            <w:pPr>
              <w:pStyle w:val="TableNAm"/>
              <w:keepNext/>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keepNext/>
            </w:pPr>
          </w:p>
        </w:tc>
        <w:tc>
          <w:tcPr>
            <w:tcW w:w="3827" w:type="dxa"/>
          </w:tcPr>
          <w:p>
            <w:pPr>
              <w:pStyle w:val="TableNAm"/>
              <w:keepNext/>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14</w:t>
            </w:r>
          </w:p>
        </w:tc>
        <w:tc>
          <w:tcPr>
            <w:tcW w:w="3827" w:type="dxa"/>
            <w:tcBorders>
              <w:top w:val="dotted" w:sz="4" w:space="0" w:color="auto"/>
            </w:tcBorders>
          </w:tcPr>
          <w:p>
            <w:pPr>
              <w:pStyle w:val="TableNAm"/>
              <w:keepNext/>
              <w:keepLines/>
              <w:rPr>
                <w:b/>
              </w:rPr>
            </w:pPr>
            <w:r>
              <w:rPr>
                <w:b/>
              </w:rPr>
              <w:t>Clearing to maintain existing cleared areas for pasture, cultivation or forestry</w:t>
            </w:r>
          </w:p>
        </w:tc>
        <w:tc>
          <w:tcPr>
            <w:tcW w:w="2160" w:type="dxa"/>
            <w:tcBorders>
              <w:top w:val="dotted" w:sz="4" w:space="0" w:color="auto"/>
            </w:tcBorders>
          </w:tcPr>
          <w:p>
            <w:pPr>
              <w:pStyle w:val="TableNAm"/>
              <w:keepNext/>
              <w:keepLines/>
            </w:pPr>
          </w:p>
        </w:tc>
      </w:tr>
      <w:tr>
        <w:trPr>
          <w:cantSplit/>
          <w:trHeight w:val="1680"/>
        </w:trPr>
        <w:tc>
          <w:tcPr>
            <w:tcW w:w="709" w:type="dxa"/>
            <w:tcBorders>
              <w:bottom w:val="nil"/>
            </w:tcBorders>
          </w:tcPr>
          <w:p>
            <w:pPr>
              <w:pStyle w:val="TableNAm"/>
              <w:keepNext/>
              <w:keepLines/>
            </w:pPr>
          </w:p>
        </w:tc>
        <w:tc>
          <w:tcPr>
            <w:tcW w:w="3827" w:type="dxa"/>
            <w:tcBorders>
              <w:bottom w:val="nil"/>
            </w:tcBorders>
          </w:tcPr>
          <w:p>
            <w:pPr>
              <w:pStyle w:val="TableNAm"/>
              <w:keepNext/>
              <w:keepLines/>
            </w:pPr>
            <w:r>
              <w:t xml:space="preserve">Clearing of land that was lawfully cleared within the 20 years prior to the clearing if — </w:t>
            </w:r>
          </w:p>
          <w:p>
            <w:pPr>
              <w:pStyle w:val="TableNAm"/>
              <w:keepNext/>
              <w:keepLines/>
              <w:ind w:left="567" w:hanging="567"/>
            </w:pPr>
            <w:r>
              <w:t>(a)</w:t>
            </w:r>
            <w:r>
              <w:tab/>
              <w:t>the land has been used as pasture or for cultivation or forestry within those 20 years; and</w:t>
            </w:r>
          </w:p>
        </w:tc>
        <w:tc>
          <w:tcPr>
            <w:tcW w:w="2160" w:type="dxa"/>
            <w:tcBorders>
              <w:bottom w:val="nil"/>
            </w:tcBorders>
          </w:tcPr>
          <w:p>
            <w:pPr>
              <w:pStyle w:val="TableNAm"/>
              <w:keepNext/>
              <w:keepLines/>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keepNext/>
            </w:pPr>
            <w:r>
              <w:lastRenderedPageBreak/>
              <w:t>16</w:t>
            </w:r>
          </w:p>
        </w:tc>
        <w:tc>
          <w:tcPr>
            <w:tcW w:w="3827" w:type="dxa"/>
            <w:tcBorders>
              <w:top w:val="dotted" w:sz="4" w:space="0" w:color="auto"/>
            </w:tcBorders>
          </w:tcPr>
          <w:p>
            <w:pPr>
              <w:pStyle w:val="TableNAm"/>
              <w:keepNext/>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keepNext/>
            </w:pPr>
          </w:p>
        </w:tc>
        <w:tc>
          <w:tcPr>
            <w:tcW w:w="3827" w:type="dxa"/>
            <w:tcBorders>
              <w:bottom w:val="dotted" w:sz="4" w:space="0" w:color="auto"/>
            </w:tcBorders>
          </w:tcPr>
          <w:p>
            <w:pPr>
              <w:pStyle w:val="TableNAm"/>
              <w:keepNext/>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keepNext/>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lastRenderedPageBreak/>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lastRenderedPageBreak/>
              <w:t xml:space="preserve">In the case of paragraph (a), the person to whom the approval is granted, in the case of </w:t>
            </w:r>
            <w:r>
              <w:lastRenderedPageBreak/>
              <w:t>paragraph (b), a person.</w:t>
            </w:r>
          </w:p>
        </w:tc>
      </w:tr>
      <w:tr>
        <w:tc>
          <w:tcPr>
            <w:tcW w:w="709" w:type="dxa"/>
            <w:tcBorders>
              <w:top w:val="dotted" w:sz="4" w:space="0" w:color="auto"/>
            </w:tcBorders>
          </w:tcPr>
          <w:p>
            <w:pPr>
              <w:pStyle w:val="TableNAm"/>
            </w:pPr>
            <w:r>
              <w:lastRenderedPageBreak/>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160"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the construction of a temporary vehicular track that is necessary to bypass a stretch of road (whether </w:t>
            </w:r>
            <w:r>
              <w:lastRenderedPageBreak/>
              <w:t>public or private) that is impassable due to unforseen damage to part of that stretch of road.</w:t>
            </w:r>
          </w:p>
        </w:tc>
        <w:tc>
          <w:tcPr>
            <w:tcW w:w="2160" w:type="dxa"/>
            <w:tcBorders>
              <w:bottom w:val="dotted" w:sz="4" w:space="0" w:color="auto"/>
            </w:tcBorders>
          </w:tcPr>
          <w:p>
            <w:pPr>
              <w:pStyle w:val="TableNAm"/>
            </w:pPr>
            <w:r>
              <w:lastRenderedPageBreak/>
              <w:t xml:space="preserve">The Commissioner of Main Roads, the Public Transport Authority, the local </w:t>
            </w:r>
            <w:r>
              <w:lastRenderedPageBreak/>
              <w:t>government, the person or the entity responsible for the stretch of road.</w:t>
            </w:r>
          </w:p>
        </w:tc>
      </w:tr>
      <w:tr>
        <w:tc>
          <w:tcPr>
            <w:tcW w:w="709" w:type="dxa"/>
            <w:tcBorders>
              <w:top w:val="dotted" w:sz="4" w:space="0" w:color="auto"/>
            </w:tcBorders>
          </w:tcPr>
          <w:p>
            <w:pPr>
              <w:pStyle w:val="TableNAm"/>
            </w:pPr>
            <w:r>
              <w:lastRenderedPageBreak/>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w:t>
            </w:r>
            <w:r>
              <w:lastRenderedPageBreak/>
              <w:t xml:space="preserve">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160" w:type="dxa"/>
          </w:tcPr>
          <w:p>
            <w:pPr>
              <w:pStyle w:val="TableNAm"/>
            </w:pPr>
            <w:r>
              <w:lastRenderedPageBreak/>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keepNext/>
            </w:pPr>
            <w:r>
              <w:lastRenderedPageBreak/>
              <w:t>26</w:t>
            </w:r>
          </w:p>
        </w:tc>
        <w:tc>
          <w:tcPr>
            <w:tcW w:w="3827" w:type="dxa"/>
            <w:tcBorders>
              <w:top w:val="dotted" w:sz="4" w:space="0" w:color="auto"/>
            </w:tcBorders>
          </w:tcPr>
          <w:p>
            <w:pPr>
              <w:pStyle w:val="TableNAm"/>
              <w:keepNext/>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keepNext/>
            </w:pPr>
          </w:p>
        </w:tc>
      </w:tr>
      <w:tr>
        <w:tc>
          <w:tcPr>
            <w:tcW w:w="709" w:type="dxa"/>
          </w:tcPr>
          <w:p>
            <w:pPr>
              <w:pStyle w:val="TableNAm"/>
              <w:keepNext/>
            </w:pPr>
          </w:p>
        </w:tc>
        <w:tc>
          <w:tcPr>
            <w:tcW w:w="3827" w:type="dxa"/>
          </w:tcPr>
          <w:p>
            <w:pPr>
              <w:pStyle w:val="TableNAm"/>
              <w:keepNext/>
            </w:pPr>
            <w:r>
              <w:t xml:space="preserve">Clearing that is the result of carrying out an activity — </w:t>
            </w:r>
          </w:p>
        </w:tc>
        <w:tc>
          <w:tcPr>
            <w:tcW w:w="2160" w:type="dxa"/>
          </w:tcPr>
          <w:p>
            <w:pPr>
              <w:pStyle w:val="TableNAm"/>
              <w:keepNext/>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10" w:name="_Toc155077704"/>
      <w:r>
        <w:rPr>
          <w:rStyle w:val="CharSectno"/>
        </w:rPr>
        <w:t>7</w:t>
      </w:r>
      <w:r>
        <w:t>.</w:t>
      </w:r>
      <w:r>
        <w:tab/>
        <w:t>Fees</w:t>
      </w:r>
      <w:bookmarkEnd w:id="10"/>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pPr>
      <w:r>
        <w:tab/>
        <w:t>(1A)</w:t>
      </w:r>
      <w:r>
        <w:tab/>
        <w:t xml:space="preserve">For the purposes of section 51E(1)(c) of the Act, the fee for an application for an area permit is determined as set out in the Table, with — </w:t>
      </w:r>
    </w:p>
    <w:p>
      <w:pPr>
        <w:pStyle w:val="Indenta"/>
      </w:pPr>
      <w:r>
        <w:lastRenderedPageBreak/>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lastRenderedPageBreak/>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lastRenderedPageBreak/>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11" w:name="_Toc155077705"/>
      <w:r>
        <w:rPr>
          <w:rStyle w:val="CharSectno"/>
        </w:rPr>
        <w:t>8</w:t>
      </w:r>
      <w:r>
        <w:t>.</w:t>
      </w:r>
      <w:r>
        <w:tab/>
        <w:t>Public records of particulars to be kept by CEO (s. 51Q(a))</w:t>
      </w:r>
      <w:bookmarkEnd w:id="11"/>
    </w:p>
    <w:p>
      <w:pPr>
        <w:pStyle w:val="Subsection"/>
      </w:pPr>
      <w:r>
        <w:tab/>
        <w:t>(1)</w:t>
      </w:r>
      <w:r>
        <w:tab/>
        <w:t>For the purposes of section 51Q(a) of the Act, the particulars are set out in subregulations (2) to (8).</w:t>
      </w:r>
    </w:p>
    <w:p>
      <w:pPr>
        <w:pStyle w:val="Subsection"/>
        <w:keepNext/>
      </w:pPr>
      <w:r>
        <w:tab/>
        <w:t>(2)</w:t>
      </w:r>
      <w:r>
        <w:tab/>
        <w:t>The particulars of applications for clearing permits under section 51E(1) of the Act are as follows —</w:t>
      </w:r>
    </w:p>
    <w:p>
      <w:pPr>
        <w:pStyle w:val="Indenta"/>
      </w:pPr>
      <w:r>
        <w:tab/>
        <w:t>(a)</w:t>
      </w:r>
      <w:r>
        <w:tab/>
        <w:t>the name of the applicant;</w:t>
      </w:r>
    </w:p>
    <w:p>
      <w:pPr>
        <w:pStyle w:val="Indenta"/>
      </w:pPr>
      <w:r>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lastRenderedPageBreak/>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tab/>
        <w:t>(g)</w:t>
      </w:r>
      <w:r>
        <w:tab/>
        <w:t>the period during which the permit is in force.</w:t>
      </w:r>
    </w:p>
    <w:p>
      <w:pPr>
        <w:pStyle w:val="Subsection"/>
        <w:keepNext/>
      </w:pPr>
      <w:r>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lastRenderedPageBreak/>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12" w:name="_Toc155077706"/>
      <w:r>
        <w:rPr>
          <w:rStyle w:val="CharSectno"/>
        </w:rPr>
        <w:lastRenderedPageBreak/>
        <w:t>8A</w:t>
      </w:r>
      <w:r>
        <w:t>.</w:t>
      </w:r>
      <w:r>
        <w:tab/>
        <w:t>Public records of other information and documents to be kept by CEO (s. 51Q(b))</w:t>
      </w:r>
      <w:bookmarkEnd w:id="12"/>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13" w:name="_Toc155077707"/>
      <w:r>
        <w:rPr>
          <w:rStyle w:val="CharSectno"/>
        </w:rPr>
        <w:t>9</w:t>
      </w:r>
      <w:r>
        <w:t>.</w:t>
      </w:r>
      <w:r>
        <w:tab/>
        <w:t>Expiry of certain provisions</w:t>
      </w:r>
      <w:bookmarkEnd w:id="13"/>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14" w:name="_Toc155077708"/>
      <w:r>
        <w:rPr>
          <w:rStyle w:val="CharPartNo"/>
        </w:rPr>
        <w:lastRenderedPageBreak/>
        <w:t>Part 3</w:t>
      </w:r>
      <w:r>
        <w:t> — </w:t>
      </w:r>
      <w:r>
        <w:rPr>
          <w:rStyle w:val="CharPartText"/>
        </w:rPr>
        <w:t>Publication and confidentiality</w:t>
      </w:r>
      <w:bookmarkEnd w:id="14"/>
    </w:p>
    <w:p>
      <w:pPr>
        <w:pStyle w:val="Footnoteheading"/>
      </w:pPr>
      <w:r>
        <w:tab/>
        <w:t>[Heading inserted: SL 2021/178 r. 7.]</w:t>
      </w:r>
    </w:p>
    <w:p>
      <w:pPr>
        <w:pStyle w:val="Heading5"/>
      </w:pPr>
      <w:bookmarkStart w:id="15" w:name="_Toc155077709"/>
      <w:r>
        <w:rPr>
          <w:rStyle w:val="CharSectno"/>
        </w:rPr>
        <w:t>10</w:t>
      </w:r>
      <w:r>
        <w:t>.</w:t>
      </w:r>
      <w:r>
        <w:tab/>
        <w:t>Terms used</w:t>
      </w:r>
      <w:bookmarkEnd w:id="15"/>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16" w:name="_Toc155077710"/>
      <w:r>
        <w:rPr>
          <w:rStyle w:val="CharSectno"/>
        </w:rPr>
        <w:t>11</w:t>
      </w:r>
      <w:r>
        <w:t>.</w:t>
      </w:r>
      <w:r>
        <w:tab/>
        <w:t>CEO may keep documentation confidential on request</w:t>
      </w:r>
      <w:bookmarkEnd w:id="16"/>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lastRenderedPageBreak/>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17" w:name="_Toc155077711"/>
      <w:r>
        <w:rPr>
          <w:rStyle w:val="CharSectno"/>
        </w:rPr>
        <w:t>12</w:t>
      </w:r>
      <w:r>
        <w:t>.</w:t>
      </w:r>
      <w:r>
        <w:tab/>
        <w:t>CEO must keep certain matters confidential</w:t>
      </w:r>
      <w:bookmarkEnd w:id="17"/>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18" w:name="_Toc155077712"/>
      <w:r>
        <w:rPr>
          <w:rStyle w:val="CharSectno"/>
        </w:rPr>
        <w:t>13</w:t>
      </w:r>
      <w:r>
        <w:t>.</w:t>
      </w:r>
      <w:r>
        <w:tab/>
        <w:t>CEO may keep certain matters confidential</w:t>
      </w:r>
      <w:bookmarkEnd w:id="18"/>
    </w:p>
    <w:p>
      <w:pPr>
        <w:pStyle w:val="Subsection"/>
      </w:pPr>
      <w:r>
        <w:tab/>
        <w:t>(1)</w:t>
      </w:r>
      <w:r>
        <w:tab/>
        <w:t>In this regulation —</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pPr>
      <w:r>
        <w:tab/>
      </w:r>
      <w:r>
        <w:rPr>
          <w:rStyle w:val="CharDefText"/>
        </w:rPr>
        <w:t>priority list</w:t>
      </w:r>
      <w:r>
        <w:t xml:space="preserve"> means either of the following —</w:t>
      </w:r>
    </w:p>
    <w:p>
      <w:pPr>
        <w:pStyle w:val="Defpara"/>
      </w:pPr>
      <w:r>
        <w:lastRenderedPageBreak/>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pPr>
      <w:r>
        <w:tab/>
        <w:t>(d)</w:t>
      </w:r>
      <w:r>
        <w:tab/>
        <w:t>the precise location of an Aboriginal place, if the precise location of that place is identified in documentation provided to the CEO in relation to a clearing referral (as defined in regulation 11(1)) or a clearing permit.</w:t>
      </w:r>
    </w:p>
    <w:p>
      <w:pPr>
        <w:pStyle w:val="Footnotesection"/>
      </w:pPr>
      <w:r>
        <w:tab/>
        <w:t>[Regulation 13 inserted: SL 2021/178 r. 7; amended: SL 2023/50 r. 7.]</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9" w:name="_Toc155077713"/>
      <w:r>
        <w:rPr>
          <w:rStyle w:val="CharSchNo"/>
        </w:rPr>
        <w:lastRenderedPageBreak/>
        <w:t>Schedule 1</w:t>
      </w:r>
      <w:r>
        <w:t> — </w:t>
      </w:r>
      <w:r>
        <w:rPr>
          <w:rStyle w:val="CharSchText"/>
        </w:rPr>
        <w:t>Low impact or other mineral or petroleum activities</w:t>
      </w:r>
      <w:bookmarkEnd w:id="19"/>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outlineLvl w:val="9"/>
      </w:pPr>
      <w:bookmarkStart w:id="20" w:name="_Toc155077714"/>
      <w:r>
        <w:rPr>
          <w:rStyle w:val="CharSClsNo"/>
        </w:rPr>
        <w:t>1</w:t>
      </w:r>
      <w:r>
        <w:t>.</w:t>
      </w:r>
      <w:r>
        <w:tab/>
        <w:t>Terms used</w:t>
      </w:r>
      <w:bookmarkEnd w:id="20"/>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outlineLvl w:val="9"/>
      </w:pPr>
      <w:bookmarkStart w:id="21" w:name="_Toc155077715"/>
      <w:r>
        <w:rPr>
          <w:rStyle w:val="CharSClsNo"/>
        </w:rPr>
        <w:t>2</w:t>
      </w:r>
      <w:r>
        <w:t>.</w:t>
      </w:r>
      <w:r>
        <w:tab/>
        <w:t>Low impact mineral and petroleum activities</w:t>
      </w:r>
      <w:bookmarkEnd w:id="21"/>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lastRenderedPageBreak/>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clearing in an authority area for any purpose, being clearing which does not, together with all other clearing carried out under this subclause in the </w:t>
      </w:r>
      <w:r>
        <w:lastRenderedPageBreak/>
        <w:t>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outlineLvl w:val="9"/>
      </w:pPr>
      <w:bookmarkStart w:id="22" w:name="_Toc155077716"/>
      <w:r>
        <w:rPr>
          <w:rStyle w:val="CharSClsNo"/>
        </w:rPr>
        <w:t>3</w:t>
      </w:r>
      <w:r>
        <w:t>.</w:t>
      </w:r>
      <w:r>
        <w:tab/>
        <w:t>How the activity is to be carried out</w:t>
      </w:r>
      <w:bookmarkEnd w:id="22"/>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23" w:name="_Toc155077717"/>
      <w:r>
        <w:rPr>
          <w:rStyle w:val="CharSClsNo"/>
        </w:rPr>
        <w:t>4</w:t>
      </w:r>
      <w:r>
        <w:t>.</w:t>
      </w:r>
      <w:r>
        <w:tab/>
        <w:t>Non</w:t>
      </w:r>
      <w:r>
        <w:noBreakHyphen/>
        <w:t>permitted areas</w:t>
      </w:r>
      <w:bookmarkEnd w:id="23"/>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lastRenderedPageBreak/>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 xml:space="preserve">“Conservation Reserves for Western Australia. The Darling System — System 6. Part I: General Principles and Recommendations and Part II: </w:t>
      </w:r>
      <w:r>
        <w:lastRenderedPageBreak/>
        <w:t>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24" w:name="_Toc155077718"/>
      <w:r>
        <w:rPr>
          <w:rStyle w:val="CharSchNo"/>
        </w:rPr>
        <w:lastRenderedPageBreak/>
        <w:t>Schedule 2</w:t>
      </w:r>
      <w:r>
        <w:t> — </w:t>
      </w:r>
      <w:r>
        <w:rPr>
          <w:rStyle w:val="CharSchText"/>
        </w:rPr>
        <w:t>Clearing for maintenance in existing transport corridors</w:t>
      </w:r>
      <w:bookmarkEnd w:id="24"/>
    </w:p>
    <w:p>
      <w:pPr>
        <w:pStyle w:val="yShoulderClause"/>
      </w:pPr>
      <w:r>
        <w:t>[r. 5(1) item 22]</w:t>
      </w:r>
    </w:p>
    <w:p>
      <w:pPr>
        <w:pStyle w:val="yFootnoteheading"/>
      </w:pPr>
      <w:r>
        <w:tab/>
        <w:t>[Heading amended: Gazette 7 Jul 2006 p. 2500.]</w:t>
      </w:r>
    </w:p>
    <w:p>
      <w:pPr>
        <w:pStyle w:val="yHeading5"/>
        <w:spacing w:before="240"/>
        <w:outlineLvl w:val="9"/>
      </w:pPr>
      <w:bookmarkStart w:id="25" w:name="_Toc155077719"/>
      <w:r>
        <w:rPr>
          <w:rStyle w:val="CharSClsNo"/>
        </w:rPr>
        <w:t>1</w:t>
      </w:r>
      <w:r>
        <w:t>.</w:t>
      </w:r>
      <w:r>
        <w:tab/>
        <w:t>Terms used</w:t>
      </w:r>
      <w:bookmarkEnd w:id="25"/>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outlineLvl w:val="9"/>
      </w:pPr>
      <w:bookmarkStart w:id="26" w:name="_Toc155077720"/>
      <w:r>
        <w:rPr>
          <w:rStyle w:val="CharSClsNo"/>
        </w:rPr>
        <w:t>2</w:t>
      </w:r>
      <w:r>
        <w:t>.</w:t>
      </w:r>
      <w:r>
        <w:tab/>
        <w:t>Extent of clearing for an area or purpose in relation to a road or railway</w:t>
      </w:r>
      <w:bookmarkEnd w:id="26"/>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lastRenderedPageBreak/>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outlineLvl w:val="9"/>
      </w:pPr>
      <w:bookmarkStart w:id="27" w:name="_Toc155077721"/>
      <w:r>
        <w:rPr>
          <w:rStyle w:val="CharSClsNo"/>
        </w:rPr>
        <w:lastRenderedPageBreak/>
        <w:t>3</w:t>
      </w:r>
      <w:r>
        <w:t>.</w:t>
      </w:r>
      <w:r>
        <w:tab/>
        <w:t>How the clearing is to be carried out</w:t>
      </w:r>
      <w:bookmarkEnd w:id="27"/>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28" w:name="_Toc155077722"/>
      <w:r>
        <w:rPr>
          <w:rStyle w:val="CharSchNo"/>
        </w:rPr>
        <w:lastRenderedPageBreak/>
        <w:t>Schedule 3</w:t>
      </w:r>
      <w:r>
        <w:t> — </w:t>
      </w:r>
      <w:r>
        <w:rPr>
          <w:rStyle w:val="CharSchText"/>
        </w:rPr>
        <w:t>Infrastructure maintenance activities</w:t>
      </w:r>
      <w:bookmarkEnd w:id="28"/>
    </w:p>
    <w:p>
      <w:pPr>
        <w:pStyle w:val="yShoulderClause"/>
      </w:pPr>
      <w:r>
        <w:t>[r. 5(1) item 23]</w:t>
      </w:r>
    </w:p>
    <w:p>
      <w:pPr>
        <w:pStyle w:val="yHeading5"/>
        <w:spacing w:before="120"/>
        <w:outlineLvl w:val="9"/>
      </w:pPr>
      <w:bookmarkStart w:id="29" w:name="_Toc155077723"/>
      <w:r>
        <w:rPr>
          <w:rStyle w:val="CharSClsNo"/>
        </w:rPr>
        <w:t>1</w:t>
      </w:r>
      <w:r>
        <w:t>.</w:t>
      </w:r>
      <w:r>
        <w:tab/>
        <w:t>Infrastructure maintenance activities</w:t>
      </w:r>
      <w:bookmarkEnd w:id="29"/>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outlineLvl w:val="9"/>
      </w:pPr>
      <w:bookmarkStart w:id="30" w:name="_Toc155077724"/>
      <w:r>
        <w:rPr>
          <w:rStyle w:val="CharSClsNo"/>
        </w:rPr>
        <w:t>2</w:t>
      </w:r>
      <w:r>
        <w:t>.</w:t>
      </w:r>
      <w:r>
        <w:tab/>
        <w:t>How the activity is to be carried out</w:t>
      </w:r>
      <w:bookmarkEnd w:id="30"/>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32" w:name="_Toc155077725"/>
      <w:r>
        <w:lastRenderedPageBreak/>
        <w:t>Notes</w:t>
      </w:r>
      <w:bookmarkEnd w:id="32"/>
    </w:p>
    <w:p>
      <w:pPr>
        <w:pStyle w:val="nStatement"/>
      </w:pPr>
      <w:r>
        <w:t xml:space="preserve">This is a compilation of the </w:t>
      </w:r>
      <w:r>
        <w:rPr>
          <w:i/>
          <w:noProof/>
        </w:rPr>
        <w:t>Environmental Protection (Clearing of Native Vegetation)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155077726"/>
      <w:r>
        <w:t>Compilation table</w:t>
      </w:r>
      <w:bookmarkEnd w:id="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pPr>
            <w:r>
              <w:t>23 Oct 2021 (see r. 2(b) and SL 2021/176 cl. 2)</w:t>
            </w:r>
          </w:p>
        </w:tc>
      </w:tr>
      <w:tr>
        <w:tc>
          <w:tcPr>
            <w:tcW w:w="3118" w:type="dxa"/>
            <w:tcBorders>
              <w:top w:val="nil"/>
              <w:bottom w:val="single" w:sz="4" w:space="0" w:color="auto"/>
            </w:tcBorders>
          </w:tcPr>
          <w:p>
            <w:pPr>
              <w:pStyle w:val="nTable"/>
              <w:spacing w:after="40"/>
              <w:rPr>
                <w:i/>
              </w:rPr>
            </w:pPr>
            <w:r>
              <w:rPr>
                <w:i/>
              </w:rPr>
              <w:t>Environment Regulations Amendment (Aboriginal Cultural Heritage) Regulations 2023</w:t>
            </w:r>
            <w:r>
              <w:t xml:space="preserve"> Pt. 3</w:t>
            </w:r>
          </w:p>
        </w:tc>
        <w:tc>
          <w:tcPr>
            <w:tcW w:w="1276" w:type="dxa"/>
            <w:tcBorders>
              <w:top w:val="nil"/>
              <w:bottom w:val="single" w:sz="4" w:space="0" w:color="auto"/>
            </w:tcBorders>
          </w:tcPr>
          <w:p>
            <w:pPr>
              <w:pStyle w:val="nTable"/>
              <w:spacing w:after="40"/>
            </w:pPr>
            <w:r>
              <w:t>SL 2023/50 19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34" w:name="_Toc155077727"/>
      <w:r>
        <w:t>Uncommenced provisions table</w:t>
      </w:r>
      <w:bookmarkEnd w:id="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iCs/>
              </w:rPr>
              <w:t>Environment Regulations Amendment (Aboriginal Heritage) Regulations 2023</w:t>
            </w:r>
            <w:r>
              <w:t xml:space="preserve"> Pt. 3</w:t>
            </w:r>
          </w:p>
        </w:tc>
        <w:tc>
          <w:tcPr>
            <w:tcW w:w="1276" w:type="dxa"/>
          </w:tcPr>
          <w:p>
            <w:pPr>
              <w:pStyle w:val="nTable"/>
              <w:spacing w:after="40"/>
            </w:pPr>
            <w:r>
              <w:t>SL 2023/170 1 Nov 2023</w:t>
            </w:r>
          </w:p>
        </w:tc>
        <w:tc>
          <w:tcPr>
            <w:tcW w:w="2693" w:type="dxa"/>
          </w:tcPr>
          <w:p>
            <w:pPr>
              <w:pStyle w:val="nTable"/>
              <w:spacing w:after="40"/>
            </w:pPr>
            <w:r>
              <w:t>15 Nov 2023 (see r. 2(b) and SL 2023/161 cl. 2)</w:t>
            </w:r>
          </w:p>
        </w:tc>
      </w:tr>
    </w:tbl>
    <w:p>
      <w:pPr>
        <w:pStyle w:val="nHeading3"/>
      </w:pPr>
      <w:bookmarkStart w:id="35" w:name="_Toc155077728"/>
      <w:r>
        <w:t>Other notes</w:t>
      </w:r>
      <w:bookmarkEnd w:id="35"/>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lastRenderedPageBreak/>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37" w:name="_Toc155077729"/>
      <w:r>
        <w:rPr>
          <w:sz w:val="28"/>
        </w:rPr>
        <w:lastRenderedPageBreak/>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3</w:t>
      </w:r>
    </w:p>
    <w:p>
      <w:pPr>
        <w:pStyle w:val="DefinedTerms"/>
      </w:pPr>
      <w:r>
        <w:t>Aboriginal place</w:t>
      </w:r>
      <w:r>
        <w:tab/>
        <w:t>13(1)</w:t>
      </w:r>
    </w:p>
    <w:p>
      <w:pPr>
        <w:pStyle w:val="DefinedTerms"/>
      </w:pPr>
      <w:r>
        <w:t>alienated land</w:t>
      </w:r>
      <w:r>
        <w:tab/>
        <w:t>3</w:t>
      </w:r>
    </w:p>
    <w:p>
      <w:pPr>
        <w:pStyle w:val="DefinedTerms"/>
      </w:pPr>
      <w:r>
        <w:t>application area</w:t>
      </w:r>
      <w:r>
        <w:tab/>
        <w:t>7(1)</w:t>
      </w:r>
    </w:p>
    <w:p>
      <w:pPr>
        <w:pStyle w:val="DefinedTerms"/>
      </w:pPr>
      <w:r>
        <w:t>authority area</w:t>
      </w:r>
      <w:r>
        <w:tab/>
        <w:t>Sch. 1 cl. 2(3)</w:t>
      </w:r>
    </w:p>
    <w:p>
      <w:pPr>
        <w:pStyle w:val="DefinedTerms"/>
      </w:pPr>
      <w:r>
        <w:t>biodiversity conservation</w:t>
      </w:r>
      <w:r>
        <w:tab/>
        <w:t>4(2)</w:t>
      </w:r>
    </w:p>
    <w:p>
      <w:pPr>
        <w:pStyle w:val="DefinedTerms"/>
      </w:pPr>
      <w:r>
        <w:t>bioregion</w:t>
      </w:r>
      <w:r>
        <w:tab/>
        <w:t>3</w:t>
      </w:r>
    </w:p>
    <w:p>
      <w:pPr>
        <w:pStyle w:val="DefinedTerms"/>
      </w:pPr>
      <w:r>
        <w:t>building</w:t>
      </w:r>
      <w:r>
        <w:tab/>
        <w:t>3</w:t>
      </w:r>
    </w:p>
    <w:p>
      <w:pPr>
        <w:pStyle w:val="DefinedTerms"/>
      </w:pPr>
      <w:r>
        <w:t>clearing referral</w:t>
      </w:r>
      <w:r>
        <w:tab/>
        <w:t>11(1)</w:t>
      </w:r>
    </w:p>
    <w:p>
      <w:pPr>
        <w:pStyle w:val="DefinedTerms"/>
      </w:pPr>
      <w:r>
        <w:t>confidential material</w:t>
      </w:r>
      <w:r>
        <w:tab/>
        <w:t>11(1)</w:t>
      </w:r>
    </w:p>
    <w:p>
      <w:pPr>
        <w:pStyle w:val="DefinedTerms"/>
      </w:pPr>
      <w:r>
        <w:t>crossover area</w:t>
      </w:r>
      <w:r>
        <w:tab/>
        <w:t>Sch. 2 cl. 1</w:t>
      </w:r>
    </w:p>
    <w:p>
      <w:pPr>
        <w:pStyle w:val="DefinedTerms"/>
      </w:pPr>
      <w:r>
        <w:t>Crown land</w:t>
      </w:r>
      <w:r>
        <w:tab/>
        <w:t>3</w:t>
      </w:r>
    </w:p>
    <w:p>
      <w:pPr>
        <w:pStyle w:val="DefinedTerms"/>
      </w:pPr>
      <w:r>
        <w:t>department</w:t>
      </w:r>
      <w:r>
        <w:tab/>
        <w:t>13(1)</w:t>
      </w:r>
    </w:p>
    <w:p>
      <w:pPr>
        <w:pStyle w:val="DefinedTerms"/>
      </w:pPr>
      <w:r>
        <w:t>documentation</w:t>
      </w:r>
      <w:r>
        <w:tab/>
        <w:t>10</w:t>
      </w:r>
    </w:p>
    <w:p>
      <w:pPr>
        <w:pStyle w:val="DefinedTerms"/>
      </w:pPr>
      <w:r>
        <w:t>environmentally sensitive area</w:t>
      </w:r>
      <w:r>
        <w:tab/>
        <w:t>3</w:t>
      </w:r>
    </w:p>
    <w:p>
      <w:pPr>
        <w:pStyle w:val="DefinedTerms"/>
      </w:pPr>
      <w:r>
        <w:t>fence</w:t>
      </w:r>
      <w:r>
        <w:tab/>
        <w:t>3</w:t>
      </w:r>
    </w:p>
    <w:p>
      <w:pPr>
        <w:pStyle w:val="DefinedTerms"/>
      </w:pPr>
      <w:r>
        <w:t>fire hazard reduction burning</w:t>
      </w:r>
      <w:r>
        <w:tab/>
        <w:t>3</w:t>
      </w:r>
    </w:p>
    <w:p>
      <w:pPr>
        <w:pStyle w:val="DefinedTerms"/>
      </w:pPr>
      <w:r>
        <w:t>fire risk reduction area</w:t>
      </w:r>
      <w:r>
        <w:tab/>
        <w:t>3</w:t>
      </w:r>
    </w:p>
    <w:p>
      <w:pPr>
        <w:pStyle w:val="DefinedTerms"/>
      </w:pPr>
      <w:r>
        <w:t>intensive land-use zone</w:t>
      </w:r>
      <w:r>
        <w:tab/>
        <w:t>3</w:t>
      </w:r>
    </w:p>
    <w:p>
      <w:pPr>
        <w:pStyle w:val="DefinedTerms"/>
      </w:pPr>
      <w:r>
        <w:t>land conservation</w:t>
      </w:r>
      <w:r>
        <w:tab/>
        <w:t>4(2)</w:t>
      </w:r>
    </w:p>
    <w:p>
      <w:pPr>
        <w:pStyle w:val="DefinedTerms"/>
      </w:pPr>
      <w:r>
        <w:t>lateral clearance area</w:t>
      </w:r>
      <w:r>
        <w:tab/>
        <w:t>Sch. 2 cl. 1</w:t>
      </w:r>
    </w:p>
    <w:p>
      <w:pPr>
        <w:pStyle w:val="DefinedTerms"/>
      </w:pPr>
      <w:r>
        <w:t>limited clearing</w:t>
      </w:r>
      <w:r>
        <w:tab/>
        <w:t>3</w:t>
      </w:r>
    </w:p>
    <w:p>
      <w:pPr>
        <w:pStyle w:val="DefinedTerms"/>
      </w:pPr>
      <w:r>
        <w:t>native species</w:t>
      </w:r>
      <w:r>
        <w:tab/>
        <w:t>13(1)</w:t>
      </w:r>
    </w:p>
    <w:p>
      <w:pPr>
        <w:pStyle w:val="DefinedTerms"/>
      </w:pPr>
      <w:r>
        <w:t>plant</w:t>
      </w:r>
      <w:r>
        <w:tab/>
        <w:t>4(2)</w:t>
      </w:r>
    </w:p>
    <w:p>
      <w:pPr>
        <w:pStyle w:val="DefinedTerms"/>
      </w:pPr>
      <w:r>
        <w:t>previously cleared</w:t>
      </w:r>
      <w:r>
        <w:tab/>
        <w:t>Sch. 2 cl. 1</w:t>
      </w:r>
    </w:p>
    <w:p>
      <w:pPr>
        <w:pStyle w:val="DefinedTerms"/>
      </w:pPr>
      <w:r>
        <w:t>priority list</w:t>
      </w:r>
      <w:r>
        <w:tab/>
        <w:t>13(1)</w:t>
      </w:r>
    </w:p>
    <w:p>
      <w:pPr>
        <w:pStyle w:val="DefinedTerms"/>
      </w:pPr>
      <w:r>
        <w:t>property</w:t>
      </w:r>
      <w:r>
        <w:tab/>
        <w:t>3</w:t>
      </w:r>
    </w:p>
    <w:p>
      <w:pPr>
        <w:pStyle w:val="DefinedTerms"/>
      </w:pPr>
      <w:r>
        <w:t>public roadside facility</w:t>
      </w:r>
      <w:r>
        <w:tab/>
        <w:t>Sch. 2 cl. 1</w:t>
      </w:r>
    </w:p>
    <w:p>
      <w:pPr>
        <w:pStyle w:val="DefinedTerms"/>
      </w:pPr>
      <w:r>
        <w:t>publish</w:t>
      </w:r>
      <w:r>
        <w:tab/>
        <w:t>10</w:t>
      </w:r>
    </w:p>
    <w:p>
      <w:pPr>
        <w:pStyle w:val="DefinedTerms"/>
      </w:pPr>
      <w:r>
        <w:t>relevant documentation</w:t>
      </w:r>
      <w:r>
        <w:tab/>
        <w:t>11(2)</w:t>
      </w:r>
    </w:p>
    <w:p>
      <w:pPr>
        <w:pStyle w:val="DefinedTerms"/>
      </w:pPr>
      <w:r>
        <w:t>riparian vegetation</w:t>
      </w:r>
      <w:r>
        <w:tab/>
        <w:t>3</w:t>
      </w:r>
    </w:p>
    <w:p>
      <w:pPr>
        <w:pStyle w:val="DefinedTerms"/>
      </w:pPr>
      <w:r>
        <w:t>scrape and detect operation</w:t>
      </w:r>
      <w:r>
        <w:tab/>
        <w:t>Sch. 1 cl. 1</w:t>
      </w:r>
    </w:p>
    <w:p>
      <w:pPr>
        <w:pStyle w:val="DefinedTerms"/>
      </w:pPr>
      <w:r>
        <w:t>sight line area</w:t>
      </w:r>
      <w:r>
        <w:tab/>
        <w:t>3, Sch. 3 cl. 1(2)</w:t>
      </w:r>
    </w:p>
    <w:p>
      <w:pPr>
        <w:pStyle w:val="DefinedTerms"/>
      </w:pPr>
      <w:r>
        <w:t>species</w:t>
      </w:r>
      <w:r>
        <w:tab/>
        <w:t>13(1)</w:t>
      </w:r>
    </w:p>
    <w:p>
      <w:pPr>
        <w:pStyle w:val="DefinedTerms"/>
      </w:pPr>
      <w:r>
        <w:t>submit</w:t>
      </w:r>
      <w:r>
        <w:tab/>
        <w:t>10</w:t>
      </w:r>
    </w:p>
    <w:p>
      <w:pPr>
        <w:pStyle w:val="DefinedTerms"/>
      </w:pPr>
      <w:r>
        <w:t>threatened species</w:t>
      </w:r>
      <w:r>
        <w:tab/>
        <w:t>13(1)</w:t>
      </w:r>
    </w:p>
    <w:p>
      <w:pPr>
        <w:pStyle w:val="DefinedTerms"/>
      </w:pPr>
      <w:r>
        <w:t>transport corridor infrastructure</w:t>
      </w:r>
      <w:r>
        <w:tab/>
        <w:t>Sch. 2 cl. 1</w:t>
      </w:r>
    </w:p>
    <w:p>
      <w:pPr>
        <w:pStyle w:val="DefinedTerms"/>
      </w:pPr>
      <w:r>
        <w:t>utility</w:t>
      </w:r>
      <w:r>
        <w:tab/>
        <w:t>3</w:t>
      </w:r>
    </w:p>
    <w:p>
      <w:pPr>
        <w:pStyle w:val="DefinedTerms"/>
      </w:pPr>
      <w:r>
        <w:t>watercourse</w:t>
      </w:r>
      <w:r>
        <w:tab/>
        <w:t>3</w:t>
      </w:r>
    </w:p>
    <w:p>
      <w:pPr>
        <w:pStyle w:val="DefinedTerms"/>
      </w:pPr>
      <w:r>
        <w:lastRenderedPageBreak/>
        <w:t>water supply area</w:t>
      </w:r>
      <w:r>
        <w:tab/>
        <w:t>Sch. 1 cl. 1</w:t>
      </w:r>
    </w:p>
    <w:p>
      <w:pPr>
        <w:pStyle w:val="DefinedTerms"/>
      </w:pPr>
      <w:r>
        <w:t>wetland</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60C16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8E2B704" w14:textId="7654897C" w:rsidR="00C62BB9" w:rsidRDefault="00C62BB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C9414A7" w14:textId="77777777" w:rsidR="00C62BB9" w:rsidRDefault="00C62BB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7E942B4" w14:textId="306F8F2C" w:rsidR="00C62BB9" w:rsidRDefault="00C62BB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AB0CCC9" w14:textId="77777777" w:rsidR="00C62BB9" w:rsidRDefault="00C62BB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4354"/>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 w:name="WAFER_2023051614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40609_GUID" w:val="ea870035-d738-435d-a9ca-7e7a76e35f30"/>
    <w:docVar w:name="WAFER_20230627111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1522_GUID" w:val="befdff9c-2027-45b6-9d43-b5dd7066ecca"/>
    <w:docVar w:name="WAFER_20231030103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3557_GUID" w:val="3f40b51c-3078-4436-84a5-9a5c547669cf"/>
    <w:docVar w:name="WAFER_202310301036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103629_GUID" w:val="990e1302-5969-4189-b5fb-2df776437910"/>
    <w:docVar w:name="WAFER_20231228104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4354_GUID" w:val="a90ff409-e450-4b26-ae40-6b7c5433b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6AA8-535E-48B1-AC61-32637CE9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8844</Words>
  <Characters>42540</Characters>
  <Application>Microsoft Office Word</Application>
  <DocSecurity>0</DocSecurity>
  <Lines>1772</Lines>
  <Paragraphs>885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50499</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2004 - 02-i0-01</dc:title>
  <dc:subject/>
  <dc:creator/>
  <cp:keywords/>
  <dc:description/>
  <cp:lastModifiedBy>Master Repository Process</cp:lastModifiedBy>
  <cp:revision>4</cp:revision>
  <cp:lastPrinted>2009-05-12T01:47:00Z</cp:lastPrinted>
  <dcterms:created xsi:type="dcterms:W3CDTF">2024-01-02T00:48:00Z</dcterms:created>
  <dcterms:modified xsi:type="dcterms:W3CDTF">2024-01-02T00:48:00Z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AsAtDate">
    <vt:lpwstr>01 Nov 2023</vt:lpwstr>
  </property>
  <property fmtid="{D5CDD505-2E9C-101B-9397-08002B2CF9AE}" pid="8" name="Suffix">
    <vt:lpwstr>02-i0-01</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