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Water Supply, Sewerage, and Drainage Act 1909 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Preliminary and definitions</w:t>
      </w:r>
    </w:p>
    <w:p>
      <w:pPr>
        <w:pStyle w:val="TOC8"/>
        <w:rPr>
          <w:rFonts w:asciiTheme="minorHAnsi" w:eastAsiaTheme="minorEastAsia" w:hAnsiTheme="minorHAnsi" w:cstheme="minorBidi"/>
          <w:szCs w:val="22"/>
        </w:rPr>
      </w:pPr>
      <w:r>
        <w:t>1.0</w:t>
      </w:r>
      <w:r>
        <w:rPr>
          <w:snapToGrid w:val="0"/>
        </w:rPr>
        <w:tab/>
        <w:t>Citation</w:t>
      </w:r>
      <w:r>
        <w:tab/>
      </w:r>
      <w:r>
        <w:fldChar w:fldCharType="begin"/>
      </w:r>
      <w:r>
        <w:instrText xml:space="preserve"> PAGEREF _Toc155098044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ab/>
        <w:t>Terms used</w:t>
      </w:r>
      <w:r>
        <w:tab/>
      </w:r>
      <w:r>
        <w:fldChar w:fldCharType="begin"/>
      </w:r>
      <w:r>
        <w:instrText xml:space="preserve"> PAGEREF _Toc155098045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4.0 Protection of catchment areas and water reserves</w:t>
      </w:r>
    </w:p>
    <w:p>
      <w:pPr>
        <w:pStyle w:val="TOC8"/>
        <w:rPr>
          <w:rFonts w:asciiTheme="minorHAnsi" w:eastAsiaTheme="minorEastAsia" w:hAnsiTheme="minorHAnsi" w:cstheme="minorBidi"/>
          <w:szCs w:val="22"/>
        </w:rPr>
      </w:pPr>
      <w:r>
        <w:t>4.1</w:t>
      </w:r>
      <w:r>
        <w:rPr>
          <w:snapToGrid w:val="0"/>
        </w:rPr>
        <w:tab/>
        <w:t>Object of this Part</w:t>
      </w:r>
      <w:r>
        <w:tab/>
      </w:r>
      <w:r>
        <w:fldChar w:fldCharType="begin"/>
      </w:r>
      <w:r>
        <w:instrText xml:space="preserve"> PAGEREF _Toc155098047 \h </w:instrText>
      </w:r>
      <w:r>
        <w:fldChar w:fldCharType="separate"/>
      </w:r>
      <w:r>
        <w:t>5</w:t>
      </w:r>
      <w:r>
        <w:fldChar w:fldCharType="end"/>
      </w:r>
    </w:p>
    <w:p>
      <w:pPr>
        <w:pStyle w:val="TOC8"/>
        <w:rPr>
          <w:rFonts w:asciiTheme="minorHAnsi" w:eastAsiaTheme="minorEastAsia" w:hAnsiTheme="minorHAnsi" w:cstheme="minorBidi"/>
          <w:szCs w:val="22"/>
        </w:rPr>
      </w:pPr>
      <w:r>
        <w:t>4.2</w:t>
      </w:r>
      <w:r>
        <w:rPr>
          <w:snapToGrid w:val="0"/>
        </w:rPr>
        <w:tab/>
        <w:t>Application of this Part</w:t>
      </w:r>
      <w:r>
        <w:tab/>
      </w:r>
      <w:r>
        <w:fldChar w:fldCharType="begin"/>
      </w:r>
      <w:r>
        <w:instrText xml:space="preserve"> PAGEREF _Toc155098048 \h </w:instrText>
      </w:r>
      <w:r>
        <w:fldChar w:fldCharType="separate"/>
      </w:r>
      <w:r>
        <w:t>5</w:t>
      </w:r>
      <w:r>
        <w:fldChar w:fldCharType="end"/>
      </w:r>
    </w:p>
    <w:p>
      <w:pPr>
        <w:pStyle w:val="TOC8"/>
        <w:rPr>
          <w:rFonts w:asciiTheme="minorHAnsi" w:eastAsiaTheme="minorEastAsia" w:hAnsiTheme="minorHAnsi" w:cstheme="minorBidi"/>
          <w:szCs w:val="22"/>
        </w:rPr>
      </w:pPr>
      <w:r>
        <w:t>4.3</w:t>
      </w:r>
      <w:r>
        <w:rPr>
          <w:snapToGrid w:val="0"/>
        </w:rPr>
        <w:tab/>
        <w:t>Catchment areas etc., protection of</w:t>
      </w:r>
      <w:r>
        <w:tab/>
      </w:r>
      <w:r>
        <w:fldChar w:fldCharType="begin"/>
      </w:r>
      <w:r>
        <w:instrText xml:space="preserve"> PAGEREF _Toc155098049 \h </w:instrText>
      </w:r>
      <w:r>
        <w:fldChar w:fldCharType="separate"/>
      </w:r>
      <w:r>
        <w:t>6</w:t>
      </w:r>
      <w:r>
        <w:fldChar w:fldCharType="end"/>
      </w:r>
    </w:p>
    <w:p>
      <w:pPr>
        <w:pStyle w:val="TOC8"/>
        <w:rPr>
          <w:rFonts w:asciiTheme="minorHAnsi" w:eastAsiaTheme="minorEastAsia" w:hAnsiTheme="minorHAnsi" w:cstheme="minorBidi"/>
          <w:szCs w:val="22"/>
        </w:rPr>
      </w:pPr>
      <w:r>
        <w:t>4.4</w:t>
      </w:r>
      <w:r>
        <w:rPr>
          <w:snapToGrid w:val="0"/>
        </w:rPr>
        <w:tab/>
        <w:t>Sewage, liquid waste and solid refuse</w:t>
      </w:r>
      <w:r>
        <w:tab/>
      </w:r>
      <w:r>
        <w:fldChar w:fldCharType="begin"/>
      </w:r>
      <w:r>
        <w:instrText xml:space="preserve"> PAGEREF _Toc155098050 \h </w:instrText>
      </w:r>
      <w:r>
        <w:fldChar w:fldCharType="separate"/>
      </w:r>
      <w:r>
        <w:t>7</w:t>
      </w:r>
      <w:r>
        <w:fldChar w:fldCharType="end"/>
      </w:r>
    </w:p>
    <w:p>
      <w:pPr>
        <w:pStyle w:val="TOC8"/>
        <w:rPr>
          <w:rFonts w:asciiTheme="minorHAnsi" w:eastAsiaTheme="minorEastAsia" w:hAnsiTheme="minorHAnsi" w:cstheme="minorBidi"/>
          <w:szCs w:val="22"/>
        </w:rPr>
      </w:pPr>
      <w:r>
        <w:t>4.5</w:t>
      </w:r>
      <w:r>
        <w:rPr>
          <w:snapToGrid w:val="0"/>
        </w:rPr>
        <w:tab/>
        <w:t>Animals and birds</w:t>
      </w:r>
      <w:r>
        <w:tab/>
      </w:r>
      <w:r>
        <w:fldChar w:fldCharType="begin"/>
      </w:r>
      <w:r>
        <w:instrText xml:space="preserve"> PAGEREF _Toc155098051 \h </w:instrText>
      </w:r>
      <w:r>
        <w:fldChar w:fldCharType="separate"/>
      </w:r>
      <w:r>
        <w:t>8</w:t>
      </w:r>
      <w:r>
        <w:fldChar w:fldCharType="end"/>
      </w:r>
    </w:p>
    <w:p>
      <w:pPr>
        <w:pStyle w:val="TOC8"/>
        <w:rPr>
          <w:rFonts w:asciiTheme="minorHAnsi" w:eastAsiaTheme="minorEastAsia" w:hAnsiTheme="minorHAnsi" w:cstheme="minorBidi"/>
          <w:szCs w:val="22"/>
        </w:rPr>
      </w:pPr>
      <w:r>
        <w:t>4.6</w:t>
      </w:r>
      <w:r>
        <w:rPr>
          <w:snapToGrid w:val="0"/>
        </w:rPr>
        <w:tab/>
        <w:t>Manure, fertilizers, chemicals, petrol etc.</w:t>
      </w:r>
      <w:r>
        <w:tab/>
      </w:r>
      <w:r>
        <w:fldChar w:fldCharType="begin"/>
      </w:r>
      <w:r>
        <w:instrText xml:space="preserve"> PAGEREF _Toc155098052 \h </w:instrText>
      </w:r>
      <w:r>
        <w:fldChar w:fldCharType="separate"/>
      </w:r>
      <w:r>
        <w:t>9</w:t>
      </w:r>
      <w:r>
        <w:fldChar w:fldCharType="end"/>
      </w:r>
    </w:p>
    <w:p>
      <w:pPr>
        <w:pStyle w:val="TOC8"/>
        <w:rPr>
          <w:rFonts w:asciiTheme="minorHAnsi" w:eastAsiaTheme="minorEastAsia" w:hAnsiTheme="minorHAnsi" w:cstheme="minorBidi"/>
          <w:szCs w:val="22"/>
        </w:rPr>
      </w:pPr>
      <w:r>
        <w:t>4.7</w:t>
      </w:r>
      <w:r>
        <w:rPr>
          <w:snapToGrid w:val="0"/>
        </w:rPr>
        <w:tab/>
        <w:t>Clearing, road construction, vehicles etc.</w:t>
      </w:r>
      <w:r>
        <w:tab/>
      </w:r>
      <w:r>
        <w:fldChar w:fldCharType="begin"/>
      </w:r>
      <w:r>
        <w:instrText xml:space="preserve"> PAGEREF _Toc155098053 \h </w:instrText>
      </w:r>
      <w:r>
        <w:fldChar w:fldCharType="separate"/>
      </w:r>
      <w:r>
        <w:t>11</w:t>
      </w:r>
      <w:r>
        <w:fldChar w:fldCharType="end"/>
      </w:r>
    </w:p>
    <w:p>
      <w:pPr>
        <w:pStyle w:val="TOC8"/>
        <w:rPr>
          <w:rFonts w:asciiTheme="minorHAnsi" w:eastAsiaTheme="minorEastAsia" w:hAnsiTheme="minorHAnsi" w:cstheme="minorBidi"/>
          <w:szCs w:val="22"/>
        </w:rPr>
      </w:pPr>
      <w:r>
        <w:t>4.8</w:t>
      </w:r>
      <w:r>
        <w:rPr>
          <w:snapToGrid w:val="0"/>
        </w:rPr>
        <w:tab/>
        <w:t>Development, mining, offensive trades etc.</w:t>
      </w:r>
      <w:r>
        <w:tab/>
      </w:r>
      <w:r>
        <w:fldChar w:fldCharType="begin"/>
      </w:r>
      <w:r>
        <w:instrText xml:space="preserve"> PAGEREF _Toc155098054 \h </w:instrText>
      </w:r>
      <w:r>
        <w:fldChar w:fldCharType="separate"/>
      </w:r>
      <w:r>
        <w:t>11</w:t>
      </w:r>
      <w:r>
        <w:fldChar w:fldCharType="end"/>
      </w:r>
    </w:p>
    <w:p>
      <w:pPr>
        <w:pStyle w:val="TOC8"/>
        <w:rPr>
          <w:rFonts w:asciiTheme="minorHAnsi" w:eastAsiaTheme="minorEastAsia" w:hAnsiTheme="minorHAnsi" w:cstheme="minorBidi"/>
          <w:szCs w:val="22"/>
        </w:rPr>
      </w:pPr>
      <w:r>
        <w:t>4.9</w:t>
      </w:r>
      <w:r>
        <w:rPr>
          <w:snapToGrid w:val="0"/>
        </w:rPr>
        <w:tab/>
        <w:t>Remedying damage etc., CEO’s powers for</w:t>
      </w:r>
      <w:r>
        <w:tab/>
      </w:r>
      <w:r>
        <w:fldChar w:fldCharType="begin"/>
      </w:r>
      <w:r>
        <w:instrText xml:space="preserve"> PAGEREF _Toc155098055 \h </w:instrText>
      </w:r>
      <w:r>
        <w:fldChar w:fldCharType="separate"/>
      </w:r>
      <w:r>
        <w:t>12</w:t>
      </w:r>
      <w:r>
        <w:fldChar w:fldCharType="end"/>
      </w:r>
    </w:p>
    <w:p>
      <w:pPr>
        <w:pStyle w:val="TOC8"/>
        <w:rPr>
          <w:rFonts w:asciiTheme="minorHAnsi" w:eastAsiaTheme="minorEastAsia" w:hAnsiTheme="minorHAnsi" w:cstheme="minorBidi"/>
          <w:szCs w:val="22"/>
        </w:rPr>
      </w:pPr>
      <w:r>
        <w:t>4.10</w:t>
      </w:r>
      <w:r>
        <w:rPr>
          <w:snapToGrid w:val="0"/>
        </w:rPr>
        <w:tab/>
        <w:t>Signs; rangers’ powers</w:t>
      </w:r>
      <w:r>
        <w:tab/>
      </w:r>
      <w:r>
        <w:fldChar w:fldCharType="begin"/>
      </w:r>
      <w:r>
        <w:instrText xml:space="preserve"> PAGEREF _Toc155098056 \h </w:instrText>
      </w:r>
      <w:r>
        <w:fldChar w:fldCharType="separate"/>
      </w:r>
      <w:r>
        <w:t>12</w:t>
      </w:r>
      <w:r>
        <w:fldChar w:fldCharType="end"/>
      </w:r>
    </w:p>
    <w:p>
      <w:pPr>
        <w:pStyle w:val="TOC8"/>
        <w:rPr>
          <w:rFonts w:asciiTheme="minorHAnsi" w:eastAsiaTheme="minorEastAsia" w:hAnsiTheme="minorHAnsi" w:cstheme="minorBidi"/>
          <w:szCs w:val="22"/>
        </w:rPr>
      </w:pPr>
      <w:r>
        <w:t>4.11</w:t>
      </w:r>
      <w:r>
        <w:tab/>
        <w:t>Designated camping sites for Noongar people</w:t>
      </w:r>
      <w:r>
        <w:tab/>
      </w:r>
      <w:r>
        <w:fldChar w:fldCharType="begin"/>
      </w:r>
      <w:r>
        <w:instrText xml:space="preserve"> PAGEREF _Toc155098057 \h </w:instrText>
      </w:r>
      <w:r>
        <w:fldChar w:fldCharType="separate"/>
      </w:r>
      <w:r>
        <w:t>13</w:t>
      </w:r>
      <w:r>
        <w:fldChar w:fldCharType="end"/>
      </w:r>
    </w:p>
    <w:p>
      <w:pPr>
        <w:pStyle w:val="TOC8"/>
        <w:rPr>
          <w:rFonts w:asciiTheme="minorHAnsi" w:eastAsiaTheme="minorEastAsia" w:hAnsiTheme="minorHAnsi" w:cstheme="minorBidi"/>
          <w:szCs w:val="22"/>
        </w:rPr>
      </w:pPr>
      <w:r>
        <w:t>4.12</w:t>
      </w:r>
      <w:r>
        <w:tab/>
        <w:t>Customary hunting by Noongar people</w:t>
      </w:r>
      <w:r>
        <w:tab/>
      </w:r>
      <w:r>
        <w:fldChar w:fldCharType="begin"/>
      </w:r>
      <w:r>
        <w:instrText xml:space="preserve"> PAGEREF _Toc155098058 \h </w:instrText>
      </w:r>
      <w:r>
        <w:fldChar w:fldCharType="separate"/>
      </w:r>
      <w:r>
        <w:t>14</w:t>
      </w:r>
      <w:r>
        <w:fldChar w:fldCharType="end"/>
      </w:r>
    </w:p>
    <w:p>
      <w:pPr>
        <w:pStyle w:val="TOC8"/>
        <w:rPr>
          <w:rFonts w:asciiTheme="minorHAnsi" w:eastAsiaTheme="minorEastAsia" w:hAnsiTheme="minorHAnsi" w:cstheme="minorBidi"/>
          <w:szCs w:val="22"/>
        </w:rPr>
      </w:pPr>
      <w:r>
        <w:t>4.13</w:t>
      </w:r>
      <w:r>
        <w:tab/>
        <w:t>Noongar people lighting fires for customary purposes</w:t>
      </w:r>
      <w:r>
        <w:tab/>
      </w:r>
      <w:r>
        <w:fldChar w:fldCharType="begin"/>
      </w:r>
      <w:r>
        <w:instrText xml:space="preserve"> PAGEREF _Toc155098059 \h </w:instrText>
      </w:r>
      <w:r>
        <w:fldChar w:fldCharType="separate"/>
      </w:r>
      <w:r>
        <w:t>15</w:t>
      </w:r>
      <w:r>
        <w:fldChar w:fldCharType="end"/>
      </w:r>
    </w:p>
    <w:p>
      <w:pPr>
        <w:pStyle w:val="TOC8"/>
        <w:rPr>
          <w:rFonts w:asciiTheme="minorHAnsi" w:eastAsiaTheme="minorEastAsia" w:hAnsiTheme="minorHAnsi" w:cstheme="minorBidi"/>
          <w:szCs w:val="22"/>
        </w:rPr>
      </w:pPr>
      <w:r>
        <w:t>4.14</w:t>
      </w:r>
      <w:r>
        <w:tab/>
        <w:t>Entry to registered Aboriginal places by Noongar people</w:t>
      </w:r>
      <w:r>
        <w:tab/>
      </w:r>
      <w:r>
        <w:fldChar w:fldCharType="begin"/>
      </w:r>
      <w:r>
        <w:instrText xml:space="preserve"> PAGEREF _Toc155098060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5.0 Protection of public water supply areas and underground water pollution control areas</w:t>
      </w:r>
    </w:p>
    <w:p>
      <w:pPr>
        <w:pStyle w:val="TOC8"/>
        <w:rPr>
          <w:rFonts w:asciiTheme="minorHAnsi" w:eastAsiaTheme="minorEastAsia" w:hAnsiTheme="minorHAnsi" w:cstheme="minorBidi"/>
          <w:szCs w:val="22"/>
        </w:rPr>
      </w:pPr>
      <w:r>
        <w:t>5.1</w:t>
      </w:r>
      <w:r>
        <w:rPr>
          <w:snapToGrid w:val="0"/>
        </w:rPr>
        <w:tab/>
        <w:t>Object of this Part; CEO may erect signs</w:t>
      </w:r>
      <w:r>
        <w:tab/>
      </w:r>
      <w:r>
        <w:fldChar w:fldCharType="begin"/>
      </w:r>
      <w:r>
        <w:instrText xml:space="preserve"> PAGEREF _Toc155098062 \h </w:instrText>
      </w:r>
      <w:r>
        <w:fldChar w:fldCharType="separate"/>
      </w:r>
      <w:r>
        <w:t>17</w:t>
      </w:r>
      <w:r>
        <w:fldChar w:fldCharType="end"/>
      </w:r>
    </w:p>
    <w:p>
      <w:pPr>
        <w:pStyle w:val="TOC8"/>
        <w:rPr>
          <w:rFonts w:asciiTheme="minorHAnsi" w:eastAsiaTheme="minorEastAsia" w:hAnsiTheme="minorHAnsi" w:cstheme="minorBidi"/>
          <w:szCs w:val="22"/>
        </w:rPr>
      </w:pPr>
      <w:r>
        <w:t>5.3</w:t>
      </w:r>
      <w:r>
        <w:rPr>
          <w:snapToGrid w:val="0"/>
        </w:rPr>
        <w:tab/>
        <w:t>Causing flooding of wells etc.</w:t>
      </w:r>
      <w:r>
        <w:tab/>
      </w:r>
      <w:r>
        <w:fldChar w:fldCharType="begin"/>
      </w:r>
      <w:r>
        <w:instrText xml:space="preserve"> PAGEREF _Toc155098063 \h </w:instrText>
      </w:r>
      <w:r>
        <w:fldChar w:fldCharType="separate"/>
      </w:r>
      <w:r>
        <w:t>17</w:t>
      </w:r>
      <w:r>
        <w:fldChar w:fldCharType="end"/>
      </w:r>
    </w:p>
    <w:p>
      <w:pPr>
        <w:pStyle w:val="TOC8"/>
        <w:rPr>
          <w:rFonts w:asciiTheme="minorHAnsi" w:eastAsiaTheme="minorEastAsia" w:hAnsiTheme="minorHAnsi" w:cstheme="minorBidi"/>
          <w:szCs w:val="22"/>
        </w:rPr>
      </w:pPr>
      <w:r>
        <w:t>5.4</w:t>
      </w:r>
      <w:r>
        <w:rPr>
          <w:snapToGrid w:val="0"/>
        </w:rPr>
        <w:tab/>
        <w:t>Pollution areas, production wells etc., protection of</w:t>
      </w:r>
      <w:r>
        <w:tab/>
      </w:r>
      <w:r>
        <w:fldChar w:fldCharType="begin"/>
      </w:r>
      <w:r>
        <w:instrText xml:space="preserve"> PAGEREF _Toc155098064 \h </w:instrText>
      </w:r>
      <w:r>
        <w:fldChar w:fldCharType="separate"/>
      </w:r>
      <w:r>
        <w:t>17</w:t>
      </w:r>
      <w:r>
        <w:fldChar w:fldCharType="end"/>
      </w:r>
    </w:p>
    <w:p>
      <w:pPr>
        <w:pStyle w:val="TOC8"/>
        <w:rPr>
          <w:rFonts w:asciiTheme="minorHAnsi" w:eastAsiaTheme="minorEastAsia" w:hAnsiTheme="minorHAnsi" w:cstheme="minorBidi"/>
          <w:szCs w:val="22"/>
        </w:rPr>
      </w:pPr>
      <w:r>
        <w:t>5.5</w:t>
      </w:r>
      <w:r>
        <w:rPr>
          <w:snapToGrid w:val="0"/>
        </w:rPr>
        <w:tab/>
        <w:t>Pollution areas, development and storing petrol etc. in</w:t>
      </w:r>
      <w:r>
        <w:tab/>
      </w:r>
      <w:r>
        <w:fldChar w:fldCharType="begin"/>
      </w:r>
      <w:r>
        <w:instrText xml:space="preserve"> PAGEREF _Toc155098065 \h </w:instrText>
      </w:r>
      <w:r>
        <w:fldChar w:fldCharType="separate"/>
      </w:r>
      <w:r>
        <w:t>19</w:t>
      </w:r>
      <w:r>
        <w:fldChar w:fldCharType="end"/>
      </w:r>
    </w:p>
    <w:p>
      <w:pPr>
        <w:pStyle w:val="TOC8"/>
        <w:rPr>
          <w:rFonts w:asciiTheme="minorHAnsi" w:eastAsiaTheme="minorEastAsia" w:hAnsiTheme="minorHAnsi" w:cstheme="minorBidi"/>
          <w:szCs w:val="22"/>
        </w:rPr>
      </w:pPr>
      <w:r>
        <w:t>5.6</w:t>
      </w:r>
      <w:r>
        <w:rPr>
          <w:snapToGrid w:val="0"/>
        </w:rPr>
        <w:tab/>
        <w:t>Priority source protection areas, control of certain developments in</w:t>
      </w:r>
      <w:r>
        <w:tab/>
      </w:r>
      <w:r>
        <w:fldChar w:fldCharType="begin"/>
      </w:r>
      <w:r>
        <w:instrText xml:space="preserve"> PAGEREF _Toc155098066 \h </w:instrText>
      </w:r>
      <w:r>
        <w:fldChar w:fldCharType="separate"/>
      </w:r>
      <w:r>
        <w:t>23</w:t>
      </w:r>
      <w:r>
        <w:fldChar w:fldCharType="end"/>
      </w:r>
    </w:p>
    <w:p>
      <w:pPr>
        <w:pStyle w:val="TOC2"/>
        <w:tabs>
          <w:tab w:val="right" w:leader="dot" w:pos="7077"/>
        </w:tabs>
        <w:rPr>
          <w:rFonts w:asciiTheme="minorHAnsi" w:eastAsiaTheme="minorEastAsia" w:hAnsiTheme="minorHAnsi" w:cstheme="minorBidi"/>
          <w:b w:val="0"/>
          <w:sz w:val="22"/>
          <w:szCs w:val="22"/>
        </w:rPr>
      </w:pPr>
      <w:r>
        <w:t>31.0 Offences and penalties</w:t>
      </w:r>
    </w:p>
    <w:p>
      <w:pPr>
        <w:pStyle w:val="TOC8"/>
        <w:rPr>
          <w:rFonts w:asciiTheme="minorHAnsi" w:eastAsiaTheme="minorEastAsia" w:hAnsiTheme="minorHAnsi" w:cstheme="minorBidi"/>
          <w:szCs w:val="22"/>
        </w:rPr>
      </w:pPr>
      <w:r>
        <w:t>31.4</w:t>
      </w:r>
      <w:r>
        <w:rPr>
          <w:snapToGrid w:val="0"/>
        </w:rPr>
        <w:tab/>
        <w:t>Penalties</w:t>
      </w:r>
      <w:r>
        <w:tab/>
      </w:r>
      <w:r>
        <w:fldChar w:fldCharType="begin"/>
      </w:r>
      <w:r>
        <w:instrText xml:space="preserve"> PAGEREF _Toc155098068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Schedule 1 — Description of South West Settlement Area</w:t>
      </w:r>
    </w:p>
    <w:p>
      <w:pPr>
        <w:pStyle w:val="TOC2"/>
        <w:tabs>
          <w:tab w:val="right" w:leader="dot" w:pos="7077"/>
        </w:tabs>
        <w:rPr>
          <w:rFonts w:asciiTheme="minorHAnsi" w:eastAsiaTheme="minorEastAsia" w:hAnsiTheme="minorHAnsi" w:cstheme="minorBidi"/>
          <w:b w:val="0"/>
          <w:sz w:val="22"/>
          <w:szCs w:val="22"/>
        </w:rPr>
      </w:pPr>
      <w:r>
        <w:t>Schedule 2 — Map of South West Settlement Area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_Toc155098072 \h </w:instrText>
      </w:r>
      <w:r>
        <w:fldChar w:fldCharType="separate"/>
      </w:r>
      <w:r>
        <w:t>37</w:t>
      </w:r>
      <w:r>
        <w:fldChar w:fldCharType="end"/>
      </w:r>
    </w:p>
    <w:p>
      <w:pPr>
        <w:pStyle w:val="TOC8"/>
        <w:rPr>
          <w:rFonts w:asciiTheme="minorHAnsi" w:eastAsiaTheme="minorEastAsia" w:hAnsiTheme="minorHAnsi" w:cstheme="minorBidi"/>
          <w:szCs w:val="22"/>
        </w:rPr>
      </w:pPr>
      <w:r>
        <w:t>Uncommenced provisions table</w:t>
      </w:r>
      <w:r>
        <w:tab/>
      </w:r>
      <w:r>
        <w:fldChar w:fldCharType="begin"/>
      </w:r>
      <w:r>
        <w:instrText xml:space="preserve"> PAGEREF _Toc155098073 \h </w:instrText>
      </w:r>
      <w:r>
        <w:fldChar w:fldCharType="separate"/>
      </w:r>
      <w:r>
        <w:t>43</w:t>
      </w:r>
      <w:r>
        <w:fldChar w:fldCharType="end"/>
      </w:r>
    </w:p>
    <w:p>
      <w:pPr>
        <w:pStyle w:val="TOC8"/>
        <w:rPr>
          <w:rFonts w:asciiTheme="minorHAnsi" w:eastAsiaTheme="minorEastAsia" w:hAnsiTheme="minorHAnsi" w:cstheme="minorBidi"/>
          <w:szCs w:val="22"/>
        </w:rPr>
      </w:pPr>
      <w:r>
        <w:t>Other notes</w:t>
      </w:r>
      <w:r>
        <w:tab/>
      </w:r>
      <w:r>
        <w:fldChar w:fldCharType="begin"/>
      </w:r>
      <w:r>
        <w:instrText xml:space="preserve"> PAGEREF _Toc155098074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2381" w:right="2410" w:bottom="3544" w:left="2410" w:header="720" w:footer="3544" w:gutter="0"/>
          <w:pgNumType w:fmt="lowerRoman" w:start="1"/>
          <w:cols w:space="720"/>
          <w:noEndnote/>
          <w:titlePg/>
        </w:sectPr>
      </w:pPr>
    </w:p>
    <w:p>
      <w:pPr>
        <w:pStyle w:val="WA"/>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1</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155098043"/>
      <w:r>
        <w:rPr>
          <w:rStyle w:val="CharPartText"/>
        </w:rPr>
        <w:t>Preliminary and definitions</w:t>
      </w:r>
      <w:bookmarkEnd w:id="3"/>
    </w:p>
    <w:p>
      <w:pPr>
        <w:pStyle w:val="Heading5"/>
        <w:spacing w:before="120"/>
        <w:rPr>
          <w:snapToGrid w:val="0"/>
        </w:rPr>
      </w:pPr>
      <w:bookmarkStart w:id="4" w:name="_Toc155098044"/>
      <w:r>
        <w:rPr>
          <w:rStyle w:val="CharSectno"/>
        </w:rPr>
        <w:t>1.0</w:t>
      </w:r>
      <w:r>
        <w:rPr>
          <w:snapToGrid w:val="0"/>
        </w:rPr>
        <w:tab/>
        <w:t>Citation</w:t>
      </w:r>
      <w:bookmarkEnd w:id="4"/>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 xml:space="preserve">laws 1981 </w:t>
      </w:r>
      <w:r>
        <w:rPr>
          <w:snapToGrid w:val="0"/>
        </w:rPr>
        <w:t>and shall come into</w:t>
      </w:r>
      <w:r>
        <w:rPr>
          <w:i/>
          <w:snapToGrid w:val="0"/>
        </w:rPr>
        <w:t xml:space="preserve"> </w:t>
      </w:r>
      <w:r>
        <w:rPr>
          <w:snapToGrid w:val="0"/>
        </w:rPr>
        <w:t>operation on 1 March 1981.</w:t>
      </w:r>
    </w:p>
    <w:p>
      <w:pPr>
        <w:pStyle w:val="Heading5"/>
        <w:rPr>
          <w:snapToGrid w:val="0"/>
        </w:rPr>
      </w:pPr>
      <w:bookmarkStart w:id="5" w:name="_Toc155098045"/>
      <w:r>
        <w:rPr>
          <w:rStyle w:val="CharSectno"/>
        </w:rPr>
        <w:t>1.1</w:t>
      </w:r>
      <w:r>
        <w:rPr>
          <w:snapToGrid w:val="0"/>
        </w:rPr>
        <w:tab/>
        <w:t>Terms used</w:t>
      </w:r>
      <w:bookmarkEnd w:id="5"/>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1</w:t>
      </w:r>
      <w:r>
        <w:t>, as amended from time to time;</w:t>
      </w:r>
    </w:p>
    <w:p>
      <w:pPr>
        <w:pStyle w:val="Defstart"/>
        <w:keepNext/>
      </w:pPr>
      <w:r>
        <w:rPr>
          <w:b/>
        </w:rPr>
        <w:lastRenderedPageBreak/>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lastRenderedPageBreak/>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place</w:t>
      </w:r>
      <w:r>
        <w:t xml:space="preserve"> means an Aboriginal place (as defined in paragraph (b)(i) of the definition of </w:t>
      </w:r>
      <w:r>
        <w:rPr>
          <w:b/>
          <w:i/>
        </w:rPr>
        <w:t>Aboriginal cultural heritage</w:t>
      </w:r>
      <w:r>
        <w:t xml:space="preserve"> in the </w:t>
      </w:r>
      <w:r>
        <w:rPr>
          <w:i/>
        </w:rPr>
        <w:t>Aboriginal Cultural Heritage Act 2021</w:t>
      </w:r>
      <w:r>
        <w:t xml:space="preserve"> section 12) about which information is contained on the ACH Directory (as defined in section 11 of that Act);</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keepNext/>
      </w:pPr>
      <w:r>
        <w:lastRenderedPageBreak/>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 SL 2023/54 bl. 4.]</w:t>
      </w:r>
    </w:p>
    <w:p>
      <w:pPr>
        <w:pStyle w:val="Ednotesection"/>
        <w:rPr>
          <w:b/>
        </w:rPr>
      </w:pPr>
      <w:r>
        <w:t>[</w:t>
      </w:r>
      <w:r>
        <w:rPr>
          <w:b/>
        </w:rPr>
        <w:t>1.2</w:t>
      </w:r>
      <w:r>
        <w:rPr>
          <w:b/>
        </w:rPr>
        <w:noBreakHyphen/>
        <w:t>1.4</w:t>
      </w:r>
      <w:r>
        <w:rPr>
          <w:b/>
        </w:rPr>
        <w:tab/>
      </w:r>
      <w:r>
        <w:t>Deleted: Gazette 28 Jun 2004 p. 2374.]</w:t>
      </w:r>
    </w:p>
    <w:p>
      <w:pPr>
        <w:pStyle w:val="Ednotesection"/>
      </w:pPr>
      <w:r>
        <w:t>[</w:t>
      </w:r>
      <w:r>
        <w:rPr>
          <w:b/>
        </w:rPr>
        <w:t>2.0</w:t>
      </w:r>
      <w:r>
        <w:tab/>
        <w:t>Deleted: Gazette 14 Nov 2013 p. 5055]</w:t>
      </w:r>
    </w:p>
    <w:p>
      <w:pPr>
        <w:pStyle w:val="Ednotesection"/>
      </w:pPr>
      <w:r>
        <w:t>[</w:t>
      </w:r>
      <w:r>
        <w:rPr>
          <w:b/>
        </w:rPr>
        <w:t>3.0</w:t>
      </w:r>
      <w:r>
        <w:tab/>
        <w:t>Deleted: Gazette 14 Nov 2013 p. 5055.]</w:t>
      </w:r>
    </w:p>
    <w:p>
      <w:pPr>
        <w:pStyle w:val="Heading2"/>
      </w:pPr>
      <w:bookmarkStart w:id="6" w:name="_Toc155098046"/>
      <w:r>
        <w:rPr>
          <w:rStyle w:val="CharPartNo"/>
        </w:rPr>
        <w:lastRenderedPageBreak/>
        <w:t xml:space="preserve">4.0 </w:t>
      </w:r>
      <w:r>
        <w:rPr>
          <w:rStyle w:val="CharPartText"/>
        </w:rPr>
        <w:t>Protection of catchment areas and water reserves</w:t>
      </w:r>
      <w:bookmarkEnd w:id="6"/>
    </w:p>
    <w:p>
      <w:pPr>
        <w:pStyle w:val="Heading5"/>
        <w:rPr>
          <w:snapToGrid w:val="0"/>
        </w:rPr>
      </w:pPr>
      <w:bookmarkStart w:id="7" w:name="_Toc155098047"/>
      <w:r>
        <w:rPr>
          <w:rStyle w:val="CharSectno"/>
        </w:rPr>
        <w:t>4.1</w:t>
      </w:r>
      <w:r>
        <w:rPr>
          <w:snapToGrid w:val="0"/>
        </w:rPr>
        <w:tab/>
        <w:t>Object of this Part</w:t>
      </w:r>
      <w:bookmarkEnd w:id="7"/>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Gazette 29 Dec 1995 p. 6321 and 6326; 21 Apr 2011 p. 1475.]</w:t>
      </w:r>
    </w:p>
    <w:p>
      <w:pPr>
        <w:pStyle w:val="Heading5"/>
        <w:rPr>
          <w:snapToGrid w:val="0"/>
        </w:rPr>
      </w:pPr>
      <w:bookmarkStart w:id="8" w:name="_Toc155098048"/>
      <w:r>
        <w:rPr>
          <w:rStyle w:val="CharSectno"/>
        </w:rPr>
        <w:t>4.2</w:t>
      </w:r>
      <w:r>
        <w:rPr>
          <w:snapToGrid w:val="0"/>
        </w:rPr>
        <w:tab/>
        <w:t>Application of this Part</w:t>
      </w:r>
      <w:bookmarkEnd w:id="8"/>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lastRenderedPageBreak/>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Gazette 29 Dec 1995 p. 6321.]</w:t>
      </w:r>
    </w:p>
    <w:p>
      <w:pPr>
        <w:pStyle w:val="Heading5"/>
        <w:rPr>
          <w:snapToGrid w:val="0"/>
        </w:rPr>
      </w:pPr>
      <w:bookmarkStart w:id="9" w:name="_Toc155098049"/>
      <w:r>
        <w:rPr>
          <w:rStyle w:val="CharSectno"/>
        </w:rPr>
        <w:t>4.3</w:t>
      </w:r>
      <w:r>
        <w:rPr>
          <w:snapToGrid w:val="0"/>
        </w:rPr>
        <w:tab/>
        <w:t>Catchment areas etc., protection of</w:t>
      </w:r>
      <w:bookmarkEnd w:id="9"/>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w:t>
      </w:r>
      <w:r>
        <w:rPr>
          <w:snapToGrid w:val="0"/>
        </w:rPr>
        <w:lastRenderedPageBreak/>
        <w:t xml:space="preserve">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Gazette 29 Dec 1995 p. 6321 and 6325; 21 Apr 2011 p. 1475 and 1482; 7 Jun 2016 p. 1783.]</w:t>
      </w:r>
    </w:p>
    <w:p>
      <w:pPr>
        <w:pStyle w:val="Heading5"/>
        <w:spacing w:before="200"/>
        <w:rPr>
          <w:snapToGrid w:val="0"/>
        </w:rPr>
      </w:pPr>
      <w:bookmarkStart w:id="10" w:name="_Toc155098050"/>
      <w:r>
        <w:rPr>
          <w:rStyle w:val="CharSectno"/>
        </w:rPr>
        <w:t>4.4</w:t>
      </w:r>
      <w:r>
        <w:rPr>
          <w:snapToGrid w:val="0"/>
        </w:rPr>
        <w:tab/>
        <w:t>Sewage, liquid waste and solid refuse</w:t>
      </w:r>
      <w:bookmarkEnd w:id="10"/>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lastRenderedPageBreak/>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Gazette 24 Dec 1982 p. 4926; 29 Dec 1995 p. 6325; 26 Jun 1998 p. 3420; 21 Apr 2011 p. 1475 and 1482.]</w:t>
      </w:r>
    </w:p>
    <w:p>
      <w:pPr>
        <w:pStyle w:val="Heading5"/>
        <w:rPr>
          <w:snapToGrid w:val="0"/>
        </w:rPr>
      </w:pPr>
      <w:bookmarkStart w:id="11" w:name="_Toc155098051"/>
      <w:r>
        <w:rPr>
          <w:rStyle w:val="CharSectno"/>
        </w:rPr>
        <w:t>4.5</w:t>
      </w:r>
      <w:r>
        <w:rPr>
          <w:snapToGrid w:val="0"/>
        </w:rPr>
        <w:tab/>
        <w:t>Animals and birds</w:t>
      </w:r>
      <w:bookmarkEnd w:id="11"/>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lastRenderedPageBreak/>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Gazette 29 Dec 1995 p. 6325-6; 21 Apr 2011 p. 1476 and 1482; 7 Jun 2016 p. 1783.]</w:t>
      </w:r>
    </w:p>
    <w:p>
      <w:pPr>
        <w:pStyle w:val="Heading5"/>
        <w:rPr>
          <w:snapToGrid w:val="0"/>
        </w:rPr>
      </w:pPr>
      <w:bookmarkStart w:id="12" w:name="_Toc155098052"/>
      <w:r>
        <w:rPr>
          <w:rStyle w:val="CharSectno"/>
        </w:rPr>
        <w:t>4.6</w:t>
      </w:r>
      <w:r>
        <w:rPr>
          <w:snapToGrid w:val="0"/>
        </w:rPr>
        <w:tab/>
        <w:t>Manure, fertilizers, chemicals, petrol etc.</w:t>
      </w:r>
      <w:bookmarkEnd w:id="12"/>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lastRenderedPageBreak/>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keepNext/>
      </w:pPr>
      <w:r>
        <w:lastRenderedPageBreak/>
        <w:tab/>
        <w:t>(b)</w:t>
      </w:r>
      <w:r>
        <w:tab/>
        <w:t>comply with any requirement of the CEO to install containment structures on the premises.</w:t>
      </w:r>
    </w:p>
    <w:p>
      <w:pPr>
        <w:pStyle w:val="Footnotesection"/>
      </w:pPr>
      <w:r>
        <w:tab/>
        <w:t>[By</w:t>
      </w:r>
      <w:r>
        <w:noBreakHyphen/>
        <w:t>law 4.6 amended: Gazette 29 Dec 1995 p. 6321 and 6325; 18 Mar 2011 p. 928; 21 Apr 2011 p. 1476-7.]</w:t>
      </w:r>
    </w:p>
    <w:p>
      <w:pPr>
        <w:pStyle w:val="Heading5"/>
        <w:rPr>
          <w:snapToGrid w:val="0"/>
        </w:rPr>
      </w:pPr>
      <w:bookmarkStart w:id="13" w:name="_Toc155098053"/>
      <w:r>
        <w:rPr>
          <w:rStyle w:val="CharSectno"/>
        </w:rPr>
        <w:t>4.7</w:t>
      </w:r>
      <w:r>
        <w:rPr>
          <w:snapToGrid w:val="0"/>
        </w:rPr>
        <w:tab/>
        <w:t>Clearing, road construction, vehicles etc.</w:t>
      </w:r>
      <w:bookmarkEnd w:id="13"/>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Gazette 29 Dec 1995 p. 6325 and 6326; 21 Apr 2011 p. 1477-8.]</w:t>
      </w:r>
    </w:p>
    <w:p>
      <w:pPr>
        <w:pStyle w:val="Heading5"/>
        <w:rPr>
          <w:snapToGrid w:val="0"/>
        </w:rPr>
      </w:pPr>
      <w:bookmarkStart w:id="14" w:name="_Toc155098054"/>
      <w:r>
        <w:rPr>
          <w:rStyle w:val="CharSectno"/>
        </w:rPr>
        <w:t>4.8</w:t>
      </w:r>
      <w:r>
        <w:rPr>
          <w:snapToGrid w:val="0"/>
        </w:rPr>
        <w:tab/>
        <w:t>Development, mining, offensive trades etc.</w:t>
      </w:r>
      <w:bookmarkEnd w:id="14"/>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(Miscellaneous Provisions) Act 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lastRenderedPageBreak/>
        <w:tab/>
        <w:t>4.8.4</w:t>
      </w:r>
      <w:r>
        <w:rPr>
          <w:snapToGrid w:val="0"/>
        </w:rPr>
        <w:tab/>
        <w:t xml:space="preserve">The occupier or owner of premises in a catchment area shall maintain those premises at all times to the standards required by the </w:t>
      </w:r>
      <w:r>
        <w:rPr>
          <w:i/>
        </w:rPr>
        <w:t xml:space="preserve">Health (Miscellaneous Provisions) Act 1911 </w:t>
      </w:r>
      <w:r>
        <w:rPr>
          <w:snapToGrid w:val="0"/>
        </w:rPr>
        <w:t>or the relevant regulations made under that Act.</w:t>
      </w:r>
    </w:p>
    <w:p>
      <w:pPr>
        <w:pStyle w:val="Footnotesection"/>
      </w:pPr>
      <w:r>
        <w:tab/>
        <w:t>[By</w:t>
      </w:r>
      <w:r>
        <w:noBreakHyphen/>
        <w:t>law 4.8 amended: Gazette 29 Dec 1995 p. 6325</w:t>
      </w:r>
      <w:r>
        <w:noBreakHyphen/>
        <w:t>6; 21 Apr 2011 p. 1478; 10 Jan 2017 p. 235.]</w:t>
      </w:r>
    </w:p>
    <w:p>
      <w:pPr>
        <w:pStyle w:val="Heading5"/>
        <w:rPr>
          <w:snapToGrid w:val="0"/>
        </w:rPr>
      </w:pPr>
      <w:bookmarkStart w:id="15" w:name="_Toc155098055"/>
      <w:r>
        <w:rPr>
          <w:rStyle w:val="CharSectno"/>
        </w:rPr>
        <w:t>4.9</w:t>
      </w:r>
      <w:r>
        <w:rPr>
          <w:snapToGrid w:val="0"/>
        </w:rPr>
        <w:tab/>
        <w:t>Remedying damage etc., CEO’s powers for</w:t>
      </w:r>
      <w:bookmarkEnd w:id="15"/>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Gazette 29 Dec 1995 p. 6325</w:t>
      </w:r>
      <w:r>
        <w:noBreakHyphen/>
        <w:t>6; 21 Apr 2011 p. 1478-9.]</w:t>
      </w:r>
    </w:p>
    <w:p>
      <w:pPr>
        <w:pStyle w:val="Heading5"/>
        <w:rPr>
          <w:snapToGrid w:val="0"/>
        </w:rPr>
      </w:pPr>
      <w:bookmarkStart w:id="16" w:name="_Toc155098056"/>
      <w:r>
        <w:rPr>
          <w:rStyle w:val="CharSectno"/>
        </w:rPr>
        <w:t>4.10</w:t>
      </w:r>
      <w:r>
        <w:rPr>
          <w:snapToGrid w:val="0"/>
        </w:rPr>
        <w:tab/>
        <w:t>Signs; rangers’ powers</w:t>
      </w:r>
      <w:bookmarkEnd w:id="16"/>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lastRenderedPageBreak/>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Gazette 29 Dec 1995 p. 6321 and 6325-6; 21 Apr 2011 p. 1482.]</w:t>
      </w:r>
    </w:p>
    <w:p>
      <w:pPr>
        <w:pStyle w:val="Heading5"/>
      </w:pPr>
      <w:bookmarkStart w:id="17" w:name="_Toc155098057"/>
      <w:r>
        <w:rPr>
          <w:rStyle w:val="CharSectno"/>
        </w:rPr>
        <w:t>4.11</w:t>
      </w:r>
      <w:r>
        <w:tab/>
        <w:t>Designated camping sites for Noongar people</w:t>
      </w:r>
      <w:bookmarkEnd w:id="17"/>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lastRenderedPageBreak/>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Gazette 7 Jun 2016 p. 1783</w:t>
      </w:r>
      <w:r>
        <w:noBreakHyphen/>
        <w:t>4.]</w:t>
      </w:r>
    </w:p>
    <w:p>
      <w:pPr>
        <w:pStyle w:val="Heading5"/>
      </w:pPr>
      <w:bookmarkStart w:id="18" w:name="_Toc155098058"/>
      <w:r>
        <w:rPr>
          <w:rStyle w:val="CharSectno"/>
        </w:rPr>
        <w:t>4.12</w:t>
      </w:r>
      <w:r>
        <w:tab/>
        <w:t>Customary hunting by Noongar people</w:t>
      </w:r>
      <w:bookmarkEnd w:id="18"/>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at a registered Aboriginal place;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lastRenderedPageBreak/>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Gazette 7 Jun 2016 p. 1784</w:t>
      </w:r>
      <w:r>
        <w:noBreakHyphen/>
        <w:t>5; amended: SL 2023/54 bl. 5.]</w:t>
      </w:r>
    </w:p>
    <w:p>
      <w:pPr>
        <w:pStyle w:val="Heading5"/>
      </w:pPr>
      <w:bookmarkStart w:id="19" w:name="_Toc155098059"/>
      <w:r>
        <w:rPr>
          <w:rStyle w:val="CharSectno"/>
        </w:rPr>
        <w:t>4.13</w:t>
      </w:r>
      <w:r>
        <w:tab/>
        <w:t>Noongar people lighting fires for customary purposes</w:t>
      </w:r>
      <w:bookmarkEnd w:id="19"/>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at a registered Aboriginal place;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Gazette 7 Jun 2016 p. 1785; amended: SL 2023/54 bl. 6.]</w:t>
      </w:r>
    </w:p>
    <w:p>
      <w:pPr>
        <w:pStyle w:val="Heading5"/>
      </w:pPr>
      <w:bookmarkStart w:id="20" w:name="_Toc155098060"/>
      <w:r>
        <w:rPr>
          <w:rStyle w:val="CharSectno"/>
        </w:rPr>
        <w:t>4.14</w:t>
      </w:r>
      <w:r>
        <w:tab/>
        <w:t>Entry to registered Aboriginal places by Noongar people</w:t>
      </w:r>
      <w:bookmarkEnd w:id="20"/>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lastRenderedPageBreak/>
        <w:tab/>
        <w:t>(b)</w:t>
      </w:r>
      <w:r>
        <w:tab/>
        <w:t>the person is travelling directly to or from, or is at, a registered Aboriginal place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Gazette 7 Jun 2016 p. 1785</w:t>
      </w:r>
      <w:r>
        <w:noBreakHyphen/>
        <w:t>6; amended: SL 2023/54 bl. 7.]</w:t>
      </w:r>
    </w:p>
    <w:p>
      <w:pPr>
        <w:pStyle w:val="Heading2"/>
      </w:pPr>
      <w:bookmarkStart w:id="21" w:name="_Toc155098061"/>
      <w:r>
        <w:rPr>
          <w:rStyle w:val="CharPartNo"/>
        </w:rPr>
        <w:lastRenderedPageBreak/>
        <w:t>5.0</w:t>
      </w:r>
      <w:r>
        <w:t xml:space="preserve"> </w:t>
      </w:r>
      <w:r>
        <w:rPr>
          <w:rStyle w:val="CharPartText"/>
        </w:rPr>
        <w:t>Protection of public water supply areas and underground water pollution control areas</w:t>
      </w:r>
      <w:bookmarkEnd w:id="21"/>
    </w:p>
    <w:p>
      <w:pPr>
        <w:pStyle w:val="Heading5"/>
        <w:rPr>
          <w:snapToGrid w:val="0"/>
        </w:rPr>
      </w:pPr>
      <w:bookmarkStart w:id="22" w:name="_Toc155098062"/>
      <w:r>
        <w:rPr>
          <w:rStyle w:val="CharSectno"/>
        </w:rPr>
        <w:t>5.1</w:t>
      </w:r>
      <w:r>
        <w:rPr>
          <w:snapToGrid w:val="0"/>
        </w:rPr>
        <w:tab/>
        <w:t>Object of this Part; CEO may erect signs</w:t>
      </w:r>
      <w:bookmarkEnd w:id="22"/>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Gazette 29 Dec 1995 p. 6325</w:t>
      </w:r>
      <w:r>
        <w:noBreakHyphen/>
        <w:t>6; 21 Apr 2011 p. 1479 and 1482; 14 Nov 2013 p. 5055.]</w:t>
      </w:r>
    </w:p>
    <w:p>
      <w:pPr>
        <w:pStyle w:val="Ednotesection"/>
        <w:rPr>
          <w:b/>
        </w:rPr>
      </w:pPr>
      <w:r>
        <w:t>[</w:t>
      </w:r>
      <w:r>
        <w:rPr>
          <w:b/>
        </w:rPr>
        <w:t>5.2</w:t>
      </w:r>
      <w:r>
        <w:rPr>
          <w:i w:val="0"/>
        </w:rPr>
        <w:tab/>
      </w:r>
      <w:r>
        <w:t>Deleted: Gazette 14 Nov 2013 p.</w:t>
      </w:r>
      <w:r>
        <w:rPr>
          <w:sz w:val="19"/>
        </w:rPr>
        <w:t> </w:t>
      </w:r>
      <w:r>
        <w:t>5055.]</w:t>
      </w:r>
    </w:p>
    <w:p>
      <w:pPr>
        <w:pStyle w:val="Heading5"/>
        <w:rPr>
          <w:snapToGrid w:val="0"/>
        </w:rPr>
      </w:pPr>
      <w:bookmarkStart w:id="23" w:name="_Toc155098063"/>
      <w:r>
        <w:rPr>
          <w:rStyle w:val="CharSectno"/>
        </w:rPr>
        <w:t>5.3</w:t>
      </w:r>
      <w:r>
        <w:rPr>
          <w:snapToGrid w:val="0"/>
        </w:rPr>
        <w:tab/>
        <w:t>Causing flooding of wells etc.</w:t>
      </w:r>
      <w:bookmarkEnd w:id="23"/>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Gazette 14 Nov 2013 p. 5056.]</w:t>
      </w:r>
    </w:p>
    <w:p>
      <w:pPr>
        <w:pStyle w:val="Heading5"/>
        <w:rPr>
          <w:snapToGrid w:val="0"/>
        </w:rPr>
      </w:pPr>
      <w:bookmarkStart w:id="24" w:name="_Toc155098064"/>
      <w:r>
        <w:rPr>
          <w:rStyle w:val="CharSectno"/>
        </w:rPr>
        <w:t>5.4</w:t>
      </w:r>
      <w:r>
        <w:rPr>
          <w:snapToGrid w:val="0"/>
        </w:rPr>
        <w:tab/>
        <w:t>Pollution areas, production wells etc., protection of</w:t>
      </w:r>
      <w:bookmarkEnd w:id="24"/>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lastRenderedPageBreak/>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 xml:space="preserve">A person shall not place any chemical or other substance that is capable of polluting underground water, down a well during the </w:t>
      </w:r>
      <w:r>
        <w:rPr>
          <w:snapToGrid w:val="0"/>
        </w:rPr>
        <w:lastRenderedPageBreak/>
        <w:t>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Gazette 24 Dec 1982 p. 4926; 29 Dec 1995 p. 6322 and 6325</w:t>
      </w:r>
      <w:r>
        <w:noBreakHyphen/>
        <w:t>6; 26 Jun 1998 p. 3420; 18 Mar 2011 p. 928; 21 Apr 2011 p. 1479-80 and 1482; 14 Nov 2013 p. 5056.]</w:t>
      </w:r>
    </w:p>
    <w:p>
      <w:pPr>
        <w:pStyle w:val="Heading5"/>
        <w:rPr>
          <w:snapToGrid w:val="0"/>
        </w:rPr>
      </w:pPr>
      <w:bookmarkStart w:id="25" w:name="_Toc155098065"/>
      <w:r>
        <w:rPr>
          <w:rStyle w:val="CharSectno"/>
        </w:rPr>
        <w:t>5.5</w:t>
      </w:r>
      <w:r>
        <w:rPr>
          <w:snapToGrid w:val="0"/>
        </w:rPr>
        <w:tab/>
        <w:t>Pollution areas, development and storing petrol etc. in</w:t>
      </w:r>
      <w:bookmarkEnd w:id="25"/>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Health (Miscellaneous Provisions) Act 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 xml:space="preserve">the process or processes of manufacture, packaging, storage, formulating, testing, or use of all raw materials and fuels, intermediate products and final products including waste </w:t>
      </w:r>
      <w:r>
        <w:rPr>
          <w:snapToGrid w:val="0"/>
        </w:rPr>
        <w:lastRenderedPageBreak/>
        <w:t>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lastRenderedPageBreak/>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lastRenderedPageBreak/>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lastRenderedPageBreak/>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Gazette 24 Dec 1982 p. 4926; 29 Dec 1995 p. 6322 and 6325</w:t>
      </w:r>
      <w:r>
        <w:noBreakHyphen/>
        <w:t>6; 21 Apr 2011 p. 1480-1; 10 Jan 2017 p. 235.]</w:t>
      </w:r>
    </w:p>
    <w:p>
      <w:pPr>
        <w:pStyle w:val="Heading5"/>
        <w:rPr>
          <w:snapToGrid w:val="0"/>
        </w:rPr>
      </w:pPr>
      <w:bookmarkStart w:id="26" w:name="_Toc155098066"/>
      <w:r>
        <w:rPr>
          <w:rStyle w:val="CharSectno"/>
        </w:rPr>
        <w:t>5.6</w:t>
      </w:r>
      <w:r>
        <w:rPr>
          <w:snapToGrid w:val="0"/>
        </w:rPr>
        <w:tab/>
        <w:t>Priority source protection areas, control of certain developments in</w:t>
      </w:r>
      <w:bookmarkEnd w:id="26"/>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lastRenderedPageBreak/>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lastRenderedPageBreak/>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lastRenderedPageBreak/>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Gazette 31 Dec 1992 p. 6418-21; amended: Gazette 30 Jul 1993 p. 4165; 29 Dec 1995 p. 6322 and 6327; 21 Apr 2011 p. 1481 and 1482.]</w:t>
      </w:r>
    </w:p>
    <w:p>
      <w:pPr>
        <w:pStyle w:val="MiscellaneousHeading"/>
        <w:pageBreakBefore/>
        <w:rPr>
          <w:b/>
          <w:snapToGrid w:val="0"/>
        </w:rPr>
      </w:pPr>
      <w:r>
        <w:rPr>
          <w:b/>
          <w:snapToGrid w:val="0"/>
        </w:rPr>
        <w:lastRenderedPageBreak/>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Gazette 31 Dec 1992 p. 6420.]</w:t>
      </w:r>
    </w:p>
    <w:p>
      <w:pPr>
        <w:pStyle w:val="Ednotesection"/>
      </w:pPr>
      <w:r>
        <w:tab/>
        <w:t>[Plan 1 deleted: Gazette 28 Mar 2008 p. 920.]</w:t>
      </w:r>
    </w:p>
    <w:p>
      <w:pPr>
        <w:pStyle w:val="MiscellaneousHeading"/>
        <w:rPr>
          <w:b/>
          <w:bCs/>
        </w:rPr>
      </w:pPr>
      <w:r>
        <w:rPr>
          <w:b/>
          <w:bCs/>
        </w:rPr>
        <w:lastRenderedPageBreak/>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Gazette 28 Mar 2008 p. 920.]</w:t>
      </w:r>
    </w:p>
    <w:p>
      <w:pPr>
        <w:pStyle w:val="Footnotesection"/>
      </w:pPr>
      <w:r>
        <w:tab/>
        <w:t>[Plan 3 deleted: Gazette 28 Mar 2008 p. 920.]</w:t>
      </w:r>
    </w:p>
    <w:p>
      <w:pPr>
        <w:pStyle w:val="MiscellaneousBody"/>
        <w:pageBreakBefore/>
        <w:spacing w:before="80"/>
        <w:jc w:val="center"/>
        <w:rPr>
          <w:b/>
          <w:bCs/>
          <w:snapToGrid w:val="0"/>
        </w:rPr>
      </w:pPr>
      <w:r>
        <w:rPr>
          <w:b/>
          <w:bCs/>
          <w:snapToGrid w:val="0"/>
        </w:rPr>
        <w:lastRenderedPageBreak/>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Gazette 31 Dec 1992 p. 6423; amended: Gazette 1 Sep 2000 p. 5021.]</w:t>
      </w:r>
    </w:p>
    <w:p>
      <w:pPr>
        <w:pStyle w:val="MiscellaneousHeading"/>
        <w:rPr>
          <w:b/>
          <w:bCs/>
        </w:rPr>
      </w:pPr>
      <w:r>
        <w:rPr>
          <w:b/>
          <w:bCs/>
        </w:rPr>
        <w:lastRenderedPageBreak/>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Gazette 28 Mar 2008 p. 921.]</w:t>
      </w:r>
    </w:p>
    <w:p>
      <w:pPr>
        <w:pStyle w:val="Ednotesection"/>
      </w:pPr>
      <w:r>
        <w:lastRenderedPageBreak/>
        <w:t>[</w:t>
      </w:r>
      <w:r>
        <w:rPr>
          <w:b/>
        </w:rPr>
        <w:t>6.0.</w:t>
      </w:r>
      <w:r>
        <w:tab/>
        <w:t>Deleted: Gazette 14 Nov 2013 p. 5056.]</w:t>
      </w:r>
    </w:p>
    <w:p>
      <w:pPr>
        <w:pStyle w:val="Ednotesection"/>
      </w:pPr>
      <w:r>
        <w:t>[</w:t>
      </w:r>
      <w:r>
        <w:rPr>
          <w:b/>
        </w:rPr>
        <w:t>7.0.</w:t>
      </w:r>
      <w:r>
        <w:tab/>
        <w:t>Deleted: Gazette 28 Jun 2004 p. 2375.]</w:t>
      </w:r>
    </w:p>
    <w:p>
      <w:pPr>
        <w:pStyle w:val="Ednotesection"/>
      </w:pPr>
      <w:r>
        <w:t>[</w:t>
      </w:r>
      <w:r>
        <w:rPr>
          <w:b/>
        </w:rPr>
        <w:t>8.0</w:t>
      </w:r>
      <w:r>
        <w:rPr>
          <w:b/>
          <w:bCs/>
        </w:rPr>
        <w:t>:</w:t>
      </w:r>
      <w:r>
        <w:tab/>
        <w:t>bl. 8.2-8.9 deleted: Gazette 25 Aug 1998 p. 4730;</w:t>
      </w:r>
      <w:r>
        <w:br/>
        <w:t>bl. 8.1 deleted: Gazette 28 Jun 2004 p. 2375.]</w:t>
      </w:r>
    </w:p>
    <w:p>
      <w:pPr>
        <w:pStyle w:val="Ednotesection"/>
        <w:ind w:left="890" w:hanging="890"/>
      </w:pPr>
      <w:r>
        <w:t>[</w:t>
      </w:r>
      <w:r>
        <w:rPr>
          <w:b/>
        </w:rPr>
        <w:t>9.0.</w:t>
      </w:r>
      <w:r>
        <w:tab/>
        <w:t>Deleted: Gazette 25 Aug 1998 p. 4730.]</w:t>
      </w:r>
    </w:p>
    <w:p>
      <w:pPr>
        <w:pStyle w:val="Ednotesection"/>
        <w:ind w:left="890" w:hanging="890"/>
      </w:pPr>
      <w:r>
        <w:t>[</w:t>
      </w:r>
      <w:r>
        <w:rPr>
          <w:b/>
        </w:rPr>
        <w:t>10.0:</w:t>
      </w:r>
      <w:r>
        <w:rPr>
          <w:b/>
        </w:rPr>
        <w:tab/>
      </w:r>
      <w:r>
        <w:t>bl. 10.3-10.11 deleted: Gazette 4  May 1993 p. 2329;</w:t>
      </w:r>
      <w:r>
        <w:br/>
        <w:t>bl. 10.1-10.2 deleted: Gazette 25 Aug 1998 p. 4730.]</w:t>
      </w:r>
    </w:p>
    <w:p>
      <w:pPr>
        <w:pStyle w:val="Ednotesection"/>
      </w:pPr>
      <w:r>
        <w:t>[</w:t>
      </w:r>
      <w:r>
        <w:rPr>
          <w:b/>
        </w:rPr>
        <w:t>11.0:</w:t>
      </w:r>
      <w:r>
        <w:rPr>
          <w:b/>
        </w:rPr>
        <w:tab/>
      </w:r>
      <w:r>
        <w:t>bl. 11.1, 11.2 deleted: Gazette 14 Nov 2013 p. 5056;</w:t>
      </w:r>
      <w:r>
        <w:br/>
        <w:t>bl. 11.3</w:t>
      </w:r>
      <w:r>
        <w:noBreakHyphen/>
        <w:t>11.5 deleted: Gazette 25 Aug 1998 p. 4730.]</w:t>
      </w:r>
    </w:p>
    <w:p>
      <w:pPr>
        <w:pStyle w:val="Ednotesection"/>
      </w:pPr>
      <w:r>
        <w:t>[</w:t>
      </w:r>
      <w:r>
        <w:rPr>
          <w:b/>
        </w:rPr>
        <w:t>12.0:</w:t>
      </w:r>
      <w:r>
        <w:rPr>
          <w:b/>
        </w:rPr>
        <w:tab/>
      </w:r>
      <w:r>
        <w:t>bl. 12.1 and 12.5 and Figure 12.1 deleted: Gazette 14 Nov 2013 p. 5056;</w:t>
      </w:r>
      <w:r>
        <w:br/>
        <w:t>bl. 12.2</w:t>
      </w:r>
      <w:r>
        <w:noBreakHyphen/>
        <w:t>12.4 deleted: Gazette 28 Jun 2004 p. 2375.]</w:t>
      </w:r>
    </w:p>
    <w:p>
      <w:pPr>
        <w:pStyle w:val="Ednotesection"/>
      </w:pPr>
      <w:r>
        <w:rPr>
          <w:b/>
        </w:rPr>
        <w:t>[13.0:</w:t>
      </w:r>
      <w:r>
        <w:tab/>
        <w:t>bl. 13.1.1</w:t>
      </w:r>
      <w:r>
        <w:noBreakHyphen/>
        <w:t>13.1.3 and 13.2 deleted: Gazette 25 Aug 1998 p. 4731:</w:t>
      </w:r>
      <w:r>
        <w:br/>
        <w:t>bl. 13.1.4. deleted: Gazette 14 Nov 2013 p. 5056.]</w:t>
      </w:r>
    </w:p>
    <w:p>
      <w:pPr>
        <w:pStyle w:val="Ednotesection"/>
        <w:ind w:left="851" w:hanging="851"/>
      </w:pPr>
      <w:r>
        <w:t>[</w:t>
      </w:r>
      <w:r>
        <w:rPr>
          <w:b/>
        </w:rPr>
        <w:t>14.0</w:t>
      </w:r>
      <w:r>
        <w:rPr>
          <w:b/>
          <w:bCs/>
        </w:rPr>
        <w:t>:</w:t>
      </w:r>
      <w:r>
        <w:t xml:space="preserve"> </w:t>
      </w:r>
      <w:r>
        <w:tab/>
        <w:t>bl. 14.1, 14.3, 14.5, 14.6 deleted: Gazette 25 Aug 1998 p. 4731;</w:t>
      </w:r>
      <w:r>
        <w:br/>
        <w:t>bl. 14.2, 14.4 deleted: Gazette 28 Jun 2004 p. 2375.]</w:t>
      </w:r>
    </w:p>
    <w:p>
      <w:pPr>
        <w:pStyle w:val="Ednotesection"/>
      </w:pPr>
      <w:r>
        <w:t>[</w:t>
      </w:r>
      <w:r>
        <w:rPr>
          <w:b/>
        </w:rPr>
        <w:t>15.0:</w:t>
      </w:r>
      <w:r>
        <w:tab/>
        <w:t>bl. 15.5 deleted: Gazette 25 Aug 1998 p. 4731:</w:t>
      </w:r>
      <w:r>
        <w:br/>
        <w:t>bl. 15.6 and 15.7 deleted: Gazette 28 Jun 1985 p. 2349;</w:t>
      </w:r>
      <w:r>
        <w:br/>
        <w:t>balance deleted: Gazette 14 Nov 2013 p. 5056.]</w:t>
      </w:r>
    </w:p>
    <w:p>
      <w:pPr>
        <w:pStyle w:val="Ednotesection"/>
        <w:keepNext/>
        <w:rPr>
          <w:b/>
        </w:rPr>
      </w:pPr>
      <w:r>
        <w:t>[</w:t>
      </w:r>
      <w:r>
        <w:rPr>
          <w:b/>
        </w:rPr>
        <w:t>16.0.</w:t>
      </w:r>
      <w:r>
        <w:tab/>
        <w:t>Deleted: Gazette 28 Jun 2004 p. 2375.]</w:t>
      </w:r>
    </w:p>
    <w:p>
      <w:pPr>
        <w:pStyle w:val="Ednotesection"/>
        <w:ind w:left="851" w:hanging="851"/>
      </w:pPr>
      <w:r>
        <w:t>[</w:t>
      </w:r>
      <w:r>
        <w:rPr>
          <w:b/>
        </w:rPr>
        <w:t>17.0:</w:t>
      </w:r>
      <w:r>
        <w:rPr>
          <w:b/>
        </w:rPr>
        <w:tab/>
      </w:r>
      <w:r>
        <w:rPr>
          <w:bCs/>
        </w:rPr>
        <w:t>bl. 17.1, 17.2, 17.4</w:t>
      </w:r>
      <w:r>
        <w:t xml:space="preserve"> deleted: Gazette 25 Aug 1998 p. 4734;</w:t>
      </w:r>
      <w:r>
        <w:br/>
        <w:t>bl. 17.3 deleted: Gazette 22 Dec 1989 p. 4631.]</w:t>
      </w:r>
    </w:p>
    <w:p>
      <w:pPr>
        <w:pStyle w:val="Ednotesection"/>
      </w:pPr>
      <w:r>
        <w:t>[</w:t>
      </w:r>
      <w:r>
        <w:rPr>
          <w:b/>
        </w:rPr>
        <w:t>18.0:</w:t>
      </w:r>
      <w:r>
        <w:tab/>
        <w:t>bl. 18.1 deleted: Gazette 25 Aug 1998 p. 4734;</w:t>
      </w:r>
      <w:r>
        <w:br/>
        <w:t>bl. 18.2, 18.3 deleted: Gazette 28 Jun 2004 p. 2375;</w:t>
      </w:r>
      <w:r>
        <w:br/>
        <w:t>bl. 18.4</w:t>
      </w:r>
      <w:r>
        <w:noBreakHyphen/>
        <w:t>18.19, 18.21, 18.22, 18.24 and 18.25 deleted: Gazette 25 Aug 1998 p. 4734;</w:t>
      </w:r>
      <w:r>
        <w:br/>
      </w:r>
      <w:r>
        <w:lastRenderedPageBreak/>
        <w:t>bl. 18.20 deleted: Gazette 28 Jun 2004 p. 2375;</w:t>
      </w:r>
      <w:r>
        <w:br/>
        <w:t>bl. 18.23 deleted: Gazette 14 Nov 2013 p. 5056.]</w:t>
      </w:r>
    </w:p>
    <w:p>
      <w:pPr>
        <w:pStyle w:val="Ednotesection"/>
      </w:pPr>
      <w:r>
        <w:t>[</w:t>
      </w:r>
      <w:r>
        <w:rPr>
          <w:b/>
        </w:rPr>
        <w:t>19.0:</w:t>
      </w:r>
      <w:r>
        <w:rPr>
          <w:b/>
        </w:rPr>
        <w:tab/>
      </w:r>
      <w:r>
        <w:t>bl. 19.1, 19.2, 19.4-19.8 deleted: Gazette 25 Aug 1998 p. 4734;</w:t>
      </w:r>
      <w:r>
        <w:br/>
        <w:t>bl. 19.3 deleted: Gazette 28 Jun 2004 p. 2375.]</w:t>
      </w:r>
    </w:p>
    <w:p>
      <w:pPr>
        <w:pStyle w:val="Ednotesection"/>
      </w:pPr>
      <w:r>
        <w:t>[</w:t>
      </w:r>
      <w:r>
        <w:rPr>
          <w:b/>
        </w:rPr>
        <w:t>20.0-24.0.</w:t>
      </w:r>
      <w:r>
        <w:t xml:space="preserve">  Deleted: Gazette 25 Aug 1998 p. 4734.]</w:t>
      </w:r>
    </w:p>
    <w:p>
      <w:pPr>
        <w:pStyle w:val="Ednotesection"/>
      </w:pPr>
      <w:r>
        <w:t>[</w:t>
      </w:r>
      <w:r>
        <w:rPr>
          <w:b/>
        </w:rPr>
        <w:t>25.0:</w:t>
      </w:r>
      <w:r>
        <w:tab/>
        <w:t>bl. 25.1</w:t>
      </w:r>
      <w:r>
        <w:noBreakHyphen/>
        <w:t>25.6, 25.8-25.15 deleted: Gazette 25 Aug 1998 p. 4734;</w:t>
      </w:r>
      <w:r>
        <w:br/>
        <w:t>bl. 25.7 deleted: Gazette 28 Jun 2004 p. 2376.]</w:t>
      </w:r>
    </w:p>
    <w:p>
      <w:pPr>
        <w:pStyle w:val="Ednotesection"/>
        <w:ind w:left="900" w:hanging="900"/>
      </w:pPr>
      <w:r>
        <w:t>[</w:t>
      </w:r>
      <w:r>
        <w:rPr>
          <w:b/>
        </w:rPr>
        <w:t>26.0:</w:t>
      </w:r>
      <w:r>
        <w:rPr>
          <w:b/>
        </w:rPr>
        <w:tab/>
      </w:r>
      <w:r>
        <w:t>bl. 26.1</w:t>
      </w:r>
      <w:r>
        <w:noBreakHyphen/>
        <w:t>26.3 deleted: Gazette 25 Aug 1998 p. 3734;</w:t>
      </w:r>
      <w:r>
        <w:br/>
        <w:t>bl. 26.4 deleted: Gazette 28 Jun 2004 p. 2376.]</w:t>
      </w:r>
    </w:p>
    <w:p>
      <w:pPr>
        <w:pStyle w:val="Ednotesection"/>
        <w:ind w:left="900" w:hanging="900"/>
      </w:pPr>
      <w:r>
        <w:t>[</w:t>
      </w:r>
      <w:r>
        <w:rPr>
          <w:b/>
        </w:rPr>
        <w:t xml:space="preserve">27.0, 28.0 </w:t>
      </w:r>
      <w:r>
        <w:t>deleted: Gazette 14 Nov 2013 p. 5056.]</w:t>
      </w:r>
    </w:p>
    <w:p>
      <w:pPr>
        <w:pStyle w:val="Ednotesection"/>
        <w:ind w:left="900" w:hanging="900"/>
      </w:pPr>
      <w:r>
        <w:t>[</w:t>
      </w:r>
      <w:r>
        <w:rPr>
          <w:b/>
        </w:rPr>
        <w:t>29.0.</w:t>
      </w:r>
      <w:r>
        <w:tab/>
        <w:t>Deleted: Gazette 18 Jun 1982 p. 2023.]</w:t>
      </w:r>
    </w:p>
    <w:p>
      <w:pPr>
        <w:pStyle w:val="Ednotesection"/>
        <w:ind w:left="900" w:hanging="900"/>
      </w:pPr>
      <w:r>
        <w:t>[</w:t>
      </w:r>
      <w:r>
        <w:rPr>
          <w:b/>
        </w:rPr>
        <w:t>30.0.</w:t>
      </w:r>
      <w:r>
        <w:tab/>
        <w:t>bl. 30.1</w:t>
      </w:r>
      <w:r>
        <w:noBreakHyphen/>
        <w:t>30.8, 30.10</w:t>
      </w:r>
      <w:r>
        <w:noBreakHyphen/>
        <w:t>30.14, 30.17 and 30.18 deleted: Gazette 16 Jun 2000 p. 2960;</w:t>
      </w:r>
      <w:r>
        <w:br/>
        <w:t>bl. 30.15 Deleted: Gazette 22 Dec 1989 p. 4638;</w:t>
      </w:r>
      <w:r>
        <w:br/>
        <w:t>balance deleted: Gazette 14 Nov 2013 p. 5056.]</w:t>
      </w:r>
    </w:p>
    <w:p>
      <w:pPr>
        <w:pStyle w:val="Heading2"/>
      </w:pPr>
      <w:bookmarkStart w:id="27" w:name="_Toc155098067"/>
      <w:r>
        <w:rPr>
          <w:rStyle w:val="CharPartNo"/>
        </w:rPr>
        <w:lastRenderedPageBreak/>
        <w:t>31.0</w:t>
      </w:r>
      <w:r>
        <w:t xml:space="preserve"> </w:t>
      </w:r>
      <w:r>
        <w:rPr>
          <w:rStyle w:val="CharPartText"/>
        </w:rPr>
        <w:t>Offences and penalties</w:t>
      </w:r>
      <w:bookmarkEnd w:id="27"/>
    </w:p>
    <w:p>
      <w:pPr>
        <w:pStyle w:val="Ednotesection"/>
        <w:rPr>
          <w:b/>
        </w:rPr>
      </w:pPr>
      <w:r>
        <w:t>[</w:t>
      </w:r>
      <w:r>
        <w:rPr>
          <w:b/>
        </w:rPr>
        <w:t>31.1</w:t>
      </w:r>
      <w:r>
        <w:rPr>
          <w:b/>
        </w:rPr>
        <w:noBreakHyphen/>
        <w:t xml:space="preserve">31.3  </w:t>
      </w:r>
      <w:r>
        <w:t>Deleted: Gazette 14 Nov 2013 p. 5056.]</w:t>
      </w:r>
    </w:p>
    <w:p>
      <w:pPr>
        <w:pStyle w:val="Heading5"/>
        <w:rPr>
          <w:snapToGrid w:val="0"/>
        </w:rPr>
      </w:pPr>
      <w:bookmarkStart w:id="28" w:name="_Toc155098068"/>
      <w:r>
        <w:rPr>
          <w:rStyle w:val="CharSectno"/>
        </w:rPr>
        <w:t>31.4</w:t>
      </w:r>
      <w:r>
        <w:rPr>
          <w:snapToGrid w:val="0"/>
        </w:rPr>
        <w:tab/>
        <w:t>Penalties</w:t>
      </w:r>
      <w:bookmarkEnd w:id="28"/>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Gazette 24 Dec 1982 p. 4930; 29 Dec 1995 p. 6326; 26 Apr 2005 p. 1397; 21 Apr 2011 p. 1481; 14 Nov 2013 p. 5057.]</w:t>
      </w:r>
    </w:p>
    <w:p>
      <w:pPr>
        <w:pStyle w:val="Ednotesection"/>
        <w:rPr>
          <w:b/>
        </w:rPr>
      </w:pPr>
      <w:r>
        <w:t>[</w:t>
      </w:r>
      <w:r>
        <w:rPr>
          <w:b/>
        </w:rPr>
        <w:t>31.5</w:t>
      </w:r>
      <w:r>
        <w:rPr>
          <w:b/>
        </w:rPr>
        <w:noBreakHyphen/>
        <w:t xml:space="preserve">31.6 </w:t>
      </w:r>
      <w:r>
        <w:t>Deleted: Gazette 14 Nov 2013 p. 5057.]</w:t>
      </w:r>
    </w:p>
    <w:p>
      <w:pPr>
        <w:pStyle w:val="Ednotesection"/>
        <w:spacing w:before="480"/>
        <w:ind w:left="890" w:hanging="890"/>
      </w:pPr>
      <w:r>
        <w:t>[</w:t>
      </w:r>
      <w:r>
        <w:rPr>
          <w:b/>
        </w:rPr>
        <w:t>32.0.</w:t>
      </w:r>
      <w:r>
        <w:tab/>
        <w:t>Deleted: Gazette 14 Nov 2013 p. 5057.]</w:t>
      </w:r>
    </w:p>
    <w:p>
      <w:pPr>
        <w:pStyle w:val="Ednotesection"/>
      </w:pPr>
      <w:r>
        <w:t>[</w:t>
      </w:r>
      <w:r>
        <w:rPr>
          <w:b/>
        </w:rPr>
        <w:t>33.0.</w:t>
      </w:r>
      <w:r>
        <w:tab/>
        <w:t>Omitted under the Reprints Act 1984 s. 7(4)(f).]</w:t>
      </w:r>
    </w:p>
    <w:p>
      <w:pPr>
        <w:pStyle w:val="yEdnoteschedule"/>
      </w:pPr>
      <w:r>
        <w:t>[Schedule A deleted: Gazette 18 Jun 1982 p. 2023.]</w:t>
      </w:r>
    </w:p>
    <w:p>
      <w:pPr>
        <w:pStyle w:val="yEdnoteschedule"/>
      </w:pPr>
      <w:r>
        <w:t>[Schedule B</w:t>
      </w:r>
      <w:r>
        <w:noBreakHyphen/>
        <w:t>D deleted: Gazette 14 Nov 2013 p. 5057.]</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29" w:name="_Toc155098069"/>
      <w:r>
        <w:rPr>
          <w:rStyle w:val="CharSchNo"/>
        </w:rPr>
        <w:lastRenderedPageBreak/>
        <w:t>Schedule 1</w:t>
      </w:r>
      <w:r>
        <w:rPr>
          <w:rStyle w:val="CharSDivNo"/>
        </w:rPr>
        <w:t> </w:t>
      </w:r>
      <w:r>
        <w:t>—</w:t>
      </w:r>
      <w:r>
        <w:rPr>
          <w:rStyle w:val="CharSDivText"/>
        </w:rPr>
        <w:t> </w:t>
      </w:r>
      <w:r>
        <w:rPr>
          <w:rStyle w:val="CharSchText"/>
        </w:rPr>
        <w:t>Description of South West Settlement Area</w:t>
      </w:r>
      <w:bookmarkEnd w:id="29"/>
    </w:p>
    <w:p>
      <w:pPr>
        <w:pStyle w:val="yShoulderClause"/>
      </w:pPr>
      <w:r>
        <w:t>[bl. 1.1]</w:t>
      </w:r>
    </w:p>
    <w:p>
      <w:pPr>
        <w:pStyle w:val="yFootnoteheading"/>
      </w:pPr>
      <w:r>
        <w:tab/>
        <w:t>[Heading inserted: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lastRenderedPageBreak/>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Gazette 7 Jun 2016 p. 1786</w:t>
      </w:r>
      <w:r>
        <w:noBreakHyphen/>
        <w:t>7.]</w:t>
      </w:r>
    </w:p>
    <w:p>
      <w:pPr>
        <w:pStyle w:val="yScheduleHeading"/>
      </w:pPr>
      <w:bookmarkStart w:id="30" w:name="_Toc155098070"/>
      <w:r>
        <w:rPr>
          <w:rStyle w:val="CharSchNo"/>
        </w:rPr>
        <w:lastRenderedPageBreak/>
        <w:t>Schedule 2</w:t>
      </w:r>
      <w:r>
        <w:rPr>
          <w:rStyle w:val="CharSDivNo"/>
        </w:rPr>
        <w:t> </w:t>
      </w:r>
      <w:r>
        <w:t>—</w:t>
      </w:r>
      <w:r>
        <w:rPr>
          <w:rStyle w:val="CharSDivText"/>
        </w:rPr>
        <w:t> </w:t>
      </w:r>
      <w:r>
        <w:rPr>
          <w:rStyle w:val="CharSchText"/>
        </w:rPr>
        <w:t>Map of South West Settlement Area</w:t>
      </w:r>
      <w:bookmarkEnd w:id="30"/>
    </w:p>
    <w:p>
      <w:pPr>
        <w:pStyle w:val="yShoulderClause"/>
      </w:pPr>
      <w:r>
        <w:t>[bl. 1.1]</w:t>
      </w:r>
    </w:p>
    <w:p>
      <w:pPr>
        <w:pStyle w:val="yFootnoteheading"/>
      </w:pPr>
      <w:r>
        <w:tab/>
        <w:t>[Heading inserted: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96552" cy="5423048"/>
                    </a:xfrm>
                    <a:prstGeom prst="rect">
                      <a:avLst/>
                    </a:prstGeom>
                  </pic:spPr>
                </pic:pic>
              </a:graphicData>
            </a:graphic>
          </wp:inline>
        </w:drawing>
      </w:r>
    </w:p>
    <w:p>
      <w:pPr>
        <w:pStyle w:val="yFootnotesection"/>
      </w:pPr>
      <w:r>
        <w:tab/>
        <w:t>[Schedule 2 inserted: Gazette 7 Jun 2016 p. 1787.]</w:t>
      </w:r>
    </w:p>
    <w:p>
      <w:pPr>
        <w:outlineLvl w:val="0"/>
        <w:sectPr>
          <w:headerReference w:type="even" r:id="rId27"/>
          <w:headerReference w:type="default" r:id="rId28"/>
          <w:pgSz w:w="11907" w:h="16840" w:code="9"/>
          <w:pgMar w:top="2381" w:right="2410" w:bottom="3544" w:left="2410" w:header="720" w:footer="3544" w:gutter="0"/>
          <w:cols w:space="720"/>
        </w:sectPr>
      </w:pPr>
    </w:p>
    <w:p>
      <w:pPr>
        <w:pStyle w:val="nHeading2"/>
      </w:pPr>
      <w:bookmarkStart w:id="32" w:name="_Toc155098071"/>
      <w:r>
        <w:lastRenderedPageBreak/>
        <w:t>Notes</w:t>
      </w:r>
      <w:bookmarkEnd w:id="32"/>
    </w:p>
    <w:p>
      <w:pPr>
        <w:pStyle w:val="nStatement"/>
      </w:pPr>
      <w:r>
        <w:t xml:space="preserve">This is a compilation of the </w:t>
      </w:r>
      <w:r>
        <w:rPr>
          <w:i/>
          <w:noProof/>
        </w:rPr>
        <w:t>Metropolitan Water Supply, Sewerage and Drainage By</w:t>
      </w:r>
      <w:r>
        <w:rPr>
          <w:i/>
          <w:noProof/>
        </w:rPr>
        <w:noBreakHyphen/>
        <w:t>laws 1981</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33" w:name="_Toc155098072"/>
      <w:r>
        <w:t>Compilation table</w:t>
      </w:r>
      <w:bookmarkEnd w:id="33"/>
    </w:p>
    <w:tbl>
      <w:tblPr>
        <w:tblW w:w="7097" w:type="dxa"/>
        <w:tblInd w:w="70"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32"/>
        <w:gridCol w:w="28"/>
        <w:gridCol w:w="1248"/>
        <w:gridCol w:w="28"/>
        <w:gridCol w:w="2661"/>
      </w:tblGrid>
      <w:tr>
        <w:trPr>
          <w:tblHeader/>
        </w:trPr>
        <w:tc>
          <w:tcPr>
            <w:tcW w:w="3132" w:type="dxa"/>
          </w:tcPr>
          <w:p>
            <w:pPr>
              <w:pStyle w:val="nTable"/>
              <w:spacing w:after="40"/>
              <w:rPr>
                <w:b/>
              </w:rPr>
            </w:pPr>
            <w:r>
              <w:rPr>
                <w:b/>
              </w:rPr>
              <w:t>Citation</w:t>
            </w:r>
          </w:p>
        </w:tc>
        <w:tc>
          <w:tcPr>
            <w:tcW w:w="1276" w:type="dxa"/>
            <w:gridSpan w:val="2"/>
          </w:tcPr>
          <w:p>
            <w:pPr>
              <w:pStyle w:val="nTable"/>
              <w:spacing w:after="40"/>
              <w:rPr>
                <w:b/>
              </w:rPr>
            </w:pPr>
            <w:r>
              <w:rPr>
                <w:b/>
              </w:rPr>
              <w:t>Published</w:t>
            </w:r>
          </w:p>
        </w:tc>
        <w:tc>
          <w:tcPr>
            <w:tcW w:w="2689" w:type="dxa"/>
            <w:gridSpan w:val="2"/>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60"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61" w:type="dxa"/>
            <w:tcBorders>
              <w:top w:val="single" w:sz="8" w:space="0" w:color="auto"/>
            </w:tcBorders>
          </w:tcPr>
          <w:p>
            <w:pPr>
              <w:pStyle w:val="nTable"/>
              <w:spacing w:after="40"/>
            </w:pPr>
            <w:r>
              <w:t>1 Mar 1981 (see bl. 1.0)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61" w:type="dxa"/>
          </w:tcPr>
          <w:p>
            <w:pPr>
              <w:pStyle w:val="nTable"/>
              <w:spacing w:after="40"/>
            </w:pPr>
            <w:r>
              <w:t>1 Mar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61" w:type="dxa"/>
          </w:tcPr>
          <w:p>
            <w:pPr>
              <w:pStyle w:val="nTable"/>
              <w:spacing w:after="40"/>
            </w:pPr>
            <w:r>
              <w:t>1 Jul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61" w:type="dxa"/>
          </w:tcPr>
          <w:p>
            <w:pPr>
              <w:pStyle w:val="nTable"/>
              <w:spacing w:after="40"/>
            </w:pPr>
            <w:r>
              <w:t>31 Jul 1981</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61" w:type="dxa"/>
          </w:tcPr>
          <w:p>
            <w:pPr>
              <w:pStyle w:val="nTable"/>
              <w:spacing w:after="40"/>
            </w:pPr>
            <w:r>
              <w:t xml:space="preserve">31 Dec 1982 (see bl. 2 and </w:t>
            </w:r>
            <w:r>
              <w:rPr>
                <w:i/>
              </w:rPr>
              <w:t>Gazette</w:t>
            </w:r>
            <w:r>
              <w:t xml:space="preserve"> 31 Dec 1982 p. 4969)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61" w:type="dxa"/>
          </w:tcPr>
          <w:p>
            <w:pPr>
              <w:pStyle w:val="nTable"/>
              <w:spacing w:after="40"/>
            </w:pPr>
            <w:r>
              <w:t>1 Jul 1983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61" w:type="dxa"/>
          </w:tcPr>
          <w:p>
            <w:pPr>
              <w:pStyle w:val="nTable"/>
              <w:spacing w:after="40"/>
            </w:pPr>
            <w:r>
              <w:t>1 Jul 1984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lastRenderedPageBreak/>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61" w:type="dxa"/>
          </w:tcPr>
          <w:p>
            <w:pPr>
              <w:pStyle w:val="nTable"/>
              <w:spacing w:after="40"/>
            </w:pPr>
            <w:r>
              <w:t>1 Jul 1984 (see bl. 3)</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61" w:type="dxa"/>
          </w:tcPr>
          <w:p>
            <w:pPr>
              <w:pStyle w:val="nTable"/>
              <w:spacing w:after="40"/>
            </w:pPr>
            <w:r>
              <w:t>By-laws other than bl. 5: 8 Mar 1985 (see bl. 2(1));</w:t>
            </w:r>
            <w:r>
              <w:br/>
              <w:t>bl. 5: 1 Jul 1985 (see bl. 2(2))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61" w:type="dxa"/>
          </w:tcPr>
          <w:p>
            <w:pPr>
              <w:pStyle w:val="nTable"/>
              <w:spacing w:after="40"/>
            </w:pPr>
            <w:r>
              <w:t>1 Jul 1985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61" w:type="dxa"/>
          </w:tcPr>
          <w:p>
            <w:pPr>
              <w:pStyle w:val="nTable"/>
              <w:spacing w:after="40"/>
            </w:pPr>
            <w:r>
              <w:t>28 Jun 1985</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61" w:type="dxa"/>
          </w:tcPr>
          <w:p>
            <w:pPr>
              <w:pStyle w:val="nTable"/>
              <w:spacing w:after="40"/>
            </w:pPr>
            <w:r>
              <w:t>1 Jul 1986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1987</w:t>
            </w:r>
            <w:r>
              <w:t xml:space="preserve"> Pt. V</w:t>
            </w:r>
            <w:r>
              <w:rPr>
                <w:vertAlign w:val="superscript"/>
              </w:rPr>
              <w:t> 2</w:t>
            </w:r>
          </w:p>
        </w:tc>
        <w:tc>
          <w:tcPr>
            <w:tcW w:w="1276" w:type="dxa"/>
            <w:gridSpan w:val="2"/>
          </w:tcPr>
          <w:p>
            <w:pPr>
              <w:pStyle w:val="nTable"/>
              <w:spacing w:after="40"/>
              <w:ind w:right="113"/>
            </w:pPr>
            <w:r>
              <w:t>14 Jul 1987 p. 2649-58</w:t>
            </w:r>
          </w:p>
        </w:tc>
        <w:tc>
          <w:tcPr>
            <w:tcW w:w="2661" w:type="dxa"/>
          </w:tcPr>
          <w:p>
            <w:pPr>
              <w:pStyle w:val="nTable"/>
              <w:spacing w:after="40"/>
              <w:ind w:right="113"/>
            </w:pPr>
            <w:r>
              <w:t>14 Jul 1987</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61" w:type="dxa"/>
          </w:tcPr>
          <w:p>
            <w:pPr>
              <w:pStyle w:val="nTable"/>
              <w:spacing w:after="40"/>
              <w:ind w:right="113"/>
            </w:pPr>
            <w:r>
              <w:t>19 Feb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61" w:type="dxa"/>
          </w:tcPr>
          <w:p>
            <w:pPr>
              <w:pStyle w:val="nTable"/>
              <w:spacing w:after="40"/>
              <w:ind w:right="113"/>
            </w:pPr>
            <w:r>
              <w:t>1 Jul 1988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61" w:type="dxa"/>
          </w:tcPr>
          <w:p>
            <w:pPr>
              <w:pStyle w:val="nTable"/>
              <w:spacing w:after="40"/>
              <w:ind w:right="113"/>
            </w:pPr>
            <w:r>
              <w:t>14 Oct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61" w:type="dxa"/>
          </w:tcPr>
          <w:p>
            <w:pPr>
              <w:pStyle w:val="nTable"/>
              <w:spacing w:after="40"/>
              <w:ind w:right="113"/>
            </w:pPr>
            <w:r>
              <w:t>21 Apr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61" w:type="dxa"/>
          </w:tcPr>
          <w:p>
            <w:pPr>
              <w:pStyle w:val="nTable"/>
              <w:spacing w:after="40"/>
              <w:ind w:right="113"/>
            </w:pPr>
            <w:r>
              <w:t>12 May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2</w:t>
            </w:r>
          </w:p>
        </w:tc>
        <w:tc>
          <w:tcPr>
            <w:tcW w:w="1276" w:type="dxa"/>
            <w:gridSpan w:val="2"/>
          </w:tcPr>
          <w:p>
            <w:pPr>
              <w:pStyle w:val="nTable"/>
              <w:spacing w:after="40"/>
              <w:ind w:right="113"/>
            </w:pPr>
            <w:r>
              <w:t>29 Jun 1989 p. 1883-91</w:t>
            </w:r>
          </w:p>
        </w:tc>
        <w:tc>
          <w:tcPr>
            <w:tcW w:w="2661" w:type="dxa"/>
          </w:tcPr>
          <w:p>
            <w:pPr>
              <w:pStyle w:val="nTable"/>
              <w:spacing w:after="40"/>
              <w:ind w:right="113"/>
            </w:pPr>
            <w:r>
              <w:t>1 Jul 1989 (see bl. 3)</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lastRenderedPageBreak/>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61" w:type="dxa"/>
          </w:tcPr>
          <w:p>
            <w:pPr>
              <w:pStyle w:val="nTable"/>
              <w:keepNext/>
              <w:spacing w:after="40"/>
              <w:ind w:right="113"/>
            </w:pPr>
            <w:r>
              <w:t>1 Jan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3</w:t>
            </w:r>
          </w:p>
        </w:tc>
        <w:tc>
          <w:tcPr>
            <w:tcW w:w="1276" w:type="dxa"/>
            <w:gridSpan w:val="2"/>
          </w:tcPr>
          <w:p>
            <w:pPr>
              <w:pStyle w:val="nTable"/>
              <w:spacing w:after="40"/>
              <w:ind w:right="113"/>
            </w:pPr>
            <w:r>
              <w:t>22 Dec 1989 p. 4635-9</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1990</w:t>
            </w:r>
            <w:r>
              <w:t xml:space="preserve"> Pt. 5</w:t>
            </w:r>
            <w:r>
              <w:rPr>
                <w:vertAlign w:val="superscript"/>
              </w:rPr>
              <w:t> 2</w:t>
            </w:r>
          </w:p>
        </w:tc>
        <w:tc>
          <w:tcPr>
            <w:tcW w:w="1276" w:type="dxa"/>
            <w:gridSpan w:val="2"/>
          </w:tcPr>
          <w:p>
            <w:pPr>
              <w:pStyle w:val="nTable"/>
              <w:spacing w:after="40"/>
              <w:ind w:right="113"/>
            </w:pPr>
            <w:r>
              <w:t>29 Jun 1990 p. 3240-8</w:t>
            </w:r>
            <w:r>
              <w:br/>
              <w:t>(errata 6 Jul 1990 p. 3318)</w:t>
            </w:r>
          </w:p>
        </w:tc>
        <w:tc>
          <w:tcPr>
            <w:tcW w:w="2661" w:type="dxa"/>
          </w:tcPr>
          <w:p>
            <w:pPr>
              <w:pStyle w:val="nTable"/>
              <w:spacing w:after="40"/>
              <w:ind w:right="113"/>
            </w:pPr>
            <w:r>
              <w:t>1 Jul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61" w:type="dxa"/>
          </w:tcPr>
          <w:p>
            <w:pPr>
              <w:pStyle w:val="nTable"/>
              <w:spacing w:after="40"/>
              <w:ind w:right="113"/>
            </w:pPr>
            <w:r>
              <w:t>21 Sep 1990</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1991</w:t>
            </w:r>
            <w:r>
              <w:t xml:space="preserve"> Pt. 5</w:t>
            </w:r>
            <w:r>
              <w:rPr>
                <w:vertAlign w:val="superscript"/>
              </w:rPr>
              <w:t> 2</w:t>
            </w:r>
          </w:p>
        </w:tc>
        <w:tc>
          <w:tcPr>
            <w:tcW w:w="1276" w:type="dxa"/>
            <w:gridSpan w:val="2"/>
          </w:tcPr>
          <w:p>
            <w:pPr>
              <w:pStyle w:val="nTable"/>
              <w:spacing w:after="40"/>
              <w:ind w:right="113"/>
            </w:pPr>
            <w:r>
              <w:t>28 Jun 1991 p. 3281-9</w:t>
            </w:r>
          </w:p>
        </w:tc>
        <w:tc>
          <w:tcPr>
            <w:tcW w:w="2661" w:type="dxa"/>
          </w:tcPr>
          <w:p>
            <w:pPr>
              <w:pStyle w:val="nTable"/>
              <w:spacing w:after="40"/>
              <w:ind w:right="113"/>
            </w:pPr>
            <w:r>
              <w:t>1 Jul 1991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61" w:type="dxa"/>
          </w:tcPr>
          <w:p>
            <w:pPr>
              <w:pStyle w:val="nTable"/>
              <w:spacing w:after="40"/>
              <w:ind w:right="113"/>
            </w:pPr>
            <w:r>
              <w:t>3 Jan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1992</w:t>
            </w:r>
            <w:r>
              <w:t xml:space="preserve"> Pt. 5</w:t>
            </w:r>
            <w:r>
              <w:rPr>
                <w:vertAlign w:val="superscript"/>
              </w:rPr>
              <w:t> 2</w:t>
            </w:r>
          </w:p>
        </w:tc>
        <w:tc>
          <w:tcPr>
            <w:tcW w:w="1276" w:type="dxa"/>
            <w:gridSpan w:val="2"/>
          </w:tcPr>
          <w:p>
            <w:pPr>
              <w:pStyle w:val="nTable"/>
              <w:spacing w:after="40"/>
              <w:ind w:right="113"/>
            </w:pPr>
            <w:r>
              <w:t>26 Jun 1992 p. 2832-44</w:t>
            </w:r>
          </w:p>
        </w:tc>
        <w:tc>
          <w:tcPr>
            <w:tcW w:w="2661" w:type="dxa"/>
          </w:tcPr>
          <w:p>
            <w:pPr>
              <w:pStyle w:val="nTable"/>
              <w:spacing w:after="40"/>
              <w:ind w:right="113"/>
            </w:pPr>
            <w:r>
              <w:t>1 Jul 1992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61" w:type="dxa"/>
          </w:tcPr>
          <w:p>
            <w:pPr>
              <w:pStyle w:val="nTable"/>
              <w:spacing w:after="40"/>
              <w:ind w:right="113"/>
            </w:pPr>
            <w:r>
              <w:t>1 Jan 1993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61" w:type="dxa"/>
          </w:tcPr>
          <w:p>
            <w:pPr>
              <w:pStyle w:val="nTable"/>
              <w:spacing w:after="40"/>
              <w:ind w:right="113"/>
            </w:pPr>
            <w:r>
              <w:t>31 Dec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61" w:type="dxa"/>
          </w:tcPr>
          <w:p>
            <w:pPr>
              <w:pStyle w:val="nTable"/>
              <w:keepNext/>
              <w:keepLines/>
              <w:spacing w:after="40"/>
              <w:ind w:right="113"/>
            </w:pPr>
            <w:r>
              <w:t>4 May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1993</w:t>
            </w:r>
            <w:r>
              <w:t xml:space="preserve"> Pt. 5</w:t>
            </w:r>
            <w:r>
              <w:rPr>
                <w:vertAlign w:val="superscript"/>
              </w:rPr>
              <w:t> 2</w:t>
            </w:r>
          </w:p>
        </w:tc>
        <w:tc>
          <w:tcPr>
            <w:tcW w:w="1276" w:type="dxa"/>
            <w:gridSpan w:val="2"/>
          </w:tcPr>
          <w:p>
            <w:pPr>
              <w:pStyle w:val="nTable"/>
              <w:spacing w:after="40"/>
              <w:ind w:right="113"/>
            </w:pPr>
            <w:r>
              <w:t>1 Jul 1993 p. 3238-50</w:t>
            </w:r>
          </w:p>
        </w:tc>
        <w:tc>
          <w:tcPr>
            <w:tcW w:w="2661" w:type="dxa"/>
          </w:tcPr>
          <w:p>
            <w:pPr>
              <w:pStyle w:val="nTable"/>
              <w:spacing w:after="40"/>
              <w:ind w:right="113"/>
            </w:pPr>
            <w:r>
              <w:t>1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61" w:type="dxa"/>
          </w:tcPr>
          <w:p>
            <w:pPr>
              <w:pStyle w:val="nTable"/>
              <w:spacing w:after="40"/>
              <w:ind w:right="113"/>
            </w:pPr>
            <w:r>
              <w:t>30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1994</w:t>
            </w:r>
            <w:r>
              <w:t xml:space="preserve"> Pt. 5</w:t>
            </w:r>
            <w:r>
              <w:rPr>
                <w:vertAlign w:val="superscript"/>
              </w:rPr>
              <w:t> 2</w:t>
            </w:r>
          </w:p>
        </w:tc>
        <w:tc>
          <w:tcPr>
            <w:tcW w:w="1276" w:type="dxa"/>
            <w:gridSpan w:val="2"/>
          </w:tcPr>
          <w:p>
            <w:pPr>
              <w:pStyle w:val="nTable"/>
              <w:keepLines/>
              <w:spacing w:after="40"/>
              <w:ind w:right="113"/>
            </w:pPr>
            <w:r>
              <w:t>29 Jun 1994 p. 3159-70</w:t>
            </w:r>
          </w:p>
        </w:tc>
        <w:tc>
          <w:tcPr>
            <w:tcW w:w="2661" w:type="dxa"/>
          </w:tcPr>
          <w:p>
            <w:pPr>
              <w:pStyle w:val="nTable"/>
              <w:keepLines/>
              <w:spacing w:after="40"/>
              <w:ind w:right="113"/>
            </w:pPr>
            <w:r>
              <w:t>1 Jul 1994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lastRenderedPageBreak/>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61" w:type="dxa"/>
          </w:tcPr>
          <w:p>
            <w:pPr>
              <w:pStyle w:val="nTable"/>
              <w:keepNext/>
              <w:spacing w:after="40"/>
              <w:ind w:right="113"/>
            </w:pPr>
            <w:r>
              <w:t>23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1995</w:t>
            </w:r>
            <w:r>
              <w:t xml:space="preserve"> Pt. 5</w:t>
            </w:r>
            <w:r>
              <w:rPr>
                <w:vertAlign w:val="superscript"/>
              </w:rPr>
              <w:t> 2</w:t>
            </w:r>
          </w:p>
        </w:tc>
        <w:tc>
          <w:tcPr>
            <w:tcW w:w="1276" w:type="dxa"/>
            <w:gridSpan w:val="2"/>
          </w:tcPr>
          <w:p>
            <w:pPr>
              <w:pStyle w:val="nTable"/>
              <w:spacing w:after="40"/>
              <w:ind w:right="113"/>
            </w:pPr>
            <w:r>
              <w:t>30 Jun 1995 p. 2767-76</w:t>
            </w:r>
          </w:p>
        </w:tc>
        <w:tc>
          <w:tcPr>
            <w:tcW w:w="2661" w:type="dxa"/>
          </w:tcPr>
          <w:p>
            <w:pPr>
              <w:pStyle w:val="nTable"/>
              <w:spacing w:after="40"/>
              <w:ind w:right="113"/>
            </w:pPr>
            <w:r>
              <w:t>1 Jul 1995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61" w:type="dxa"/>
          </w:tcPr>
          <w:p>
            <w:pPr>
              <w:pStyle w:val="nTable"/>
              <w:keepNext/>
              <w:keepLines/>
              <w:spacing w:after="40"/>
              <w:ind w:right="113"/>
            </w:pPr>
            <w:r>
              <w:t>30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61" w:type="dxa"/>
          </w:tcPr>
          <w:p>
            <w:pPr>
              <w:pStyle w:val="nTable"/>
              <w:spacing w:after="40"/>
              <w:ind w:right="113"/>
            </w:pPr>
            <w:r>
              <w:t xml:space="preserve">1 Jan 1996 (see bl. 2 and </w:t>
            </w:r>
            <w:r>
              <w:rPr>
                <w:i/>
              </w:rPr>
              <w:t>Gazette</w:t>
            </w:r>
            <w:r>
              <w:t xml:space="preserve"> 29 Dec 1995 p. 6291)</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61" w:type="dxa"/>
          </w:tcPr>
          <w:p>
            <w:pPr>
              <w:pStyle w:val="nTable"/>
              <w:spacing w:after="40"/>
              <w:ind w:right="113"/>
            </w:pPr>
            <w:r>
              <w:t>4 Feb 1997</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1997</w:t>
            </w:r>
            <w:r>
              <w:t xml:space="preserve"> Pt. 5</w:t>
            </w:r>
            <w:r>
              <w:rPr>
                <w:vertAlign w:val="superscript"/>
              </w:rPr>
              <w:t> 2</w:t>
            </w:r>
          </w:p>
        </w:tc>
        <w:tc>
          <w:tcPr>
            <w:tcW w:w="1276" w:type="dxa"/>
            <w:gridSpan w:val="2"/>
          </w:tcPr>
          <w:p>
            <w:pPr>
              <w:pStyle w:val="nTable"/>
              <w:spacing w:after="40"/>
            </w:pPr>
            <w:r>
              <w:t>27 Jun 1997 p. 3204</w:t>
            </w:r>
            <w:r>
              <w:noBreakHyphen/>
              <w:t>20</w:t>
            </w:r>
          </w:p>
        </w:tc>
        <w:tc>
          <w:tcPr>
            <w:tcW w:w="2661" w:type="dxa"/>
          </w:tcPr>
          <w:p>
            <w:pPr>
              <w:pStyle w:val="nTable"/>
              <w:spacing w:after="40"/>
            </w:pPr>
            <w:r>
              <w:t>1 Jul 1997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2</w:t>
            </w:r>
          </w:p>
        </w:tc>
        <w:tc>
          <w:tcPr>
            <w:tcW w:w="1276" w:type="dxa"/>
            <w:gridSpan w:val="2"/>
          </w:tcPr>
          <w:p>
            <w:pPr>
              <w:pStyle w:val="nTable"/>
              <w:spacing w:after="40"/>
            </w:pPr>
            <w:r>
              <w:t>26 Jun 1998 p. 3417</w:t>
            </w:r>
            <w:r>
              <w:noBreakHyphen/>
              <w:t>21</w:t>
            </w:r>
          </w:p>
        </w:tc>
        <w:tc>
          <w:tcPr>
            <w:tcW w:w="2661" w:type="dxa"/>
          </w:tcPr>
          <w:p>
            <w:pPr>
              <w:pStyle w:val="nTable"/>
              <w:spacing w:after="40"/>
            </w:pPr>
            <w:r>
              <w:t>1 Jul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61" w:type="dxa"/>
          </w:tcPr>
          <w:p>
            <w:pPr>
              <w:pStyle w:val="nTable"/>
              <w:spacing w:after="40"/>
            </w:pPr>
            <w:r>
              <w:t>25 Aug 1998</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61" w:type="dxa"/>
          </w:tcPr>
          <w:p>
            <w:pPr>
              <w:pStyle w:val="nTable"/>
              <w:spacing w:after="40"/>
            </w:pPr>
            <w:r>
              <w:t>29 Sep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1999</w:t>
            </w:r>
            <w:r>
              <w:t xml:space="preserve"> Pt. 6</w:t>
            </w:r>
            <w:r>
              <w:rPr>
                <w:vertAlign w:val="superscript"/>
              </w:rPr>
              <w:t> 2</w:t>
            </w:r>
          </w:p>
        </w:tc>
        <w:tc>
          <w:tcPr>
            <w:tcW w:w="1276" w:type="dxa"/>
            <w:gridSpan w:val="2"/>
          </w:tcPr>
          <w:p>
            <w:pPr>
              <w:pStyle w:val="nTable"/>
              <w:spacing w:after="40"/>
            </w:pPr>
            <w:r>
              <w:t>29 Jun 1999 p. 2775-87</w:t>
            </w:r>
          </w:p>
        </w:tc>
        <w:tc>
          <w:tcPr>
            <w:tcW w:w="2661" w:type="dxa"/>
          </w:tcPr>
          <w:p>
            <w:pPr>
              <w:pStyle w:val="nTable"/>
              <w:spacing w:after="40"/>
            </w:pPr>
            <w:r>
              <w:t>1 Jul 1999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61" w:type="dxa"/>
          </w:tcPr>
          <w:p>
            <w:pPr>
              <w:pStyle w:val="nTable"/>
              <w:spacing w:after="40"/>
            </w:pPr>
            <w:r>
              <w:t xml:space="preserve">19 Jun 2000 (see bl. 2 and </w:t>
            </w:r>
            <w:r>
              <w:rPr>
                <w:i/>
              </w:rPr>
              <w:t>Gazette</w:t>
            </w:r>
            <w:r>
              <w:t xml:space="preserve"> 16 Jun 2000 p. 2939)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2000</w:t>
            </w:r>
            <w:r>
              <w:t xml:space="preserve"> Pt. 6</w:t>
            </w:r>
            <w:r>
              <w:rPr>
                <w:vertAlign w:val="superscript"/>
              </w:rPr>
              <w:t> 2</w:t>
            </w:r>
          </w:p>
        </w:tc>
        <w:tc>
          <w:tcPr>
            <w:tcW w:w="1276" w:type="dxa"/>
            <w:gridSpan w:val="2"/>
          </w:tcPr>
          <w:p>
            <w:pPr>
              <w:pStyle w:val="nTable"/>
              <w:spacing w:after="40"/>
            </w:pPr>
            <w:r>
              <w:t>29 Jun 2000 p. 3365-79</w:t>
            </w:r>
          </w:p>
        </w:tc>
        <w:tc>
          <w:tcPr>
            <w:tcW w:w="2661" w:type="dxa"/>
          </w:tcPr>
          <w:p>
            <w:pPr>
              <w:pStyle w:val="nTable"/>
              <w:spacing w:after="40"/>
            </w:pPr>
            <w:r>
              <w:t>1 Jul 2000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61" w:type="dxa"/>
          </w:tcPr>
          <w:p>
            <w:pPr>
              <w:pStyle w:val="nTable"/>
              <w:spacing w:after="40"/>
            </w:pPr>
            <w:r>
              <w:t>1 Sep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lastRenderedPageBreak/>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61" w:type="dxa"/>
          </w:tcPr>
          <w:p>
            <w:pPr>
              <w:pStyle w:val="nTable"/>
              <w:spacing w:after="40"/>
            </w:pPr>
            <w:r>
              <w:t xml:space="preserve">29 Sep 2000 </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61" w:type="dxa"/>
          </w:tcPr>
          <w:p>
            <w:pPr>
              <w:pStyle w:val="nTable"/>
              <w:spacing w:after="40"/>
            </w:pPr>
            <w:r>
              <w:t>14 Nov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2</w:t>
            </w:r>
          </w:p>
        </w:tc>
        <w:tc>
          <w:tcPr>
            <w:tcW w:w="1276" w:type="dxa"/>
            <w:gridSpan w:val="2"/>
          </w:tcPr>
          <w:p>
            <w:pPr>
              <w:pStyle w:val="nTable"/>
              <w:spacing w:after="40"/>
            </w:pPr>
            <w:r>
              <w:t>29 Jun 2001 p. 3230-42</w:t>
            </w:r>
          </w:p>
        </w:tc>
        <w:tc>
          <w:tcPr>
            <w:tcW w:w="2661" w:type="dxa"/>
          </w:tcPr>
          <w:p>
            <w:pPr>
              <w:pStyle w:val="nTable"/>
              <w:spacing w:after="40"/>
            </w:pPr>
            <w:r>
              <w:t>1 Jul 2001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61" w:type="dxa"/>
          </w:tcPr>
          <w:p>
            <w:pPr>
              <w:pStyle w:val="nTable"/>
              <w:spacing w:after="40"/>
              <w:ind w:right="113"/>
            </w:pPr>
            <w:r>
              <w:t>1 Jul 2002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2</w:t>
            </w:r>
          </w:p>
        </w:tc>
        <w:tc>
          <w:tcPr>
            <w:tcW w:w="1276" w:type="dxa"/>
            <w:gridSpan w:val="2"/>
          </w:tcPr>
          <w:p>
            <w:pPr>
              <w:pStyle w:val="nTable"/>
              <w:spacing w:after="40"/>
              <w:ind w:right="113"/>
            </w:pPr>
            <w:r>
              <w:t>27 Jun 2003 p. 2422</w:t>
            </w:r>
            <w:r>
              <w:noBreakHyphen/>
              <w:t>32</w:t>
            </w:r>
          </w:p>
        </w:tc>
        <w:tc>
          <w:tcPr>
            <w:tcW w:w="2661" w:type="dxa"/>
          </w:tcPr>
          <w:p>
            <w:pPr>
              <w:pStyle w:val="nTable"/>
              <w:spacing w:after="40"/>
              <w:ind w:right="113"/>
            </w:pPr>
            <w:r>
              <w:t>1 Jul 2003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61" w:type="dxa"/>
          </w:tcPr>
          <w:p>
            <w:pPr>
              <w:pStyle w:val="nTable"/>
              <w:spacing w:after="40"/>
              <w:ind w:right="113"/>
            </w:pPr>
            <w:r>
              <w:t xml:space="preserve">1 Jul 2004 (see bl. 2 and </w:t>
            </w:r>
            <w:r>
              <w:rPr>
                <w:i/>
              </w:rPr>
              <w:t>Gazette</w:t>
            </w:r>
            <w:r>
              <w:t xml:space="preserve"> 28 Jun 2004 p. 2399)</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2</w:t>
            </w:r>
          </w:p>
        </w:tc>
        <w:tc>
          <w:tcPr>
            <w:tcW w:w="1276" w:type="dxa"/>
            <w:gridSpan w:val="2"/>
          </w:tcPr>
          <w:p>
            <w:pPr>
              <w:pStyle w:val="nTable"/>
              <w:spacing w:after="40"/>
              <w:ind w:right="113"/>
            </w:pPr>
            <w:r>
              <w:t>29 Jun 2004 p. 2497-503</w:t>
            </w:r>
          </w:p>
        </w:tc>
        <w:tc>
          <w:tcPr>
            <w:tcW w:w="2661" w:type="dxa"/>
          </w:tcPr>
          <w:p>
            <w:pPr>
              <w:pStyle w:val="nTable"/>
              <w:spacing w:after="40"/>
              <w:ind w:right="113"/>
            </w:pPr>
            <w:r>
              <w:t>1 Jul 2004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61" w:type="dxa"/>
          </w:tcPr>
          <w:p>
            <w:pPr>
              <w:pStyle w:val="nTable"/>
              <w:spacing w:after="40"/>
              <w:ind w:right="113"/>
            </w:pPr>
            <w:r>
              <w:t>26 Apr 2005</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2</w:t>
            </w:r>
          </w:p>
        </w:tc>
        <w:tc>
          <w:tcPr>
            <w:tcW w:w="1276" w:type="dxa"/>
            <w:gridSpan w:val="2"/>
          </w:tcPr>
          <w:p>
            <w:pPr>
              <w:pStyle w:val="nTable"/>
              <w:spacing w:after="40"/>
              <w:ind w:right="113"/>
            </w:pPr>
            <w:r>
              <w:rPr>
                <w:bCs/>
              </w:rPr>
              <w:t>1 Jul 2005 p. 3009-17</w:t>
            </w:r>
          </w:p>
        </w:tc>
        <w:tc>
          <w:tcPr>
            <w:tcW w:w="2661" w:type="dxa"/>
          </w:tcPr>
          <w:p>
            <w:pPr>
              <w:pStyle w:val="nTable"/>
              <w:spacing w:after="40"/>
              <w:ind w:right="113"/>
            </w:pPr>
            <w:r>
              <w:rPr>
                <w:bCs/>
              </w:rPr>
              <w:t>1 Jul 2005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2</w:t>
            </w:r>
          </w:p>
        </w:tc>
        <w:tc>
          <w:tcPr>
            <w:tcW w:w="1276" w:type="dxa"/>
            <w:gridSpan w:val="2"/>
          </w:tcPr>
          <w:p>
            <w:pPr>
              <w:pStyle w:val="nTable"/>
              <w:spacing w:after="40"/>
              <w:ind w:right="113"/>
              <w:rPr>
                <w:bCs/>
              </w:rPr>
            </w:pPr>
            <w:r>
              <w:rPr>
                <w:bCs/>
              </w:rPr>
              <w:t>30 Jun 2006 p. 2399-412</w:t>
            </w:r>
          </w:p>
        </w:tc>
        <w:tc>
          <w:tcPr>
            <w:tcW w:w="2661" w:type="dxa"/>
          </w:tcPr>
          <w:p>
            <w:pPr>
              <w:pStyle w:val="nTable"/>
              <w:spacing w:after="40"/>
              <w:ind w:right="113"/>
              <w:rPr>
                <w:bCs/>
              </w:rPr>
            </w:pPr>
            <w:r>
              <w:rPr>
                <w:bCs/>
              </w:rPr>
              <w:t>1 Jul 2006 (see bl. 2)</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4</w:t>
            </w:r>
          </w:p>
        </w:tc>
        <w:tc>
          <w:tcPr>
            <w:tcW w:w="1276" w:type="dxa"/>
            <w:gridSpan w:val="2"/>
          </w:tcPr>
          <w:p>
            <w:pPr>
              <w:pStyle w:val="nTable"/>
              <w:spacing w:after="40"/>
              <w:ind w:right="113"/>
            </w:pPr>
            <w:r>
              <w:t>5 Apr 2007 p. 1529</w:t>
            </w:r>
            <w:r>
              <w:noBreakHyphen/>
              <w:t>31</w:t>
            </w:r>
          </w:p>
        </w:tc>
        <w:tc>
          <w:tcPr>
            <w:tcW w:w="2661" w:type="dxa"/>
          </w:tcPr>
          <w:p>
            <w:pPr>
              <w:pStyle w:val="nTable"/>
              <w:spacing w:after="40"/>
              <w:ind w:right="113"/>
            </w:pPr>
            <w:r>
              <w:t>5 Apr 2007</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61" w:type="dxa"/>
          </w:tcPr>
          <w:p>
            <w:pPr>
              <w:pStyle w:val="nTable"/>
              <w:spacing w:after="40"/>
              <w:ind w:right="113"/>
            </w:pPr>
            <w:r>
              <w:t>13 Apr 2007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2</w:t>
            </w:r>
          </w:p>
        </w:tc>
        <w:tc>
          <w:tcPr>
            <w:tcW w:w="1276" w:type="dxa"/>
            <w:gridSpan w:val="2"/>
          </w:tcPr>
          <w:p>
            <w:pPr>
              <w:pStyle w:val="nTable"/>
              <w:spacing w:after="40"/>
              <w:ind w:right="113"/>
            </w:pPr>
            <w:r>
              <w:rPr>
                <w:bCs/>
              </w:rPr>
              <w:t>29 Jun 2007 p. 3233-44</w:t>
            </w:r>
          </w:p>
        </w:tc>
        <w:tc>
          <w:tcPr>
            <w:tcW w:w="2661" w:type="dxa"/>
          </w:tcPr>
          <w:p>
            <w:pPr>
              <w:pStyle w:val="nTable"/>
              <w:spacing w:after="40"/>
              <w:ind w:right="113"/>
            </w:pPr>
            <w:r>
              <w:rPr>
                <w:bCs/>
              </w:rPr>
              <w:t>1 Jul 2007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lastRenderedPageBreak/>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61" w:type="dxa"/>
          </w:tcPr>
          <w:p>
            <w:pPr>
              <w:pStyle w:val="nTable"/>
              <w:spacing w:after="40"/>
              <w:ind w:right="113"/>
              <w:rPr>
                <w:bCs/>
              </w:rPr>
            </w:pPr>
            <w:r>
              <w:rPr>
                <w:bCs/>
              </w:rPr>
              <w:t>bl. 1 and 2: 28 Mar 2008 (see bl. 2(a));</w:t>
            </w:r>
            <w:r>
              <w:rPr>
                <w:bCs/>
              </w:rPr>
              <w:br/>
              <w:t>By-laws other than bl. 1 and 2: 29 Mar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61" w:type="dxa"/>
          </w:tcPr>
          <w:p>
            <w:pPr>
              <w:pStyle w:val="nTable"/>
              <w:spacing w:after="40"/>
              <w:ind w:right="113"/>
              <w:rPr>
                <w:bCs/>
              </w:rPr>
            </w:pPr>
            <w:r>
              <w:rPr>
                <w:bCs/>
              </w:rPr>
              <w:t>bl. 1 and 2: 23 May 2008 (see bl. 2(a));</w:t>
            </w:r>
            <w:r>
              <w:rPr>
                <w:bCs/>
              </w:rPr>
              <w:br/>
              <w:t>By-laws other than bl. 1 and 2: 24 May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5</w:t>
            </w:r>
          </w:p>
        </w:tc>
        <w:tc>
          <w:tcPr>
            <w:tcW w:w="1276" w:type="dxa"/>
            <w:gridSpan w:val="2"/>
          </w:tcPr>
          <w:p>
            <w:pPr>
              <w:pStyle w:val="nTable"/>
              <w:spacing w:after="40"/>
              <w:ind w:right="113"/>
              <w:rPr>
                <w:bCs/>
              </w:rPr>
            </w:pPr>
            <w:r>
              <w:rPr>
                <w:bCs/>
              </w:rPr>
              <w:t>27 Jun 2008 p. 3076</w:t>
            </w:r>
            <w:r>
              <w:rPr>
                <w:bCs/>
              </w:rPr>
              <w:noBreakHyphen/>
              <w:t>84</w:t>
            </w:r>
          </w:p>
        </w:tc>
        <w:tc>
          <w:tcPr>
            <w:tcW w:w="2661" w:type="dxa"/>
          </w:tcPr>
          <w:p>
            <w:pPr>
              <w:pStyle w:val="nTable"/>
              <w:spacing w:after="40"/>
              <w:ind w:right="113"/>
              <w:rPr>
                <w:bCs/>
              </w:rPr>
            </w:pPr>
            <w:r>
              <w:rPr>
                <w:bCs/>
                <w:snapToGrid w:val="0"/>
              </w:rPr>
              <w:t>1 Jul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61" w:type="dxa"/>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61" w:type="dxa"/>
          </w:tcPr>
          <w:p>
            <w:pPr>
              <w:pStyle w:val="nTable"/>
              <w:spacing w:after="40"/>
              <w:ind w:right="113"/>
              <w:rPr>
                <w:bCs/>
                <w:snapToGrid w:val="0"/>
              </w:rPr>
            </w:pPr>
            <w:r>
              <w:rPr>
                <w:bCs/>
                <w:snapToGrid w:val="0"/>
              </w:rPr>
              <w:t>1 Jul 2009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61" w:type="dxa"/>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89" w:type="dxa"/>
            <w:gridSpan w:val="2"/>
          </w:tcPr>
          <w:p>
            <w:pPr>
              <w:pStyle w:val="nTable"/>
              <w:spacing w:after="40"/>
              <w:ind w:right="113"/>
              <w:rPr>
                <w:bCs/>
                <w:snapToGrid w:val="0"/>
              </w:rPr>
            </w:pPr>
            <w:r>
              <w:rPr>
                <w:bCs/>
                <w:snapToGrid w:val="0"/>
              </w:rPr>
              <w:t>1 Jul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89"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89"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89" w:type="dxa"/>
            <w:gridSpan w:val="2"/>
            <w:shd w:val="clear" w:color="auto" w:fill="auto"/>
          </w:tcPr>
          <w:p>
            <w:pPr>
              <w:pStyle w:val="nTable"/>
              <w:spacing w:after="40"/>
              <w:ind w:right="113"/>
              <w:rPr>
                <w:bCs/>
                <w:snapToGrid w:val="0"/>
              </w:rPr>
            </w:pPr>
            <w:r>
              <w:rPr>
                <w:bCs/>
                <w:snapToGrid w:val="0"/>
              </w:rPr>
              <w:t>1 Jul 2011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89" w:type="dxa"/>
            <w:gridSpan w:val="2"/>
            <w:shd w:val="clear" w:color="auto" w:fill="auto"/>
          </w:tcPr>
          <w:p>
            <w:pPr>
              <w:pStyle w:val="nTable"/>
              <w:spacing w:after="40"/>
              <w:ind w:right="113"/>
              <w:rPr>
                <w:bCs/>
                <w:snapToGrid w:val="0"/>
              </w:rPr>
            </w:pPr>
            <w:r>
              <w:rPr>
                <w:bCs/>
                <w:snapToGrid w:val="0"/>
              </w:rPr>
              <w:t>1 Jul 2012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bCs/>
              </w:rPr>
            </w:pPr>
            <w:r>
              <w:rPr>
                <w:bCs/>
              </w:rPr>
              <w:t>19 Jun 2013 p. 2333</w:t>
            </w:r>
            <w:r>
              <w:rPr>
                <w:bCs/>
              </w:rPr>
              <w:noBreakHyphen/>
              <w:t>46</w:t>
            </w:r>
          </w:p>
        </w:tc>
        <w:tc>
          <w:tcPr>
            <w:tcW w:w="2689" w:type="dxa"/>
            <w:gridSpan w:val="2"/>
            <w:shd w:val="clear" w:color="auto" w:fill="auto"/>
          </w:tcPr>
          <w:p>
            <w:pPr>
              <w:pStyle w:val="nTable"/>
              <w:spacing w:after="40"/>
              <w:ind w:right="113"/>
              <w:rPr>
                <w:bCs/>
                <w:snapToGrid w:val="0"/>
              </w:rPr>
            </w:pPr>
            <w:r>
              <w:rPr>
                <w:bCs/>
                <w:snapToGrid w:val="0"/>
              </w:rPr>
              <w:t>1 Jul 2013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lastRenderedPageBreak/>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rPr>
          <w:cantSplit/>
          <w:trHeight w:val="40"/>
        </w:trPr>
        <w:tc>
          <w:tcPr>
            <w:tcW w:w="3132" w:type="dxa"/>
            <w:tcBorders>
              <w:top w:val="nil"/>
              <w:bottom w:val="nil"/>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p>
        </w:tc>
        <w:tc>
          <w:tcPr>
            <w:tcW w:w="1276" w:type="dxa"/>
            <w:gridSpan w:val="2"/>
            <w:tcBorders>
              <w:top w:val="nil"/>
              <w:bottom w:val="nil"/>
            </w:tcBorders>
            <w:shd w:val="clear" w:color="auto" w:fill="auto"/>
          </w:tcPr>
          <w:p>
            <w:pPr>
              <w:pStyle w:val="nTable"/>
              <w:spacing w:after="40"/>
              <w:ind w:right="113"/>
              <w:rPr>
                <w:bCs/>
              </w:rPr>
            </w:pPr>
            <w:r>
              <w:t>10 Jan 2017 p. 233-5</w:t>
            </w:r>
          </w:p>
        </w:tc>
        <w:tc>
          <w:tcPr>
            <w:tcW w:w="2689" w:type="dxa"/>
            <w:gridSpan w:val="2"/>
            <w:tcBorders>
              <w:top w:val="nil"/>
              <w:bottom w:val="nil"/>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Height w:val="40"/>
        </w:trPr>
        <w:tc>
          <w:tcPr>
            <w:tcW w:w="3132" w:type="dxa"/>
            <w:tcBorders>
              <w:bottom w:val="single" w:sz="4" w:space="0" w:color="auto"/>
            </w:tcBorders>
            <w:shd w:val="clear" w:color="auto" w:fill="auto"/>
          </w:tcPr>
          <w:p>
            <w:pPr>
              <w:pStyle w:val="nTable"/>
              <w:spacing w:after="40"/>
              <w:ind w:right="113"/>
              <w:rPr>
                <w:i/>
              </w:rPr>
            </w:pPr>
            <w:r>
              <w:rPr>
                <w:i/>
              </w:rPr>
              <w:t>Metropolitan Water Supply, Sewerage and Drainage Amendment By</w:t>
            </w:r>
            <w:r>
              <w:rPr>
                <w:i/>
              </w:rPr>
              <w:noBreakHyphen/>
              <w:t>laws 2023</w:t>
            </w:r>
            <w:r>
              <w:t xml:space="preserve"> </w:t>
            </w:r>
          </w:p>
        </w:tc>
        <w:tc>
          <w:tcPr>
            <w:tcW w:w="1276" w:type="dxa"/>
            <w:gridSpan w:val="2"/>
            <w:tcBorders>
              <w:bottom w:val="single" w:sz="4" w:space="0" w:color="auto"/>
            </w:tcBorders>
            <w:shd w:val="clear" w:color="auto" w:fill="auto"/>
          </w:tcPr>
          <w:p>
            <w:pPr>
              <w:pStyle w:val="nTable"/>
              <w:spacing w:after="40"/>
              <w:ind w:right="113"/>
            </w:pPr>
            <w:r>
              <w:t>SL 2023/54 19 May 2023</w:t>
            </w:r>
          </w:p>
        </w:tc>
        <w:tc>
          <w:tcPr>
            <w:tcW w:w="2689" w:type="dxa"/>
            <w:gridSpan w:val="2"/>
            <w:tcBorders>
              <w:bottom w:val="single" w:sz="4" w:space="0" w:color="auto"/>
            </w:tcBorders>
            <w:shd w:val="clear" w:color="auto" w:fill="auto"/>
          </w:tcPr>
          <w:p>
            <w:pPr>
              <w:pStyle w:val="nTable"/>
              <w:spacing w:after="40"/>
              <w:ind w:right="113"/>
            </w:pPr>
            <w:r>
              <w:rPr>
                <w:bCs/>
                <w:snapToGrid w:val="0"/>
              </w:rPr>
              <w:t xml:space="preserve">bl. 1 and 2: </w:t>
            </w:r>
            <w:r>
              <w:t>19 May 2023</w:t>
            </w:r>
            <w:r>
              <w:rPr>
                <w:bCs/>
                <w:snapToGrid w:val="0"/>
              </w:rPr>
              <w:t xml:space="preserve"> (see bl. 2(a));</w:t>
            </w:r>
            <w:r>
              <w:rPr>
                <w:bCs/>
                <w:snapToGrid w:val="0"/>
              </w:rPr>
              <w:br/>
              <w:t xml:space="preserve">By-laws other than bl. 1 and 2: </w:t>
            </w:r>
            <w:r>
              <w:t>1 Jul 2023 (see bl. 2(b))</w:t>
            </w:r>
          </w:p>
        </w:tc>
      </w:tr>
    </w:tbl>
    <w:p>
      <w:pPr>
        <w:pStyle w:val="nHeading3"/>
      </w:pPr>
      <w:bookmarkStart w:id="34" w:name="_Toc155098073"/>
      <w:r>
        <w:t>Uncommenced provisions table</w:t>
      </w:r>
      <w:bookmarkEnd w:id="34"/>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7087"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rPr>
                <w:iCs/>
              </w:rPr>
            </w:pPr>
            <w:r>
              <w:rPr>
                <w:i/>
              </w:rPr>
              <w:t>Metropolitan Water Supply, Sewerage and Drainage Amendment By</w:t>
            </w:r>
            <w:r>
              <w:rPr>
                <w:i/>
              </w:rPr>
              <w:noBreakHyphen/>
              <w:t>laws (No. 2) 2023</w:t>
            </w:r>
            <w:r>
              <w:rPr>
                <w:iCs/>
              </w:rPr>
              <w:t xml:space="preserve"> bl. 3</w:t>
            </w:r>
            <w:r>
              <w:rPr>
                <w:iCs/>
              </w:rPr>
              <w:noBreakHyphen/>
              <w:t>7</w:t>
            </w:r>
          </w:p>
        </w:tc>
        <w:tc>
          <w:tcPr>
            <w:tcW w:w="1276" w:type="dxa"/>
          </w:tcPr>
          <w:p>
            <w:pPr>
              <w:pStyle w:val="nTable"/>
              <w:spacing w:after="40"/>
            </w:pPr>
            <w:r>
              <w:t>SL 2023/176 1 Nov 2023</w:t>
            </w:r>
          </w:p>
        </w:tc>
        <w:tc>
          <w:tcPr>
            <w:tcW w:w="2693" w:type="dxa"/>
          </w:tcPr>
          <w:p>
            <w:pPr>
              <w:pStyle w:val="nTable"/>
              <w:spacing w:after="40"/>
            </w:pPr>
            <w:r>
              <w:t>15 Nov 2023 (see r. 2(b) and SL 2023/161 cl. 2)</w:t>
            </w:r>
          </w:p>
        </w:tc>
      </w:tr>
    </w:tbl>
    <w:p>
      <w:pPr>
        <w:pStyle w:val="nHeading3"/>
      </w:pPr>
      <w:bookmarkStart w:id="35" w:name="_Toc155098074"/>
      <w:r>
        <w:t>Other notes</w:t>
      </w:r>
      <w:bookmarkEnd w:id="35"/>
    </w:p>
    <w:p>
      <w:pPr>
        <w:pStyle w:val="nNote"/>
        <w:rPr>
          <w:snapToGrid w:val="0"/>
        </w:rPr>
      </w:pPr>
      <w:r>
        <w:rPr>
          <w:snapToGrid w:val="0"/>
          <w:vertAlign w:val="superscript"/>
        </w:rPr>
        <w:t>1</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Note"/>
        <w:spacing w:before="100"/>
        <w:rPr>
          <w:snapToGrid w:val="0"/>
        </w:rPr>
      </w:pPr>
      <w:r>
        <w:rPr>
          <w:snapToGrid w:val="0"/>
          <w:vertAlign w:val="superscript"/>
        </w:rPr>
        <w:t>2</w:t>
      </w:r>
      <w:r>
        <w:rPr>
          <w:snapToGrid w:val="0"/>
        </w:rPr>
        <w:tab/>
        <w:t>These by-laws contain an application provision concerning fees and charges for a period commencing before, or for a matter or thing done before, the by-laws came into operation.</w:t>
      </w:r>
    </w:p>
    <w:p>
      <w:pPr>
        <w:pStyle w:val="nNote"/>
        <w:spacing w:before="100"/>
        <w:rPr>
          <w:snapToGrid w:val="0"/>
        </w:rPr>
      </w:pPr>
      <w:r>
        <w:rPr>
          <w:snapToGrid w:val="0"/>
          <w:vertAlign w:val="superscript"/>
        </w:rPr>
        <w:t>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Note"/>
        <w:keepNext/>
        <w:rPr>
          <w:snapToGrid w:val="0"/>
        </w:rPr>
      </w:pPr>
      <w:r>
        <w:rPr>
          <w:snapToGrid w:val="0"/>
          <w:vertAlign w:val="superscript"/>
        </w:rPr>
        <w:lastRenderedPageBreak/>
        <w:t>4</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Note"/>
        <w:keepNext/>
        <w:keepLines/>
        <w:rPr>
          <w:snapToGrid w:val="0"/>
        </w:rPr>
      </w:pPr>
      <w:r>
        <w:rPr>
          <w:snapToGrid w:val="0"/>
          <w:vertAlign w:val="superscript"/>
        </w:rPr>
        <w:t>5</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9"/>
          <w:headerReference w:type="default" r:id="rId30"/>
          <w:pgSz w:w="11907" w:h="16840" w:code="9"/>
          <w:pgMar w:top="2376" w:right="2404" w:bottom="3544" w:left="2404" w:header="720" w:footer="3544" w:gutter="0"/>
          <w:cols w:space="720"/>
          <w:noEndnote/>
          <w:docGrid w:linePitch="326"/>
        </w:sectPr>
      </w:pPr>
    </w:p>
    <w:p>
      <w:pPr>
        <w:pStyle w:val="nHeading2"/>
        <w:rPr>
          <w:sz w:val="28"/>
        </w:rPr>
      </w:pPr>
      <w:bookmarkStart w:id="37" w:name="_Toc155098075"/>
      <w:r>
        <w:rPr>
          <w:sz w:val="28"/>
        </w:rPr>
        <w:lastRenderedPageBreak/>
        <w:t>Defined terms</w:t>
      </w:r>
      <w:bookmarkEnd w:id="3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Aboriginal customary purpose</w:t>
      </w:r>
      <w:r>
        <w:tab/>
        <w:t>1.1</w:t>
      </w:r>
    </w:p>
    <w:p>
      <w:pPr>
        <w:pStyle w:val="DefinedTerms"/>
      </w:pPr>
      <w:r>
        <w:t>Act</w:t>
      </w:r>
      <w:r>
        <w:tab/>
        <w:t>1.1</w:t>
      </w:r>
    </w:p>
    <w:p>
      <w:pPr>
        <w:pStyle w:val="DefinedTerms"/>
      </w:pPr>
      <w:r>
        <w:t>automotive business premises</w:t>
      </w:r>
      <w:r>
        <w:tab/>
        <w:t>5.6</w:t>
      </w:r>
    </w:p>
    <w:p>
      <w:pPr>
        <w:pStyle w:val="DefinedTerms"/>
      </w:pPr>
      <w:r>
        <w:t>bore</w:t>
      </w:r>
      <w:r>
        <w:tab/>
        <w:t>1.1</w:t>
      </w:r>
    </w:p>
    <w:p>
      <w:pPr>
        <w:pStyle w:val="DefinedTerms"/>
      </w:pPr>
      <w:r>
        <w:t>bulk liquid storage tank system</w:t>
      </w:r>
      <w:r>
        <w:tab/>
        <w:t>5.6</w:t>
      </w:r>
    </w:p>
    <w:p>
      <w:pPr>
        <w:pStyle w:val="DefinedTerms"/>
      </w:pPr>
      <w:r>
        <w:t>CALM Act land</w:t>
      </w:r>
      <w:r>
        <w:tab/>
        <w:t>4.11</w:t>
      </w:r>
    </w:p>
    <w:p>
      <w:pPr>
        <w:pStyle w:val="DefinedTerms"/>
      </w:pPr>
      <w:r>
        <w:t>CALM Act Minister</w:t>
      </w:r>
      <w:r>
        <w:tab/>
        <w:t>4.11</w:t>
      </w:r>
    </w:p>
    <w:p>
      <w:pPr>
        <w:pStyle w:val="DefinedTerms"/>
      </w:pPr>
      <w:r>
        <w:t>Corporation</w:t>
      </w:r>
      <w:r>
        <w:tab/>
        <w:t>1.1</w:t>
      </w:r>
    </w:p>
    <w:p>
      <w:pPr>
        <w:pStyle w:val="DefinedTerms"/>
      </w:pPr>
      <w:r>
        <w:t>Dangerous Goods Storage Regulations</w:t>
      </w:r>
      <w:r>
        <w:tab/>
        <w:t>1.1</w:t>
      </w:r>
    </w:p>
    <w:p>
      <w:pPr>
        <w:pStyle w:val="DefinedTerms"/>
      </w:pPr>
      <w:r>
        <w:t>designated camping site</w:t>
      </w:r>
      <w:r>
        <w:tab/>
        <w:t>1.1</w:t>
      </w:r>
    </w:p>
    <w:p>
      <w:pPr>
        <w:pStyle w:val="DefinedTerms"/>
      </w:pPr>
      <w:r>
        <w:t>diameter</w:t>
      </w:r>
      <w:r>
        <w:tab/>
        <w:t>1.1</w:t>
      </w:r>
    </w:p>
    <w:p>
      <w:pPr>
        <w:pStyle w:val="DefinedTerms"/>
      </w:pPr>
      <w:r>
        <w:t>domestic sewage</w:t>
      </w:r>
      <w:r>
        <w:tab/>
        <w:t>1.1</w:t>
      </w:r>
    </w:p>
    <w:p>
      <w:pPr>
        <w:pStyle w:val="DefinedTerms"/>
      </w:pPr>
      <w:r>
        <w:t>elevated storage tank system</w:t>
      </w:r>
      <w:r>
        <w:tab/>
        <w:t>5.6</w:t>
      </w:r>
    </w:p>
    <w:p>
      <w:pPr>
        <w:pStyle w:val="DefinedTerms"/>
      </w:pPr>
      <w:r>
        <w:t>establish</w:t>
      </w:r>
      <w:r>
        <w:tab/>
        <w:t>5.6</w:t>
      </w:r>
    </w:p>
    <w:p>
      <w:pPr>
        <w:pStyle w:val="DefinedTerms"/>
      </w:pPr>
      <w:r>
        <w:t>feeder</w:t>
      </w:r>
      <w:r>
        <w:tab/>
        <w:t>1.1</w:t>
      </w:r>
    </w:p>
    <w:p>
      <w:pPr>
        <w:pStyle w:val="DefinedTerms"/>
      </w:pPr>
      <w:r>
        <w:t>ground</w:t>
      </w:r>
      <w:r>
        <w:tab/>
        <w:t>1.1</w:t>
      </w:r>
    </w:p>
    <w:p>
      <w:pPr>
        <w:pStyle w:val="DefinedTerms"/>
      </w:pPr>
      <w:r>
        <w:t>ground storage tank system</w:t>
      </w:r>
      <w:r>
        <w:tab/>
        <w:t>5.6</w:t>
      </w:r>
    </w:p>
    <w:p>
      <w:pPr>
        <w:pStyle w:val="DefinedTerms"/>
      </w:pPr>
      <w:r>
        <w:t>hand-held tool</w:t>
      </w:r>
      <w:r>
        <w:tab/>
        <w:t>4.12</w:t>
      </w:r>
    </w:p>
    <w:p>
      <w:pPr>
        <w:pStyle w:val="DefinedTerms"/>
      </w:pPr>
      <w:r>
        <w:t>high-water mark</w:t>
      </w:r>
      <w:r>
        <w:tab/>
        <w:t>1.1</w:t>
      </w:r>
    </w:p>
    <w:p>
      <w:pPr>
        <w:pStyle w:val="DefinedTerms"/>
      </w:pPr>
      <w:r>
        <w:t>industrial waste</w:t>
      </w:r>
      <w:r>
        <w:tab/>
        <w:t>1.1</w:t>
      </w:r>
    </w:p>
    <w:p>
      <w:pPr>
        <w:pStyle w:val="DefinedTerms"/>
      </w:pPr>
      <w:r>
        <w:t>liquid waste</w:t>
      </w:r>
      <w:r>
        <w:tab/>
        <w:t>1.1</w:t>
      </w:r>
    </w:p>
    <w:p>
      <w:pPr>
        <w:pStyle w:val="DefinedTerms"/>
      </w:pPr>
      <w:r>
        <w:t>Noongar</w:t>
      </w:r>
      <w:r>
        <w:tab/>
        <w:t>1.1</w:t>
      </w:r>
    </w:p>
    <w:p>
      <w:pPr>
        <w:pStyle w:val="DefinedTerms"/>
      </w:pPr>
      <w:r>
        <w:t>observation well</w:t>
      </w:r>
      <w:r>
        <w:tab/>
        <w:t>1.1</w:t>
      </w:r>
    </w:p>
    <w:p>
      <w:pPr>
        <w:pStyle w:val="DefinedTerms"/>
      </w:pPr>
      <w:r>
        <w:t>owner</w:t>
      </w:r>
      <w:r>
        <w:tab/>
        <w:t>5.6</w:t>
      </w:r>
    </w:p>
    <w:p>
      <w:pPr>
        <w:pStyle w:val="DefinedTerms"/>
      </w:pPr>
      <w:r>
        <w:t>people</w:t>
      </w:r>
      <w:r>
        <w:tab/>
        <w:t>1.1</w:t>
      </w:r>
    </w:p>
    <w:p>
      <w:pPr>
        <w:pStyle w:val="DefinedTerms"/>
      </w:pPr>
      <w:r>
        <w:t>pesticides</w:t>
      </w:r>
      <w:r>
        <w:tab/>
        <w:t>1.1</w:t>
      </w:r>
    </w:p>
    <w:p>
      <w:pPr>
        <w:pStyle w:val="DefinedTerms"/>
      </w:pPr>
      <w:r>
        <w:t>petroleum product</w:t>
      </w:r>
      <w:r>
        <w:tab/>
        <w:t>1.1</w:t>
      </w:r>
    </w:p>
    <w:p>
      <w:pPr>
        <w:pStyle w:val="DefinedTerms"/>
      </w:pPr>
      <w:r>
        <w:t>plans</w:t>
      </w:r>
      <w:r>
        <w:tab/>
        <w:t>5.6</w:t>
      </w:r>
    </w:p>
    <w:p>
      <w:pPr>
        <w:pStyle w:val="DefinedTerms"/>
      </w:pPr>
      <w:r>
        <w:t>priority 1 source protection area</w:t>
      </w:r>
      <w:r>
        <w:tab/>
        <w:t>5.6</w:t>
      </w:r>
    </w:p>
    <w:p>
      <w:pPr>
        <w:pStyle w:val="DefinedTerms"/>
      </w:pPr>
      <w:r>
        <w:t>priority 2 source protection area</w:t>
      </w:r>
      <w:r>
        <w:tab/>
        <w:t>5.6</w:t>
      </w:r>
    </w:p>
    <w:p>
      <w:pPr>
        <w:pStyle w:val="DefinedTerms"/>
      </w:pPr>
      <w:r>
        <w:t>priority 3 source protection area</w:t>
      </w:r>
      <w:r>
        <w:tab/>
        <w:t>5.6</w:t>
      </w:r>
    </w:p>
    <w:p>
      <w:pPr>
        <w:pStyle w:val="DefinedTerms"/>
      </w:pPr>
      <w:r>
        <w:t>production well</w:t>
      </w:r>
      <w:r>
        <w:tab/>
        <w:t>1.1</w:t>
      </w:r>
    </w:p>
    <w:p>
      <w:pPr>
        <w:pStyle w:val="DefinedTerms"/>
      </w:pPr>
      <w:r>
        <w:t>registered Aboriginal place</w:t>
      </w:r>
      <w:r>
        <w:tab/>
        <w:t>1.1</w:t>
      </w:r>
    </w:p>
    <w:p>
      <w:pPr>
        <w:pStyle w:val="DefinedTerms"/>
      </w:pPr>
      <w:r>
        <w:t>size</w:t>
      </w:r>
      <w:r>
        <w:tab/>
        <w:t>1.1</w:t>
      </w:r>
    </w:p>
    <w:p>
      <w:pPr>
        <w:pStyle w:val="DefinedTerms"/>
      </w:pPr>
      <w:r>
        <w:t>South West Settlement Area</w:t>
      </w:r>
      <w:r>
        <w:tab/>
        <w:t>1.1</w:t>
      </w:r>
    </w:p>
    <w:p>
      <w:pPr>
        <w:pStyle w:val="DefinedTerms"/>
      </w:pPr>
      <w:r>
        <w:t>special provision catchment area</w:t>
      </w:r>
      <w:r>
        <w:tab/>
        <w:t>1.1</w:t>
      </w:r>
    </w:p>
    <w:p>
      <w:pPr>
        <w:pStyle w:val="DefinedTerms"/>
      </w:pPr>
      <w:r>
        <w:t>take</w:t>
      </w:r>
      <w:r>
        <w:tab/>
        <w:t>4.12</w:t>
      </w:r>
    </w:p>
    <w:p>
      <w:pPr>
        <w:pStyle w:val="DefinedTerms"/>
      </w:pPr>
      <w:r>
        <w:t>tank</w:t>
      </w:r>
      <w:r>
        <w:tab/>
        <w:t>5.6</w:t>
      </w:r>
    </w:p>
    <w:p>
      <w:pPr>
        <w:pStyle w:val="DefinedTerms"/>
      </w:pPr>
      <w:r>
        <w:t>underground storage or handling system</w:t>
      </w:r>
      <w:r>
        <w:tab/>
        <w:t>1.1</w:t>
      </w:r>
    </w:p>
    <w:p>
      <w:pPr>
        <w:pStyle w:val="DefinedTerms"/>
      </w:pPr>
      <w:r>
        <w:lastRenderedPageBreak/>
        <w:t>underground water</w:t>
      </w:r>
      <w:r>
        <w:tab/>
        <w:t>1.1</w:t>
      </w:r>
    </w:p>
    <w:p>
      <w:pPr>
        <w:pStyle w:val="DefinedTerms"/>
      </w:pPr>
      <w:r>
        <w:t>unpolluted water</w:t>
      </w:r>
      <w:r>
        <w:tab/>
        <w:t>5.6</w:t>
      </w:r>
    </w:p>
    <w:p>
      <w:pPr>
        <w:pStyle w:val="DefinedTerms"/>
      </w:pPr>
      <w:r>
        <w:t>wellhead</w:t>
      </w:r>
      <w:r>
        <w:tab/>
        <w:t>5.6</w:t>
      </w:r>
    </w:p>
    <w:p>
      <w:pPr>
        <w:pStyle w:val="DefinedTerms"/>
      </w:pPr>
      <w:r>
        <w:t>wellhead protection zone</w:t>
      </w:r>
      <w:r>
        <w:tab/>
        <w:t>4.11, 5.6</w:t>
      </w:r>
    </w:p>
    <w:p>
      <w:pPr>
        <w:pStyle w:val="DefinedTerms"/>
      </w:pPr>
      <w:r>
        <w:t>works</w:t>
      </w:r>
      <w:r>
        <w:tab/>
        <w:t>1.1</w:t>
      </w:r>
    </w:p>
    <w:p/>
    <w:p>
      <w:pPr>
        <w:sectPr>
          <w:headerReference w:type="even" r:id="rId31"/>
          <w:headerReference w:type="default" r:id="rId32"/>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5"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2415A0F"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dN8udj0CAAB4BAAADgAAAAAA&#10;AAAAAAAAAAAuAgAAZHJzL2Uyb0RvYy54bWxQSwECLQAUAAYACAAAACEAY38uG9wAAAAJAQAADwAA&#10;AAAAAAAAAAAAAACXBAAAZHJzL2Rvd25yZXYueG1sUEsFBgAAAAAEAAQA8wAAAKAFAAAAAA==&#10;" stroked="f" strokeweight=".5pt">
                <v:textbox>
                  <w:txbxContent>
                    <w:p w14:paraId="6C9505A3" w14:textId="08311D99" w:rsidR="0039097D" w:rsidRDefault="0039097D">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2C0638B9" w14:textId="77777777" w:rsidR="0039097D" w:rsidRDefault="0039097D">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05BAEA73" w14:textId="5EB04732" w:rsidR="0039097D" w:rsidRDefault="0039097D">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6EC0FE10" w14:textId="77777777" w:rsidR="0039097D" w:rsidRDefault="0039097D">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2381" w:right="2410" w:bottom="3544" w:left="2410"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Nov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07-j0-01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07-j0-01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07-j0-01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Nov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07-j0-01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xvii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07-j0-01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07-j0-01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jc w:val="center"/>
      </w:trP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p>
      </w:tc>
    </w:tr>
  </w:tbl>
  <w:p>
    <w:pPr>
      <w:pStyle w:val="Header"/>
      <w:pBdr>
        <w:top w:val="single" w:sz="4" w:space="1" w:color="auto"/>
      </w:pBdr>
    </w:pPr>
    <w:bookmarkStart w:id="31" w:name="Schedule"/>
    <w:bookmarkEnd w:id="31"/>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6" w:name="Compilation"/>
    <w:bookmarkEnd w:id="36"/>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38" w:name="DefinedTerms"/>
    <w:bookmarkEnd w:id="38"/>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9" w:name="Coversheet"/>
    <w:bookmarkEnd w:id="3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13538"/>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 w:name="WAFER_2023051712302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7123021_GUID" w:val="43543648-f563-4385-a644-476ed4daefbc"/>
    <w:docVar w:name="WAFER_2023051712305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0517123054_GUID" w:val="6e127404-e8cf-4430-b04e-8704e9cd7c21"/>
    <w:docVar w:name="WAFER_202306291119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RemoveIncorrectStyles.ProcessStyles"/>
    <w:docVar w:name="WAFER_20230629111922_GUID" w:val="6ef92def-7aab-49b7-a09e-87ff6fddcd14"/>
    <w:docVar w:name="WAFER_2023110108354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1101083544_GUID" w:val="150e2023-bebe-4f1c-8d95-9bda197b17f9"/>
    <w:docVar w:name="WAFER_20231228113538"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538_GUID" w:val="14407a6a-0280-44a0-84d6-7a81e5ba434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5:docId w15:val="{C38CA5C9-14F9-4051-8E8C-81ECDB54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5">
    <w:name w:val="nzHeading 5"/>
    <w:basedOn w:val="zHeading5"/>
    <w:pPr>
      <w:spacing w:before="10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eader" Target="header1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10386</Words>
  <Characters>50582</Characters>
  <Application>Microsoft Office Word</Application>
  <DocSecurity>0</DocSecurity>
  <Lines>1631</Lines>
  <Paragraphs>858</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60110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1981 - 07-j0-01</dc:title>
  <dc:subject/>
  <dc:creator/>
  <cp:keywords/>
  <dc:description/>
  <cp:lastModifiedBy>Master Repository Process</cp:lastModifiedBy>
  <cp:revision>4</cp:revision>
  <cp:lastPrinted>2019-10-23T05:14:00Z</cp:lastPrinted>
  <dcterms:created xsi:type="dcterms:W3CDTF">2024-01-02T06:27:00Z</dcterms:created>
  <dcterms:modified xsi:type="dcterms:W3CDTF">2024-01-02T06:27:00Z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AsAtDate">
    <vt:lpwstr>01 Nov 2023</vt:lpwstr>
  </property>
  <property fmtid="{D5CDD505-2E9C-101B-9397-08002B2CF9AE}" pid="8" name="Suffix">
    <vt:lpwstr>07-j0-01</vt:lpwstr>
  </property>
  <property fmtid="{D5CDD505-2E9C-101B-9397-08002B2CF9AE}" pid="9" name="Official">
    <vt:lpwstr/>
  </property>
  <property fmtid="{D5CDD505-2E9C-101B-9397-08002B2CF9AE}" pid="10" name="CommencementDate">
    <vt:lpwstr>20231101</vt:lpwstr>
  </property>
  <property fmtid="{D5CDD505-2E9C-101B-9397-08002B2CF9AE}" pid="11" name="CommencementAsAt">
    <vt:filetime>2023-10-31T16:00:00Z</vt:filetime>
  </property>
  <property fmtid="{D5CDD505-2E9C-101B-9397-08002B2CF9AE}" pid="12" name="CommencementYear">
    <vt:lpwstr>2023</vt:lpwstr>
  </property>
</Properties>
</file>