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_Toc154744933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_Toc154744934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_Toc154744935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_Toc154744936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_Toc154744937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_Toc154744938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_Toc154744939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_Toc154744940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_Toc154744941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_Toc154744942 \h </w:instrText>
      </w:r>
      <w:r>
        <w:fldChar w:fldCharType="separate"/>
      </w:r>
      <w:r>
        <w:t>6</w:t>
      </w:r>
      <w:r>
        <w:fldChar w:fldCharType="end"/>
      </w:r>
    </w:p>
    <w:p>
      <w:pPr>
        <w:pStyle w:val="TOC8"/>
        <w:rPr>
          <w:rFonts w:asciiTheme="minorHAnsi" w:eastAsiaTheme="minorEastAsia" w:hAnsiTheme="minorHAnsi" w:cstheme="minorBidi"/>
          <w:szCs w:val="22"/>
        </w:rPr>
      </w:pPr>
      <w:r>
        <w:t>10A.</w:t>
      </w:r>
      <w:r>
        <w:tab/>
        <w:t>Notification of new director of building service contractor: prescribed information</w:t>
      </w:r>
      <w:r>
        <w:tab/>
      </w:r>
      <w:r>
        <w:fldChar w:fldCharType="begin"/>
      </w:r>
      <w:r>
        <w:instrText xml:space="preserve"> PAGEREF _Toc154744943 \h </w:instrText>
      </w:r>
      <w:r>
        <w:fldChar w:fldCharType="separate"/>
      </w:r>
      <w:r>
        <w:t>7</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_Toc154744944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_Toc154744947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_Toc154744949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_Toc154744950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_Toc154744951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_Toc154744952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17.</w:t>
      </w:r>
      <w:r>
        <w:tab/>
        <w:t>Conduct of examinations</w:t>
      </w:r>
      <w:r>
        <w:tab/>
      </w:r>
      <w:r>
        <w:fldChar w:fldCharType="begin"/>
      </w:r>
      <w:r>
        <w:instrText xml:space="preserve"> PAGEREF _Toc154744953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_Toc154744954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_Toc154744955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_Toc154744956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_Toc154744957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_Toc154744959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_Toc154744960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_Toc154744961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_Toc154744962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_Toc154744963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_Toc154744964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_Toc154744965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_Toc154744967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_Toc154744968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_Toc154744969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_Toc154744970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_Toc154744971 \h </w:instrText>
      </w:r>
      <w:r>
        <w:fldChar w:fldCharType="separate"/>
      </w:r>
      <w:r>
        <w:t>32</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_Toc154744972 \h </w:instrText>
      </w:r>
      <w:r>
        <w:fldChar w:fldCharType="separate"/>
      </w:r>
      <w:r>
        <w:t>33</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_Toc154744973 \h </w:instrText>
      </w:r>
      <w:r>
        <w:fldChar w:fldCharType="separate"/>
      </w:r>
      <w:r>
        <w:t>33</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_Toc154744974 \h </w:instrText>
      </w:r>
      <w:r>
        <w:fldChar w:fldCharType="separate"/>
      </w:r>
      <w:r>
        <w:t>34</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_Toc154744975 \h </w:instrText>
      </w:r>
      <w:r>
        <w:fldChar w:fldCharType="separate"/>
      </w:r>
      <w:r>
        <w:t>34</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_Toc154744976 \h </w:instrText>
      </w:r>
      <w:r>
        <w:fldChar w:fldCharType="separate"/>
      </w:r>
      <w:r>
        <w:t>35</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_Toc154744977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_Toc154744979 \h </w:instrText>
      </w:r>
      <w:r>
        <w:fldChar w:fldCharType="separate"/>
      </w:r>
      <w:r>
        <w:t>37</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_Toc154744980 \h </w:instrText>
      </w:r>
      <w:r>
        <w:fldChar w:fldCharType="separate"/>
      </w:r>
      <w:r>
        <w:t>38</w:t>
      </w:r>
      <w:r>
        <w:fldChar w:fldCharType="end"/>
      </w:r>
    </w:p>
    <w:p>
      <w:pPr>
        <w:pStyle w:val="TOC8"/>
        <w:rPr>
          <w:rFonts w:asciiTheme="minorHAnsi" w:eastAsiaTheme="minorEastAsia" w:hAnsiTheme="minorHAnsi" w:cstheme="minorBidi"/>
          <w:szCs w:val="22"/>
        </w:rPr>
      </w:pPr>
      <w:r>
        <w:lastRenderedPageBreak/>
        <w:t>30.</w:t>
      </w:r>
      <w:r>
        <w:tab/>
        <w:t>Painting contractors: building services prescribed</w:t>
      </w:r>
      <w:r>
        <w:tab/>
      </w:r>
      <w:r>
        <w:fldChar w:fldCharType="begin"/>
      </w:r>
      <w:r>
        <w:instrText xml:space="preserve"> PAGEREF _Toc154744981 \h </w:instrText>
      </w:r>
      <w:r>
        <w:fldChar w:fldCharType="separate"/>
      </w:r>
      <w:r>
        <w:t>39</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_Toc154744982 \h </w:instrText>
      </w:r>
      <w:r>
        <w:fldChar w:fldCharType="separate"/>
      </w:r>
      <w:r>
        <w:t>39</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_Toc154744983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_Toc154744984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_Toc154744985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_Toc154744986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_Toc154744987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_Toc154744989 \h </w:instrText>
      </w:r>
      <w:r>
        <w:fldChar w:fldCharType="separate"/>
      </w:r>
      <w:r>
        <w:t>45</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_Toc154744990 \h </w:instrText>
      </w:r>
      <w:r>
        <w:fldChar w:fldCharType="separate"/>
      </w:r>
      <w:r>
        <w:t>45</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_Toc154744991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_Toc154744994 \h </w:instrText>
      </w:r>
      <w:r>
        <w:fldChar w:fldCharType="separate"/>
      </w:r>
      <w:r>
        <w:t>46</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_Toc154744995 \h </w:instrText>
      </w:r>
      <w:r>
        <w:fldChar w:fldCharType="separate"/>
      </w:r>
      <w:r>
        <w:t>46</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_Toc154744996 \h </w:instrText>
      </w:r>
      <w:r>
        <w:fldChar w:fldCharType="separate"/>
      </w:r>
      <w:r>
        <w:t>47</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_Toc154744997 \h </w:instrText>
      </w:r>
      <w:r>
        <w:fldChar w:fldCharType="separate"/>
      </w:r>
      <w:r>
        <w:t>47</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_Toc154744998 \h </w:instrText>
      </w:r>
      <w:r>
        <w:fldChar w:fldCharType="separate"/>
      </w:r>
      <w:r>
        <w:t>47</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_Toc154744999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_Toc154745001 \h </w:instrText>
      </w:r>
      <w:r>
        <w:fldChar w:fldCharType="separate"/>
      </w:r>
      <w:r>
        <w:t>48</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_Toc154745002 \h </w:instrText>
      </w:r>
      <w:r>
        <w:fldChar w:fldCharType="separate"/>
      </w:r>
      <w:r>
        <w:t>48</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_Toc154745003 \h </w:instrText>
      </w:r>
      <w:r>
        <w:fldChar w:fldCharType="separate"/>
      </w:r>
      <w:r>
        <w:t>48</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_Toc154745004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_Toc154745006 \h </w:instrText>
      </w:r>
      <w:r>
        <w:fldChar w:fldCharType="separate"/>
      </w:r>
      <w:r>
        <w:t>49</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_Toc154745007 \h </w:instrText>
      </w:r>
      <w:r>
        <w:fldChar w:fldCharType="separate"/>
      </w:r>
      <w:r>
        <w:t>49</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_Toc154745008 \h </w:instrText>
      </w:r>
      <w:r>
        <w:fldChar w:fldCharType="separate"/>
      </w:r>
      <w:r>
        <w:t>50</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_Toc154745009 \h </w:instrText>
      </w:r>
      <w:r>
        <w:fldChar w:fldCharType="separate"/>
      </w:r>
      <w:r>
        <w:t>51</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_Toc154745010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w:t>
      </w:r>
      <w:r>
        <w:rPr>
          <w:i/>
        </w:rPr>
        <w:t>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_Toc154745012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_Toc154745020 \h </w:instrText>
      </w:r>
      <w:r>
        <w:fldChar w:fldCharType="separate"/>
      </w:r>
      <w:r>
        <w:t>62</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_Toc154745021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_Toc154745023 \h </w:instrText>
      </w:r>
      <w:r>
        <w:fldChar w:fldCharType="separate"/>
      </w:r>
      <w:r>
        <w:t>63</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_Toc154745024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_Toc154745026 \h </w:instrText>
      </w:r>
      <w:r>
        <w:fldChar w:fldCharType="separate"/>
      </w:r>
      <w:r>
        <w:t>65</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_Toc154745027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_Toc154745030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Offences under the Act</w:t>
      </w:r>
    </w:p>
    <w:p>
      <w:pPr>
        <w:pStyle w:val="TOC4"/>
        <w:tabs>
          <w:tab w:val="right" w:leader="dot" w:pos="7077"/>
        </w:tabs>
        <w:rPr>
          <w:rFonts w:asciiTheme="minorHAnsi" w:eastAsiaTheme="minorEastAsia" w:hAnsiTheme="minorHAnsi" w:cstheme="minorBidi"/>
          <w:b w:val="0"/>
          <w:szCs w:val="22"/>
        </w:rPr>
      </w:pPr>
      <w:r>
        <w:t>Division 3 — Offences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_Toc154745035 \h </w:instrText>
      </w:r>
      <w:r>
        <w:fldChar w:fldCharType="separate"/>
      </w:r>
      <w:r>
        <w:t>76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_Toc154745036 \h </w:instrText>
      </w:r>
      <w:r>
        <w:fldChar w:fldCharType="separate"/>
      </w:r>
      <w:r>
        <w:t>79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_Toc154745037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154744932"/>
      <w:r>
        <w:rPr>
          <w:rStyle w:val="CharPartNo"/>
        </w:rPr>
        <w:t>Part 1</w:t>
      </w:r>
      <w:r>
        <w:rPr>
          <w:rStyle w:val="CharDivNo"/>
        </w:rPr>
        <w:t> </w:t>
      </w:r>
      <w:r>
        <w:t>—</w:t>
      </w:r>
      <w:r>
        <w:rPr>
          <w:rStyle w:val="CharDivText"/>
        </w:rPr>
        <w:t> </w:t>
      </w:r>
      <w:r>
        <w:rPr>
          <w:rStyle w:val="CharPartText"/>
        </w:rPr>
        <w:t>General provisions</w:t>
      </w:r>
      <w:bookmarkEnd w:id="3"/>
    </w:p>
    <w:p>
      <w:pPr>
        <w:pStyle w:val="Heading5"/>
      </w:pPr>
      <w:bookmarkStart w:id="4" w:name="_Toc154744933"/>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6" w:name="_Toc154744934"/>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7" w:name="_Toc154744935"/>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lastRenderedPageBreak/>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 SL 2021/86 r. 15; SL 2021/213 r. 4; SL 2022/101 r. 4.]</w:t>
      </w:r>
    </w:p>
    <w:p>
      <w:pPr>
        <w:pStyle w:val="Heading5"/>
      </w:pPr>
      <w:bookmarkStart w:id="8" w:name="_Toc154744936"/>
      <w:r>
        <w:rPr>
          <w:rStyle w:val="CharSectno"/>
        </w:rPr>
        <w:t>4</w:t>
      </w:r>
      <w:r>
        <w:t>.</w:t>
      </w:r>
      <w:r>
        <w:tab/>
        <w:t>Prescribed building services</w:t>
      </w:r>
      <w:bookmarkEnd w:id="8"/>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lastRenderedPageBreak/>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9" w:name="_Toc154744937"/>
      <w:r>
        <w:rPr>
          <w:rStyle w:val="CharSectno"/>
        </w:rPr>
        <w:t>5</w:t>
      </w:r>
      <w:r>
        <w:t>.</w:t>
      </w:r>
      <w:r>
        <w:tab/>
        <w:t>Persons prescribed for purposes of s. 7</w:t>
      </w:r>
      <w:bookmarkEnd w:id="9"/>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0" w:name="_Toc154744938"/>
      <w:r>
        <w:rPr>
          <w:rStyle w:val="CharSectno"/>
        </w:rPr>
        <w:t>6</w:t>
      </w:r>
      <w:r>
        <w:t>.</w:t>
      </w:r>
      <w:r>
        <w:tab/>
        <w:t>Classes of building service practitioner and building service contractor</w:t>
      </w:r>
      <w:bookmarkEnd w:id="10"/>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lastRenderedPageBreak/>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1" w:name="_Toc154744939"/>
      <w:r>
        <w:rPr>
          <w:rStyle w:val="CharSectno"/>
        </w:rPr>
        <w:t>7</w:t>
      </w:r>
      <w:r>
        <w:t>.</w:t>
      </w:r>
      <w:r>
        <w:tab/>
        <w:t>Registration and renewal of registration</w:t>
      </w:r>
      <w:bookmarkEnd w:id="11"/>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2" w:name="_Toc154744940"/>
      <w:r>
        <w:rPr>
          <w:rStyle w:val="CharSectno"/>
        </w:rPr>
        <w:t>8</w:t>
      </w:r>
      <w:r>
        <w:t>.</w:t>
      </w:r>
      <w:r>
        <w:tab/>
        <w:t>Membership of Board: occupation groups</w:t>
      </w:r>
      <w:bookmarkEnd w:id="12"/>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keepNext/>
              <w:keepLines/>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3" w:name="_Toc154744941"/>
      <w:r>
        <w:rPr>
          <w:rStyle w:val="CharSectno"/>
        </w:rPr>
        <w:t>9</w:t>
      </w:r>
      <w:r>
        <w:t>.</w:t>
      </w:r>
      <w:r>
        <w:tab/>
        <w:t>Fees</w:t>
      </w:r>
      <w:bookmarkEnd w:id="13"/>
    </w:p>
    <w:p>
      <w:pPr>
        <w:pStyle w:val="Subsection"/>
        <w:spacing w:before="120"/>
      </w:pPr>
      <w:r>
        <w:tab/>
      </w:r>
      <w:r>
        <w:tab/>
        <w:t>The fees set out in Schedule 1 are payable in respect of the matters referred to in that Schedule.</w:t>
      </w:r>
    </w:p>
    <w:p>
      <w:pPr>
        <w:pStyle w:val="Ednotesection"/>
      </w:pPr>
      <w:r>
        <w:t>[</w:t>
      </w:r>
      <w:r>
        <w:rPr>
          <w:b/>
        </w:rPr>
        <w:t>9A.</w:t>
      </w:r>
      <w:r>
        <w:tab/>
        <w:t>Deleted: SL 2021/86 r. 16.]</w:t>
      </w:r>
    </w:p>
    <w:p>
      <w:pPr>
        <w:pStyle w:val="Heading5"/>
        <w:spacing w:before="180"/>
      </w:pPr>
      <w:bookmarkStart w:id="14" w:name="_Toc154744942"/>
      <w:r>
        <w:rPr>
          <w:rStyle w:val="CharSectno"/>
        </w:rPr>
        <w:t>10</w:t>
      </w:r>
      <w:r>
        <w:t>.</w:t>
      </w:r>
      <w:r>
        <w:tab/>
        <w:t>Refund of fees</w:t>
      </w:r>
      <w:bookmarkEnd w:id="14"/>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5" w:name="_Toc154744943"/>
      <w:r>
        <w:rPr>
          <w:rStyle w:val="CharSectno"/>
        </w:rPr>
        <w:lastRenderedPageBreak/>
        <w:t>10A</w:t>
      </w:r>
      <w:r>
        <w:t>.</w:t>
      </w:r>
      <w:r>
        <w:tab/>
        <w:t>Notification of new director of building service contractor: prescribed information</w:t>
      </w:r>
      <w:bookmarkEnd w:id="15"/>
    </w:p>
    <w:p>
      <w:pPr>
        <w:pStyle w:val="Subsection"/>
      </w:pPr>
      <w:r>
        <w:tab/>
        <w:t>(1)</w:t>
      </w:r>
      <w:r>
        <w:tab/>
        <w:t xml:space="preserve">For the purposes of section 32A(3), the following information must be included in a notice of the appointment of any new director of a body that is a building service contractor — </w:t>
      </w:r>
    </w:p>
    <w:p>
      <w:pPr>
        <w:pStyle w:val="Indenta"/>
      </w:pPr>
      <w:r>
        <w:tab/>
        <w:t>(a)</w:t>
      </w:r>
      <w:r>
        <w:tab/>
        <w:t>a copy of an ASIC current and historical company extract for the body that was extracted within the previous 30 days;</w:t>
      </w:r>
    </w:p>
    <w:p>
      <w:pPr>
        <w:pStyle w:val="Indenta"/>
      </w:pPr>
      <w:r>
        <w:tab/>
        <w:t>(b)</w:t>
      </w:r>
      <w:r>
        <w:tab/>
        <w:t>the new director’s Director Identification Number (</w:t>
      </w:r>
      <w:r>
        <w:rPr>
          <w:rStyle w:val="CharDefText"/>
        </w:rPr>
        <w:t>DIN</w:t>
      </w:r>
      <w:r>
        <w:t xml:space="preserve">) if the new director is required to have a DIN under the </w:t>
      </w:r>
      <w:r>
        <w:rPr>
          <w:i/>
        </w:rPr>
        <w:t>Corporations Act 2001</w:t>
      </w:r>
      <w:r>
        <w:t xml:space="preserve"> (Commonwealth) Part 9.1A;</w:t>
      </w:r>
    </w:p>
    <w:p>
      <w:pPr>
        <w:pStyle w:val="Indenta"/>
      </w:pPr>
      <w:r>
        <w:tab/>
        <w:t>(c)</w:t>
      </w:r>
      <w:r>
        <w:tab/>
        <w:t xml:space="preserve">whether the new director is (or has been) a bankrupt or a person whose affairs are under insolvency laws, according to the </w:t>
      </w:r>
      <w:r>
        <w:rPr>
          <w:i/>
        </w:rPr>
        <w:t>Interpretation Act 1984</w:t>
      </w:r>
      <w:r>
        <w:t xml:space="preserve"> section 13D;</w:t>
      </w:r>
    </w:p>
    <w:p>
      <w:pPr>
        <w:pStyle w:val="Indenta"/>
      </w:pPr>
      <w:r>
        <w:tab/>
        <w:t>(d)</w:t>
      </w:r>
      <w:r>
        <w:tab/>
        <w:t>whether the new director has not paid a building service debt of a kind referred to in section 53(4) that the new director has incurred;</w:t>
      </w:r>
    </w:p>
    <w:p>
      <w:pPr>
        <w:pStyle w:val="Indenta"/>
      </w:pPr>
      <w:r>
        <w:tab/>
        <w:t>(e)</w:t>
      </w:r>
      <w:r>
        <w:tab/>
        <w:t>whether the new director is (or has been) an officer of a corporation or a non</w:t>
      </w:r>
      <w:r>
        <w:noBreakHyphen/>
        <w:t>corporate body that became an insolvent on at least 1 occasion, but only if the period of 3 years has not elapsed since the insolvency event that resulted in the last insolvency.</w:t>
      </w:r>
    </w:p>
    <w:p>
      <w:pPr>
        <w:pStyle w:val="Subsection"/>
      </w:pPr>
      <w:r>
        <w:tab/>
        <w:t>(2)</w:t>
      </w:r>
      <w:r>
        <w:tab/>
        <w:t>A term used in subregulation (1)(e) has the same meaning as it has in Part 5A of the Act.</w:t>
      </w:r>
    </w:p>
    <w:p>
      <w:pPr>
        <w:pStyle w:val="Footnotesection"/>
      </w:pPr>
      <w:r>
        <w:tab/>
        <w:t>[Regulation 10A inserted: SL 2022/101 r. 5.]</w:t>
      </w:r>
    </w:p>
    <w:p>
      <w:pPr>
        <w:pStyle w:val="Heading5"/>
      </w:pPr>
      <w:bookmarkStart w:id="16" w:name="_Toc154744944"/>
      <w:r>
        <w:rPr>
          <w:rStyle w:val="CharSectno"/>
        </w:rPr>
        <w:t>11</w:t>
      </w:r>
      <w:r>
        <w:t>.</w:t>
      </w:r>
      <w:r>
        <w:tab/>
        <w:t>Notification of disciplinary action: prescribed Acts</w:t>
      </w:r>
      <w:bookmarkEnd w:id="16"/>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lastRenderedPageBreak/>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17" w:name="_Toc154744945"/>
      <w:r>
        <w:rPr>
          <w:rStyle w:val="CharPartNo"/>
        </w:rPr>
        <w:lastRenderedPageBreak/>
        <w:t>Part 2</w:t>
      </w:r>
      <w:r>
        <w:t> — </w:t>
      </w:r>
      <w:r>
        <w:rPr>
          <w:rStyle w:val="CharPartText"/>
        </w:rPr>
        <w:t>Builders</w:t>
      </w:r>
      <w:bookmarkEnd w:id="17"/>
    </w:p>
    <w:p>
      <w:pPr>
        <w:pStyle w:val="Heading3"/>
      </w:pPr>
      <w:bookmarkStart w:id="18" w:name="_Toc154744946"/>
      <w:r>
        <w:rPr>
          <w:rStyle w:val="CharDivNo"/>
        </w:rPr>
        <w:t>Division 1</w:t>
      </w:r>
      <w:r>
        <w:t> — </w:t>
      </w:r>
      <w:r>
        <w:rPr>
          <w:rStyle w:val="CharDivText"/>
        </w:rPr>
        <w:t>Preliminary</w:t>
      </w:r>
      <w:bookmarkEnd w:id="18"/>
    </w:p>
    <w:p>
      <w:pPr>
        <w:pStyle w:val="Heading5"/>
      </w:pPr>
      <w:bookmarkStart w:id="19" w:name="_Toc154744947"/>
      <w:r>
        <w:rPr>
          <w:rStyle w:val="CharSectno"/>
        </w:rPr>
        <w:t>12</w:t>
      </w:r>
      <w:r>
        <w:t>.</w:t>
      </w:r>
      <w:r>
        <w:tab/>
        <w:t>Terms used</w:t>
      </w:r>
      <w:bookmarkEnd w:id="19"/>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0" w:name="_Toc154744948"/>
      <w:r>
        <w:rPr>
          <w:rStyle w:val="CharDivNo"/>
        </w:rPr>
        <w:t>Division 2</w:t>
      </w:r>
      <w:r>
        <w:t> — </w:t>
      </w:r>
      <w:r>
        <w:rPr>
          <w:rStyle w:val="CharDivText"/>
        </w:rPr>
        <w:t>Building service providers</w:t>
      </w:r>
      <w:bookmarkEnd w:id="20"/>
    </w:p>
    <w:p>
      <w:pPr>
        <w:pStyle w:val="Heading5"/>
      </w:pPr>
      <w:bookmarkStart w:id="21" w:name="_Toc154744949"/>
      <w:r>
        <w:rPr>
          <w:rStyle w:val="CharSectno"/>
        </w:rPr>
        <w:t>13</w:t>
      </w:r>
      <w:r>
        <w:t>.</w:t>
      </w:r>
      <w:r>
        <w:tab/>
        <w:t>Terms used</w:t>
      </w:r>
      <w:bookmarkEnd w:id="21"/>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lastRenderedPageBreak/>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para"/>
      </w:pPr>
      <w:r>
        <w:tab/>
        <w:t>(n)</w:t>
      </w:r>
      <w:r>
        <w:tab/>
        <w:t>construction of an exempt shed —</w:t>
      </w:r>
    </w:p>
    <w:p>
      <w:pPr>
        <w:pStyle w:val="Defsubpara"/>
      </w:pPr>
      <w:r>
        <w:tab/>
        <w:t>(i)</w:t>
      </w:r>
      <w:r>
        <w:tab/>
        <w:t xml:space="preserve">for which an application for a building permit is made on or before 1 October 2024; and </w:t>
      </w:r>
    </w:p>
    <w:p>
      <w:pPr>
        <w:pStyle w:val="Defsubpara"/>
      </w:pPr>
      <w:r>
        <w:tab/>
        <w:t>(ii)</w:t>
      </w:r>
      <w:r>
        <w:tab/>
        <w:t>with a value of less than $40 000 based on the value of the work estimated under Schedule 2; and</w:t>
      </w:r>
    </w:p>
    <w:p>
      <w:pPr>
        <w:pStyle w:val="Defsubpara"/>
      </w:pPr>
      <w:r>
        <w:tab/>
        <w:t>(iii)</w:t>
      </w:r>
      <w:r>
        <w:tab/>
        <w:t>carried out in the local government district of Chapman Valley, Greater Geraldton, Mundaring, Northampton or Swan;</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Defstart"/>
      </w:pPr>
      <w:r>
        <w:tab/>
      </w:r>
      <w:r>
        <w:rPr>
          <w:rStyle w:val="CharDefText"/>
        </w:rPr>
        <w:t>exempt shed</w:t>
      </w:r>
      <w:r>
        <w:t> —</w:t>
      </w:r>
    </w:p>
    <w:p>
      <w:pPr>
        <w:pStyle w:val="Defpara"/>
      </w:pPr>
      <w:r>
        <w:tab/>
        <w:t>(a)</w:t>
      </w:r>
      <w:r>
        <w:tab/>
        <w:t>means a shed that is a non-habitable building; but</w:t>
      </w:r>
    </w:p>
    <w:p>
      <w:pPr>
        <w:pStyle w:val="Defpara"/>
      </w:pPr>
      <w:r>
        <w:tab/>
        <w:t>(b)</w:t>
      </w:r>
      <w:r>
        <w:tab/>
        <w:t>does not include a garage or carport.</w:t>
      </w:r>
    </w:p>
    <w:p>
      <w:pPr>
        <w:pStyle w:val="Subsection"/>
        <w:keepNext/>
      </w:pPr>
      <w:r>
        <w:tab/>
        <w:t>(2)</w:t>
      </w:r>
      <w:r>
        <w:tab/>
        <w:t xml:space="preserve">If a person carries out, or undertakes to carry out, building work for another person under more than 1  distinct contract or engagement and the building work is substantially a single undertaking in connection with a single building, the value of all </w:t>
      </w:r>
      <w:r>
        <w:lastRenderedPageBreak/>
        <w:t>the work must be added together for the purposes of calculating the value of the building work.</w:t>
      </w:r>
    </w:p>
    <w:p>
      <w:pPr>
        <w:pStyle w:val="Footnotesection"/>
      </w:pPr>
      <w:r>
        <w:tab/>
        <w:t>[Regulation 13 amended: Gazette 31 Mar 2017 p. 1942; SL 2021/170 r. 4.]</w:t>
      </w:r>
    </w:p>
    <w:p>
      <w:pPr>
        <w:pStyle w:val="Heading5"/>
      </w:pPr>
      <w:bookmarkStart w:id="22" w:name="_Toc154744950"/>
      <w:r>
        <w:rPr>
          <w:rStyle w:val="CharSectno"/>
        </w:rPr>
        <w:t>14</w:t>
      </w:r>
      <w:r>
        <w:t>.</w:t>
      </w:r>
      <w:r>
        <w:tab/>
        <w:t>Prescribed titles: building practitioners and building contractors</w:t>
      </w:r>
      <w:bookmarkEnd w:id="22"/>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keepNext/>
              <w:rPr>
                <w:b/>
              </w:rPr>
            </w:pPr>
            <w:r>
              <w:rPr>
                <w:b/>
              </w:rPr>
              <w:lastRenderedPageBreak/>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23" w:name="_Toc154744951"/>
      <w:r>
        <w:rPr>
          <w:rStyle w:val="CharSectno"/>
        </w:rPr>
        <w:t>15</w:t>
      </w:r>
      <w:r>
        <w:t>.</w:t>
      </w:r>
      <w:r>
        <w:tab/>
        <w:t>Building contractors: building services prescribed</w:t>
      </w:r>
      <w:bookmarkEnd w:id="23"/>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24" w:name="_Toc154744952"/>
      <w:r>
        <w:rPr>
          <w:rStyle w:val="CharSectno"/>
        </w:rPr>
        <w:t>16</w:t>
      </w:r>
      <w:r>
        <w:t>.</w:t>
      </w:r>
      <w:r>
        <w:tab/>
        <w:t>Qualifications and experience: building practitioners</w:t>
      </w:r>
      <w:bookmarkEnd w:id="24"/>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(aa)</w:t>
            </w:r>
            <w:r>
              <w:tab/>
              <w:t>CPC50220 Diploma of Building and Construction (Building) as described on the National Register; or</w:t>
            </w:r>
          </w:p>
          <w:p>
            <w:pPr>
              <w:pStyle w:val="TableNAm"/>
              <w:tabs>
                <w:tab w:val="clear" w:pos="567"/>
                <w:tab w:val="left" w:pos="414"/>
                <w:tab w:val="left" w:pos="746"/>
              </w:tabs>
              <w:ind w:left="414" w:hanging="414"/>
            </w:pPr>
            <w:r>
              <w:t>(a)</w:t>
            </w:r>
            <w:r>
              <w:tab/>
              <w:t xml:space="preserve">CPC50210 Diploma of Building and Construction (Building) as described on the National Register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lastRenderedPageBreak/>
              <w:tab/>
              <w:t>(iv)</w:t>
            </w:r>
            <w:r>
              <w:tab/>
              <w:t>CPCCBC5007A — Administer the legal obligations of a building or construction contract or CPCCBC5007B — Administer the legal obligations of a building or construction contractor;</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Ednoteitem"/>
              <w:tabs>
                <w:tab w:val="left" w:pos="66"/>
                <w:tab w:val="left" w:pos="691"/>
              </w:tabs>
            </w:pPr>
            <w:r>
              <w:tab/>
              <w:t>[(vii)</w:t>
            </w:r>
            <w:r>
              <w:tab/>
              <w:t>deleted]</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keepNext/>
            </w:pPr>
            <w:r>
              <w:lastRenderedPageBreak/>
              <w:t>Set 2</w:t>
            </w:r>
          </w:p>
        </w:tc>
        <w:tc>
          <w:tcPr>
            <w:tcW w:w="2977" w:type="dxa"/>
          </w:tcPr>
          <w:p>
            <w:pPr>
              <w:pStyle w:val="TableNAm"/>
              <w:keepNext/>
              <w:tabs>
                <w:tab w:val="clear" w:pos="567"/>
                <w:tab w:val="left" w:pos="300"/>
                <w:tab w:val="left" w:pos="746"/>
              </w:tabs>
            </w:pPr>
            <w:r>
              <w:t xml:space="preserve">qualifications acceptable for — </w:t>
            </w:r>
          </w:p>
          <w:p>
            <w:pPr>
              <w:pStyle w:val="TableNAm"/>
              <w:keepNext/>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keepNext/>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keepNext/>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keepNext/>
              <w:tabs>
                <w:tab w:val="clear" w:pos="567"/>
                <w:tab w:val="left" w:pos="414"/>
                <w:tab w:val="left" w:pos="746"/>
              </w:tabs>
              <w:spacing w:before="100"/>
              <w:ind w:left="414" w:hanging="414"/>
            </w:pPr>
            <w:r>
              <w:t>(d)</w:t>
            </w:r>
            <w:r>
              <w:tab/>
              <w:t>membership as Fellow or Member of the Australasian Institute of Mining and Metallurgy,</w:t>
            </w:r>
          </w:p>
          <w:p>
            <w:pPr>
              <w:pStyle w:val="TableNAm"/>
              <w:keepNext/>
              <w:tabs>
                <w:tab w:val="clear" w:pos="567"/>
                <w:tab w:val="left" w:pos="300"/>
                <w:tab w:val="left" w:pos="746"/>
              </w:tabs>
              <w:spacing w:before="100"/>
            </w:pPr>
            <w:r>
              <w:t>evidenced by such membership or registration</w:t>
            </w:r>
          </w:p>
        </w:tc>
        <w:tc>
          <w:tcPr>
            <w:tcW w:w="2268" w:type="dxa"/>
          </w:tcPr>
          <w:p>
            <w:pPr>
              <w:pStyle w:val="TableNAm"/>
              <w:keepNext/>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lastRenderedPageBreak/>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lastRenderedPageBreak/>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lastRenderedPageBreak/>
              <w:t>(b)</w:t>
            </w:r>
            <w:r>
              <w:tab/>
              <w:t>sufficient to gain knowledge and skills equivalent to those possessed by a person who has successfully completed a qualification referred to in set 1</w:t>
            </w:r>
          </w:p>
        </w:tc>
      </w:tr>
    </w:tbl>
    <w:p>
      <w:pPr>
        <w:pStyle w:val="Subsection"/>
      </w:pPr>
      <w:r>
        <w:lastRenderedPageBreak/>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lastRenderedPageBreak/>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 SL 2021/213 r. 5.]</w:t>
      </w:r>
    </w:p>
    <w:p>
      <w:pPr>
        <w:pStyle w:val="Heading5"/>
        <w:spacing w:before="260"/>
      </w:pPr>
      <w:bookmarkStart w:id="25" w:name="_Toc154744953"/>
      <w:r>
        <w:rPr>
          <w:rStyle w:val="CharSectno"/>
        </w:rPr>
        <w:t>17</w:t>
      </w:r>
      <w:r>
        <w:t>.</w:t>
      </w:r>
      <w:r>
        <w:tab/>
        <w:t>Conduct of examinations</w:t>
      </w:r>
      <w:bookmarkEnd w:id="25"/>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26" w:name="_Toc154744954"/>
      <w:r>
        <w:rPr>
          <w:rStyle w:val="CharSectno"/>
        </w:rPr>
        <w:t>18</w:t>
      </w:r>
      <w:r>
        <w:t>.</w:t>
      </w:r>
      <w:r>
        <w:tab/>
        <w:t>Financial requirements: building contractors</w:t>
      </w:r>
      <w:bookmarkEnd w:id="26"/>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27" w:name="_Toc154744955"/>
      <w:r>
        <w:rPr>
          <w:rStyle w:val="CharSectno"/>
        </w:rPr>
        <w:t>19</w:t>
      </w:r>
      <w:r>
        <w:t>.</w:t>
      </w:r>
      <w:r>
        <w:tab/>
        <w:t>Prescribed requirements: building contractors</w:t>
      </w:r>
      <w:bookmarkEnd w:id="27"/>
    </w:p>
    <w:p>
      <w:pPr>
        <w:pStyle w:val="Subsection"/>
      </w:pPr>
      <w:r>
        <w:tab/>
        <w:t>(1)</w:t>
      </w:r>
      <w:r>
        <w:tab/>
        <w:t>For the purposes of section 18(1)(g) an applicant for registration as a building contractor (individual) must be an individual.</w:t>
      </w:r>
    </w:p>
    <w:p>
      <w:pPr>
        <w:pStyle w:val="Subsection"/>
      </w:pPr>
      <w:r>
        <w:lastRenderedPageBreak/>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8" w:name="_Toc154744956"/>
      <w:r>
        <w:rPr>
          <w:rStyle w:val="CharSectno"/>
        </w:rPr>
        <w:t>20</w:t>
      </w:r>
      <w:r>
        <w:t>.</w:t>
      </w:r>
      <w:r>
        <w:tab/>
        <w:t>Supervisor for building contractor: eligible person</w:t>
      </w:r>
      <w:bookmarkEnd w:id="28"/>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29" w:name="_Toc154744957"/>
      <w:r>
        <w:rPr>
          <w:rStyle w:val="CharSectno"/>
        </w:rPr>
        <w:t>21</w:t>
      </w:r>
      <w:r>
        <w:t>.</w:t>
      </w:r>
      <w:r>
        <w:tab/>
        <w:t>Display of signs</w:t>
      </w:r>
      <w:bookmarkEnd w:id="29"/>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lastRenderedPageBreak/>
        <w:tab/>
        <w:t>[Regulation 21 amended: Gazette 31 Jan 2012 p. 595; 31 Mar 2017 p. 1942.]</w:t>
      </w:r>
    </w:p>
    <w:p>
      <w:pPr>
        <w:pStyle w:val="Heading3"/>
      </w:pPr>
      <w:bookmarkStart w:id="30" w:name="_Toc154744958"/>
      <w:r>
        <w:rPr>
          <w:rStyle w:val="CharDivNo"/>
        </w:rPr>
        <w:t>Division 3</w:t>
      </w:r>
      <w:r>
        <w:t> — </w:t>
      </w:r>
      <w:r>
        <w:rPr>
          <w:rStyle w:val="CharDivText"/>
        </w:rPr>
        <w:t>Owner</w:t>
      </w:r>
      <w:r>
        <w:rPr>
          <w:rStyle w:val="CharDivText"/>
        </w:rPr>
        <w:noBreakHyphen/>
        <w:t>builders</w:t>
      </w:r>
      <w:bookmarkEnd w:id="30"/>
    </w:p>
    <w:p>
      <w:pPr>
        <w:pStyle w:val="Heading5"/>
      </w:pPr>
      <w:bookmarkStart w:id="31" w:name="_Toc154744959"/>
      <w:r>
        <w:rPr>
          <w:rStyle w:val="CharSectno"/>
        </w:rPr>
        <w:t>22</w:t>
      </w:r>
      <w:r>
        <w:t>.</w:t>
      </w:r>
      <w:r>
        <w:tab/>
        <w:t>Terms used</w:t>
      </w:r>
      <w:bookmarkEnd w:id="3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32" w:name="_Toc154744960"/>
      <w:r>
        <w:rPr>
          <w:rStyle w:val="CharSectno"/>
        </w:rPr>
        <w:t>23</w:t>
      </w:r>
      <w:r>
        <w:t>.</w:t>
      </w:r>
      <w:r>
        <w:tab/>
        <w:t>Owner</w:t>
      </w:r>
      <w:r>
        <w:noBreakHyphen/>
        <w:t>builder work</w:t>
      </w:r>
      <w:bookmarkEnd w:id="32"/>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33" w:name="_Toc154744961"/>
      <w:r>
        <w:rPr>
          <w:rStyle w:val="CharSectno"/>
        </w:rPr>
        <w:t>24A</w:t>
      </w:r>
      <w:r>
        <w:t>.</w:t>
      </w:r>
      <w:r>
        <w:tab/>
        <w:t>Prescribed interests in land</w:t>
      </w:r>
      <w:bookmarkEnd w:id="33"/>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keepNext/>
      </w:pPr>
      <w:r>
        <w:lastRenderedPageBreak/>
        <w:tab/>
        <w:t>(b)</w:t>
      </w:r>
      <w:r>
        <w:tab/>
        <w:t>an interest as purchaser under a contract to purchase an estate in fee simple in the land.</w:t>
      </w:r>
    </w:p>
    <w:p>
      <w:pPr>
        <w:pStyle w:val="Footnotesection"/>
        <w:keepNext/>
        <w:spacing w:before="80"/>
      </w:pPr>
      <w:r>
        <w:tab/>
        <w:t>[Regulation 24A inserted: Gazette 31 Jan 2012 p. 596.]</w:t>
      </w:r>
    </w:p>
    <w:p>
      <w:pPr>
        <w:pStyle w:val="Heading5"/>
      </w:pPr>
      <w:bookmarkStart w:id="34" w:name="_Toc154744962"/>
      <w:r>
        <w:rPr>
          <w:rStyle w:val="CharSectno"/>
        </w:rPr>
        <w:t>24</w:t>
      </w:r>
      <w:r>
        <w:t>.</w:t>
      </w:r>
      <w:r>
        <w:tab/>
        <w:t>Evidence of knowledge of duties and responsibilities: owner</w:t>
      </w:r>
      <w:r>
        <w:noBreakHyphen/>
        <w:t>builders</w:t>
      </w:r>
      <w:bookmarkEnd w:id="34"/>
    </w:p>
    <w:p>
      <w:pPr>
        <w:pStyle w:val="Subsection"/>
      </w:pPr>
      <w:r>
        <w:tab/>
      </w:r>
      <w:r>
        <w:tab/>
        <w:t>For the purposes of section 43(3)(b) building practitioner is prescribed as a class of building service practitioner.</w:t>
      </w:r>
    </w:p>
    <w:p>
      <w:pPr>
        <w:pStyle w:val="Heading5"/>
      </w:pPr>
      <w:bookmarkStart w:id="35" w:name="_Toc154744963"/>
      <w:r>
        <w:rPr>
          <w:rStyle w:val="CharSectno"/>
        </w:rPr>
        <w:t>25</w:t>
      </w:r>
      <w:r>
        <w:t>.</w:t>
      </w:r>
      <w:r>
        <w:tab/>
        <w:t>Requirements for owner</w:t>
      </w:r>
      <w:r>
        <w:noBreakHyphen/>
        <w:t>builder approval</w:t>
      </w:r>
      <w:bookmarkEnd w:id="35"/>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36" w:name="_Toc154744964"/>
      <w:r>
        <w:rPr>
          <w:rStyle w:val="CharSectno"/>
        </w:rPr>
        <w:t>26</w:t>
      </w:r>
      <w:r>
        <w:t>.</w:t>
      </w:r>
      <w:r>
        <w:tab/>
        <w:t>Conditions on owner</w:t>
      </w:r>
      <w:r>
        <w:noBreakHyphen/>
        <w:t>builder approvals</w:t>
      </w:r>
      <w:bookmarkEnd w:id="36"/>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37" w:name="_Toc154744965"/>
      <w:r>
        <w:rPr>
          <w:rStyle w:val="CharSectno"/>
        </w:rPr>
        <w:t>27</w:t>
      </w:r>
      <w:r>
        <w:t>.</w:t>
      </w:r>
      <w:r>
        <w:tab/>
        <w:t>Display of signs</w:t>
      </w:r>
      <w:bookmarkEnd w:id="37"/>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keepNext/>
        <w:keepLines/>
      </w:pPr>
      <w:r>
        <w:lastRenderedPageBreak/>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keepNext/>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38" w:name="_Toc154744966"/>
      <w:r>
        <w:rPr>
          <w:rStyle w:val="CharPartNo"/>
        </w:rPr>
        <w:lastRenderedPageBreak/>
        <w:t>Part 3A</w:t>
      </w:r>
      <w:r>
        <w:rPr>
          <w:rStyle w:val="CharDivNo"/>
        </w:rPr>
        <w:t> </w:t>
      </w:r>
      <w:r>
        <w:t>—</w:t>
      </w:r>
      <w:r>
        <w:rPr>
          <w:rStyle w:val="CharDivText"/>
        </w:rPr>
        <w:t> </w:t>
      </w:r>
      <w:r>
        <w:rPr>
          <w:rStyle w:val="CharPartText"/>
        </w:rPr>
        <w:t>Building surveyors</w:t>
      </w:r>
      <w:bookmarkEnd w:id="38"/>
    </w:p>
    <w:p>
      <w:pPr>
        <w:pStyle w:val="Footnoteheading"/>
      </w:pPr>
      <w:r>
        <w:tab/>
        <w:t>[Heading inserted: Gazette 12 Mar 2012 p. 992.]</w:t>
      </w:r>
    </w:p>
    <w:p>
      <w:pPr>
        <w:pStyle w:val="Heading5"/>
      </w:pPr>
      <w:bookmarkStart w:id="39" w:name="_Toc154744967"/>
      <w:r>
        <w:rPr>
          <w:rStyle w:val="CharSectno"/>
        </w:rPr>
        <w:t>28A</w:t>
      </w:r>
      <w:r>
        <w:t>.</w:t>
      </w:r>
      <w:r>
        <w:tab/>
        <w:t>Terms used</w:t>
      </w:r>
      <w:bookmarkEnd w:id="39"/>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40" w:name="_Toc154744968"/>
      <w:r>
        <w:rPr>
          <w:rStyle w:val="CharSectno"/>
        </w:rPr>
        <w:t>28B</w:t>
      </w:r>
      <w:r>
        <w:t>.</w:t>
      </w:r>
      <w:r>
        <w:tab/>
        <w:t>Prescribed titles: building surveying practitioners and building surveying contractors</w:t>
      </w:r>
      <w:bookmarkEnd w:id="40"/>
    </w:p>
    <w:p>
      <w:pPr>
        <w:pStyle w:val="Subsection"/>
      </w:pPr>
      <w:r>
        <w:tab/>
        <w:t>(1)</w:t>
      </w:r>
      <w:r>
        <w:tab/>
        <w:t>The titles listed under each Part heading in the Table are prescribed for the purposes of section 4(1).</w:t>
      </w:r>
    </w:p>
    <w:p>
      <w:pPr>
        <w:pStyle w:val="THeading"/>
        <w:keepLines/>
      </w:pPr>
      <w:r>
        <w:lastRenderedPageBreak/>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keepNext/>
            </w:pPr>
            <w:r>
              <w:lastRenderedPageBreak/>
              <w:t>Registered Building Surveying Contractor: Company</w:t>
            </w:r>
          </w:p>
          <w:p>
            <w:pPr>
              <w:pStyle w:val="TableNAm"/>
            </w:pPr>
            <w:r>
              <w:t>Registered Building Surveying Contractor (Company)</w:t>
            </w:r>
          </w:p>
        </w:tc>
      </w:tr>
    </w:tbl>
    <w:p>
      <w:pPr>
        <w:pStyle w:val="Subsection"/>
        <w:keepNext/>
      </w:pPr>
      <w:r>
        <w:lastRenderedPageBreak/>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41" w:name="_Toc154744969"/>
      <w:r>
        <w:rPr>
          <w:rStyle w:val="CharSectno"/>
        </w:rPr>
        <w:t>28C</w:t>
      </w:r>
      <w:r>
        <w:t>.</w:t>
      </w:r>
      <w:r>
        <w:tab/>
        <w:t>Building surveying contractors: building services prescribed</w:t>
      </w:r>
      <w:bookmarkEnd w:id="41"/>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w:t>
      </w:r>
      <w:r>
        <w:lastRenderedPageBreak/>
        <w:t xml:space="preserve">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42" w:name="_Toc154744970"/>
      <w:r>
        <w:rPr>
          <w:rStyle w:val="CharSectno"/>
        </w:rPr>
        <w:t>28D</w:t>
      </w:r>
      <w:r>
        <w:t>.</w:t>
      </w:r>
      <w:r>
        <w:tab/>
        <w:t>Qualifications and experience: building surveying practitioners</w:t>
      </w:r>
      <w:bookmarkEnd w:id="42"/>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lastRenderedPageBreak/>
              <w:t>an equivalent qualification as determined by the Board</w:t>
            </w:r>
          </w:p>
        </w:tc>
        <w:tc>
          <w:tcPr>
            <w:tcW w:w="2552" w:type="dxa"/>
          </w:tcPr>
          <w:p>
            <w:pPr>
              <w:pStyle w:val="TableNAm"/>
            </w:pPr>
            <w:r>
              <w:lastRenderedPageBreak/>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of Building Surveying as described on the National Register</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keepNext/>
              <w:spacing w:before="100"/>
            </w:pPr>
            <w:r>
              <w:lastRenderedPageBreak/>
              <w:t>Set 4</w:t>
            </w:r>
          </w:p>
        </w:tc>
        <w:tc>
          <w:tcPr>
            <w:tcW w:w="2551" w:type="dxa"/>
          </w:tcPr>
          <w:p>
            <w:pPr>
              <w:pStyle w:val="TableNAm"/>
              <w:keepNext/>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keepNext/>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lastRenderedPageBreak/>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ind w:left="484" w:hanging="484"/>
            </w:pPr>
            <w:r>
              <w:t>(a)</w:t>
            </w:r>
            <w:r>
              <w:tab/>
              <w:t>CPC60121 Advanced Diploma of Building Surveying as described on the National Register; or</w:t>
            </w:r>
          </w:p>
          <w:p>
            <w:pPr>
              <w:pStyle w:val="TableNAm"/>
              <w:ind w:left="484" w:hanging="484"/>
            </w:pPr>
            <w:r>
              <w:t>(b)</w:t>
            </w:r>
            <w:r>
              <w:tab/>
              <w:t>CPC60115 Advanced Diploma of Building Surveying as described on the National Register; or</w:t>
            </w:r>
          </w:p>
          <w:p>
            <w:pPr>
              <w:pStyle w:val="TableNAm"/>
              <w:ind w:left="484" w:hanging="484"/>
            </w:pPr>
            <w:r>
              <w:t>(c)</w:t>
            </w:r>
            <w:r>
              <w:tab/>
              <w:t>CPC60108 Advanced Diploma of Building Surveying as described on the National Register; or</w:t>
            </w:r>
          </w:p>
          <w:p>
            <w:pPr>
              <w:pStyle w:val="TableNAm"/>
              <w:ind w:left="484" w:hanging="484"/>
            </w:pPr>
            <w:r>
              <w:t>(d)</w:t>
            </w:r>
            <w:r>
              <w:tab/>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keepNext/>
              <w:spacing w:before="100"/>
            </w:pPr>
            <w:r>
              <w:lastRenderedPageBreak/>
              <w:t>Set 2</w:t>
            </w:r>
          </w:p>
        </w:tc>
        <w:tc>
          <w:tcPr>
            <w:tcW w:w="2551" w:type="dxa"/>
          </w:tcPr>
          <w:p>
            <w:pPr>
              <w:pStyle w:val="TableNAm"/>
              <w:keepNext/>
              <w:spacing w:before="100"/>
            </w:pPr>
            <w:r>
              <w:t>CPC50108 Diploma of Building Surveying as described on the National Register</w:t>
            </w:r>
          </w:p>
        </w:tc>
        <w:tc>
          <w:tcPr>
            <w:tcW w:w="2552" w:type="dxa"/>
          </w:tcPr>
          <w:p>
            <w:pPr>
              <w:pStyle w:val="TableNAm"/>
              <w:keepNext/>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 xml:space="preserve">who was registered as a building surveying practitioner level 2 at any time in the period of 3 years ending on the </w:t>
      </w:r>
      <w:r>
        <w:lastRenderedPageBreak/>
        <w:t>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ind w:left="484" w:hanging="484"/>
            </w:pPr>
            <w:r>
              <w:t>(a)</w:t>
            </w:r>
            <w:r>
              <w:tab/>
              <w:t>CPCSS00005 Provide building surveying services for residential buildings up to three storeys as described on the National Register; or</w:t>
            </w:r>
          </w:p>
          <w:p>
            <w:pPr>
              <w:pStyle w:val="TableNAm"/>
              <w:ind w:left="484" w:hanging="484"/>
            </w:pPr>
            <w:r>
              <w:t>(b)</w:t>
            </w:r>
            <w:r>
              <w:tab/>
              <w:t>CPCSS00004 Provide building surveying services for residential buildings up to three storeys as described on the National Register; or</w:t>
            </w:r>
          </w:p>
          <w:p>
            <w:pPr>
              <w:pStyle w:val="TableNAm"/>
              <w:ind w:left="484" w:hanging="484"/>
            </w:pPr>
            <w:r>
              <w:t>(c)</w:t>
            </w:r>
            <w:r>
              <w:tab/>
              <w:t xml:space="preserve">CPC50108 Diploma of </w:t>
            </w:r>
            <w:r>
              <w:lastRenderedPageBreak/>
              <w:t>Building Surveying as described on the National Register; or</w:t>
            </w:r>
          </w:p>
          <w:p>
            <w:pPr>
              <w:pStyle w:val="TableNAm"/>
              <w:ind w:left="484" w:hanging="484"/>
            </w:pPr>
            <w:r>
              <w:t>(d)</w:t>
            </w:r>
            <w:r>
              <w:tab/>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 SL 2021/213 r. 6.]</w:t>
      </w:r>
    </w:p>
    <w:p>
      <w:pPr>
        <w:pStyle w:val="Heading5"/>
      </w:pPr>
      <w:bookmarkStart w:id="43" w:name="_Toc154744971"/>
      <w:r>
        <w:rPr>
          <w:rStyle w:val="CharSectno"/>
        </w:rPr>
        <w:t>28E</w:t>
      </w:r>
      <w:r>
        <w:t>.</w:t>
      </w:r>
      <w:r>
        <w:tab/>
        <w:t>Financial requirements: building surveying contractors</w:t>
      </w:r>
      <w:bookmarkEnd w:id="43"/>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w:t>
      </w:r>
      <w:r>
        <w:lastRenderedPageBreak/>
        <w:t xml:space="preserve">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44" w:name="_Toc154744972"/>
      <w:r>
        <w:rPr>
          <w:rStyle w:val="CharSectno"/>
        </w:rPr>
        <w:t>28F</w:t>
      </w:r>
      <w:r>
        <w:t>.</w:t>
      </w:r>
      <w:r>
        <w:tab/>
        <w:t>Insurance requirements: building surveying contractors</w:t>
      </w:r>
      <w:bookmarkEnd w:id="44"/>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45" w:name="_Toc154744973"/>
      <w:r>
        <w:rPr>
          <w:rStyle w:val="CharSectno"/>
        </w:rPr>
        <w:t>28G</w:t>
      </w:r>
      <w:r>
        <w:t>.</w:t>
      </w:r>
      <w:r>
        <w:tab/>
        <w:t>Prescribed requirements: building surveying contractors</w:t>
      </w:r>
      <w:bookmarkEnd w:id="45"/>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lastRenderedPageBreak/>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46" w:name="_Toc154744974"/>
      <w:r>
        <w:rPr>
          <w:rStyle w:val="CharSectno"/>
        </w:rPr>
        <w:t>28H</w:t>
      </w:r>
      <w:r>
        <w:t>.</w:t>
      </w:r>
      <w:r>
        <w:tab/>
        <w:t>Supervisor for building surveying contractors: eligible person</w:t>
      </w:r>
      <w:bookmarkEnd w:id="46"/>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47" w:name="_Toc154744975"/>
      <w:r>
        <w:rPr>
          <w:rStyle w:val="CharSectno"/>
        </w:rPr>
        <w:t>28I</w:t>
      </w:r>
      <w:r>
        <w:t>.</w:t>
      </w:r>
      <w:r>
        <w:tab/>
        <w:t>Condition on registration: building surveying contractor</w:t>
      </w:r>
      <w:bookmarkEnd w:id="47"/>
    </w:p>
    <w:p>
      <w:pPr>
        <w:pStyle w:val="Subsection"/>
      </w:pPr>
      <w:r>
        <w:tab/>
      </w:r>
      <w:r>
        <w:tab/>
        <w:t xml:space="preserve">The registration of a building surveying contractor is subject to the condition that the work of any building surveying </w:t>
      </w:r>
      <w:r>
        <w:lastRenderedPageBreak/>
        <w:t>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48" w:name="_Toc154744976"/>
      <w:r>
        <w:rPr>
          <w:rStyle w:val="CharSectno"/>
        </w:rPr>
        <w:t>28J</w:t>
      </w:r>
      <w:r>
        <w:t>.</w:t>
      </w:r>
      <w:r>
        <w:tab/>
        <w:t>Display of certificate of registration</w:t>
      </w:r>
      <w:bookmarkEnd w:id="48"/>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49" w:name="_Toc154744977"/>
      <w:r>
        <w:rPr>
          <w:rStyle w:val="CharSectno"/>
        </w:rPr>
        <w:t>28K</w:t>
      </w:r>
      <w:r>
        <w:t>.</w:t>
      </w:r>
      <w:r>
        <w:tab/>
        <w:t>Display of signs</w:t>
      </w:r>
      <w:bookmarkEnd w:id="49"/>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lastRenderedPageBreak/>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50" w:name="_Toc154744978"/>
      <w:r>
        <w:rPr>
          <w:rStyle w:val="CharPartNo"/>
        </w:rPr>
        <w:lastRenderedPageBreak/>
        <w:t>Part 3</w:t>
      </w:r>
      <w:r>
        <w:rPr>
          <w:rStyle w:val="CharDivNo"/>
        </w:rPr>
        <w:t> </w:t>
      </w:r>
      <w:r>
        <w:t>—</w:t>
      </w:r>
      <w:r>
        <w:rPr>
          <w:rStyle w:val="CharDivText"/>
        </w:rPr>
        <w:t> </w:t>
      </w:r>
      <w:r>
        <w:rPr>
          <w:rStyle w:val="CharPartText"/>
        </w:rPr>
        <w:t>Painters</w:t>
      </w:r>
      <w:bookmarkEnd w:id="50"/>
    </w:p>
    <w:p>
      <w:pPr>
        <w:pStyle w:val="Heading5"/>
        <w:spacing w:before="240"/>
      </w:pPr>
      <w:bookmarkStart w:id="51" w:name="_Toc154744979"/>
      <w:r>
        <w:rPr>
          <w:rStyle w:val="CharSectno"/>
        </w:rPr>
        <w:t>28</w:t>
      </w:r>
      <w:r>
        <w:t>.</w:t>
      </w:r>
      <w:r>
        <w:tab/>
        <w:t>Terms used</w:t>
      </w:r>
      <w:bookmarkEnd w:id="51"/>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 xml:space="preserve">If materials used in painting are provided or supplied at the cost of a person other than the person carrying out the painting the value of the materials is to be added to the value of the contract </w:t>
      </w:r>
      <w:r>
        <w:lastRenderedPageBreak/>
        <w:t>to carry out the work for the purposes of calculating the value of the painting work.</w:t>
      </w:r>
    </w:p>
    <w:p>
      <w:pPr>
        <w:pStyle w:val="Heading5"/>
        <w:spacing w:before="240"/>
      </w:pPr>
      <w:bookmarkStart w:id="52" w:name="_Toc154744980"/>
      <w:r>
        <w:rPr>
          <w:rStyle w:val="CharSectno"/>
        </w:rPr>
        <w:t>29</w:t>
      </w:r>
      <w:r>
        <w:t>.</w:t>
      </w:r>
      <w:r>
        <w:tab/>
        <w:t>Prescribed titles: painting practitioners and painting contractors</w:t>
      </w:r>
      <w:bookmarkEnd w:id="52"/>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lastRenderedPageBreak/>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53" w:name="_Toc154744981"/>
      <w:r>
        <w:rPr>
          <w:rStyle w:val="CharSectno"/>
        </w:rPr>
        <w:t>30</w:t>
      </w:r>
      <w:r>
        <w:t>.</w:t>
      </w:r>
      <w:r>
        <w:tab/>
        <w:t>Painting contractors: building services prescribed</w:t>
      </w:r>
      <w:bookmarkEnd w:id="53"/>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54" w:name="_Toc154744982"/>
      <w:r>
        <w:rPr>
          <w:rStyle w:val="CharSectno"/>
        </w:rPr>
        <w:t>31</w:t>
      </w:r>
      <w:r>
        <w:t>.</w:t>
      </w:r>
      <w:r>
        <w:tab/>
        <w:t>Qualifications and experience: painting practitioners</w:t>
      </w:r>
      <w:bookmarkEnd w:id="54"/>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lastRenderedPageBreak/>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CPC30620 Certificate III in Painting and Decorating as described on the National Register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keepNext/>
        <w:spacing w:before="140"/>
      </w:pPr>
      <w:r>
        <w:lastRenderedPageBreak/>
        <w:tab/>
        <w:t>(4)</w:t>
      </w:r>
      <w:r>
        <w:tab/>
        <w:t xml:space="preserve">In subregulation (3) — </w:t>
      </w:r>
    </w:p>
    <w:p>
      <w:pPr>
        <w:pStyle w:val="Defstart"/>
        <w:keepNex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 SL 2021/213 r. 7; SL 2023/164 r. 5.]</w:t>
      </w:r>
    </w:p>
    <w:p>
      <w:pPr>
        <w:pStyle w:val="Heading5"/>
      </w:pPr>
      <w:bookmarkStart w:id="55" w:name="_Toc154744983"/>
      <w:r>
        <w:rPr>
          <w:rStyle w:val="CharSectno"/>
        </w:rPr>
        <w:t>32</w:t>
      </w:r>
      <w:r>
        <w:t>.</w:t>
      </w:r>
      <w:r>
        <w:tab/>
        <w:t>Conduct of examinations</w:t>
      </w:r>
      <w:bookmarkEnd w:id="55"/>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56" w:name="_Toc154744984"/>
      <w:r>
        <w:rPr>
          <w:rStyle w:val="CharSectno"/>
        </w:rPr>
        <w:t>33</w:t>
      </w:r>
      <w:r>
        <w:t>.</w:t>
      </w:r>
      <w:r>
        <w:tab/>
        <w:t>Financial requirements: painting contractors</w:t>
      </w:r>
      <w:bookmarkEnd w:id="56"/>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lastRenderedPageBreak/>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57" w:name="_Toc154744985"/>
      <w:r>
        <w:rPr>
          <w:rStyle w:val="CharSectno"/>
        </w:rPr>
        <w:t>34</w:t>
      </w:r>
      <w:r>
        <w:t>.</w:t>
      </w:r>
      <w:r>
        <w:tab/>
        <w:t>Prescribed requirements: painting contractors</w:t>
      </w:r>
      <w:bookmarkEnd w:id="57"/>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58" w:name="_Toc154744986"/>
      <w:r>
        <w:rPr>
          <w:rStyle w:val="CharSectno"/>
        </w:rPr>
        <w:t>35</w:t>
      </w:r>
      <w:r>
        <w:t>.</w:t>
      </w:r>
      <w:r>
        <w:tab/>
        <w:t>Supervisor for painting contractor: eligible person</w:t>
      </w:r>
      <w:bookmarkEnd w:id="58"/>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59" w:name="_Toc154744987"/>
      <w:r>
        <w:rPr>
          <w:rStyle w:val="CharSectno"/>
        </w:rPr>
        <w:t>36</w:t>
      </w:r>
      <w:r>
        <w:t>.</w:t>
      </w:r>
      <w:r>
        <w:tab/>
        <w:t>Display of signs</w:t>
      </w:r>
      <w:bookmarkEnd w:id="59"/>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lastRenderedPageBreak/>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keepNext/>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60" w:name="_Toc154744988"/>
      <w:r>
        <w:rPr>
          <w:rStyle w:val="CharPartNo"/>
        </w:rPr>
        <w:lastRenderedPageBreak/>
        <w:t>Part 3B</w:t>
      </w:r>
      <w:r>
        <w:rPr>
          <w:b w:val="0"/>
        </w:rPr>
        <w:t> </w:t>
      </w:r>
      <w:r>
        <w:t>—</w:t>
      </w:r>
      <w:r>
        <w:rPr>
          <w:b w:val="0"/>
        </w:rPr>
        <w:t> </w:t>
      </w:r>
      <w:r>
        <w:rPr>
          <w:rStyle w:val="CharPartText"/>
        </w:rPr>
        <w:t>Infringement notices</w:t>
      </w:r>
      <w:bookmarkEnd w:id="60"/>
    </w:p>
    <w:p>
      <w:pPr>
        <w:pStyle w:val="Footnoteheading"/>
      </w:pPr>
      <w:r>
        <w:tab/>
        <w:t>[Heading inserted: Gazette 26 Apr 2019 p. 1215.]</w:t>
      </w:r>
    </w:p>
    <w:p>
      <w:pPr>
        <w:pStyle w:val="Heading5"/>
      </w:pPr>
      <w:bookmarkStart w:id="61" w:name="_Toc154744989"/>
      <w:r>
        <w:rPr>
          <w:rStyle w:val="CharSectno"/>
        </w:rPr>
        <w:t>36A</w:t>
      </w:r>
      <w:r>
        <w:t>.</w:t>
      </w:r>
      <w:r>
        <w:tab/>
        <w:t>Prescribed offences and modified penalties</w:t>
      </w:r>
      <w:bookmarkEnd w:id="61"/>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62" w:name="_Toc154744990"/>
      <w:r>
        <w:rPr>
          <w:rStyle w:val="CharSectno"/>
        </w:rPr>
        <w:t>36B</w:t>
      </w:r>
      <w:r>
        <w:t>.</w:t>
      </w:r>
      <w:r>
        <w:tab/>
        <w:t>Authorised officers and approved officers</w:t>
      </w:r>
      <w:bookmarkEnd w:id="62"/>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63" w:name="_Toc154744991"/>
      <w:r>
        <w:rPr>
          <w:rStyle w:val="CharSectno"/>
        </w:rPr>
        <w:t>36C</w:t>
      </w:r>
      <w:r>
        <w:t>.</w:t>
      </w:r>
      <w:r>
        <w:tab/>
        <w:t>Forms</w:t>
      </w:r>
      <w:bookmarkEnd w:id="63"/>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64" w:name="_Toc154744992"/>
      <w:r>
        <w:rPr>
          <w:rStyle w:val="CharPartNo"/>
        </w:rPr>
        <w:lastRenderedPageBreak/>
        <w:t>Part 4</w:t>
      </w:r>
      <w:r>
        <w:t> — </w:t>
      </w:r>
      <w:r>
        <w:rPr>
          <w:rStyle w:val="CharPartText"/>
        </w:rPr>
        <w:t>Transitional provisions</w:t>
      </w:r>
      <w:bookmarkEnd w:id="64"/>
    </w:p>
    <w:p>
      <w:pPr>
        <w:pStyle w:val="Heading3"/>
      </w:pPr>
      <w:bookmarkStart w:id="65" w:name="_Toc154744993"/>
      <w:r>
        <w:rPr>
          <w:rStyle w:val="CharDivNo"/>
        </w:rPr>
        <w:t>Division 1</w:t>
      </w:r>
      <w:r>
        <w:t> — </w:t>
      </w:r>
      <w:r>
        <w:rPr>
          <w:rStyle w:val="CharDivText"/>
          <w:i/>
        </w:rPr>
        <w:t>Builders’ Registration Act 1939</w:t>
      </w:r>
      <w:bookmarkEnd w:id="65"/>
    </w:p>
    <w:p>
      <w:pPr>
        <w:pStyle w:val="Heading5"/>
      </w:pPr>
      <w:bookmarkStart w:id="66" w:name="_Toc154744994"/>
      <w:r>
        <w:rPr>
          <w:rStyle w:val="CharSectno"/>
        </w:rPr>
        <w:t>37</w:t>
      </w:r>
      <w:r>
        <w:t>.</w:t>
      </w:r>
      <w:r>
        <w:tab/>
        <w:t>Terms used</w:t>
      </w:r>
      <w:bookmarkEnd w:id="6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67" w:name="_Toc154744995"/>
      <w:r>
        <w:rPr>
          <w:rStyle w:val="CharSectno"/>
        </w:rPr>
        <w:t>38</w:t>
      </w:r>
      <w:r>
        <w:t>.</w:t>
      </w:r>
      <w:r>
        <w:tab/>
        <w:t>Continuation of registration (Act s. 114)</w:t>
      </w:r>
      <w:bookmarkEnd w:id="67"/>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68" w:name="_Toc154744996"/>
      <w:r>
        <w:rPr>
          <w:rStyle w:val="CharSectno"/>
        </w:rPr>
        <w:lastRenderedPageBreak/>
        <w:t>39</w:t>
      </w:r>
      <w:r>
        <w:t>.</w:t>
      </w:r>
      <w:r>
        <w:tab/>
        <w:t>Continuation of declaration of ineligible persons</w:t>
      </w:r>
      <w:bookmarkEnd w:id="68"/>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69" w:name="_Toc154744997"/>
      <w:r>
        <w:rPr>
          <w:rStyle w:val="CharSectno"/>
        </w:rPr>
        <w:t>40</w:t>
      </w:r>
      <w:r>
        <w:t>.</w:t>
      </w:r>
      <w:r>
        <w:tab/>
        <w:t>Membership of Board — experience as builder</w:t>
      </w:r>
      <w:bookmarkEnd w:id="69"/>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70" w:name="_Toc154744998"/>
      <w:r>
        <w:rPr>
          <w:rStyle w:val="CharSectno"/>
        </w:rPr>
        <w:t>41</w:t>
      </w:r>
      <w:r>
        <w:t>.</w:t>
      </w:r>
      <w:r>
        <w:tab/>
        <w:t>Continuation of owner</w:t>
      </w:r>
      <w:r>
        <w:noBreakHyphen/>
        <w:t>builder authorisation</w:t>
      </w:r>
      <w:bookmarkEnd w:id="70"/>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71" w:name="_Toc154744999"/>
      <w:r>
        <w:rPr>
          <w:rStyle w:val="CharSectno"/>
        </w:rPr>
        <w:t>42</w:t>
      </w:r>
      <w:r>
        <w:t>.</w:t>
      </w:r>
      <w:r>
        <w:tab/>
        <w:t>Building Commissioner may exercise powers</w:t>
      </w:r>
      <w:bookmarkEnd w:id="7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lastRenderedPageBreak/>
        <w:tab/>
        <w:t>(b)</w:t>
      </w:r>
      <w:r>
        <w:tab/>
        <w:t>exercise any of the powers of the former registrar for the purposes of taking proceedings under the repealed Act.</w:t>
      </w:r>
    </w:p>
    <w:p>
      <w:pPr>
        <w:pStyle w:val="Heading3"/>
      </w:pPr>
      <w:bookmarkStart w:id="72" w:name="_Toc154745000"/>
      <w:r>
        <w:rPr>
          <w:rStyle w:val="CharDivNo"/>
        </w:rPr>
        <w:t>Division 2</w:t>
      </w:r>
      <w:r>
        <w:t> — </w:t>
      </w:r>
      <w:r>
        <w:rPr>
          <w:rStyle w:val="CharDivText"/>
          <w:i/>
        </w:rPr>
        <w:t>Painters’ Registration Act 1961</w:t>
      </w:r>
      <w:bookmarkEnd w:id="72"/>
    </w:p>
    <w:p>
      <w:pPr>
        <w:pStyle w:val="Heading5"/>
      </w:pPr>
      <w:bookmarkStart w:id="73" w:name="_Toc154745001"/>
      <w:r>
        <w:rPr>
          <w:rStyle w:val="CharSectno"/>
        </w:rPr>
        <w:t>43</w:t>
      </w:r>
      <w:r>
        <w:t>.</w:t>
      </w:r>
      <w:r>
        <w:tab/>
        <w:t>Terms used</w:t>
      </w:r>
      <w:bookmarkEnd w:id="73"/>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74" w:name="_Toc154745002"/>
      <w:r>
        <w:rPr>
          <w:rStyle w:val="CharSectno"/>
        </w:rPr>
        <w:t>44</w:t>
      </w:r>
      <w:r>
        <w:t>.</w:t>
      </w:r>
      <w:r>
        <w:tab/>
        <w:t>Continuation of registration (Act s. 127)</w:t>
      </w:r>
      <w:bookmarkEnd w:id="74"/>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75" w:name="_Toc154745003"/>
      <w:r>
        <w:rPr>
          <w:rStyle w:val="CharSectno"/>
        </w:rPr>
        <w:t>45</w:t>
      </w:r>
      <w:r>
        <w:t>.</w:t>
      </w:r>
      <w:r>
        <w:tab/>
        <w:t>Membership of Board — experience as painter</w:t>
      </w:r>
      <w:bookmarkEnd w:id="75"/>
    </w:p>
    <w:p>
      <w:pPr>
        <w:pStyle w:val="Subsection"/>
      </w:pPr>
      <w:r>
        <w:tab/>
      </w:r>
      <w:r>
        <w:tab/>
        <w:t xml:space="preserve">For the purposes of section 67(2)(c) a person who has experience as a person registered under section 12 of the </w:t>
      </w:r>
      <w:r>
        <w:lastRenderedPageBreak/>
        <w:t>repealed Act is to be taken to be a person who has experience as a registered building service provider in a class listed in item 2 of the Table to regulation 8.</w:t>
      </w:r>
    </w:p>
    <w:p>
      <w:pPr>
        <w:pStyle w:val="Heading5"/>
      </w:pPr>
      <w:bookmarkStart w:id="76" w:name="_Toc154745004"/>
      <w:r>
        <w:rPr>
          <w:rStyle w:val="CharSectno"/>
        </w:rPr>
        <w:t>46</w:t>
      </w:r>
      <w:r>
        <w:t>.</w:t>
      </w:r>
      <w:r>
        <w:tab/>
        <w:t>Building Commissioner may exercise powers</w:t>
      </w:r>
      <w:bookmarkEnd w:id="7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77" w:name="_Toc154745005"/>
      <w:r>
        <w:rPr>
          <w:rStyle w:val="CharDivNo"/>
        </w:rPr>
        <w:t>Division 3</w:t>
      </w:r>
      <w:r>
        <w:t> — </w:t>
      </w:r>
      <w:r>
        <w:rPr>
          <w:rStyle w:val="CharDivText"/>
          <w:i/>
        </w:rPr>
        <w:t>Local Government (Building Surveyors) Regulations 2008</w:t>
      </w:r>
      <w:bookmarkEnd w:id="77"/>
    </w:p>
    <w:p>
      <w:pPr>
        <w:pStyle w:val="Footnoteheading"/>
      </w:pPr>
      <w:r>
        <w:tab/>
        <w:t>[Heading inserted: Gazette 12 Mar 2012 p. 1002.]</w:t>
      </w:r>
    </w:p>
    <w:p>
      <w:pPr>
        <w:pStyle w:val="Heading5"/>
      </w:pPr>
      <w:bookmarkStart w:id="78" w:name="_Toc154745006"/>
      <w:r>
        <w:rPr>
          <w:rStyle w:val="CharSectno"/>
        </w:rPr>
        <w:t>47</w:t>
      </w:r>
      <w:r>
        <w:t>.</w:t>
      </w:r>
      <w:r>
        <w:tab/>
        <w:t>Terms used</w:t>
      </w:r>
      <w:bookmarkEnd w:id="78"/>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79" w:name="_Toc154745007"/>
      <w:r>
        <w:rPr>
          <w:rStyle w:val="CharSectno"/>
        </w:rPr>
        <w:t>48</w:t>
      </w:r>
      <w:r>
        <w:t>.</w:t>
      </w:r>
      <w:r>
        <w:tab/>
        <w:t>Continuation of registration</w:t>
      </w:r>
      <w:bookmarkEnd w:id="79"/>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lastRenderedPageBreak/>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80" w:name="_Toc154745008"/>
      <w:r>
        <w:rPr>
          <w:rStyle w:val="CharSectno"/>
        </w:rPr>
        <w:t>49</w:t>
      </w:r>
      <w:r>
        <w:t>.</w:t>
      </w:r>
      <w:r>
        <w:tab/>
        <w:t>Nominated supervisors for contractors before repeal day</w:t>
      </w:r>
      <w:bookmarkEnd w:id="80"/>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 xml:space="preserve">Local Government (Qualifications of Municipal </w:t>
      </w:r>
      <w:r>
        <w:rPr>
          <w:i/>
        </w:rPr>
        <w:lastRenderedPageBreak/>
        <w:t>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81" w:name="_Toc154745009"/>
      <w:r>
        <w:rPr>
          <w:rStyle w:val="CharSectno"/>
        </w:rPr>
        <w:t>50</w:t>
      </w:r>
      <w:r>
        <w:t>.</w:t>
      </w:r>
      <w:r>
        <w:tab/>
        <w:t>Cancellation of certificate</w:t>
      </w:r>
      <w:bookmarkEnd w:id="81"/>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82" w:name="_Toc154745010"/>
      <w:r>
        <w:rPr>
          <w:rStyle w:val="CharSectno"/>
        </w:rPr>
        <w:t>51</w:t>
      </w:r>
      <w:r>
        <w:t>.</w:t>
      </w:r>
      <w:r>
        <w:tab/>
        <w:t>Membership of Board — experience as a building surveyor</w:t>
      </w:r>
      <w:bookmarkEnd w:id="82"/>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83" w:name="_Toc154745011"/>
      <w:r>
        <w:rPr>
          <w:rStyle w:val="CharDivNo"/>
        </w:rPr>
        <w:lastRenderedPageBreak/>
        <w:t>Division 4</w:t>
      </w:r>
      <w:r>
        <w:t> — </w:t>
      </w:r>
      <w:r>
        <w:rPr>
          <w:rStyle w:val="CharDivText"/>
          <w:i/>
        </w:rPr>
        <w:t>Building Services (Registration) Amendment Regulations (No. 2) 2017</w:t>
      </w:r>
      <w:bookmarkEnd w:id="83"/>
    </w:p>
    <w:p>
      <w:pPr>
        <w:pStyle w:val="Footnoteheading"/>
        <w:keepNext/>
      </w:pPr>
      <w:r>
        <w:tab/>
        <w:t>[Heading inserted: Gazette 5 Jan 2018 p. 6.]</w:t>
      </w:r>
    </w:p>
    <w:p>
      <w:pPr>
        <w:pStyle w:val="Heading5"/>
      </w:pPr>
      <w:bookmarkStart w:id="84" w:name="_Toc154745012"/>
      <w:r>
        <w:rPr>
          <w:rStyle w:val="CharSectno"/>
        </w:rPr>
        <w:t>52</w:t>
      </w:r>
      <w:r>
        <w:t>.</w:t>
      </w:r>
      <w:r>
        <w:tab/>
        <w:t>Painting practitioners: applications for registration made before 1 September 2018</w:t>
      </w:r>
      <w:bookmarkEnd w:id="84"/>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keepNext w:val="0"/>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pPr>
            <w:r>
              <w:t>Set 1</w:t>
            </w:r>
          </w:p>
        </w:tc>
        <w:tc>
          <w:tcPr>
            <w:tcW w:w="2694" w:type="dxa"/>
          </w:tcPr>
          <w:p>
            <w:pPr>
              <w:pStyle w:val="TableNAm"/>
              <w:ind w:left="567" w:hanging="567"/>
            </w:pPr>
            <w:r>
              <w:t>(a)</w:t>
            </w:r>
            <w:r>
              <w:tab/>
              <w:t xml:space="preserve">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w:t>
            </w:r>
            <w:r>
              <w:lastRenderedPageBreak/>
              <w:t>paragraph (a) of set 3; or</w:t>
            </w:r>
          </w:p>
          <w:p>
            <w:pPr>
              <w:pStyle w:val="TableNAm"/>
              <w:ind w:left="567" w:hanging="567"/>
            </w:pPr>
            <w:r>
              <w:t>(b)</w:t>
            </w:r>
            <w:r>
              <w:tab/>
              <w:t>an equivalent qualification as determined by the Board</w:t>
            </w:r>
          </w:p>
        </w:tc>
        <w:tc>
          <w:tcPr>
            <w:tcW w:w="2693" w:type="dxa"/>
          </w:tcPr>
          <w:p>
            <w:pPr>
              <w:pStyle w:val="TableNAm"/>
              <w:ind w:left="567" w:hanging="567"/>
            </w:pPr>
            <w:r>
              <w:lastRenderedPageBreak/>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Lines/>
            </w:pPr>
            <w:r>
              <w:t>Set 4</w:t>
            </w:r>
          </w:p>
        </w:tc>
        <w:tc>
          <w:tcPr>
            <w:tcW w:w="2694" w:type="dxa"/>
          </w:tcPr>
          <w:p>
            <w:pPr>
              <w:pStyle w:val="zTableNAm"/>
              <w:keepLines/>
              <w:widowControl w:val="0"/>
              <w:ind w:left="567" w:hanging="567"/>
              <w:jc w:val="center"/>
            </w:pPr>
          </w:p>
        </w:tc>
        <w:tc>
          <w:tcPr>
            <w:tcW w:w="2693" w:type="dxa"/>
          </w:tcPr>
          <w:p>
            <w:pPr>
              <w:pStyle w:val="TableNAm"/>
              <w:keepLines/>
              <w:tabs>
                <w:tab w:val="clear" w:pos="567"/>
              </w:tabs>
              <w:ind w:left="33" w:hanging="33"/>
            </w:pPr>
            <w:r>
              <w:t xml:space="preserve">experience in carrying out painting work — </w:t>
            </w:r>
          </w:p>
          <w:p>
            <w:pPr>
              <w:pStyle w:val="TableNAm"/>
              <w:keepLines/>
              <w:ind w:left="567" w:hanging="567"/>
            </w:pPr>
            <w:r>
              <w:t>(a)</w:t>
            </w:r>
            <w:r>
              <w:tab/>
              <w:t>covering a significant range of painting techniques for periods totalling at least the equivalent of 5 years full</w:t>
            </w:r>
            <w:r>
              <w:noBreakHyphen/>
              <w:t>time; and</w:t>
            </w:r>
          </w:p>
          <w:p>
            <w:pPr>
              <w:pStyle w:val="TableNAm"/>
              <w:keepLines/>
              <w:ind w:left="567" w:hanging="567"/>
            </w:pPr>
            <w:r>
              <w:lastRenderedPageBreak/>
              <w:t>(b)</w:t>
            </w:r>
            <w:r>
              <w:tab/>
              <w:t>sufficient to gain knowledge and skills equivalent to those possessed by a person who has successfully completed a qualification referred to in set 3</w:t>
            </w:r>
          </w:p>
        </w:tc>
      </w:tr>
    </w:tbl>
    <w:p>
      <w:pPr>
        <w:pStyle w:val="Footnotesection"/>
      </w:pPr>
      <w:r>
        <w:lastRenderedPageBreak/>
        <w:tab/>
        <w:t>[Regulation 52 inserted: Gazette 5 Jan 2018 p. 6</w:t>
      </w:r>
      <w:r>
        <w:noBreakHyphen/>
        <w:t>8.]</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85" w:name="_Toc154745013"/>
      <w:r>
        <w:rPr>
          <w:rStyle w:val="CharSchNo"/>
        </w:rPr>
        <w:lastRenderedPageBreak/>
        <w:t>Schedule 1</w:t>
      </w:r>
      <w:r>
        <w:t> — </w:t>
      </w:r>
      <w:r>
        <w:rPr>
          <w:rStyle w:val="CharSchText"/>
        </w:rPr>
        <w:t>Fees</w:t>
      </w:r>
      <w:bookmarkEnd w:id="85"/>
    </w:p>
    <w:p>
      <w:pPr>
        <w:pStyle w:val="yShoulderClause"/>
      </w:pPr>
      <w:r>
        <w:t>[r. 9]</w:t>
      </w:r>
    </w:p>
    <w:p>
      <w:pPr>
        <w:pStyle w:val="yFootnoteheading"/>
      </w:pPr>
      <w:r>
        <w:tab/>
        <w:t>[Heading inserted: SL 2023/35 r. 12.]</w:t>
      </w:r>
    </w:p>
    <w:p>
      <w:pPr>
        <w:pStyle w:val="yHeading3"/>
      </w:pPr>
      <w:bookmarkStart w:id="86" w:name="_Toc154745014"/>
      <w:r>
        <w:rPr>
          <w:rStyle w:val="CharSDivNo"/>
        </w:rPr>
        <w:t>Division 1</w:t>
      </w:r>
      <w:r>
        <w:t> — </w:t>
      </w:r>
      <w:r>
        <w:rPr>
          <w:rStyle w:val="CharSDivText"/>
        </w:rPr>
        <w:t>General</w:t>
      </w:r>
      <w:bookmarkEnd w:id="86"/>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8" w:type="dxa"/>
            <w:tcBorders>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Provision of a certified copy of the register in respect of the classes of building service contractors in a specified occupation group referred to in regulation 8</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8" w:type="dxa"/>
            <w:tcBorders>
              <w:top w:val="nil"/>
              <w:bottom w:val="nil"/>
            </w:tcBorders>
            <w:noWrap/>
            <w:vAlign w:val="bottom"/>
          </w:tcPr>
          <w:p>
            <w:pPr>
              <w:pStyle w:val="yTableNAm"/>
              <w:jc w:val="right"/>
            </w:pPr>
            <w:r>
              <w:t>67.00</w:t>
            </w:r>
          </w:p>
        </w:tc>
      </w:tr>
      <w:tr>
        <w:trPr>
          <w:cantSplit/>
          <w:jc w:val="center"/>
        </w:trPr>
        <w:tc>
          <w:tcPr>
            <w:tcW w:w="709" w:type="dxa"/>
            <w:tcBorders>
              <w:top w:val="nil"/>
            </w:tcBorders>
            <w:noWrap/>
          </w:tcPr>
          <w:p>
            <w:pPr>
              <w:pStyle w:val="yTableNAm"/>
            </w:pPr>
            <w:r>
              <w:t>6.</w:t>
            </w:r>
          </w:p>
        </w:tc>
        <w:tc>
          <w:tcPr>
            <w:tcW w:w="3260" w:type="dxa"/>
            <w:tcBorders>
              <w:top w:val="nil"/>
            </w:tcBorders>
            <w:noWrap/>
          </w:tcPr>
          <w:p>
            <w:pPr>
              <w:pStyle w:val="yTableNAm"/>
            </w:pPr>
            <w:r>
              <w:t>Provision of a certified copy of entries that have been added to, or deleted from, the register after a specified day</w:t>
            </w:r>
          </w:p>
        </w:tc>
        <w:tc>
          <w:tcPr>
            <w:tcW w:w="1418" w:type="dxa"/>
            <w:tcBorders>
              <w:top w:val="nil"/>
            </w:tcBorders>
            <w:noWrap/>
            <w:vAlign w:val="bottom"/>
          </w:tcPr>
          <w:p>
            <w:pPr>
              <w:pStyle w:val="yTableNAm"/>
              <w:jc w:val="right"/>
            </w:pPr>
            <w:r>
              <w:t>67.00</w:t>
            </w:r>
          </w:p>
        </w:tc>
      </w:tr>
    </w:tbl>
    <w:p>
      <w:pPr>
        <w:pStyle w:val="yFootnotesection"/>
      </w:pPr>
      <w:r>
        <w:tab/>
        <w:t>[Division 1 inserted: SL 2023/35 r. 12.]</w:t>
      </w:r>
    </w:p>
    <w:p>
      <w:pPr>
        <w:pStyle w:val="yHeading3"/>
      </w:pPr>
      <w:bookmarkStart w:id="87" w:name="_Toc154745015"/>
      <w:r>
        <w:rPr>
          <w:rStyle w:val="CharSDivNo"/>
        </w:rPr>
        <w:lastRenderedPageBreak/>
        <w:t>Division 2</w:t>
      </w:r>
      <w:r>
        <w:t> — </w:t>
      </w:r>
      <w:r>
        <w:rPr>
          <w:rStyle w:val="CharSDivText"/>
        </w:rPr>
        <w:t>Builders</w:t>
      </w:r>
      <w:bookmarkEnd w:id="87"/>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8" w:type="dxa"/>
            <w:tcBorders>
              <w:bottom w:val="nil"/>
            </w:tcBorders>
            <w:noWrap/>
            <w:vAlign w:val="bottom"/>
          </w:tcPr>
          <w:p>
            <w:pPr>
              <w:pStyle w:val="yTableNAm"/>
              <w:jc w:val="right"/>
            </w:pPr>
            <w:r>
              <w:t>259.00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8" w:type="dxa"/>
            <w:tcBorders>
              <w:top w:val="nil"/>
              <w:bottom w:val="nil"/>
            </w:tcBorders>
            <w:noWrap/>
            <w:vAlign w:val="bottom"/>
          </w:tcPr>
          <w:p>
            <w:pPr>
              <w:pStyle w:val="yTableNAm"/>
              <w:jc w:val="right"/>
            </w:pPr>
            <w:r>
              <w:t>259.00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8" w:type="dxa"/>
            <w:tcBorders>
              <w:top w:val="nil"/>
              <w:bottom w:val="nil"/>
            </w:tcBorders>
            <w:noWrap/>
            <w:vAlign w:val="bottom"/>
          </w:tcPr>
          <w:p>
            <w:pPr>
              <w:pStyle w:val="yTableNAm"/>
              <w:jc w:val="right"/>
            </w:pPr>
            <w:r>
              <w:t>425.00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8" w:type="dxa"/>
            <w:tcBorders>
              <w:top w:val="nil"/>
              <w:bottom w:val="nil"/>
            </w:tcBorders>
            <w:noWrap/>
            <w:vAlign w:val="bottom"/>
          </w:tcPr>
          <w:p>
            <w:pPr>
              <w:pStyle w:val="yTableNAm"/>
              <w:jc w:val="right"/>
            </w:pPr>
            <w:r>
              <w:t>425.00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8" w:type="dxa"/>
            <w:tcBorders>
              <w:top w:val="nil"/>
              <w:bottom w:val="nil"/>
            </w:tcBorders>
            <w:noWrap/>
            <w:vAlign w:val="bottom"/>
          </w:tcPr>
          <w:p>
            <w:pPr>
              <w:pStyle w:val="yTableNAm"/>
              <w:jc w:val="right"/>
            </w:pPr>
            <w:r>
              <w:t>747.00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8" w:type="dxa"/>
            <w:tcBorders>
              <w:top w:val="nil"/>
              <w:bottom w:val="nil"/>
            </w:tcBorders>
            <w:noWrap/>
            <w:vAlign w:val="bottom"/>
          </w:tcPr>
          <w:p>
            <w:pPr>
              <w:pStyle w:val="yTableNAm"/>
              <w:jc w:val="right"/>
            </w:pPr>
            <w:r>
              <w:t>500.00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8" w:type="dxa"/>
            <w:tcBorders>
              <w:top w:val="nil"/>
              <w:bottom w:val="nil"/>
            </w:tcBorders>
            <w:noWrap/>
            <w:vAlign w:val="bottom"/>
          </w:tcPr>
          <w:p>
            <w:pPr>
              <w:pStyle w:val="yTableNAm"/>
              <w:jc w:val="right"/>
            </w:pPr>
            <w:r>
              <w:t>1 621.00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8" w:type="dxa"/>
            <w:tcBorders>
              <w:top w:val="nil"/>
              <w:bottom w:val="nil"/>
            </w:tcBorders>
            <w:noWrap/>
            <w:vAlign w:val="bottom"/>
          </w:tcPr>
          <w:p>
            <w:pPr>
              <w:pStyle w:val="yTableNAm"/>
              <w:jc w:val="right"/>
            </w:pPr>
            <w:r>
              <w:t>3 440.00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rPr>
                <w:color w:val="000000"/>
              </w:rPr>
              <w:t>62.00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rPr>
                <w:color w:val="000000"/>
              </w:rPr>
              <w:t>234.00</w:t>
            </w:r>
          </w:p>
        </w:tc>
      </w:tr>
      <w:tr>
        <w:trPr>
          <w:cantSplit/>
          <w:jc w:val="center"/>
        </w:trPr>
        <w:tc>
          <w:tcPr>
            <w:tcW w:w="709" w:type="dxa"/>
            <w:tcBorders>
              <w:top w:val="nil"/>
            </w:tcBorders>
            <w:noWrap/>
          </w:tcPr>
          <w:p>
            <w:pPr>
              <w:pStyle w:val="yTableNAm"/>
              <w:keepNext/>
            </w:pPr>
            <w:r>
              <w:lastRenderedPageBreak/>
              <w:t>11.</w:t>
            </w:r>
          </w:p>
        </w:tc>
        <w:tc>
          <w:tcPr>
            <w:tcW w:w="3260" w:type="dxa"/>
            <w:tcBorders>
              <w:top w:val="nil"/>
            </w:tcBorders>
            <w:noWrap/>
          </w:tcPr>
          <w:p>
            <w:pPr>
              <w:pStyle w:val="yTableNAm"/>
              <w:keepNext/>
            </w:pPr>
            <w:r>
              <w:t>Fee for marking an examination sat outside metropolitan area</w:t>
            </w:r>
          </w:p>
        </w:tc>
        <w:tc>
          <w:tcPr>
            <w:tcW w:w="1418" w:type="dxa"/>
            <w:tcBorders>
              <w:top w:val="nil"/>
            </w:tcBorders>
            <w:noWrap/>
            <w:vAlign w:val="bottom"/>
          </w:tcPr>
          <w:p>
            <w:pPr>
              <w:pStyle w:val="yTableNAm"/>
              <w:keepNext/>
              <w:jc w:val="right"/>
            </w:pPr>
            <w:r>
              <w:rPr>
                <w:color w:val="000000"/>
              </w:rPr>
              <w:t>71.00</w:t>
            </w:r>
          </w:p>
        </w:tc>
      </w:tr>
    </w:tbl>
    <w:p>
      <w:pPr>
        <w:pStyle w:val="yFootnotesection"/>
      </w:pPr>
      <w:r>
        <w:tab/>
        <w:t>[Division 2 inserted: SL 2023/35 r. 12.]</w:t>
      </w:r>
    </w:p>
    <w:p>
      <w:pPr>
        <w:pStyle w:val="yHeading3"/>
      </w:pPr>
      <w:bookmarkStart w:id="88" w:name="_Toc154745016"/>
      <w:r>
        <w:rPr>
          <w:rStyle w:val="CharSDivNo"/>
        </w:rPr>
        <w:t>Division 3</w:t>
      </w:r>
      <w:r>
        <w:t> — </w:t>
      </w:r>
      <w:r>
        <w:rPr>
          <w:rStyle w:val="CharSDivText"/>
        </w:rPr>
        <w:t>Owner</w:t>
      </w:r>
      <w:r>
        <w:rPr>
          <w:rStyle w:val="CharSDivText"/>
        </w:rPr>
        <w:noBreakHyphen/>
        <w:t>builders</w:t>
      </w:r>
      <w:bookmarkEnd w:id="88"/>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8" w:type="dxa"/>
            <w:tcBorders>
              <w:bottom w:val="nil"/>
            </w:tcBorders>
            <w:noWrap/>
            <w:vAlign w:val="bottom"/>
          </w:tcPr>
          <w:p>
            <w:pPr>
              <w:pStyle w:val="yTableNAm"/>
              <w:jc w:val="right"/>
            </w:pPr>
            <w:r>
              <w:t>202.00</w:t>
            </w:r>
          </w:p>
        </w:tc>
      </w:tr>
      <w:tr>
        <w:trPr>
          <w:jc w:val="center"/>
        </w:trPr>
        <w:tc>
          <w:tcPr>
            <w:tcW w:w="709" w:type="dxa"/>
            <w:tcBorders>
              <w:top w:val="nil"/>
            </w:tcBorders>
            <w:noWrap/>
          </w:tcPr>
          <w:p>
            <w:pPr>
              <w:pStyle w:val="yTableNAm"/>
            </w:pPr>
            <w:r>
              <w:t>2.</w:t>
            </w:r>
          </w:p>
        </w:tc>
        <w:tc>
          <w:tcPr>
            <w:tcW w:w="3260" w:type="dxa"/>
            <w:tcBorders>
              <w:top w:val="nil"/>
            </w:tcBorders>
            <w:noWrap/>
          </w:tcPr>
          <w:p>
            <w:pPr>
              <w:pStyle w:val="yTableNAm"/>
            </w:pPr>
            <w:r>
              <w:t>Application for owner</w:t>
            </w:r>
            <w:r>
              <w:noBreakHyphen/>
              <w:t>builder approval (commercial)</w:t>
            </w:r>
          </w:p>
        </w:tc>
        <w:tc>
          <w:tcPr>
            <w:tcW w:w="1418" w:type="dxa"/>
            <w:tcBorders>
              <w:top w:val="nil"/>
            </w:tcBorders>
            <w:noWrap/>
            <w:vAlign w:val="bottom"/>
          </w:tcPr>
          <w:p>
            <w:pPr>
              <w:pStyle w:val="yTableNAm"/>
              <w:jc w:val="right"/>
            </w:pPr>
            <w:r>
              <w:t>467.00</w:t>
            </w:r>
          </w:p>
        </w:tc>
      </w:tr>
    </w:tbl>
    <w:p>
      <w:pPr>
        <w:pStyle w:val="yFootnotesection"/>
      </w:pPr>
      <w:r>
        <w:tab/>
        <w:t>[Division 3 inserted: SL 2023/35 r. 12.]</w:t>
      </w:r>
    </w:p>
    <w:p>
      <w:pPr>
        <w:pStyle w:val="yHeading3"/>
      </w:pPr>
      <w:bookmarkStart w:id="89" w:name="_Toc154745017"/>
      <w:r>
        <w:rPr>
          <w:rStyle w:val="CharSDivNo"/>
        </w:rPr>
        <w:t>Division 4</w:t>
      </w:r>
      <w:r>
        <w:t> — </w:t>
      </w:r>
      <w:r>
        <w:rPr>
          <w:rStyle w:val="CharSDivText"/>
        </w:rPr>
        <w:t>Building surveyors</w:t>
      </w:r>
      <w:bookmarkEnd w:id="89"/>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8" w:type="dxa"/>
            <w:tcBorders>
              <w:bottom w:val="nil"/>
            </w:tcBorders>
            <w:noWrap/>
            <w:vAlign w:val="bottom"/>
          </w:tcPr>
          <w:p>
            <w:pPr>
              <w:pStyle w:val="yTableNAm"/>
              <w:jc w:val="right"/>
            </w:pPr>
            <w:r>
              <w:t>137.00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8" w:type="dxa"/>
            <w:tcBorders>
              <w:top w:val="nil"/>
              <w:bottom w:val="nil"/>
            </w:tcBorders>
            <w:noWrap/>
            <w:vAlign w:val="bottom"/>
          </w:tcPr>
          <w:p>
            <w:pPr>
              <w:pStyle w:val="yTableNAm"/>
              <w:jc w:val="right"/>
            </w:pPr>
            <w:r>
              <w:t>68.00</w:t>
            </w:r>
          </w:p>
        </w:tc>
      </w:tr>
      <w:tr>
        <w:trPr>
          <w:jc w:val="center"/>
        </w:trPr>
        <w:tc>
          <w:tcPr>
            <w:tcW w:w="709" w:type="dxa"/>
            <w:tcBorders>
              <w:top w:val="nil"/>
              <w:bottom w:val="nil"/>
            </w:tcBorders>
            <w:noWrap/>
          </w:tcPr>
          <w:p>
            <w:pPr>
              <w:pStyle w:val="yTableNAm"/>
            </w:pPr>
            <w:r>
              <w:lastRenderedPageBreak/>
              <w:t>3.</w:t>
            </w:r>
          </w:p>
        </w:tc>
        <w:tc>
          <w:tcPr>
            <w:tcW w:w="3260" w:type="dxa"/>
            <w:tcBorders>
              <w:top w:val="nil"/>
              <w:bottom w:val="nil"/>
            </w:tcBorders>
            <w:noWrap/>
          </w:tcPr>
          <w:p>
            <w:pPr>
              <w:pStyle w:val="yTableNAm"/>
            </w:pPr>
            <w:r>
              <w:t>Application for registration as building surveying contractor level 1 or level 2 (individual)</w:t>
            </w:r>
          </w:p>
        </w:tc>
        <w:tc>
          <w:tcPr>
            <w:tcW w:w="1418" w:type="dxa"/>
            <w:tcBorders>
              <w:top w:val="nil"/>
              <w:bottom w:val="nil"/>
            </w:tcBorders>
            <w:noWrap/>
            <w:vAlign w:val="bottom"/>
          </w:tcPr>
          <w:p>
            <w:pPr>
              <w:pStyle w:val="yTableNAm"/>
              <w:jc w:val="right"/>
            </w:pPr>
            <w:r>
              <w:t>91.00</w:t>
            </w:r>
          </w:p>
        </w:tc>
      </w:tr>
      <w:tr>
        <w:trPr>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8" w:type="dxa"/>
            <w:tcBorders>
              <w:top w:val="nil"/>
              <w:bottom w:val="nil"/>
            </w:tcBorders>
            <w:noWrap/>
            <w:vAlign w:val="bottom"/>
          </w:tcPr>
          <w:p>
            <w:pPr>
              <w:pStyle w:val="yTableNAm"/>
              <w:jc w:val="right"/>
            </w:pPr>
            <w:r>
              <w:t>87.00</w:t>
            </w:r>
          </w:p>
        </w:tc>
      </w:tr>
      <w:tr>
        <w:trPr>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Application for registration as building surveying contractor level 1 or level 2 (company)</w:t>
            </w:r>
          </w:p>
        </w:tc>
        <w:tc>
          <w:tcPr>
            <w:tcW w:w="1418" w:type="dxa"/>
            <w:tcBorders>
              <w:top w:val="nil"/>
              <w:bottom w:val="nil"/>
            </w:tcBorders>
            <w:noWrap/>
            <w:vAlign w:val="bottom"/>
          </w:tcPr>
          <w:p>
            <w:pPr>
              <w:pStyle w:val="yTableNAm"/>
              <w:jc w:val="right"/>
            </w:pPr>
            <w:r>
              <w:t>91.00</w:t>
            </w:r>
          </w:p>
        </w:tc>
      </w:tr>
      <w:tr>
        <w:trPr>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8" w:type="dxa"/>
            <w:tcBorders>
              <w:top w:val="nil"/>
              <w:bottom w:val="nil"/>
            </w:tcBorders>
            <w:noWrap/>
            <w:vAlign w:val="bottom"/>
          </w:tcPr>
          <w:p>
            <w:pPr>
              <w:pStyle w:val="yTableNAm"/>
              <w:jc w:val="right"/>
            </w:pPr>
            <w:r>
              <w:t>585.00</w:t>
            </w:r>
          </w:p>
        </w:tc>
      </w:tr>
      <w:tr>
        <w:trPr>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8" w:type="dxa"/>
            <w:tcBorders>
              <w:top w:val="nil"/>
              <w:bottom w:val="nil"/>
            </w:tcBorders>
            <w:noWrap/>
            <w:vAlign w:val="bottom"/>
          </w:tcPr>
          <w:p>
            <w:pPr>
              <w:pStyle w:val="yTableNAm"/>
              <w:jc w:val="right"/>
            </w:pPr>
            <w:r>
              <w:t>1 125.00</w:t>
            </w:r>
          </w:p>
        </w:tc>
      </w:tr>
      <w:tr>
        <w:trPr>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8" w:type="dxa"/>
            <w:tcBorders>
              <w:top w:val="nil"/>
              <w:bottom w:val="nil"/>
            </w:tcBorders>
            <w:noWrap/>
            <w:vAlign w:val="bottom"/>
          </w:tcPr>
          <w:p>
            <w:pPr>
              <w:pStyle w:val="yTableNAm"/>
              <w:jc w:val="right"/>
            </w:pPr>
            <w:r>
              <w:t>788.00</w:t>
            </w:r>
          </w:p>
        </w:tc>
      </w:tr>
      <w:tr>
        <w:trPr>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8" w:type="dxa"/>
            <w:tcBorders>
              <w:top w:val="nil"/>
              <w:bottom w:val="nil"/>
            </w:tcBorders>
            <w:noWrap/>
            <w:vAlign w:val="bottom"/>
          </w:tcPr>
          <w:p>
            <w:pPr>
              <w:pStyle w:val="yTableNAm"/>
              <w:jc w:val="right"/>
            </w:pPr>
            <w:r>
              <w:t>1 874.00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8" w:type="dxa"/>
            <w:tcBorders>
              <w:top w:val="nil"/>
              <w:bottom w:val="nil"/>
            </w:tcBorders>
            <w:noWrap/>
            <w:vAlign w:val="bottom"/>
          </w:tcPr>
          <w:p>
            <w:pPr>
              <w:pStyle w:val="yTableNAm"/>
              <w:jc w:val="right"/>
            </w:pPr>
            <w:r>
              <w:t>2 569.00</w:t>
            </w:r>
          </w:p>
        </w:tc>
      </w:tr>
      <w:tr>
        <w:trPr>
          <w:jc w:val="center"/>
        </w:trPr>
        <w:tc>
          <w:tcPr>
            <w:tcW w:w="709" w:type="dxa"/>
            <w:tcBorders>
              <w:top w:val="nil"/>
            </w:tcBorders>
            <w:noWrap/>
          </w:tcPr>
          <w:p>
            <w:pPr>
              <w:pStyle w:val="yTableNAm"/>
            </w:pPr>
            <w:r>
              <w:t>11.</w:t>
            </w:r>
          </w:p>
        </w:tc>
        <w:tc>
          <w:tcPr>
            <w:tcW w:w="3260" w:type="dxa"/>
            <w:tcBorders>
              <w:top w:val="nil"/>
            </w:tcBorders>
            <w:noWrap/>
          </w:tcPr>
          <w:p>
            <w:pPr>
              <w:pStyle w:val="yTableNAm"/>
            </w:pPr>
            <w:r>
              <w:t>Late fee for application for renewal made after renewal period</w:t>
            </w:r>
          </w:p>
        </w:tc>
        <w:tc>
          <w:tcPr>
            <w:tcW w:w="1418" w:type="dxa"/>
            <w:tcBorders>
              <w:top w:val="nil"/>
            </w:tcBorders>
            <w:noWrap/>
            <w:vAlign w:val="bottom"/>
          </w:tcPr>
          <w:p>
            <w:pPr>
              <w:pStyle w:val="yTableNAm"/>
              <w:jc w:val="right"/>
            </w:pPr>
            <w:r>
              <w:t>83.00</w:t>
            </w:r>
          </w:p>
        </w:tc>
      </w:tr>
    </w:tbl>
    <w:p>
      <w:pPr>
        <w:pStyle w:val="yFootnotesection"/>
      </w:pPr>
      <w:r>
        <w:tab/>
        <w:t>[Division 4 inserted: SL 2023/35 r. 12.]</w:t>
      </w:r>
    </w:p>
    <w:p>
      <w:pPr>
        <w:pStyle w:val="yHeading3"/>
      </w:pPr>
      <w:bookmarkStart w:id="90" w:name="_Toc154745018"/>
      <w:r>
        <w:rPr>
          <w:rStyle w:val="CharSDivNo"/>
        </w:rPr>
        <w:lastRenderedPageBreak/>
        <w:t>Division 5</w:t>
      </w:r>
      <w:r>
        <w:t> — </w:t>
      </w:r>
      <w:r>
        <w:rPr>
          <w:rStyle w:val="CharSDivText"/>
        </w:rPr>
        <w:t>Painters</w:t>
      </w:r>
      <w:bookmarkEnd w:id="90"/>
    </w:p>
    <w:p>
      <w:pPr>
        <w:pStyle w:val="yFootnoteheading"/>
      </w:pPr>
      <w:r>
        <w:tab/>
        <w:t>[Heading inserted: SL 2023/35 r. 12.]</w:t>
      </w:r>
    </w:p>
    <w:tbl>
      <w:tblPr>
        <w:tblW w:w="5387" w:type="dxa"/>
        <w:jc w:val="center"/>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8"/>
      </w:tblGrid>
      <w:tr>
        <w:trPr>
          <w:cantSplit/>
          <w:tblHeader/>
          <w:jc w:val="cent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8" w:type="dxa"/>
            <w:tcBorders>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8" w:type="dxa"/>
            <w:tcBorders>
              <w:bottom w:val="nil"/>
            </w:tcBorders>
            <w:noWrap/>
            <w:vAlign w:val="bottom"/>
          </w:tcPr>
          <w:p>
            <w:pPr>
              <w:pStyle w:val="yTableNAm"/>
              <w:jc w:val="right"/>
            </w:pPr>
            <w:r>
              <w:t>107.00</w:t>
            </w:r>
          </w:p>
        </w:tc>
      </w:tr>
      <w:tr>
        <w:trPr>
          <w:cantSplit/>
          <w:jc w:val="center"/>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8" w:type="dxa"/>
            <w:tcBorders>
              <w:top w:val="nil"/>
              <w:bottom w:val="nil"/>
            </w:tcBorders>
            <w:noWrap/>
            <w:vAlign w:val="bottom"/>
          </w:tcPr>
          <w:p>
            <w:pPr>
              <w:pStyle w:val="yTableNAm"/>
              <w:jc w:val="right"/>
            </w:pPr>
            <w:r>
              <w:t>71.00</w:t>
            </w:r>
          </w:p>
        </w:tc>
      </w:tr>
      <w:tr>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8" w:type="dxa"/>
            <w:tcBorders>
              <w:top w:val="nil"/>
              <w:bottom w:val="nil"/>
            </w:tcBorders>
            <w:noWrap/>
            <w:vAlign w:val="bottom"/>
          </w:tcPr>
          <w:p>
            <w:pPr>
              <w:pStyle w:val="yTableNAm"/>
              <w:jc w:val="right"/>
            </w:pPr>
            <w:r>
              <w:t>174.00</w:t>
            </w:r>
          </w:p>
        </w:tc>
      </w:tr>
      <w:tr>
        <w:trPr>
          <w:cantSplit/>
          <w:jc w:val="center"/>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8" w:type="dxa"/>
            <w:tcBorders>
              <w:top w:val="nil"/>
              <w:bottom w:val="nil"/>
            </w:tcBorders>
            <w:noWrap/>
            <w:vAlign w:val="bottom"/>
          </w:tcPr>
          <w:p>
            <w:pPr>
              <w:pStyle w:val="yTableNAm"/>
              <w:jc w:val="right"/>
            </w:pPr>
            <w:r>
              <w:t>174.00</w:t>
            </w:r>
          </w:p>
        </w:tc>
      </w:tr>
      <w:tr>
        <w:trPr>
          <w:cantSplit/>
          <w:jc w:val="center"/>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8" w:type="dxa"/>
            <w:tcBorders>
              <w:top w:val="nil"/>
              <w:bottom w:val="nil"/>
            </w:tcBorders>
            <w:noWrap/>
            <w:vAlign w:val="bottom"/>
          </w:tcPr>
          <w:p>
            <w:pPr>
              <w:pStyle w:val="yTableNAm"/>
              <w:jc w:val="right"/>
            </w:pPr>
            <w:r>
              <w:t>501.00</w:t>
            </w:r>
          </w:p>
        </w:tc>
      </w:tr>
      <w:tr>
        <w:trPr>
          <w:cantSplit/>
          <w:jc w:val="center"/>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8" w:type="dxa"/>
            <w:tcBorders>
              <w:top w:val="nil"/>
              <w:bottom w:val="nil"/>
            </w:tcBorders>
            <w:noWrap/>
            <w:vAlign w:val="bottom"/>
          </w:tcPr>
          <w:p>
            <w:pPr>
              <w:pStyle w:val="yTableNAm"/>
              <w:jc w:val="right"/>
            </w:pPr>
            <w:r>
              <w:t>353.00</w:t>
            </w:r>
          </w:p>
        </w:tc>
      </w:tr>
      <w:tr>
        <w:trPr>
          <w:cantSplit/>
          <w:jc w:val="center"/>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8" w:type="dxa"/>
            <w:tcBorders>
              <w:top w:val="nil"/>
              <w:bottom w:val="nil"/>
            </w:tcBorders>
            <w:noWrap/>
            <w:vAlign w:val="bottom"/>
          </w:tcPr>
          <w:p>
            <w:pPr>
              <w:pStyle w:val="yTableNAm"/>
              <w:jc w:val="right"/>
            </w:pPr>
            <w:r>
              <w:t>557.00</w:t>
            </w:r>
          </w:p>
        </w:tc>
      </w:tr>
      <w:tr>
        <w:trPr>
          <w:cantSplit/>
          <w:jc w:val="center"/>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8" w:type="dxa"/>
            <w:tcBorders>
              <w:top w:val="nil"/>
              <w:bottom w:val="nil"/>
            </w:tcBorders>
            <w:noWrap/>
            <w:vAlign w:val="bottom"/>
          </w:tcPr>
          <w:p>
            <w:pPr>
              <w:pStyle w:val="yTableNAm"/>
              <w:jc w:val="right"/>
            </w:pPr>
            <w:r>
              <w:t>1 200.00</w:t>
            </w:r>
          </w:p>
        </w:tc>
      </w:tr>
      <w:tr>
        <w:trPr>
          <w:cantSplit/>
          <w:jc w:val="center"/>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8" w:type="dxa"/>
            <w:tcBorders>
              <w:top w:val="nil"/>
              <w:bottom w:val="nil"/>
            </w:tcBorders>
            <w:noWrap/>
            <w:vAlign w:val="bottom"/>
          </w:tcPr>
          <w:p>
            <w:pPr>
              <w:pStyle w:val="yTableNAm"/>
              <w:jc w:val="right"/>
            </w:pPr>
            <w:r>
              <w:t>43.00</w:t>
            </w:r>
          </w:p>
        </w:tc>
      </w:tr>
      <w:tr>
        <w:trPr>
          <w:cantSplit/>
          <w:jc w:val="center"/>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8" w:type="dxa"/>
            <w:tcBorders>
              <w:top w:val="nil"/>
              <w:bottom w:val="nil"/>
            </w:tcBorders>
            <w:noWrap/>
            <w:vAlign w:val="bottom"/>
          </w:tcPr>
          <w:p>
            <w:pPr>
              <w:pStyle w:val="yTableNAm"/>
              <w:jc w:val="right"/>
            </w:pPr>
            <w:r>
              <w:t>111.95</w:t>
            </w:r>
          </w:p>
        </w:tc>
      </w:tr>
      <w:tr>
        <w:trPr>
          <w:cantSplit/>
          <w:jc w:val="center"/>
        </w:trPr>
        <w:tc>
          <w:tcPr>
            <w:tcW w:w="709" w:type="dxa"/>
            <w:tcBorders>
              <w:top w:val="nil"/>
            </w:tcBorders>
            <w:noWrap/>
          </w:tcPr>
          <w:p>
            <w:pPr>
              <w:pStyle w:val="yTableNAm"/>
              <w:keepNext/>
            </w:pPr>
            <w:r>
              <w:lastRenderedPageBreak/>
              <w:t>11.</w:t>
            </w:r>
          </w:p>
        </w:tc>
        <w:tc>
          <w:tcPr>
            <w:tcW w:w="3260" w:type="dxa"/>
            <w:tcBorders>
              <w:top w:val="nil"/>
            </w:tcBorders>
            <w:noWrap/>
          </w:tcPr>
          <w:p>
            <w:pPr>
              <w:pStyle w:val="yTableNAm"/>
              <w:keepNext/>
            </w:pPr>
            <w:r>
              <w:t>Fee for marking an examination sat outside metropolitan area</w:t>
            </w:r>
          </w:p>
        </w:tc>
        <w:tc>
          <w:tcPr>
            <w:tcW w:w="1418" w:type="dxa"/>
            <w:tcBorders>
              <w:top w:val="nil"/>
            </w:tcBorders>
            <w:noWrap/>
            <w:vAlign w:val="bottom"/>
          </w:tcPr>
          <w:p>
            <w:pPr>
              <w:pStyle w:val="yTableNAm"/>
              <w:keepNext/>
              <w:jc w:val="right"/>
            </w:pPr>
            <w:r>
              <w:t>58.50</w:t>
            </w:r>
          </w:p>
        </w:tc>
      </w:tr>
    </w:tbl>
    <w:p>
      <w:pPr>
        <w:pStyle w:val="yFootnotesection"/>
      </w:pPr>
      <w:r>
        <w:tab/>
        <w:t>[Division 5 inserted: SL 2023/35 r. 12.]</w:t>
      </w:r>
    </w:p>
    <w:p>
      <w:pPr>
        <w:pStyle w:val="yFootnotesection"/>
      </w:pPr>
    </w:p>
    <w:p>
      <w:pPr>
        <w:pStyle w:val="yFootnotesection"/>
        <w:rPr>
          <w:i w:val="0"/>
        </w:r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92" w:name="_Toc154745019"/>
      <w:r>
        <w:rPr>
          <w:rStyle w:val="CharSchNo"/>
        </w:rPr>
        <w:lastRenderedPageBreak/>
        <w:t>Schedule 2</w:t>
      </w:r>
      <w:r>
        <w:rPr>
          <w:rStyle w:val="CharSDivNo"/>
        </w:rPr>
        <w:t> </w:t>
      </w:r>
      <w:r>
        <w:t>—</w:t>
      </w:r>
      <w:r>
        <w:rPr>
          <w:rStyle w:val="CharSDivText"/>
        </w:rPr>
        <w:t> </w:t>
      </w:r>
      <w:r>
        <w:rPr>
          <w:rStyle w:val="CharSchText"/>
        </w:rPr>
        <w:t>Estimating the value of work</w:t>
      </w:r>
      <w:bookmarkEnd w:id="92"/>
    </w:p>
    <w:p>
      <w:pPr>
        <w:pStyle w:val="yShoulderClause"/>
      </w:pPr>
      <w:r>
        <w:t>[r. 13(1), 28(1)]</w:t>
      </w:r>
    </w:p>
    <w:p>
      <w:pPr>
        <w:pStyle w:val="yHeading5"/>
      </w:pPr>
      <w:bookmarkStart w:id="93" w:name="_Toc154745020"/>
      <w:r>
        <w:rPr>
          <w:rStyle w:val="CharSClsNo"/>
        </w:rPr>
        <w:t>1</w:t>
      </w:r>
      <w:r>
        <w:t>.</w:t>
      </w:r>
      <w:r>
        <w:tab/>
        <w:t>Terms used</w:t>
      </w:r>
      <w:bookmarkEnd w:id="9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94" w:name="_Toc154745021"/>
      <w:r>
        <w:rPr>
          <w:rStyle w:val="CharSClsNo"/>
        </w:rPr>
        <w:t>2</w:t>
      </w:r>
      <w:r>
        <w:t>.</w:t>
      </w:r>
      <w:r>
        <w:tab/>
        <w:t>Estimated value of work</w:t>
      </w:r>
      <w:bookmarkEnd w:id="94"/>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95" w:name="_Toc154745022"/>
      <w:r>
        <w:rPr>
          <w:rStyle w:val="CharSchNo"/>
        </w:rPr>
        <w:lastRenderedPageBreak/>
        <w:t>Schedule 3</w:t>
      </w:r>
      <w:r>
        <w:rPr>
          <w:rStyle w:val="CharSDivNo"/>
        </w:rPr>
        <w:t> </w:t>
      </w:r>
      <w:r>
        <w:t>— </w:t>
      </w:r>
      <w:r>
        <w:rPr>
          <w:rStyle w:val="CharSchText"/>
        </w:rPr>
        <w:t>Builder work: areas of State for purposes of definition</w:t>
      </w:r>
      <w:bookmarkEnd w:id="95"/>
    </w:p>
    <w:p>
      <w:pPr>
        <w:pStyle w:val="yShoulderClause"/>
      </w:pPr>
      <w:r>
        <w:t>[r. 13(1)]</w:t>
      </w:r>
    </w:p>
    <w:p>
      <w:pPr>
        <w:pStyle w:val="yHeading5"/>
      </w:pPr>
      <w:bookmarkStart w:id="96" w:name="_Toc154745023"/>
      <w:r>
        <w:rPr>
          <w:rStyle w:val="CharSClsNo"/>
        </w:rPr>
        <w:t>1</w:t>
      </w:r>
      <w:r>
        <w:t>.</w:t>
      </w:r>
      <w:r>
        <w:tab/>
        <w:t>Term used: townsite</w:t>
      </w:r>
      <w:bookmarkEnd w:id="9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97" w:name="_Toc154745024"/>
      <w:r>
        <w:rPr>
          <w:rStyle w:val="CharSClsNo"/>
        </w:rPr>
        <w:t>2</w:t>
      </w:r>
      <w:r>
        <w:t>.</w:t>
      </w:r>
      <w:r>
        <w:tab/>
        <w:t>Areas of State</w:t>
      </w:r>
      <w:bookmarkEnd w:id="97"/>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lastRenderedPageBreak/>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98" w:name="_Toc154745025"/>
      <w:r>
        <w:rPr>
          <w:rStyle w:val="CharSchNo"/>
        </w:rPr>
        <w:lastRenderedPageBreak/>
        <w:t>Schedule 4</w:t>
      </w:r>
      <w:r>
        <w:rPr>
          <w:rStyle w:val="CharSDivNo"/>
        </w:rPr>
        <w:t> </w:t>
      </w:r>
      <w:r>
        <w:t>—</w:t>
      </w:r>
      <w:r>
        <w:rPr>
          <w:rStyle w:val="CharSDivText"/>
        </w:rPr>
        <w:t> </w:t>
      </w:r>
      <w:r>
        <w:rPr>
          <w:rStyle w:val="CharSchText"/>
        </w:rPr>
        <w:t>Painter work: areas of the State for purposes of definition</w:t>
      </w:r>
      <w:bookmarkEnd w:id="98"/>
    </w:p>
    <w:p>
      <w:pPr>
        <w:pStyle w:val="yShoulderClause"/>
      </w:pPr>
      <w:r>
        <w:t>[r. 28]</w:t>
      </w:r>
    </w:p>
    <w:p>
      <w:pPr>
        <w:pStyle w:val="yHeading5"/>
      </w:pPr>
      <w:bookmarkStart w:id="99" w:name="_Toc154745026"/>
      <w:r>
        <w:rPr>
          <w:rStyle w:val="CharSClsNo"/>
        </w:rPr>
        <w:t>1</w:t>
      </w:r>
      <w:r>
        <w:t>.</w:t>
      </w:r>
      <w:r>
        <w:tab/>
        <w:t>Term used: townsite</w:t>
      </w:r>
      <w:bookmarkEnd w:id="9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00" w:name="_Toc154745027"/>
      <w:r>
        <w:rPr>
          <w:rStyle w:val="CharSClsNo"/>
        </w:rPr>
        <w:t>2</w:t>
      </w:r>
      <w:r>
        <w:t>.</w:t>
      </w:r>
      <w:r>
        <w:tab/>
        <w:t>Areas of State</w:t>
      </w:r>
      <w:bookmarkEnd w:id="10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101" w:name="_Toc154745028"/>
      <w:r>
        <w:rPr>
          <w:rStyle w:val="CharSchNo"/>
        </w:rPr>
        <w:lastRenderedPageBreak/>
        <w:t>Schedule 5</w:t>
      </w:r>
      <w:r>
        <w:t> — </w:t>
      </w:r>
      <w:r>
        <w:rPr>
          <w:rStyle w:val="CharSchText"/>
        </w:rPr>
        <w:t>Prescribed offences and modified penalties</w:t>
      </w:r>
      <w:bookmarkEnd w:id="101"/>
    </w:p>
    <w:p>
      <w:pPr>
        <w:pStyle w:val="yShoulderClause"/>
      </w:pPr>
      <w:r>
        <w:t>[r. 36A]</w:t>
      </w:r>
    </w:p>
    <w:p>
      <w:pPr>
        <w:pStyle w:val="yFootnoteheading"/>
      </w:pPr>
      <w:r>
        <w:tab/>
        <w:t>[Heading inserted: Gazette 26 Apr 2019 p. 1216.]</w:t>
      </w:r>
    </w:p>
    <w:p>
      <w:pPr>
        <w:pStyle w:val="yHeading3"/>
      </w:pPr>
      <w:bookmarkStart w:id="102" w:name="_Toc154745029"/>
      <w:r>
        <w:rPr>
          <w:rStyle w:val="CharSDivNo"/>
        </w:rPr>
        <w:t>Division 1</w:t>
      </w:r>
      <w:r>
        <w:t> — </w:t>
      </w:r>
      <w:r>
        <w:rPr>
          <w:rStyle w:val="CharSDivText"/>
        </w:rPr>
        <w:t>Preliminary</w:t>
      </w:r>
      <w:bookmarkEnd w:id="102"/>
    </w:p>
    <w:p>
      <w:pPr>
        <w:pStyle w:val="yFootnoteheading"/>
      </w:pPr>
      <w:r>
        <w:tab/>
        <w:t>[Heading inserted: Gazette 26 Apr 2019 p. 1216.]</w:t>
      </w:r>
    </w:p>
    <w:p>
      <w:pPr>
        <w:pStyle w:val="yHeading5"/>
      </w:pPr>
      <w:bookmarkStart w:id="103" w:name="_Toc154745030"/>
      <w:r>
        <w:rPr>
          <w:rStyle w:val="CharSClsNo"/>
        </w:rPr>
        <w:t>1</w:t>
      </w:r>
      <w:r>
        <w:t>.</w:t>
      </w:r>
      <w:r>
        <w:tab/>
        <w:t>Terms used</w:t>
      </w:r>
      <w:bookmarkEnd w:id="103"/>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104" w:name="_Toc154745031"/>
      <w:r>
        <w:rPr>
          <w:rStyle w:val="CharSDivNo"/>
        </w:rPr>
        <w:t>Division 2</w:t>
      </w:r>
      <w:r>
        <w:t> — </w:t>
      </w:r>
      <w:r>
        <w:rPr>
          <w:rStyle w:val="CharSDivText"/>
        </w:rPr>
        <w:t>Offences under the Act</w:t>
      </w:r>
      <w:bookmarkEnd w:id="104"/>
    </w:p>
    <w:p>
      <w:pPr>
        <w:pStyle w:val="yFootnoteheading"/>
      </w:pPr>
      <w:r>
        <w:tab/>
        <w:t>[Heading inserted: Gazette 26 Apr 2019 p. 1217.]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2"/>
        <w:gridCol w:w="2897"/>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1072"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2897"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1072" w:type="dxa"/>
            <w:tcBorders>
              <w:top w:val="single" w:sz="4" w:space="0" w:color="auto"/>
              <w:bottom w:val="single" w:sz="4" w:space="0" w:color="auto"/>
            </w:tcBorders>
          </w:tcPr>
          <w:p>
            <w:pPr>
              <w:pStyle w:val="yTableNAm"/>
            </w:pPr>
            <w:r>
              <w:rPr>
                <w:szCs w:val="22"/>
              </w:rPr>
              <w:lastRenderedPageBreak/>
              <w:t>s. 5(1)</w:t>
            </w:r>
          </w:p>
        </w:tc>
        <w:tc>
          <w:tcPr>
            <w:tcW w:w="2897"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1072" w:type="dxa"/>
            <w:tcBorders>
              <w:top w:val="single" w:sz="4" w:space="0" w:color="auto"/>
            </w:tcBorders>
          </w:tcPr>
          <w:p>
            <w:pPr>
              <w:pStyle w:val="yTableNAm"/>
            </w:pPr>
            <w:r>
              <w:rPr>
                <w:szCs w:val="22"/>
              </w:rPr>
              <w:t>s. 5(2)</w:t>
            </w:r>
          </w:p>
        </w:tc>
        <w:tc>
          <w:tcPr>
            <w:tcW w:w="2897"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1072" w:type="dxa"/>
          </w:tcPr>
          <w:p>
            <w:pPr>
              <w:pStyle w:val="yTableNAm"/>
            </w:pPr>
            <w:r>
              <w:rPr>
                <w:szCs w:val="22"/>
              </w:rPr>
              <w:t>s. 6(1)</w:t>
            </w:r>
          </w:p>
        </w:tc>
        <w:tc>
          <w:tcPr>
            <w:tcW w:w="2897"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1072" w:type="dxa"/>
          </w:tcPr>
          <w:p>
            <w:pPr>
              <w:pStyle w:val="yTableNAm"/>
            </w:pPr>
            <w:r>
              <w:rPr>
                <w:szCs w:val="22"/>
              </w:rPr>
              <w:t>s. 7(1)</w:t>
            </w:r>
          </w:p>
        </w:tc>
        <w:tc>
          <w:tcPr>
            <w:tcW w:w="2897"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1072" w:type="dxa"/>
          </w:tcPr>
          <w:p>
            <w:pPr>
              <w:pStyle w:val="yTableNAm"/>
            </w:pPr>
            <w:r>
              <w:rPr>
                <w:szCs w:val="22"/>
              </w:rPr>
              <w:lastRenderedPageBreak/>
              <w:t>s. 7(5)</w:t>
            </w:r>
          </w:p>
        </w:tc>
        <w:tc>
          <w:tcPr>
            <w:tcW w:w="2897"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1072" w:type="dxa"/>
          </w:tcPr>
          <w:p>
            <w:pPr>
              <w:pStyle w:val="yTableNAm"/>
            </w:pPr>
            <w:r>
              <w:rPr>
                <w:szCs w:val="22"/>
              </w:rPr>
              <w:t>s. 8</w:t>
            </w:r>
          </w:p>
        </w:tc>
        <w:tc>
          <w:tcPr>
            <w:tcW w:w="2897"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1072" w:type="dxa"/>
          </w:tcPr>
          <w:p>
            <w:pPr>
              <w:pStyle w:val="yTableNAm"/>
            </w:pPr>
            <w:r>
              <w:rPr>
                <w:szCs w:val="22"/>
              </w:rPr>
              <w:t>s. 22(2)</w:t>
            </w:r>
          </w:p>
        </w:tc>
        <w:tc>
          <w:tcPr>
            <w:tcW w:w="2897"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1072" w:type="dxa"/>
          </w:tcPr>
          <w:p>
            <w:pPr>
              <w:pStyle w:val="yTableNAm"/>
            </w:pPr>
            <w:r>
              <w:rPr>
                <w:szCs w:val="22"/>
              </w:rPr>
              <w:t>s. 22(3)</w:t>
            </w:r>
          </w:p>
        </w:tc>
        <w:tc>
          <w:tcPr>
            <w:tcW w:w="2897"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1072" w:type="dxa"/>
          </w:tcPr>
          <w:p>
            <w:pPr>
              <w:pStyle w:val="yTableNAm"/>
            </w:pPr>
            <w:r>
              <w:rPr>
                <w:szCs w:val="22"/>
              </w:rPr>
              <w:t>s. 25</w:t>
            </w:r>
          </w:p>
        </w:tc>
        <w:tc>
          <w:tcPr>
            <w:tcW w:w="2897"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1072" w:type="dxa"/>
          </w:tcPr>
          <w:p>
            <w:pPr>
              <w:pStyle w:val="yTableNAm"/>
            </w:pPr>
            <w:r>
              <w:rPr>
                <w:szCs w:val="22"/>
              </w:rPr>
              <w:t>s. 32(1)</w:t>
            </w:r>
          </w:p>
        </w:tc>
        <w:tc>
          <w:tcPr>
            <w:tcW w:w="2897"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1072" w:type="dxa"/>
          </w:tcPr>
          <w:p>
            <w:pPr>
              <w:pStyle w:val="yTableNAm"/>
            </w:pPr>
            <w:r>
              <w:t>s. 32A(2)</w:t>
            </w:r>
          </w:p>
        </w:tc>
        <w:tc>
          <w:tcPr>
            <w:tcW w:w="2897" w:type="dxa"/>
          </w:tcPr>
          <w:p>
            <w:pPr>
              <w:pStyle w:val="yTableNAm"/>
            </w:pPr>
            <w:r>
              <w:t>Failure to notify the Board of new director</w:t>
            </w:r>
          </w:p>
        </w:tc>
        <w:tc>
          <w:tcPr>
            <w:tcW w:w="2977" w:type="dxa"/>
          </w:tcPr>
          <w:p>
            <w:pPr>
              <w:pStyle w:val="yTableNAm"/>
            </w:pPr>
            <w:r>
              <w:t>$1 000</w:t>
            </w:r>
          </w:p>
        </w:tc>
      </w:tr>
      <w:tr>
        <w:trPr>
          <w:cantSplit/>
        </w:trPr>
        <w:tc>
          <w:tcPr>
            <w:tcW w:w="1072" w:type="dxa"/>
          </w:tcPr>
          <w:p>
            <w:pPr>
              <w:pStyle w:val="yTableNAm"/>
            </w:pPr>
            <w:r>
              <w:rPr>
                <w:szCs w:val="22"/>
              </w:rPr>
              <w:lastRenderedPageBreak/>
              <w:t>s. 33(1)</w:t>
            </w:r>
          </w:p>
        </w:tc>
        <w:tc>
          <w:tcPr>
            <w:tcW w:w="2897"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1072" w:type="dxa"/>
          </w:tcPr>
          <w:p>
            <w:pPr>
              <w:pStyle w:val="yTableNAm"/>
            </w:pPr>
            <w:r>
              <w:rPr>
                <w:szCs w:val="22"/>
              </w:rPr>
              <w:t>s. 34(1)</w:t>
            </w:r>
          </w:p>
        </w:tc>
        <w:tc>
          <w:tcPr>
            <w:tcW w:w="2897"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1072" w:type="dxa"/>
          </w:tcPr>
          <w:p>
            <w:pPr>
              <w:pStyle w:val="yTableNAm"/>
            </w:pPr>
            <w:r>
              <w:rPr>
                <w:szCs w:val="22"/>
              </w:rPr>
              <w:t>s. 34(3)</w:t>
            </w:r>
          </w:p>
        </w:tc>
        <w:tc>
          <w:tcPr>
            <w:tcW w:w="2897"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1072" w:type="dxa"/>
          </w:tcPr>
          <w:p>
            <w:pPr>
              <w:pStyle w:val="yTableNAm"/>
            </w:pPr>
            <w:r>
              <w:rPr>
                <w:szCs w:val="22"/>
              </w:rPr>
              <w:t>s. 35(1)</w:t>
            </w:r>
          </w:p>
        </w:tc>
        <w:tc>
          <w:tcPr>
            <w:tcW w:w="2897"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35(2)</w:t>
            </w:r>
          </w:p>
        </w:tc>
        <w:tc>
          <w:tcPr>
            <w:tcW w:w="2897"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1072" w:type="dxa"/>
          </w:tcPr>
          <w:p>
            <w:pPr>
              <w:pStyle w:val="yTableNAm"/>
            </w:pPr>
            <w:r>
              <w:rPr>
                <w:szCs w:val="22"/>
              </w:rPr>
              <w:t>s. 35(3)</w:t>
            </w:r>
          </w:p>
        </w:tc>
        <w:tc>
          <w:tcPr>
            <w:tcW w:w="2897"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1072" w:type="dxa"/>
          </w:tcPr>
          <w:p>
            <w:pPr>
              <w:pStyle w:val="yTableNAm"/>
            </w:pPr>
            <w:r>
              <w:rPr>
                <w:szCs w:val="22"/>
              </w:rPr>
              <w:t>s. 36(1)</w:t>
            </w:r>
          </w:p>
        </w:tc>
        <w:tc>
          <w:tcPr>
            <w:tcW w:w="2897"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1072" w:type="dxa"/>
          </w:tcPr>
          <w:p>
            <w:pPr>
              <w:pStyle w:val="yTableNAm"/>
            </w:pPr>
            <w:r>
              <w:rPr>
                <w:szCs w:val="22"/>
              </w:rPr>
              <w:t>s. 37(1)</w:t>
            </w:r>
          </w:p>
        </w:tc>
        <w:tc>
          <w:tcPr>
            <w:tcW w:w="2897"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1072" w:type="dxa"/>
          </w:tcPr>
          <w:p>
            <w:pPr>
              <w:pStyle w:val="yTableNAm"/>
            </w:pPr>
            <w:r>
              <w:rPr>
                <w:szCs w:val="22"/>
              </w:rPr>
              <w:t>s. 49</w:t>
            </w:r>
          </w:p>
        </w:tc>
        <w:tc>
          <w:tcPr>
            <w:tcW w:w="2897"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 amended: SL 2022/101 r. 6.]</w:t>
      </w:r>
    </w:p>
    <w:p>
      <w:pPr>
        <w:pStyle w:val="yHeading3"/>
      </w:pPr>
      <w:bookmarkStart w:id="105" w:name="_Toc154745032"/>
      <w:r>
        <w:rPr>
          <w:rStyle w:val="CharSDivNo"/>
        </w:rPr>
        <w:lastRenderedPageBreak/>
        <w:t>Division 3</w:t>
      </w:r>
      <w:r>
        <w:t xml:space="preserve"> — </w:t>
      </w:r>
      <w:r>
        <w:rPr>
          <w:rStyle w:val="CharSDivText"/>
        </w:rPr>
        <w:t>Offences under these regulations</w:t>
      </w:r>
      <w:bookmarkEnd w:id="105"/>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r>
        <w:tab/>
        <w:t>[Division 3 inserted: Gazette 26 Apr 2019 p. 1219.]</w:t>
      </w:r>
    </w:p>
    <w:p>
      <w:pPr>
        <w:pStyle w:val="yScheduleHeading"/>
      </w:pPr>
      <w:bookmarkStart w:id="106" w:name="_Toc154745033"/>
      <w:r>
        <w:rPr>
          <w:rStyle w:val="CharSchNo"/>
        </w:rPr>
        <w:lastRenderedPageBreak/>
        <w:t>Schedule 6</w:t>
      </w:r>
      <w:r>
        <w:rPr>
          <w:rStyle w:val="CharSDivNo"/>
        </w:rPr>
        <w:t> </w:t>
      </w:r>
      <w:r>
        <w:t>—</w:t>
      </w:r>
      <w:r>
        <w:rPr>
          <w:rStyle w:val="CharSDivText"/>
        </w:rPr>
        <w:t> </w:t>
      </w:r>
      <w:r>
        <w:rPr>
          <w:rStyle w:val="CharSchText"/>
        </w:rPr>
        <w:t>Forms</w:t>
      </w:r>
      <w:bookmarkEnd w:id="106"/>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keepNext/>
            </w:pPr>
            <w:r>
              <w:rPr>
                <w:b/>
              </w:rPr>
              <w:lastRenderedPageBreak/>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p>
            <w:pPr>
              <w:pStyle w:val="yTableNAm"/>
              <w:keepNext/>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keepNext/>
            </w:pPr>
            <w:r>
              <w:rPr>
                <w:b/>
              </w:rPr>
              <w:lastRenderedPageBreak/>
              <w:t>How to pay</w:t>
            </w:r>
          </w:p>
        </w:tc>
        <w:tc>
          <w:tcPr>
            <w:tcW w:w="1276" w:type="dxa"/>
            <w:tcBorders>
              <w:bottom w:val="nil"/>
            </w:tcBorders>
          </w:tcPr>
          <w:p>
            <w:pPr>
              <w:pStyle w:val="yTableNAm"/>
              <w:keepNext/>
            </w:pPr>
            <w:r>
              <w:t>By post</w:t>
            </w:r>
          </w:p>
        </w:tc>
        <w:tc>
          <w:tcPr>
            <w:tcW w:w="4394" w:type="dxa"/>
            <w:gridSpan w:val="5"/>
            <w:tcBorders>
              <w:bottom w:val="nil"/>
            </w:tcBorders>
          </w:tcPr>
          <w:p>
            <w:pPr>
              <w:pStyle w:val="yTableNAm"/>
              <w:keepNext/>
            </w:pPr>
            <w:r>
              <w:t>Tick the relevant box below and post this notice to:</w:t>
            </w:r>
          </w:p>
          <w:p>
            <w:pPr>
              <w:pStyle w:val="yTableNAm"/>
              <w:keepNext/>
              <w:rPr>
                <w:i/>
              </w:rPr>
            </w:pPr>
            <w:r>
              <w:t xml:space="preserve">Approved Officer — </w:t>
            </w:r>
            <w:r>
              <w:rPr>
                <w:i/>
              </w:rPr>
              <w:t>Building Services (Registration) Act 2011</w:t>
            </w:r>
          </w:p>
          <w:p>
            <w:pPr>
              <w:pStyle w:val="yTableNAm"/>
              <w:keepNext/>
              <w:spacing w:before="60"/>
              <w:rPr>
                <w:rFonts w:eastAsia="MS Mincho"/>
              </w:rPr>
            </w:pPr>
            <w:r>
              <w:rPr>
                <w:rFonts w:eastAsia="MS Mincho"/>
              </w:rPr>
              <w:t>[</w:t>
            </w:r>
            <w:r>
              <w:rPr>
                <w:rFonts w:eastAsia="MS Mincho"/>
                <w:i/>
              </w:rPr>
              <w:t>Address</w:t>
            </w:r>
            <w:r>
              <w:rPr>
                <w:rFonts w:eastAsia="MS Mincho"/>
              </w:rPr>
              <w:t>]</w:t>
            </w:r>
          </w:p>
          <w:p>
            <w:pPr>
              <w:pStyle w:val="yTableNAm"/>
              <w:keepNext/>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keepNext/>
              <w:ind w:left="567" w:hanging="567"/>
            </w:pPr>
            <w:r>
              <w:rPr>
                <w:rFonts w:eastAsia="MS Mincho" w:hint="eastAsia"/>
                <w:sz w:val="20"/>
              </w:rPr>
              <w:sym w:font="ZapfDingbats" w:char="F072"/>
            </w:r>
            <w:r>
              <w:tab/>
              <w:t>I want to pay the modified penalty by credit card.  Please debit my credit card account.</w:t>
            </w:r>
          </w:p>
          <w:p>
            <w:pPr>
              <w:pStyle w:val="yTableNAm"/>
              <w:keepNext/>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lastRenderedPageBreak/>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lastRenderedPageBreak/>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pacing w:before="60"/>
        <w:sectPr>
          <w:headerReference w:type="even" r:id="rId31"/>
          <w:headerReference w:type="default" r:id="rId32"/>
          <w:endnotePr>
            <w:numFmt w:val="decimal"/>
          </w:endnotePr>
          <w:pgSz w:w="11907" w:h="16840" w:code="9"/>
          <w:pgMar w:top="2381" w:right="2410" w:bottom="3544" w:left="2410" w:header="720" w:footer="3544" w:gutter="0"/>
          <w:cols w:space="720"/>
          <w:docGrid w:linePitch="326"/>
        </w:sectPr>
      </w:pPr>
    </w:p>
    <w:p>
      <w:pPr>
        <w:pStyle w:val="nHeading2"/>
      </w:pPr>
      <w:bookmarkStart w:id="107" w:name="_Toc154745034"/>
      <w:r>
        <w:lastRenderedPageBreak/>
        <w:t>Notes</w:t>
      </w:r>
      <w:bookmarkEnd w:id="107"/>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8" w:name="_Toc154745035"/>
      <w:r>
        <w:t>Compilation table</w:t>
      </w:r>
      <w:bookmarkEnd w:id="108"/>
    </w:p>
    <w:tbl>
      <w:tblPr>
        <w:tblW w:w="7068" w:type="dxa"/>
        <w:tblInd w:w="57"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35"/>
        <w:gridCol w:w="1254"/>
        <w:gridCol w:w="2679"/>
      </w:tblGrid>
      <w:tr>
        <w:trPr>
          <w:tblHeader/>
        </w:trPr>
        <w:tc>
          <w:tcPr>
            <w:tcW w:w="3135" w:type="dxa"/>
          </w:tcPr>
          <w:p>
            <w:pPr>
              <w:pStyle w:val="nTable"/>
              <w:spacing w:after="40"/>
              <w:rPr>
                <w:b/>
              </w:rPr>
            </w:pPr>
            <w:r>
              <w:rPr>
                <w:b/>
              </w:rPr>
              <w:t>Citation</w:t>
            </w:r>
          </w:p>
        </w:tc>
        <w:tc>
          <w:tcPr>
            <w:tcW w:w="1254" w:type="dxa"/>
          </w:tcPr>
          <w:p>
            <w:pPr>
              <w:pStyle w:val="nTable"/>
              <w:spacing w:after="40"/>
              <w:rPr>
                <w:b/>
              </w:rPr>
            </w:pPr>
            <w:r>
              <w:rPr>
                <w:b/>
              </w:rPr>
              <w:t>Published</w:t>
            </w:r>
          </w:p>
        </w:tc>
        <w:tc>
          <w:tcPr>
            <w:tcW w:w="2679" w:type="dxa"/>
          </w:tcPr>
          <w:p>
            <w:pPr>
              <w:pStyle w:val="nTable"/>
              <w:spacing w:after="40"/>
              <w:rPr>
                <w:b/>
              </w:rPr>
            </w:pPr>
            <w:r>
              <w:rPr>
                <w:b/>
              </w:rPr>
              <w:t>Commencement</w:t>
            </w:r>
          </w:p>
        </w:tc>
      </w:tr>
      <w:tr>
        <w:tc>
          <w:tcPr>
            <w:tcW w:w="3135" w:type="dxa"/>
            <w:tcBorders>
              <w:top w:val="single" w:sz="8" w:space="0" w:color="auto"/>
              <w:bottom w:val="nil"/>
            </w:tcBorders>
          </w:tcPr>
          <w:p>
            <w:pPr>
              <w:pStyle w:val="nTable"/>
              <w:spacing w:after="40"/>
            </w:pPr>
            <w:r>
              <w:rPr>
                <w:i/>
                <w:snapToGrid w:val="0"/>
              </w:rPr>
              <w:t>Building Services (Registration) Regulations 2011</w:t>
            </w:r>
          </w:p>
        </w:tc>
        <w:tc>
          <w:tcPr>
            <w:tcW w:w="1254" w:type="dxa"/>
            <w:tcBorders>
              <w:top w:val="single" w:sz="8" w:space="0" w:color="auto"/>
              <w:bottom w:val="nil"/>
            </w:tcBorders>
          </w:tcPr>
          <w:p>
            <w:pPr>
              <w:pStyle w:val="nTable"/>
              <w:spacing w:after="40"/>
            </w:pPr>
            <w:r>
              <w:t>26 Aug 2011 p. 3411-52</w:t>
            </w:r>
          </w:p>
        </w:tc>
        <w:tc>
          <w:tcPr>
            <w:tcW w:w="2679"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35"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54" w:type="dxa"/>
            <w:tcBorders>
              <w:top w:val="nil"/>
              <w:left w:val="nil"/>
              <w:bottom w:val="nil"/>
              <w:right w:val="nil"/>
            </w:tcBorders>
          </w:tcPr>
          <w:p>
            <w:pPr>
              <w:pStyle w:val="nTable"/>
              <w:spacing w:after="40"/>
            </w:pPr>
            <w:r>
              <w:t>31 Jan 2012 p. 591</w:t>
            </w:r>
            <w:r>
              <w:noBreakHyphen/>
              <w:t>601</w:t>
            </w:r>
          </w:p>
        </w:tc>
        <w:tc>
          <w:tcPr>
            <w:tcW w:w="2679" w:type="dxa"/>
            <w:tcBorders>
              <w:top w:val="nil"/>
              <w:left w:val="nil"/>
              <w:bottom w:val="nil"/>
            </w:tcBorders>
          </w:tcPr>
          <w:p>
            <w:pPr>
              <w:pStyle w:val="nTable"/>
              <w:spacing w:after="40"/>
            </w:pPr>
            <w:r>
              <w:t>r. 1 and 2: 31 Jan 2012 (see r. 2(a));</w:t>
            </w:r>
            <w:r>
              <w:br/>
              <w:t>Regulations other than r. 1 and 2: 1 Feb 2012 (see r. 2(b))</w:t>
            </w:r>
          </w:p>
        </w:tc>
      </w:tr>
      <w:tr>
        <w:tc>
          <w:tcPr>
            <w:tcW w:w="3135"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54" w:type="dxa"/>
            <w:tcBorders>
              <w:top w:val="nil"/>
              <w:left w:val="nil"/>
              <w:bottom w:val="nil"/>
              <w:right w:val="nil"/>
            </w:tcBorders>
          </w:tcPr>
          <w:p>
            <w:pPr>
              <w:pStyle w:val="nTable"/>
              <w:spacing w:after="40"/>
            </w:pPr>
            <w:r>
              <w:t>12 Mar 2012 p. 989-1011</w:t>
            </w:r>
          </w:p>
        </w:tc>
        <w:tc>
          <w:tcPr>
            <w:tcW w:w="2679"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35"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54" w:type="dxa"/>
            <w:tcBorders>
              <w:top w:val="nil"/>
              <w:left w:val="nil"/>
              <w:bottom w:val="nil"/>
              <w:right w:val="nil"/>
            </w:tcBorders>
          </w:tcPr>
          <w:p>
            <w:pPr>
              <w:pStyle w:val="nTable"/>
              <w:spacing w:after="40"/>
            </w:pPr>
            <w:r>
              <w:t>15 Jun 2012 p. 2617-20</w:t>
            </w:r>
          </w:p>
        </w:tc>
        <w:tc>
          <w:tcPr>
            <w:tcW w:w="2679" w:type="dxa"/>
            <w:tcBorders>
              <w:top w:val="nil"/>
              <w:left w:val="nil"/>
              <w:bottom w:val="nil"/>
            </w:tcBorders>
          </w:tcPr>
          <w:p>
            <w:pPr>
              <w:pStyle w:val="nTable"/>
              <w:spacing w:after="40"/>
            </w:pPr>
            <w:r>
              <w:t>r. 1 and 2: 15 Jun 2012 (see r. 2(a));</w:t>
            </w:r>
            <w:r>
              <w:br/>
              <w:t>Regulations other than r. 1 and 2: 1 Jul 2012 (see r. 2(b))</w:t>
            </w:r>
          </w:p>
        </w:tc>
      </w:tr>
      <w:tr>
        <w:tc>
          <w:tcPr>
            <w:tcW w:w="3135"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54" w:type="dxa"/>
            <w:tcBorders>
              <w:top w:val="nil"/>
              <w:left w:val="nil"/>
              <w:bottom w:val="nil"/>
              <w:right w:val="nil"/>
            </w:tcBorders>
          </w:tcPr>
          <w:p>
            <w:pPr>
              <w:pStyle w:val="nTable"/>
              <w:spacing w:after="40"/>
            </w:pPr>
            <w:r>
              <w:t>6 Nov 2012 p. 5293-4</w:t>
            </w:r>
          </w:p>
        </w:tc>
        <w:tc>
          <w:tcPr>
            <w:tcW w:w="2679" w:type="dxa"/>
            <w:tcBorders>
              <w:top w:val="nil"/>
              <w:left w:val="nil"/>
              <w:bottom w:val="nil"/>
            </w:tcBorders>
          </w:tcPr>
          <w:p>
            <w:pPr>
              <w:pStyle w:val="nTable"/>
              <w:spacing w:after="40"/>
            </w:pPr>
            <w:r>
              <w:t>r. 1 and 2: 6 Nov 2012 (see r. 2(a));</w:t>
            </w:r>
            <w:r>
              <w:br/>
              <w:t>Regulations other than r. 1 and 2: 7 Nov 2012 (see r. 2(b))</w:t>
            </w:r>
          </w:p>
        </w:tc>
      </w:tr>
      <w:tr>
        <w:tc>
          <w:tcPr>
            <w:tcW w:w="3135"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54" w:type="dxa"/>
            <w:tcBorders>
              <w:top w:val="nil"/>
              <w:left w:val="nil"/>
              <w:bottom w:val="nil"/>
              <w:right w:val="nil"/>
            </w:tcBorders>
          </w:tcPr>
          <w:p>
            <w:pPr>
              <w:pStyle w:val="nTable"/>
              <w:spacing w:after="40"/>
            </w:pPr>
            <w:r>
              <w:t>18 Dec 2012 p. 6585-9</w:t>
            </w:r>
          </w:p>
        </w:tc>
        <w:tc>
          <w:tcPr>
            <w:tcW w:w="2679" w:type="dxa"/>
            <w:tcBorders>
              <w:top w:val="nil"/>
              <w:left w:val="nil"/>
              <w:bottom w:val="nil"/>
            </w:tcBorders>
          </w:tcPr>
          <w:p>
            <w:pPr>
              <w:pStyle w:val="nTable"/>
              <w:spacing w:after="40"/>
            </w:pPr>
            <w:r>
              <w:t>r. 1 and 2: 18 Dec 2012 (see r. 2(a));</w:t>
            </w:r>
            <w:r>
              <w:br/>
              <w:t>Regulations other than r. 1 and 2: 19 Dec 2012 (see r. 2(b))</w:t>
            </w:r>
          </w:p>
        </w:tc>
      </w:tr>
      <w:tr>
        <w:tc>
          <w:tcPr>
            <w:tcW w:w="3135"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54" w:type="dxa"/>
            <w:tcBorders>
              <w:top w:val="nil"/>
              <w:left w:val="nil"/>
              <w:bottom w:val="nil"/>
              <w:right w:val="nil"/>
            </w:tcBorders>
            <w:shd w:val="clear" w:color="auto" w:fill="auto"/>
          </w:tcPr>
          <w:p>
            <w:pPr>
              <w:pStyle w:val="nTable"/>
              <w:spacing w:after="40"/>
            </w:pPr>
            <w:r>
              <w:t>22 Jan 2013 p. 211</w:t>
            </w:r>
          </w:p>
        </w:tc>
        <w:tc>
          <w:tcPr>
            <w:tcW w:w="2679"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6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35" w:type="dxa"/>
            <w:tcBorders>
              <w:top w:val="nil"/>
              <w:bottom w:val="nil"/>
              <w:right w:val="nil"/>
            </w:tcBorders>
            <w:shd w:val="clear" w:color="auto" w:fill="auto"/>
          </w:tcPr>
          <w:p>
            <w:pPr>
              <w:pStyle w:val="nTable"/>
              <w:keepNext/>
              <w:spacing w:after="40"/>
              <w:rPr>
                <w:i/>
                <w:snapToGrid w:val="0"/>
              </w:rPr>
            </w:pPr>
            <w:r>
              <w:rPr>
                <w:i/>
                <w:snapToGrid w:val="0"/>
              </w:rPr>
              <w:lastRenderedPageBreak/>
              <w:t>Building Services (Registration) Amendment Regulations (No. 3) 2013</w:t>
            </w:r>
          </w:p>
        </w:tc>
        <w:tc>
          <w:tcPr>
            <w:tcW w:w="1254" w:type="dxa"/>
            <w:tcBorders>
              <w:top w:val="nil"/>
              <w:left w:val="nil"/>
              <w:bottom w:val="nil"/>
              <w:right w:val="nil"/>
            </w:tcBorders>
            <w:shd w:val="clear" w:color="auto" w:fill="auto"/>
          </w:tcPr>
          <w:p>
            <w:pPr>
              <w:pStyle w:val="nTable"/>
              <w:keepNext/>
              <w:spacing w:after="40"/>
            </w:pPr>
            <w:r>
              <w:t>27 Jun 2013 p. 2665-9</w:t>
            </w:r>
          </w:p>
        </w:tc>
        <w:tc>
          <w:tcPr>
            <w:tcW w:w="2679"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35"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54" w:type="dxa"/>
            <w:tcBorders>
              <w:top w:val="nil"/>
              <w:left w:val="nil"/>
              <w:bottom w:val="nil"/>
              <w:right w:val="nil"/>
            </w:tcBorders>
            <w:shd w:val="clear" w:color="auto" w:fill="auto"/>
          </w:tcPr>
          <w:p>
            <w:pPr>
              <w:pStyle w:val="nTable"/>
              <w:spacing w:after="40"/>
            </w:pPr>
            <w:r>
              <w:t>14 Nov 2013 p. 5029</w:t>
            </w:r>
          </w:p>
        </w:tc>
        <w:tc>
          <w:tcPr>
            <w:tcW w:w="2679"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35"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54" w:type="dxa"/>
            <w:tcBorders>
              <w:top w:val="nil"/>
              <w:left w:val="nil"/>
              <w:bottom w:val="nil"/>
              <w:right w:val="nil"/>
            </w:tcBorders>
            <w:shd w:val="clear" w:color="auto" w:fill="auto"/>
          </w:tcPr>
          <w:p>
            <w:pPr>
              <w:pStyle w:val="nTable"/>
              <w:spacing w:after="40"/>
            </w:pPr>
            <w:r>
              <w:t>31 Dec 2013 p. 6535</w:t>
            </w:r>
            <w:r>
              <w:noBreakHyphen/>
              <w:t>9</w:t>
            </w:r>
          </w:p>
        </w:tc>
        <w:tc>
          <w:tcPr>
            <w:tcW w:w="2679"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35"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54" w:type="dxa"/>
            <w:tcBorders>
              <w:top w:val="nil"/>
              <w:left w:val="nil"/>
              <w:bottom w:val="nil"/>
              <w:right w:val="nil"/>
            </w:tcBorders>
            <w:shd w:val="clear" w:color="auto" w:fill="auto"/>
          </w:tcPr>
          <w:p>
            <w:pPr>
              <w:pStyle w:val="nTable"/>
              <w:spacing w:after="40"/>
            </w:pPr>
            <w:r>
              <w:t>17 Jun 2014 p. 1959</w:t>
            </w:r>
            <w:r>
              <w:noBreakHyphen/>
              <w:t>61</w:t>
            </w:r>
          </w:p>
        </w:tc>
        <w:tc>
          <w:tcPr>
            <w:tcW w:w="2679"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35"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54" w:type="dxa"/>
            <w:tcBorders>
              <w:top w:val="nil"/>
              <w:left w:val="nil"/>
              <w:bottom w:val="nil"/>
              <w:right w:val="nil"/>
            </w:tcBorders>
            <w:shd w:val="clear" w:color="auto" w:fill="auto"/>
          </w:tcPr>
          <w:p>
            <w:pPr>
              <w:pStyle w:val="nTable"/>
              <w:spacing w:after="40"/>
            </w:pPr>
            <w:r>
              <w:t>19 Dec 2014 p. 4841</w:t>
            </w:r>
            <w:r>
              <w:noBreakHyphen/>
              <w:t>2</w:t>
            </w:r>
          </w:p>
        </w:tc>
        <w:tc>
          <w:tcPr>
            <w:tcW w:w="2679"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6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35"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54" w:type="dxa"/>
            <w:tcBorders>
              <w:top w:val="nil"/>
              <w:bottom w:val="nil"/>
            </w:tcBorders>
            <w:shd w:val="clear" w:color="auto" w:fill="auto"/>
          </w:tcPr>
          <w:p>
            <w:pPr>
              <w:pStyle w:val="nTable"/>
              <w:spacing w:after="40"/>
              <w:rPr>
                <w:b/>
                <w:bCs/>
                <w:snapToGrid w:val="0"/>
              </w:rPr>
            </w:pPr>
            <w:r>
              <w:t>23 Jun 2015 p. 2165</w:t>
            </w:r>
            <w:r>
              <w:noBreakHyphen/>
              <w:t>7</w:t>
            </w:r>
          </w:p>
        </w:tc>
        <w:tc>
          <w:tcPr>
            <w:tcW w:w="2679"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35" w:type="dxa"/>
            <w:tcBorders>
              <w:top w:val="nil"/>
              <w:bottom w:val="nil"/>
            </w:tcBorders>
          </w:tcPr>
          <w:p>
            <w:pPr>
              <w:pStyle w:val="nTable"/>
              <w:spacing w:after="40"/>
            </w:pPr>
            <w:r>
              <w:rPr>
                <w:i/>
              </w:rPr>
              <w:t>Commerce Regulations Amendment (Fees and Charges) Regulations 2016</w:t>
            </w:r>
            <w:r>
              <w:t xml:space="preserve"> Pt. 4</w:t>
            </w:r>
          </w:p>
        </w:tc>
        <w:tc>
          <w:tcPr>
            <w:tcW w:w="1254" w:type="dxa"/>
            <w:tcBorders>
              <w:top w:val="nil"/>
              <w:bottom w:val="nil"/>
            </w:tcBorders>
          </w:tcPr>
          <w:p>
            <w:pPr>
              <w:pStyle w:val="nTable"/>
              <w:spacing w:after="40"/>
            </w:pPr>
            <w:r>
              <w:t>3 Jun 2016 p. 1745-73</w:t>
            </w:r>
          </w:p>
        </w:tc>
        <w:tc>
          <w:tcPr>
            <w:tcW w:w="2679" w:type="dxa"/>
            <w:tcBorders>
              <w:top w:val="nil"/>
              <w:bottom w:val="nil"/>
            </w:tcBorders>
          </w:tcPr>
          <w:p>
            <w:pPr>
              <w:pStyle w:val="nTable"/>
              <w:spacing w:after="40"/>
            </w:pPr>
            <w:r>
              <w:t>1 Jul 2016 (see r. 2(b))</w:t>
            </w:r>
          </w:p>
        </w:tc>
      </w:tr>
      <w:tr>
        <w:tc>
          <w:tcPr>
            <w:tcW w:w="3135" w:type="dxa"/>
            <w:tcBorders>
              <w:top w:val="nil"/>
              <w:bottom w:val="nil"/>
            </w:tcBorders>
          </w:tcPr>
          <w:p>
            <w:pPr>
              <w:pStyle w:val="nTable"/>
              <w:spacing w:after="40"/>
              <w:rPr>
                <w:i/>
              </w:rPr>
            </w:pPr>
            <w:r>
              <w:rPr>
                <w:i/>
              </w:rPr>
              <w:t>Building Services (Registration) Amendment Regulations 2017</w:t>
            </w:r>
          </w:p>
        </w:tc>
        <w:tc>
          <w:tcPr>
            <w:tcW w:w="1254" w:type="dxa"/>
            <w:tcBorders>
              <w:top w:val="nil"/>
              <w:bottom w:val="nil"/>
            </w:tcBorders>
          </w:tcPr>
          <w:p>
            <w:pPr>
              <w:pStyle w:val="nTable"/>
              <w:spacing w:after="40"/>
            </w:pPr>
            <w:r>
              <w:t>31 Mar 2017 p. 1941-2</w:t>
            </w:r>
          </w:p>
        </w:tc>
        <w:tc>
          <w:tcPr>
            <w:tcW w:w="2679"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35"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54" w:type="dxa"/>
            <w:tcBorders>
              <w:top w:val="nil"/>
              <w:bottom w:val="nil"/>
            </w:tcBorders>
          </w:tcPr>
          <w:p>
            <w:pPr>
              <w:pStyle w:val="nTable"/>
              <w:spacing w:after="40"/>
            </w:pPr>
            <w:r>
              <w:t>23 Jun 2017 p. 3213</w:t>
            </w:r>
            <w:r>
              <w:noBreakHyphen/>
              <w:t>52</w:t>
            </w:r>
          </w:p>
        </w:tc>
        <w:tc>
          <w:tcPr>
            <w:tcW w:w="2679" w:type="dxa"/>
            <w:tcBorders>
              <w:top w:val="nil"/>
              <w:bottom w:val="nil"/>
            </w:tcBorders>
          </w:tcPr>
          <w:p>
            <w:pPr>
              <w:pStyle w:val="nTable"/>
              <w:spacing w:after="40"/>
            </w:pPr>
            <w:r>
              <w:t>1 Jul 2017 (see r. 2(b))</w:t>
            </w:r>
          </w:p>
        </w:tc>
      </w:tr>
      <w:tr>
        <w:tc>
          <w:tcPr>
            <w:tcW w:w="3135" w:type="dxa"/>
            <w:tcBorders>
              <w:top w:val="nil"/>
              <w:bottom w:val="nil"/>
            </w:tcBorders>
          </w:tcPr>
          <w:p>
            <w:pPr>
              <w:pStyle w:val="nTable"/>
              <w:spacing w:after="40"/>
            </w:pPr>
            <w:r>
              <w:rPr>
                <w:i/>
              </w:rPr>
              <w:t>Building Regulations Amendment Regulations 2017</w:t>
            </w:r>
            <w:r>
              <w:t xml:space="preserve"> Pt. 3</w:t>
            </w:r>
          </w:p>
        </w:tc>
        <w:tc>
          <w:tcPr>
            <w:tcW w:w="1254" w:type="dxa"/>
            <w:tcBorders>
              <w:top w:val="nil"/>
              <w:bottom w:val="nil"/>
            </w:tcBorders>
          </w:tcPr>
          <w:p>
            <w:pPr>
              <w:pStyle w:val="nTable"/>
              <w:spacing w:after="40"/>
            </w:pPr>
            <w:r>
              <w:t>8 Aug 2017 p. 4343</w:t>
            </w:r>
            <w:r>
              <w:noBreakHyphen/>
              <w:t>5</w:t>
            </w:r>
          </w:p>
        </w:tc>
        <w:tc>
          <w:tcPr>
            <w:tcW w:w="2679"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35" w:type="dxa"/>
            <w:tcBorders>
              <w:top w:val="nil"/>
              <w:bottom w:val="nil"/>
            </w:tcBorders>
          </w:tcPr>
          <w:p>
            <w:pPr>
              <w:pStyle w:val="nTable"/>
              <w:keepNext/>
              <w:spacing w:after="40"/>
              <w:rPr>
                <w:i/>
              </w:rPr>
            </w:pPr>
            <w:r>
              <w:rPr>
                <w:i/>
              </w:rPr>
              <w:lastRenderedPageBreak/>
              <w:t>Building Services (Registration) Amendment Regulations (No. 2) 2017</w:t>
            </w:r>
            <w:r>
              <w:t xml:space="preserve"> </w:t>
            </w:r>
          </w:p>
        </w:tc>
        <w:tc>
          <w:tcPr>
            <w:tcW w:w="1254" w:type="dxa"/>
            <w:tcBorders>
              <w:top w:val="nil"/>
              <w:bottom w:val="nil"/>
            </w:tcBorders>
          </w:tcPr>
          <w:p>
            <w:pPr>
              <w:pStyle w:val="nTable"/>
              <w:keepNext/>
              <w:spacing w:after="40"/>
            </w:pPr>
            <w:r>
              <w:t>5 Jan 2018 p. 4</w:t>
            </w:r>
            <w:r>
              <w:noBreakHyphen/>
              <w:t>8</w:t>
            </w:r>
          </w:p>
        </w:tc>
        <w:tc>
          <w:tcPr>
            <w:tcW w:w="2679"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35"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54" w:type="dxa"/>
            <w:tcBorders>
              <w:top w:val="nil"/>
              <w:bottom w:val="nil"/>
            </w:tcBorders>
          </w:tcPr>
          <w:p>
            <w:pPr>
              <w:pStyle w:val="nTable"/>
              <w:keepNext/>
              <w:spacing w:after="40"/>
            </w:pPr>
            <w:r>
              <w:t>25 Jun 2018 p. 2325</w:t>
            </w:r>
            <w:r>
              <w:noBreakHyphen/>
              <w:t>53</w:t>
            </w:r>
          </w:p>
        </w:tc>
        <w:tc>
          <w:tcPr>
            <w:tcW w:w="2679"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35" w:type="dxa"/>
            <w:tcBorders>
              <w:top w:val="nil"/>
              <w:bottom w:val="nil"/>
            </w:tcBorders>
          </w:tcPr>
          <w:p>
            <w:pPr>
              <w:pStyle w:val="nTable"/>
              <w:spacing w:after="40"/>
              <w:rPr>
                <w:i/>
              </w:rPr>
            </w:pPr>
            <w:r>
              <w:rPr>
                <w:i/>
              </w:rPr>
              <w:t>Building Services (Registration) Amendment Regulations 2018</w:t>
            </w:r>
          </w:p>
        </w:tc>
        <w:tc>
          <w:tcPr>
            <w:tcW w:w="1254" w:type="dxa"/>
            <w:tcBorders>
              <w:top w:val="nil"/>
              <w:bottom w:val="nil"/>
            </w:tcBorders>
          </w:tcPr>
          <w:p>
            <w:pPr>
              <w:pStyle w:val="nTable"/>
              <w:keepNext/>
              <w:spacing w:after="40"/>
            </w:pPr>
            <w:r>
              <w:t>21 Sep 2018 p. 3534</w:t>
            </w:r>
            <w:r>
              <w:noBreakHyphen/>
              <w:t>7</w:t>
            </w:r>
          </w:p>
        </w:tc>
        <w:tc>
          <w:tcPr>
            <w:tcW w:w="2679"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35" w:type="dxa"/>
            <w:tcBorders>
              <w:top w:val="nil"/>
              <w:bottom w:val="nil"/>
            </w:tcBorders>
          </w:tcPr>
          <w:p>
            <w:pPr>
              <w:pStyle w:val="nTable"/>
              <w:spacing w:after="40"/>
            </w:pPr>
            <w:r>
              <w:rPr>
                <w:i/>
              </w:rPr>
              <w:t xml:space="preserve">Commerce Regulations Amendment (Infringement Notices) Regulations 2019 </w:t>
            </w:r>
            <w:r>
              <w:t>Pt. 4</w:t>
            </w:r>
          </w:p>
        </w:tc>
        <w:tc>
          <w:tcPr>
            <w:tcW w:w="1254" w:type="dxa"/>
            <w:tcBorders>
              <w:top w:val="nil"/>
              <w:bottom w:val="nil"/>
            </w:tcBorders>
          </w:tcPr>
          <w:p>
            <w:pPr>
              <w:pStyle w:val="nTable"/>
              <w:spacing w:after="40"/>
            </w:pPr>
            <w:r>
              <w:t>26 Apr 2019 p. 1209-22</w:t>
            </w:r>
          </w:p>
        </w:tc>
        <w:tc>
          <w:tcPr>
            <w:tcW w:w="2679"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54" w:type="dxa"/>
            <w:tcBorders>
              <w:top w:val="nil"/>
              <w:left w:val="nil"/>
              <w:bottom w:val="nil"/>
              <w:right w:val="nil"/>
            </w:tcBorders>
          </w:tcPr>
          <w:p>
            <w:pPr>
              <w:pStyle w:val="nTable"/>
              <w:spacing w:after="40"/>
            </w:pPr>
            <w:r>
              <w:t>18 Jun 2019 p. 2077</w:t>
            </w:r>
            <w:r>
              <w:noBreakHyphen/>
              <w:t>115</w:t>
            </w:r>
          </w:p>
        </w:tc>
        <w:tc>
          <w:tcPr>
            <w:tcW w:w="2679"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54" w:type="dxa"/>
            <w:tcBorders>
              <w:top w:val="nil"/>
              <w:left w:val="nil"/>
              <w:bottom w:val="nil"/>
              <w:right w:val="nil"/>
            </w:tcBorders>
          </w:tcPr>
          <w:p>
            <w:pPr>
              <w:pStyle w:val="nTable"/>
              <w:spacing w:after="40"/>
            </w:pPr>
            <w:r>
              <w:t>SL 2020/163 25 Sep 2020</w:t>
            </w:r>
          </w:p>
        </w:tc>
        <w:tc>
          <w:tcPr>
            <w:tcW w:w="2679"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(COVID-19 Response) Regulations (No. 2) 2020</w:t>
            </w:r>
            <w:r>
              <w:t xml:space="preserve"> Pt. 4</w:t>
            </w:r>
          </w:p>
        </w:tc>
        <w:tc>
          <w:tcPr>
            <w:tcW w:w="1254" w:type="dxa"/>
            <w:tcBorders>
              <w:top w:val="nil"/>
              <w:left w:val="nil"/>
              <w:bottom w:val="nil"/>
              <w:right w:val="nil"/>
            </w:tcBorders>
          </w:tcPr>
          <w:p>
            <w:pPr>
              <w:pStyle w:val="nTable"/>
              <w:spacing w:after="40"/>
            </w:pPr>
            <w:r>
              <w:t>SL 2020/196 27 Oct 2020</w:t>
            </w:r>
          </w:p>
        </w:tc>
        <w:tc>
          <w:tcPr>
            <w:tcW w:w="2679" w:type="dxa"/>
            <w:tcBorders>
              <w:top w:val="nil"/>
              <w:left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(Fees and Charges) Regulations 2021</w:t>
            </w:r>
            <w:r>
              <w:t xml:space="preserve"> Pt. 6</w:t>
            </w:r>
          </w:p>
        </w:tc>
        <w:tc>
          <w:tcPr>
            <w:tcW w:w="1254" w:type="dxa"/>
            <w:tcBorders>
              <w:top w:val="nil"/>
              <w:left w:val="nil"/>
              <w:bottom w:val="nil"/>
              <w:right w:val="nil"/>
            </w:tcBorders>
          </w:tcPr>
          <w:p>
            <w:pPr>
              <w:pStyle w:val="nTable"/>
              <w:spacing w:after="40"/>
            </w:pPr>
            <w:r>
              <w:t>SL 2021/86 21 Jun 2021</w:t>
            </w:r>
          </w:p>
        </w:tc>
        <w:tc>
          <w:tcPr>
            <w:tcW w:w="2679" w:type="dxa"/>
            <w:tcBorders>
              <w:top w:val="nil"/>
              <w:left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Building Services (Registration) Amendment Regulations (No. 2) 2021</w:t>
            </w:r>
          </w:p>
        </w:tc>
        <w:tc>
          <w:tcPr>
            <w:tcW w:w="1254" w:type="dxa"/>
            <w:tcBorders>
              <w:top w:val="nil"/>
              <w:left w:val="nil"/>
              <w:bottom w:val="nil"/>
              <w:right w:val="nil"/>
            </w:tcBorders>
          </w:tcPr>
          <w:p>
            <w:pPr>
              <w:pStyle w:val="nTable"/>
              <w:spacing w:after="40"/>
            </w:pPr>
            <w:r>
              <w:t>SL 2021/170 8 Oct 2021</w:t>
            </w:r>
          </w:p>
        </w:tc>
        <w:tc>
          <w:tcPr>
            <w:tcW w:w="2679" w:type="dxa"/>
            <w:tcBorders>
              <w:top w:val="nil"/>
              <w:left w:val="nil"/>
              <w:bottom w:val="nil"/>
            </w:tcBorders>
          </w:tcPr>
          <w:p>
            <w:pPr>
              <w:pStyle w:val="nTable"/>
              <w:spacing w:after="40"/>
            </w:pPr>
            <w:r>
              <w:rPr>
                <w:bCs/>
                <w:snapToGrid w:val="0"/>
                <w:spacing w:val="-2"/>
              </w:rPr>
              <w:t xml:space="preserve">r. 1 and 2: </w:t>
            </w:r>
            <w:r>
              <w:t>8 Oct 2021</w:t>
            </w:r>
            <w:r>
              <w:rPr>
                <w:bCs/>
                <w:snapToGrid w:val="0"/>
                <w:spacing w:val="-2"/>
              </w:rPr>
              <w:t xml:space="preserve"> (see r. 2(a));</w:t>
            </w:r>
            <w:r>
              <w:rPr>
                <w:bCs/>
                <w:snapToGrid w:val="0"/>
                <w:spacing w:val="-2"/>
              </w:rPr>
              <w:br/>
              <w:t xml:space="preserve">Regulations other than r. 1 and 2: </w:t>
            </w:r>
            <w:r>
              <w:t>9 Oct 2021</w:t>
            </w:r>
            <w:r>
              <w:rPr>
                <w:bCs/>
                <w:snapToGrid w:val="0"/>
                <w:spacing w:val="-2"/>
              </w:rPr>
              <w:t xml:space="preserve">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Building Services (Registration) Amendment Regulations (No. 3) 2021</w:t>
            </w:r>
          </w:p>
        </w:tc>
        <w:tc>
          <w:tcPr>
            <w:tcW w:w="1254" w:type="dxa"/>
            <w:tcBorders>
              <w:top w:val="nil"/>
              <w:left w:val="nil"/>
              <w:bottom w:val="nil"/>
              <w:right w:val="nil"/>
            </w:tcBorders>
          </w:tcPr>
          <w:p>
            <w:pPr>
              <w:pStyle w:val="nTable"/>
              <w:spacing w:after="40"/>
            </w:pPr>
            <w:r>
              <w:t>SL 2021/213 17 Dec 2021</w:t>
            </w:r>
          </w:p>
        </w:tc>
        <w:tc>
          <w:tcPr>
            <w:tcW w:w="2679" w:type="dxa"/>
            <w:tcBorders>
              <w:top w:val="nil"/>
              <w:left w:val="nil"/>
              <w:bottom w:val="nil"/>
            </w:tcBorders>
          </w:tcPr>
          <w:p>
            <w:pPr>
              <w:pStyle w:val="nTable"/>
              <w:spacing w:after="40"/>
              <w:rPr>
                <w:bCs/>
                <w:caps/>
                <w:snapToGrid w:val="0"/>
                <w:spacing w:val="-2"/>
              </w:rPr>
            </w:pPr>
            <w:r>
              <w:rPr>
                <w:bCs/>
                <w:snapToGrid w:val="0"/>
                <w:spacing w:val="-2"/>
              </w:rPr>
              <w:t>r. 1 and 2: 17 Dec 2021 (see</w:t>
            </w:r>
            <w:r>
              <w:rPr>
                <w:bCs/>
                <w:caps/>
                <w:snapToGrid w:val="0"/>
                <w:spacing w:val="-2"/>
              </w:rPr>
              <w:t> </w:t>
            </w:r>
            <w:r>
              <w:rPr>
                <w:bCs/>
                <w:snapToGrid w:val="0"/>
                <w:spacing w:val="-2"/>
              </w:rPr>
              <w:t>r. 2(a));</w:t>
            </w:r>
            <w:r>
              <w:rPr>
                <w:bCs/>
                <w:snapToGrid w:val="0"/>
                <w:spacing w:val="-2"/>
              </w:rPr>
              <w:br/>
              <w:t>Regulations other than r. 1 and 2: 18 Dec 2021 (see r. 2(b))</w:t>
            </w:r>
          </w:p>
        </w:tc>
      </w:tr>
      <w:tr>
        <w:tblPrEx>
          <w:tblBorders>
            <w:top w:val="single" w:sz="4" w:space="0" w:color="auto"/>
            <w:insideH w:val="single" w:sz="4" w:space="0" w:color="auto"/>
          </w:tblBorders>
        </w:tblPrEx>
        <w:tc>
          <w:tcPr>
            <w:tcW w:w="3135" w:type="dxa"/>
            <w:tcBorders>
              <w:top w:val="nil"/>
              <w:bottom w:val="nil"/>
              <w:right w:val="nil"/>
            </w:tcBorders>
          </w:tcPr>
          <w:p>
            <w:pPr>
              <w:pStyle w:val="nTable"/>
              <w:spacing w:after="40"/>
              <w:rPr>
                <w:i/>
              </w:rPr>
            </w:pPr>
            <w:r>
              <w:rPr>
                <w:i/>
              </w:rPr>
              <w:t>Commerce Regulations Amendment (Fees and Charges) Regulations 2022</w:t>
            </w:r>
            <w:r>
              <w:t xml:space="preserve"> Pt. 5</w:t>
            </w:r>
          </w:p>
        </w:tc>
        <w:tc>
          <w:tcPr>
            <w:tcW w:w="1254" w:type="dxa"/>
            <w:tcBorders>
              <w:top w:val="nil"/>
              <w:left w:val="nil"/>
              <w:bottom w:val="nil"/>
              <w:right w:val="nil"/>
            </w:tcBorders>
          </w:tcPr>
          <w:p>
            <w:pPr>
              <w:pStyle w:val="nTable"/>
              <w:spacing w:after="40"/>
            </w:pPr>
            <w:r>
              <w:t>SL 2022/59 20 May 2022</w:t>
            </w:r>
          </w:p>
        </w:tc>
        <w:tc>
          <w:tcPr>
            <w:tcW w:w="2679" w:type="dxa"/>
            <w:tcBorders>
              <w:top w:val="nil"/>
              <w:left w:val="nil"/>
              <w:bottom w:val="nil"/>
            </w:tcBorders>
          </w:tcPr>
          <w:p>
            <w:pPr>
              <w:pStyle w:val="nTable"/>
              <w:spacing w:after="40"/>
              <w:rPr>
                <w:bCs/>
                <w:snapToGrid w:val="0"/>
                <w:spacing w:val="-2"/>
              </w:rPr>
            </w:pPr>
            <w:r>
              <w:t>1 Jul 2022 (see r. 2(b))</w:t>
            </w:r>
          </w:p>
        </w:tc>
      </w:tr>
      <w:tr>
        <w:tc>
          <w:tcPr>
            <w:tcW w:w="3135" w:type="dxa"/>
            <w:tcBorders>
              <w:top w:val="nil"/>
              <w:bottom w:val="nil"/>
            </w:tcBorders>
          </w:tcPr>
          <w:p>
            <w:pPr>
              <w:pStyle w:val="nTable"/>
              <w:spacing w:after="40"/>
            </w:pPr>
            <w:r>
              <w:rPr>
                <w:i/>
              </w:rPr>
              <w:t>Building Services (Registration) Amendment Regulations 2022</w:t>
            </w:r>
          </w:p>
        </w:tc>
        <w:tc>
          <w:tcPr>
            <w:tcW w:w="1254" w:type="dxa"/>
            <w:tcBorders>
              <w:top w:val="nil"/>
              <w:bottom w:val="nil"/>
            </w:tcBorders>
          </w:tcPr>
          <w:p>
            <w:pPr>
              <w:pStyle w:val="nTable"/>
              <w:spacing w:after="40"/>
            </w:pPr>
            <w:r>
              <w:t>SL 2022/101 17 Jun 2022</w:t>
            </w:r>
          </w:p>
        </w:tc>
        <w:tc>
          <w:tcPr>
            <w:tcW w:w="2679" w:type="dxa"/>
            <w:tcBorders>
              <w:top w:val="nil"/>
              <w:bottom w:val="nil"/>
            </w:tcBorders>
          </w:tcPr>
          <w:p>
            <w:pPr>
              <w:pStyle w:val="nTable"/>
              <w:spacing w:after="40"/>
            </w:pPr>
            <w:r>
              <w:t>r. 1 and 2: 17 Jun 2022 (see r. 2(a));</w:t>
            </w:r>
            <w:r>
              <w:br/>
              <w:t>Regulations other than r. 1 and 2: 1 Feb 2023 (see r. 2(b))</w:t>
            </w:r>
          </w:p>
        </w:tc>
      </w:tr>
      <w:tr>
        <w:tc>
          <w:tcPr>
            <w:tcW w:w="3135" w:type="dxa"/>
            <w:tcBorders>
              <w:top w:val="nil"/>
              <w:bottom w:val="nil"/>
            </w:tcBorders>
          </w:tcPr>
          <w:p>
            <w:pPr>
              <w:pStyle w:val="nTable"/>
              <w:spacing w:after="40"/>
              <w:rPr>
                <w:i/>
              </w:rPr>
            </w:pPr>
            <w:r>
              <w:rPr>
                <w:i/>
              </w:rPr>
              <w:lastRenderedPageBreak/>
              <w:t>Commerce Regulations Amendment (Fees and Charges) Regulations 2023</w:t>
            </w:r>
            <w:r>
              <w:t xml:space="preserve"> Pt. 5</w:t>
            </w:r>
          </w:p>
        </w:tc>
        <w:tc>
          <w:tcPr>
            <w:tcW w:w="1254" w:type="dxa"/>
            <w:tcBorders>
              <w:top w:val="nil"/>
              <w:bottom w:val="nil"/>
            </w:tcBorders>
          </w:tcPr>
          <w:p>
            <w:pPr>
              <w:pStyle w:val="nTable"/>
              <w:spacing w:after="40"/>
            </w:pPr>
            <w:r>
              <w:t>SL 2023/35 5 May 2023</w:t>
            </w:r>
          </w:p>
        </w:tc>
        <w:tc>
          <w:tcPr>
            <w:tcW w:w="2679" w:type="dxa"/>
            <w:tcBorders>
              <w:top w:val="nil"/>
              <w:bottom w:val="nil"/>
            </w:tcBorders>
          </w:tcPr>
          <w:p>
            <w:pPr>
              <w:pStyle w:val="nTable"/>
              <w:spacing w:after="40"/>
            </w:pPr>
            <w:r>
              <w:t>1 Jul 2023 (see r. 2(b))</w:t>
            </w:r>
          </w:p>
        </w:tc>
      </w:tr>
      <w:tr>
        <w:tc>
          <w:tcPr>
            <w:tcW w:w="3135" w:type="dxa"/>
            <w:tcBorders>
              <w:top w:val="nil"/>
              <w:bottom w:val="single" w:sz="4" w:space="0" w:color="auto"/>
            </w:tcBorders>
          </w:tcPr>
          <w:p>
            <w:pPr>
              <w:pStyle w:val="nTable"/>
              <w:spacing w:after="40"/>
            </w:pPr>
            <w:r>
              <w:rPr>
                <w:i/>
              </w:rPr>
              <w:t>Building Services (Registration) Amendment Regulations (No. 2) 2023</w:t>
            </w:r>
            <w:r>
              <w:t xml:space="preserve"> (other than r. 4)</w:t>
            </w:r>
          </w:p>
        </w:tc>
        <w:tc>
          <w:tcPr>
            <w:tcW w:w="1254" w:type="dxa"/>
            <w:tcBorders>
              <w:top w:val="nil"/>
              <w:bottom w:val="single" w:sz="4" w:space="0" w:color="auto"/>
            </w:tcBorders>
          </w:tcPr>
          <w:p>
            <w:pPr>
              <w:pStyle w:val="nTable"/>
              <w:spacing w:after="40"/>
            </w:pPr>
            <w:r>
              <w:t>SL 2023/164</w:t>
            </w:r>
            <w:r>
              <w:br/>
              <w:t>1 Nov 2023</w:t>
            </w:r>
          </w:p>
        </w:tc>
        <w:tc>
          <w:tcPr>
            <w:tcW w:w="2679" w:type="dxa"/>
            <w:tcBorders>
              <w:top w:val="nil"/>
              <w:bottom w:val="single" w:sz="4" w:space="0" w:color="auto"/>
            </w:tcBorders>
          </w:tcPr>
          <w:p>
            <w:pPr>
              <w:pStyle w:val="nTable"/>
              <w:spacing w:after="40"/>
            </w:pPr>
            <w:r>
              <w:t>r. 1 and 2: 1 Nov 2023 (see r. 2(a));</w:t>
            </w:r>
            <w:r>
              <w:br/>
              <w:t>r. 3 and 5: 2 Nov 2023 (see r. 2(c))</w:t>
            </w:r>
          </w:p>
        </w:tc>
      </w:tr>
    </w:tbl>
    <w:p>
      <w:pPr>
        <w:pStyle w:val="nHeading3"/>
      </w:pPr>
      <w:bookmarkStart w:id="109" w:name="_Toc154745036"/>
      <w:r>
        <w:t>Uncommenced provisions table</w:t>
      </w:r>
      <w:bookmarkEnd w:id="10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nil"/>
              <w:bottom w:val="nil"/>
            </w:tcBorders>
          </w:tcPr>
          <w:p>
            <w:pPr>
              <w:pStyle w:val="nTable"/>
              <w:spacing w:after="40"/>
              <w:rPr>
                <w:i/>
              </w:rPr>
            </w:pPr>
            <w:r>
              <w:rPr>
                <w:i/>
              </w:rPr>
              <w:t>Commerce Regulations Amendment (Building Services) Regulations 2023</w:t>
            </w:r>
            <w:r>
              <w:t xml:space="preserve"> Pt. 2</w:t>
            </w:r>
          </w:p>
        </w:tc>
        <w:tc>
          <w:tcPr>
            <w:tcW w:w="1276" w:type="dxa"/>
            <w:tcBorders>
              <w:top w:val="nil"/>
              <w:bottom w:val="nil"/>
            </w:tcBorders>
          </w:tcPr>
          <w:p>
            <w:pPr>
              <w:pStyle w:val="nTable"/>
              <w:spacing w:after="40"/>
            </w:pPr>
            <w:r>
              <w:t>SL 2023/64 2 Jun 2023</w:t>
            </w:r>
          </w:p>
        </w:tc>
        <w:tc>
          <w:tcPr>
            <w:tcW w:w="2693" w:type="dxa"/>
            <w:tcBorders>
              <w:top w:val="nil"/>
              <w:bottom w:val="nil"/>
            </w:tcBorders>
          </w:tcPr>
          <w:p>
            <w:pPr>
              <w:pStyle w:val="nTable"/>
              <w:spacing w:after="40"/>
            </w:pPr>
            <w:r>
              <w:t>Pt. 2 Div. 1 and 2: 1 Jul 2024 (see r. 2(b));</w:t>
            </w:r>
            <w:r>
              <w:br/>
              <w:t>Pt. 2 Div. 3: 1 Jul 2025 (see r. 2(c));</w:t>
            </w:r>
            <w:r>
              <w:br/>
              <w:t>Pt. 2 Div. 4: 1 Jul 2027 (see r. 2(d))</w:t>
            </w:r>
          </w:p>
        </w:tc>
      </w:tr>
      <w:tr>
        <w:tc>
          <w:tcPr>
            <w:tcW w:w="3118" w:type="dxa"/>
            <w:tcBorders>
              <w:top w:val="nil"/>
              <w:bottom w:val="nil"/>
            </w:tcBorders>
          </w:tcPr>
          <w:p>
            <w:pPr>
              <w:pStyle w:val="nTable"/>
              <w:spacing w:after="40"/>
            </w:pPr>
            <w:r>
              <w:rPr>
                <w:i/>
              </w:rPr>
              <w:t>Building Services (Registration) Amendment Regulations 2023</w:t>
            </w:r>
            <w:r>
              <w:t xml:space="preserve"> r. 3 and 4</w:t>
            </w:r>
          </w:p>
        </w:tc>
        <w:tc>
          <w:tcPr>
            <w:tcW w:w="1276" w:type="dxa"/>
            <w:tcBorders>
              <w:top w:val="nil"/>
              <w:bottom w:val="nil"/>
            </w:tcBorders>
          </w:tcPr>
          <w:p>
            <w:pPr>
              <w:pStyle w:val="nTable"/>
              <w:spacing w:after="40"/>
            </w:pPr>
            <w:r>
              <w:t>SL 2023/76 16 Jun 2023</w:t>
            </w:r>
          </w:p>
        </w:tc>
        <w:tc>
          <w:tcPr>
            <w:tcW w:w="2693" w:type="dxa"/>
            <w:tcBorders>
              <w:top w:val="nil"/>
              <w:bottom w:val="nil"/>
            </w:tcBorders>
          </w:tcPr>
          <w:p>
            <w:pPr>
              <w:pStyle w:val="nTable"/>
              <w:spacing w:after="40"/>
            </w:pPr>
            <w:r>
              <w:t>16 Jun 2024 (see r. 2(b))</w:t>
            </w:r>
          </w:p>
        </w:tc>
      </w:tr>
      <w:tr>
        <w:tc>
          <w:tcPr>
            <w:tcW w:w="3118" w:type="dxa"/>
            <w:tcBorders>
              <w:top w:val="nil"/>
              <w:bottom w:val="single" w:sz="4" w:space="0" w:color="auto"/>
            </w:tcBorders>
          </w:tcPr>
          <w:p>
            <w:pPr>
              <w:pStyle w:val="nTable"/>
              <w:spacing w:after="40"/>
            </w:pPr>
            <w:r>
              <w:rPr>
                <w:i/>
              </w:rPr>
              <w:t>Building Services (Registration) Amendment Regulations (No. 2) 2023</w:t>
            </w:r>
            <w:r>
              <w:t xml:space="preserve"> r. 4</w:t>
            </w:r>
          </w:p>
        </w:tc>
        <w:tc>
          <w:tcPr>
            <w:tcW w:w="1276" w:type="dxa"/>
            <w:tcBorders>
              <w:top w:val="nil"/>
              <w:bottom w:val="single" w:sz="4" w:space="0" w:color="auto"/>
            </w:tcBorders>
          </w:tcPr>
          <w:p>
            <w:pPr>
              <w:pStyle w:val="nTable"/>
              <w:spacing w:after="40"/>
            </w:pPr>
            <w:r>
              <w:t>SL 2023/164</w:t>
            </w:r>
            <w:r>
              <w:br/>
              <w:t>1 Nov 2023</w:t>
            </w:r>
          </w:p>
        </w:tc>
        <w:tc>
          <w:tcPr>
            <w:tcW w:w="2693" w:type="dxa"/>
            <w:tcBorders>
              <w:top w:val="nil"/>
              <w:bottom w:val="single" w:sz="4" w:space="0" w:color="auto"/>
            </w:tcBorders>
          </w:tcPr>
          <w:p>
            <w:pPr>
              <w:pStyle w:val="nTable"/>
              <w:spacing w:after="40"/>
            </w:pPr>
            <w:r>
              <w:t>1 Jul 2024 (see r. 2(b)(ii) and SL 2023/64 cl. 2(b))</w:t>
            </w:r>
          </w:p>
        </w:tc>
      </w:tr>
    </w:tbl>
    <w:p>
      <w:pPr>
        <w:pStyle w:val="nHeading3"/>
      </w:pPr>
      <w:bookmarkStart w:id="110" w:name="_Toc154745037"/>
      <w:r>
        <w:t>Other notes</w:t>
      </w:r>
      <w:bookmarkEnd w:id="110"/>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112" w:name="_Toc154745038"/>
      <w:r>
        <w:rPr>
          <w:sz w:val="28"/>
        </w:rPr>
        <w:lastRenderedPageBreak/>
        <w:t>Defined terms</w:t>
      </w:r>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DIN</w:t>
      </w:r>
      <w:r>
        <w:tab/>
        <w:t>10A(1)</w:t>
      </w:r>
    </w:p>
    <w:p>
      <w:pPr>
        <w:pStyle w:val="DefinedTerms"/>
      </w:pPr>
      <w:r>
        <w:t>eligible person</w:t>
      </w:r>
      <w:r>
        <w:tab/>
        <w:t>16(4), 28D(2A) and (3A), 31(4)</w:t>
      </w:r>
    </w:p>
    <w:p>
      <w:pPr>
        <w:pStyle w:val="DefinedTerms"/>
      </w:pPr>
      <w:r>
        <w:t>exempt shed</w:t>
      </w:r>
      <w:r>
        <w:tab/>
        <w:t>13(1)</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National Register</w:t>
      </w:r>
      <w:r>
        <w:tab/>
        <w:t>3</w:t>
      </w:r>
    </w:p>
    <w:p>
      <w:pPr>
        <w:pStyle w:val="DefinedTerms"/>
      </w:pPr>
      <w:r>
        <w:t>owner-builder</w:t>
      </w:r>
      <w:r>
        <w:tab/>
        <w:t>3</w:t>
      </w:r>
    </w:p>
    <w:p>
      <w:pPr>
        <w:pStyle w:val="DefinedTerms"/>
      </w:pPr>
      <w:r>
        <w:t>owner-builder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keepNext/>
      </w:pPr>
      <w:r>
        <w:lastRenderedPageBreak/>
        <w:t>small commercial building</w:t>
      </w:r>
      <w:r>
        <w:tab/>
        <w:t>22</w:t>
      </w:r>
    </w:p>
    <w:p>
      <w:pPr>
        <w:pStyle w:val="DefinedTerms"/>
        <w:keepNext/>
      </w:pPr>
      <w:r>
        <w:t>townsite</w:t>
      </w:r>
      <w:r>
        <w:tab/>
        <w:t>Sch. 3 cl. 1, Sch. 4 cl. 1</w:t>
      </w:r>
    </w:p>
    <w:p/>
    <w:p>
      <w:pPr>
        <w:pStyle w:val="DefinedTerms"/>
        <w:sectPr>
          <w:headerReference w:type="even" r:id="rId35"/>
          <w:headerReference w:type="default" r:id="rId36"/>
          <w:pgSz w:w="11907" w:h="16840" w:code="9"/>
          <w:pgMar w:top="2381" w:right="2409" w:bottom="3543" w:left="2409"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669CD9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4624A9F" w14:textId="04458470" w:rsidR="00D75677" w:rsidRDefault="00D7567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9D597B2" w14:textId="77777777" w:rsidR="00D75677" w:rsidRDefault="00D7567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2294AA6" w14:textId="7D6EDD0F" w:rsidR="00D75677" w:rsidRDefault="00D7567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521AAFA" w14:textId="77777777" w:rsidR="00D75677" w:rsidRDefault="00D7567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02-ac0-01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02-ac0-01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02-ac0-01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02-ac0-01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02-ac0-01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02-ac0-01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rPr>
        <w:jc w:val="center"/>
      </w:trP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rPr>
        <w:jc w:val="center"/>
      </w:trP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3" w:name="DefinedTerms"/>
    <w:bookmarkEnd w:id="11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601"/>
      <w:gridCol w:w="1548"/>
    </w:tblGrid>
    <w:tr>
      <w:trPr>
        <w:cantSplit/>
        <w:jc w:val="center"/>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rPr>
        <w:jc w:val="center"/>
      </w:trP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rPr>
        <w:jc w:val="center"/>
      </w:trP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457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608"/>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 w:name="WAFER_20210615160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0530_GUID" w:val="6a9de388-267f-46ba-b68e-ef09300bef04"/>
    <w:docVar w:name="WAFER_20210623142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50_GUID" w:val="33ab75d1-1677-4890-ac42-deb52c1c8636"/>
    <w:docVar w:name="WAFER_20211005141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1534_GUID" w:val="351f1771-6c41-42b2-b971-3105105359ea"/>
    <w:docVar w:name="WAFER_20211215093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93144_GUID" w:val="be78dc4e-d055-43cb-b9d1-d1576bdf446a"/>
    <w:docVar w:name="WAFER_202205180926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11_GUID" w:val="f2a8fd39-de7e-4755-aec3-41164797f9e4"/>
    <w:docVar w:name="WAFER_20220518092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2639_GUID" w:val="306aa858-40b3-42d9-b954-aebbd056b69d"/>
    <w:docVar w:name="WAFER_2022061514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43026_GUID" w:val="33a55b69-57c6-405f-96c7-99245c300f59"/>
    <w:docVar w:name="WAFER_20220622141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1137_GUID" w:val="a7fc36ec-2e89-4bf4-9718-bee28042c444"/>
    <w:docVar w:name="WAFER_20230123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38_GUID" w:val="815eea24-c6f5-4bdb-840e-7604f1173ebb"/>
    <w:docVar w:name="WAFER_20230502122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20_GUID" w:val="be83ac21-1296-4835-a4fe-bf5b2d7700ee"/>
    <w:docVar w:name="WAFER_202305301604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30160410_GUID" w:val="71509fd3-f7e2-4d66-b585-5bda305127aa"/>
    <w:docVar w:name="WAFER_202306131435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3143501_GUID" w:val="71a8e7de-a2a0-41e5-8f1c-8b3c7b3a0df5"/>
    <w:docVar w:name="WAFER_202306261120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024_GUID" w:val="5e8a1c1b-72e5-49f8-9f73-3632fdbae9ab"/>
    <w:docVar w:name="WAFER_202310271251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25120_GUID" w:val="c795c576-3b2f-4e53-96df-289fbf521383"/>
    <w:docVar w:name="WAFER_202310271251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7125150_GUID" w:val="8c8842b5-505c-410a-a903-ad0e7ff66f2f"/>
    <w:docVar w:name="WAFER_202312271556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608_GUID" w:val="d33749f3-98c7-4e22-82bd-c950198c2b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3CAC-C581-41F1-AA85-4862564B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14863</Words>
  <Characters>78778</Characters>
  <Application>Microsoft Office Word</Application>
  <DocSecurity>0</DocSecurity>
  <Lines>3151</Lines>
  <Paragraphs>1766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2011 - 02-ac0-01</dc:title>
  <dc:subject/>
  <dc:creator/>
  <cp:keywords/>
  <dc:description/>
  <cp:lastModifiedBy>Master Repository Process</cp:lastModifiedBy>
  <cp:revision>4</cp:revision>
  <cp:lastPrinted>2019-05-01T01:45:00Z</cp:lastPrinted>
  <dcterms:created xsi:type="dcterms:W3CDTF">2023-12-29T04:21:00Z</dcterms:created>
  <dcterms:modified xsi:type="dcterms:W3CDTF">2023-12-29T04:22:00Z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02 Nov 2023</vt:lpwstr>
  </property>
  <property fmtid="{D5CDD505-2E9C-101B-9397-08002B2CF9AE}" pid="7" name="Suffix">
    <vt:lpwstr>02-ac0-01</vt:lpwstr>
  </property>
  <property fmtid="{D5CDD505-2E9C-101B-9397-08002B2CF9AE}" pid="8" name="Official">
    <vt:lpwstr/>
  </property>
  <property fmtid="{D5CDD505-2E9C-101B-9397-08002B2CF9AE}" pid="9" name="CommencementDate">
    <vt:lpwstr>20231102</vt:lpwstr>
  </property>
  <property fmtid="{D5CDD505-2E9C-101B-9397-08002B2CF9AE}" pid="10" name="CommencementAsAt">
    <vt:filetime>2023-11-01T16:00:00Z</vt:filetime>
  </property>
  <property fmtid="{D5CDD505-2E9C-101B-9397-08002B2CF9AE}" pid="11" name="CommencementYear">
    <vt:lpwstr>2023</vt:lpwstr>
  </property>
</Properties>
</file>