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_Toc119122727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_Toc119122728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_Toc119122729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licensees, s. 45(1)</w:t>
      </w:r>
      <w:r>
        <w:tab/>
      </w:r>
      <w:r>
        <w:fldChar w:fldCharType="begin"/>
      </w:r>
      <w:r>
        <w:instrText xml:space="preserve"> PAGEREF _Toc119122730 \h </w:instrText>
      </w:r>
      <w:r>
        <w:fldChar w:fldCharType="separate"/>
      </w:r>
      <w:r>
        <w:t>2</w:t>
      </w:r>
      <w:r>
        <w:fldChar w:fldCharType="end"/>
      </w:r>
    </w:p>
    <w:p>
      <w:pPr>
        <w:pStyle w:val="TOC8"/>
        <w:rPr>
          <w:sz w:val="24"/>
          <w:szCs w:val="24"/>
        </w:rPr>
      </w:pPr>
      <w:r>
        <w:rPr>
          <w:szCs w:val="24"/>
        </w:rPr>
        <w:t>5.</w:t>
      </w:r>
      <w:r>
        <w:rPr>
          <w:szCs w:val="24"/>
        </w:rPr>
        <w:tab/>
        <w:t>Modification of certain enactments</w:t>
      </w:r>
      <w:r>
        <w:tab/>
      </w:r>
      <w:r>
        <w:fldChar w:fldCharType="begin"/>
      </w:r>
      <w:r>
        <w:instrText xml:space="preserve"> PAGEREF _Toc119122731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Enactments which do not apply</w:t>
      </w:r>
      <w:r>
        <w:tab/>
      </w:r>
      <w:r>
        <w:fldChar w:fldCharType="begin"/>
      </w:r>
      <w:r>
        <w:instrText xml:space="preserve"> PAGEREF _Toc119122732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Claims for injury, loss or damage</w:t>
      </w:r>
      <w:r>
        <w:tab/>
      </w:r>
      <w:r>
        <w:fldChar w:fldCharType="begin"/>
      </w:r>
      <w:r>
        <w:instrText xml:space="preserve"> PAGEREF _Toc119122733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Construction of certain references</w:t>
      </w:r>
      <w:r>
        <w:tab/>
      </w:r>
      <w:r>
        <w:fldChar w:fldCharType="begin"/>
      </w:r>
      <w:r>
        <w:instrText xml:space="preserve"> PAGEREF _Toc119122734 \h </w:instrText>
      </w:r>
      <w:r>
        <w:fldChar w:fldCharType="separate"/>
      </w:r>
      <w:r>
        <w:t>3</w:t>
      </w:r>
      <w:r>
        <w:fldChar w:fldCharType="end"/>
      </w:r>
    </w:p>
    <w:p>
      <w:pPr>
        <w:pStyle w:val="TOC2"/>
        <w:tabs>
          <w:tab w:val="right" w:leader="dot" w:pos="7086"/>
        </w:tabs>
        <w:rPr>
          <w:b w:val="0"/>
          <w:sz w:val="24"/>
          <w:szCs w:val="24"/>
        </w:rPr>
      </w:pPr>
      <w:r>
        <w:rPr>
          <w:szCs w:val="28"/>
        </w:rPr>
        <w:t>Schedule 1 — Modification of enactments (prescribed licensees (irrigation services))</w:t>
      </w:r>
    </w:p>
    <w:p>
      <w:pPr>
        <w:pStyle w:val="TOC2"/>
        <w:tabs>
          <w:tab w:val="right" w:leader="dot" w:pos="7086"/>
        </w:tabs>
        <w:rPr>
          <w:b w:val="0"/>
          <w:sz w:val="24"/>
          <w:szCs w:val="24"/>
        </w:rPr>
      </w:pPr>
      <w:r>
        <w:rPr>
          <w:szCs w:val="28"/>
        </w:rPr>
        <w:t>Schedule 1A — Modification of enactments (Hamersley Iron Pty Ltd)</w:t>
      </w:r>
    </w:p>
    <w:p>
      <w:pPr>
        <w:pStyle w:val="TOC2"/>
        <w:tabs>
          <w:tab w:val="right" w:leader="dot" w:pos="7086"/>
        </w:tabs>
        <w:rPr>
          <w:b w:val="0"/>
          <w:sz w:val="24"/>
          <w:szCs w:val="24"/>
        </w:rPr>
      </w:pPr>
      <w:r>
        <w:rPr>
          <w:szCs w:val="28"/>
        </w:rPr>
        <w:t>Schedule 2 — Enactments which do not apply</w:t>
      </w:r>
    </w:p>
    <w:p>
      <w:pPr>
        <w:pStyle w:val="TOC2"/>
        <w:tabs>
          <w:tab w:val="right" w:leader="dot" w:pos="7086"/>
        </w:tabs>
        <w:rPr>
          <w:b w:val="0"/>
          <w:sz w:val="24"/>
          <w:szCs w:val="24"/>
        </w:rPr>
      </w:pPr>
      <w:r>
        <w:rPr>
          <w:szCs w:val="26"/>
        </w:rPr>
        <w:t>Notes</w:t>
      </w:r>
    </w:p>
    <w:p>
      <w:pPr>
        <w:pStyle w:val="TOC8"/>
        <w:rPr>
          <w:sz w:val="12"/>
        </w:rPr>
      </w:pPr>
      <w:r>
        <w:rPr>
          <w:snapToGrid w:val="0"/>
          <w:szCs w:val="24"/>
        </w:rPr>
        <w:tab/>
        <w:t>Compilation table</w:t>
      </w:r>
      <w:r>
        <w:tab/>
      </w:r>
      <w:r>
        <w:fldChar w:fldCharType="begin"/>
      </w:r>
      <w:r>
        <w:instrText xml:space="preserve"> PAGEREF _Toc119122739 \h </w:instrText>
      </w:r>
      <w:r>
        <w:fldChar w:fldCharType="separate"/>
      </w:r>
      <w:r>
        <w:t>13</w:t>
      </w:r>
      <w:r>
        <w:fldChar w:fldCharType="end"/>
      </w: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 w:name="_Toc527279740"/>
      <w:bookmarkStart w:id="2" w:name="_Toc527280010"/>
      <w:bookmarkStart w:id="3" w:name="_Toc119121869"/>
      <w:bookmarkStart w:id="4" w:name="_Toc11912272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5" w:name="_Toc527279741"/>
      <w:bookmarkStart w:id="6" w:name="_Toc527280011"/>
      <w:bookmarkStart w:id="7" w:name="_Toc119121870"/>
      <w:bookmarkStart w:id="8" w:name="_Toc11912272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9" w:name="_Toc527279742"/>
      <w:bookmarkStart w:id="10" w:name="_Toc527280012"/>
      <w:bookmarkStart w:id="11" w:name="_Toc119121871"/>
      <w:bookmarkStart w:id="12" w:name="_Toc11912272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rPr>
        <w:t>“operating area”</w:t>
      </w:r>
      <w:r>
        <w:t xml:space="preserve">, </w:t>
      </w:r>
      <w:r>
        <w:rPr>
          <w:b/>
        </w:rPr>
        <w:t>“operating licence”</w:t>
      </w:r>
      <w:r>
        <w:t xml:space="preserve">, </w:t>
      </w:r>
      <w:r>
        <w:rPr>
          <w:b/>
        </w:rPr>
        <w:t>“prescribed licensee”</w:t>
      </w:r>
      <w:r>
        <w:t xml:space="preserve"> and </w:t>
      </w:r>
      <w:r>
        <w:rPr>
          <w:b/>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3" w:name="_Toc527279743"/>
      <w:bookmarkStart w:id="14" w:name="_Toc527280013"/>
      <w:bookmarkStart w:id="15" w:name="_Toc119121872"/>
      <w:bookmarkStart w:id="16" w:name="_Toc119122730"/>
      <w:r>
        <w:rPr>
          <w:rStyle w:val="CharSectno"/>
        </w:rPr>
        <w:t>4</w:t>
      </w:r>
      <w:r>
        <w:rPr>
          <w:snapToGrid w:val="0"/>
        </w:rPr>
        <w:t>.</w:t>
      </w:r>
      <w:r>
        <w:rPr>
          <w:snapToGrid w:val="0"/>
        </w:rPr>
        <w:tab/>
        <w:t>Prescribed licensees, s. 45(1)</w:t>
      </w:r>
      <w:bookmarkEnd w:id="13"/>
      <w:bookmarkEnd w:id="14"/>
      <w:bookmarkEnd w:id="15"/>
      <w:bookmarkEnd w:id="16"/>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17" w:name="_Toc527279744"/>
      <w:bookmarkStart w:id="18" w:name="_Toc527280014"/>
      <w:bookmarkStart w:id="19" w:name="_Toc119121873"/>
      <w:bookmarkStart w:id="20" w:name="_Toc119122731"/>
      <w:r>
        <w:t>5.</w:t>
      </w:r>
      <w:r>
        <w:tab/>
        <w:t>Modification of certain enactments</w:t>
      </w:r>
      <w:bookmarkEnd w:id="17"/>
      <w:bookmarkEnd w:id="18"/>
      <w:bookmarkEnd w:id="19"/>
      <w:bookmarkEnd w:id="20"/>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1" w:name="_Toc527279745"/>
      <w:bookmarkStart w:id="22" w:name="_Toc527280015"/>
      <w:bookmarkStart w:id="23" w:name="_Toc119121874"/>
      <w:bookmarkStart w:id="24" w:name="_Toc119122732"/>
      <w:r>
        <w:rPr>
          <w:rStyle w:val="CharSectno"/>
        </w:rPr>
        <w:t>6</w:t>
      </w:r>
      <w:r>
        <w:rPr>
          <w:snapToGrid w:val="0"/>
        </w:rPr>
        <w:t>.</w:t>
      </w:r>
      <w:r>
        <w:rPr>
          <w:snapToGrid w:val="0"/>
        </w:rPr>
        <w:tab/>
        <w:t>Enactments which do not apply</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 xml:space="preserve">In relation to Hamersley Iron Pty Ltd the following enactments do not apply —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25" w:name="_Toc527279746"/>
      <w:bookmarkStart w:id="26" w:name="_Toc527280016"/>
      <w:bookmarkStart w:id="27" w:name="_Toc119121875"/>
      <w:bookmarkStart w:id="28" w:name="_Toc119122733"/>
      <w:r>
        <w:rPr>
          <w:rStyle w:val="CharSectno"/>
        </w:rPr>
        <w:t>7</w:t>
      </w:r>
      <w:r>
        <w:rPr>
          <w:snapToGrid w:val="0"/>
        </w:rPr>
        <w:t>.</w:t>
      </w:r>
      <w:r>
        <w:rPr>
          <w:snapToGrid w:val="0"/>
        </w:rPr>
        <w:tab/>
        <w:t>Claims for injury, loss or damage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29" w:name="_Toc527279747"/>
      <w:bookmarkStart w:id="30" w:name="_Toc527280017"/>
      <w:bookmarkStart w:id="31" w:name="_Toc119121876"/>
      <w:bookmarkStart w:id="32" w:name="_Toc119122734"/>
      <w:r>
        <w:rPr>
          <w:rStyle w:val="CharSectno"/>
        </w:rPr>
        <w:t>8</w:t>
      </w:r>
      <w:r>
        <w:rPr>
          <w:snapToGrid w:val="0"/>
        </w:rPr>
        <w:t>.</w:t>
      </w:r>
      <w:r>
        <w:rPr>
          <w:snapToGrid w:val="0"/>
        </w:rPr>
        <w:tab/>
        <w:t>Construction of certain references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 w:name="_Toc527280018"/>
      <w:bookmarkStart w:id="34" w:name="_Toc119121877"/>
      <w:bookmarkStart w:id="35" w:name="_Toc119122735"/>
      <w:r>
        <w:rPr>
          <w:rStyle w:val="CharSchNo"/>
        </w:rPr>
        <w:t>Schedule 1</w:t>
      </w:r>
      <w:r>
        <w:t> — </w:t>
      </w:r>
      <w:r>
        <w:rPr>
          <w:rStyle w:val="CharSchText"/>
        </w:rPr>
        <w:t>Modification of enactments (prescribed licensees (irrigation services))</w:t>
      </w:r>
      <w:bookmarkEnd w:id="33"/>
      <w:bookmarkEnd w:id="34"/>
      <w:bookmarkEnd w:id="35"/>
    </w:p>
    <w:p>
      <w:pPr>
        <w:pStyle w:val="yShoulderClause"/>
      </w:pPr>
      <w:r>
        <w:t>[r. 5(1)]</w:t>
      </w:r>
    </w:p>
    <w:p>
      <w:pPr>
        <w:pStyle w:val="yMiscellaneousHeading"/>
        <w:rPr>
          <w:b/>
          <w:sz w:val="24"/>
        </w:rPr>
      </w:pPr>
      <w:bookmarkStart w:id="36" w:name="_Toc527280019"/>
      <w:bookmarkStart w:id="37" w:name="_Toc62551006"/>
      <w:bookmarkStart w:id="38" w:name="_Toc62959694"/>
      <w:bookmarkStart w:id="39" w:name="_Toc62961118"/>
      <w:r>
        <w:rPr>
          <w:b/>
          <w:sz w:val="24"/>
        </w:rPr>
        <w:t>Division 1 — Water Agencies (Powers) Act 1984</w:t>
      </w:r>
      <w:bookmarkEnd w:id="36"/>
      <w:bookmarkEnd w:id="37"/>
      <w:bookmarkEnd w:id="38"/>
      <w:bookmarkEnd w:id="39"/>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
            </w:pPr>
            <w:r>
              <w:t>s. 3(1) (definition of “officer”)</w:t>
            </w:r>
          </w:p>
        </w:tc>
        <w:tc>
          <w:tcPr>
            <w:tcW w:w="4958" w:type="dxa"/>
          </w:tcPr>
          <w:p>
            <w:pPr>
              <w:pStyle w:val="yTable"/>
            </w:pPr>
            <w:r>
              <w:t xml:space="preserve">In paragraph (b), delete “engaged under section 15 of the </w:t>
            </w:r>
            <w:r>
              <w:rPr>
                <w:i/>
              </w:rPr>
              <w:t>Water Corporation Act 1995</w:t>
            </w:r>
            <w:r>
              <w:t>”.</w:t>
            </w:r>
          </w:p>
        </w:tc>
      </w:tr>
      <w:tr>
        <w:tc>
          <w:tcPr>
            <w:tcW w:w="2127" w:type="dxa"/>
          </w:tcPr>
          <w:p>
            <w:pPr>
              <w:pStyle w:val="yTable"/>
              <w:rPr>
                <w:lang w:val="en-US"/>
              </w:rPr>
            </w:pPr>
            <w:r>
              <w:t>s. 3(1) (definition of “works”)</w:t>
            </w:r>
          </w:p>
        </w:tc>
        <w:tc>
          <w:tcPr>
            <w:tcW w:w="4958" w:type="dxa"/>
          </w:tcPr>
          <w:p>
            <w:pPr>
              <w:pStyle w:val="yTable"/>
            </w:pPr>
            <w:r>
              <w:t>Delete “includes waterworks, sewerage works, drainage works and irrigation works”,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means works,    ”.</w:t>
            </w:r>
          </w:p>
        </w:tc>
      </w:tr>
      <w:tr>
        <w:tc>
          <w:tcPr>
            <w:tcW w:w="2127" w:type="dxa"/>
          </w:tcPr>
          <w:p>
            <w:pPr>
              <w:pStyle w:val="yTable"/>
            </w:pPr>
          </w:p>
        </w:tc>
        <w:tc>
          <w:tcPr>
            <w:tcW w:w="4958" w:type="dxa"/>
          </w:tcPr>
          <w:p>
            <w:pPr>
              <w:pStyle w:val="yTable"/>
            </w:pPr>
            <w:r>
              <w:t>Delete “plant”,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plant,    ”.</w:t>
            </w:r>
          </w:p>
        </w:tc>
      </w:tr>
      <w:tr>
        <w:tc>
          <w:tcPr>
            <w:tcW w:w="2127" w:type="dxa"/>
          </w:tcPr>
          <w:p>
            <w:pPr>
              <w:pStyle w:val="yTable"/>
            </w:pPr>
          </w:p>
        </w:tc>
        <w:tc>
          <w:tcPr>
            <w:tcW w:w="4958" w:type="dxa"/>
          </w:tcPr>
          <w:p>
            <w:pPr>
              <w:pStyle w:val="yTable"/>
            </w:pPr>
            <w:r>
              <w:t>Delete “water services or by the Commission for the assessment, control or management of water resources”,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providing the water services specified in its operating licence</w:t>
            </w:r>
            <w:r>
              <w:tab/>
              <w:t>”.</w:t>
            </w:r>
          </w:p>
        </w:tc>
      </w:tr>
      <w:tr>
        <w:trPr>
          <w:trHeight w:val="240"/>
        </w:trPr>
        <w:tc>
          <w:tcPr>
            <w:tcW w:w="2127" w:type="dxa"/>
          </w:tcPr>
          <w:p>
            <w:pPr>
              <w:pStyle w:val="zyDefsubpara"/>
              <w:spacing w:before="60"/>
              <w:ind w:left="0" w:firstLine="0"/>
            </w:pPr>
            <w:r>
              <w:t>s. 34(1)</w:t>
            </w:r>
          </w:p>
        </w:tc>
        <w:tc>
          <w:tcPr>
            <w:tcW w:w="4961" w:type="dxa"/>
          </w:tcPr>
          <w:p>
            <w:pPr>
              <w:pStyle w:val="yTable"/>
            </w:pPr>
            <w:r>
              <w:t xml:space="preserve">Delete “the Commission, the Corporation or the Coordinator of their respective functions under this Act or any relevant Act.”, insert instead — </w:t>
            </w:r>
          </w:p>
          <w:p>
            <w:pPr>
              <w:pStyle w:val="yTable"/>
              <w:tabs>
                <w:tab w:val="right" w:pos="4820"/>
              </w:tabs>
              <w:ind w:left="429" w:right="-141" w:hanging="429"/>
            </w:pPr>
            <w:r>
              <w:t>“</w:t>
            </w:r>
            <w:r>
              <w:tab/>
              <w:t>the prescribed licensee of its functions under its operating licence.</w:t>
            </w:r>
            <w:r>
              <w:tab/>
              <w:t>”.</w:t>
            </w:r>
          </w:p>
        </w:tc>
      </w:tr>
      <w:tr>
        <w:tc>
          <w:tcPr>
            <w:tcW w:w="2127" w:type="dxa"/>
          </w:tcPr>
          <w:p>
            <w:pPr>
              <w:pStyle w:val="yTable"/>
              <w:spacing w:before="0"/>
            </w:pPr>
            <w:r>
              <w:t>s. 34(3)</w:t>
            </w:r>
          </w:p>
        </w:tc>
        <w:tc>
          <w:tcPr>
            <w:tcW w:w="4961" w:type="dxa"/>
          </w:tcPr>
          <w:p>
            <w:pPr>
              <w:pStyle w:val="yTable"/>
              <w:tabs>
                <w:tab w:val="right" w:pos="3406"/>
              </w:tabs>
            </w:pPr>
            <w:r>
              <w:t>In paragraph (b), delete “of the Commission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property under the control or management of</w:t>
            </w:r>
            <w:r>
              <w:tab/>
              <w:t>”.</w:t>
            </w:r>
          </w:p>
        </w:tc>
      </w:tr>
      <w:tr>
        <w:tc>
          <w:tcPr>
            <w:tcW w:w="2127" w:type="dxa"/>
          </w:tcPr>
          <w:p>
            <w:pPr>
              <w:pStyle w:val="yTable"/>
            </w:pPr>
          </w:p>
        </w:tc>
        <w:tc>
          <w:tcPr>
            <w:tcW w:w="4961" w:type="dxa"/>
          </w:tcPr>
          <w:p>
            <w:pPr>
              <w:pStyle w:val="yTable"/>
              <w:tabs>
                <w:tab w:val="right" w:pos="3406"/>
              </w:tabs>
            </w:pPr>
            <w:r>
              <w:t>In paragraph (k), delete “the Corporation’s”.</w:t>
            </w:r>
          </w:p>
        </w:tc>
      </w:tr>
      <w:tr>
        <w:tc>
          <w:tcPr>
            <w:tcW w:w="2127" w:type="dxa"/>
          </w:tcPr>
          <w:p>
            <w:pPr>
              <w:pStyle w:val="yTable"/>
            </w:pPr>
            <w:r>
              <w:t>s. 62(1)</w:t>
            </w:r>
          </w:p>
        </w:tc>
        <w:tc>
          <w:tcPr>
            <w:tcW w:w="4961" w:type="dxa"/>
          </w:tcPr>
          <w:p>
            <w:pPr>
              <w:pStyle w:val="yTable"/>
              <w:tabs>
                <w:tab w:val="right" w:pos="3406"/>
              </w:tabs>
            </w:pPr>
            <w:r>
              <w:t>Delete “the Act or”.</w:t>
            </w:r>
          </w:p>
        </w:tc>
      </w:tr>
      <w:tr>
        <w:trPr>
          <w:cantSplit/>
        </w:trPr>
        <w:tc>
          <w:tcPr>
            <w:tcW w:w="2127" w:type="dxa"/>
          </w:tcPr>
          <w:p>
            <w:pPr>
              <w:pStyle w:val="yTable"/>
              <w:keepNext/>
              <w:keepLines/>
            </w:pPr>
            <w:r>
              <w:t>s. 70</w:t>
            </w:r>
          </w:p>
        </w:tc>
        <w:tc>
          <w:tcPr>
            <w:tcW w:w="4961" w:type="dxa"/>
          </w:tcPr>
          <w:p>
            <w:pPr>
              <w:pStyle w:val="yTable"/>
              <w:keepNext/>
              <w:keepLines/>
              <w:tabs>
                <w:tab w:val="right" w:pos="3406"/>
              </w:tabs>
            </w:pPr>
            <w:r>
              <w:t>In subsections (1) and (2), delete “, premises or thing” in each place it occurs.</w:t>
            </w:r>
          </w:p>
        </w:tc>
      </w:tr>
      <w:tr>
        <w:tc>
          <w:tcPr>
            <w:tcW w:w="2127" w:type="dxa"/>
          </w:tcPr>
          <w:p>
            <w:pPr>
              <w:pStyle w:val="yTable"/>
              <w:keepNext/>
              <w:keepLines/>
            </w:pPr>
          </w:p>
        </w:tc>
        <w:tc>
          <w:tcPr>
            <w:tcW w:w="4961" w:type="dxa"/>
          </w:tcPr>
          <w:p>
            <w:pPr>
              <w:pStyle w:val="yTable"/>
              <w:keepNext/>
              <w:keepLines/>
              <w:tabs>
                <w:tab w:val="right" w:pos="3406"/>
              </w:tabs>
            </w:pPr>
            <w:r>
              <w:t>Insert after subsection (4), the following subsections </w:t>
            </w:r>
            <w:r>
              <w:rPr>
                <w:snapToGrid w:val="0"/>
              </w:rPr>
              <w:t>—</w:t>
            </w:r>
            <w:r>
              <w:t> </w:t>
            </w:r>
          </w:p>
        </w:tc>
      </w:tr>
      <w:tr>
        <w:tc>
          <w:tcPr>
            <w:tcW w:w="2127" w:type="dxa"/>
          </w:tcPr>
          <w:p>
            <w:pPr>
              <w:pStyle w:val="yTable"/>
              <w:keepNext/>
              <w:keepLines/>
            </w:pPr>
          </w:p>
        </w:tc>
        <w:tc>
          <w:tcPr>
            <w:tcW w:w="4961" w:type="dxa"/>
          </w:tcPr>
          <w:p>
            <w:pPr>
              <w:pStyle w:val="yTable"/>
              <w:keepNext/>
              <w:keepLines/>
              <w:tabs>
                <w:tab w:val="right" w:pos="3406"/>
              </w:tabs>
              <w:ind w:left="429" w:right="1" w:hanging="429"/>
            </w:pPr>
            <w:r>
              <w:t>“</w:t>
            </w:r>
            <w:r>
              <w:tab/>
              <w:t>   (5)  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
            </w:pPr>
          </w:p>
        </w:tc>
        <w:tc>
          <w:tcPr>
            <w:tcW w:w="4961" w:type="dxa"/>
          </w:tcPr>
          <w:p>
            <w:pPr>
              <w:pStyle w:val="yTable"/>
              <w:tabs>
                <w:tab w:val="right" w:pos="4820"/>
              </w:tabs>
              <w:ind w:left="429" w:right="-141" w:hanging="429"/>
            </w:pPr>
            <w:r>
              <w:tab/>
              <w:t xml:space="preserve">   (6)  On a referral under subsection (5), the arbitrator is to determine whether the exercise </w:t>
            </w:r>
            <w:r>
              <w:br/>
              <w:t>of the power of entry was unlawful and the compensation (if any) payable to the owner or occupier.</w:t>
            </w:r>
            <w:r>
              <w:tab/>
              <w:t>”.</w:t>
            </w:r>
          </w:p>
        </w:tc>
      </w:tr>
      <w:tr>
        <w:tc>
          <w:tcPr>
            <w:tcW w:w="2127" w:type="dxa"/>
          </w:tcPr>
          <w:p>
            <w:pPr>
              <w:pStyle w:val="yTable"/>
            </w:pPr>
            <w:r>
              <w:t>s. 71</w:t>
            </w:r>
          </w:p>
        </w:tc>
        <w:tc>
          <w:tcPr>
            <w:tcW w:w="4961" w:type="dxa"/>
          </w:tcPr>
          <w:p>
            <w:pPr>
              <w:pStyle w:val="yTable"/>
              <w:tabs>
                <w:tab w:val="right" w:pos="3406"/>
              </w:tabs>
            </w:pPr>
            <w:r>
              <w:t>In subsection (1), delete “this Act and any relevant Act”, substitute the following </w:t>
            </w:r>
            <w:r>
              <w:rPr>
                <w:snapToGrid w:val="0"/>
              </w:rPr>
              <w:t>—</w:t>
            </w:r>
            <w:r>
              <w:t> </w:t>
            </w:r>
          </w:p>
        </w:tc>
      </w:tr>
      <w:tr>
        <w:tc>
          <w:tcPr>
            <w:tcW w:w="2127" w:type="dxa"/>
          </w:tcPr>
          <w:p>
            <w:pPr>
              <w:pStyle w:val="yTable"/>
            </w:pPr>
          </w:p>
        </w:tc>
        <w:tc>
          <w:tcPr>
            <w:tcW w:w="4961" w:type="dxa"/>
          </w:tcPr>
          <w:p>
            <w:pPr>
              <w:pStyle w:val="yTable"/>
              <w:tabs>
                <w:tab w:val="right" w:pos="4395"/>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2981"/>
                <w:tab w:val="left" w:pos="3264"/>
                <w:tab w:val="right" w:pos="3406"/>
              </w:tabs>
            </w:pPr>
            <w:r>
              <w:t>In subsection (1)(a)(ii) delete “of the Commission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subsections (1)(a) and (b) and (3), delete “, premises or thing” in each place it occurs.</w:t>
            </w:r>
          </w:p>
        </w:tc>
      </w:tr>
      <w:tr>
        <w:tc>
          <w:tcPr>
            <w:tcW w:w="2127" w:type="dxa"/>
          </w:tcPr>
          <w:p>
            <w:pPr>
              <w:pStyle w:val="yTable"/>
            </w:pPr>
            <w:r>
              <w:t>s. 72(1), (2), (3), (6) &amp; (7)</w:t>
            </w:r>
          </w:p>
        </w:tc>
        <w:tc>
          <w:tcPr>
            <w:tcW w:w="4961" w:type="dxa"/>
          </w:tcPr>
          <w:p>
            <w:pPr>
              <w:pStyle w:val="yTable"/>
              <w:tabs>
                <w:tab w:val="left" w:pos="3264"/>
                <w:tab w:val="right" w:pos="3406"/>
              </w:tabs>
            </w:pPr>
            <w:r>
              <w:t>Delete “, premises or thing” in each place it occurs.</w:t>
            </w:r>
          </w:p>
        </w:tc>
      </w:tr>
      <w:tr>
        <w:tc>
          <w:tcPr>
            <w:tcW w:w="2127" w:type="dxa"/>
          </w:tcPr>
          <w:p>
            <w:pPr>
              <w:pStyle w:val="yTable"/>
            </w:pPr>
            <w:r>
              <w:t>s. 73(1)(b)</w:t>
            </w:r>
          </w:p>
        </w:tc>
        <w:tc>
          <w:tcPr>
            <w:tcW w:w="4961" w:type="dxa"/>
          </w:tcPr>
          <w:p>
            <w:pPr>
              <w:pStyle w:val="yTable"/>
              <w:tabs>
                <w:tab w:val="right" w:pos="3406"/>
              </w:tabs>
            </w:pPr>
            <w:r>
              <w:t>Delete from “the works” to the end of the paragraph, substitute the following </w:t>
            </w:r>
            <w:r>
              <w:rPr>
                <w:snapToGrid w:val="0"/>
              </w:rPr>
              <w:t>—</w:t>
            </w:r>
            <w:r>
              <w:t> </w:t>
            </w:r>
          </w:p>
          <w:p>
            <w:pPr>
              <w:pStyle w:val="yTable"/>
              <w:tabs>
                <w:tab w:val="right" w:pos="3406"/>
              </w:tabs>
              <w:ind w:left="429" w:right="1" w:hanging="429"/>
            </w:pPr>
            <w:r>
              <w:t>“</w:t>
            </w:r>
            <w:r>
              <w:tab/>
              <w:t>works;    ”.</w:t>
            </w:r>
          </w:p>
        </w:tc>
      </w:tr>
      <w:tr>
        <w:tc>
          <w:tcPr>
            <w:tcW w:w="2127" w:type="dxa"/>
          </w:tcPr>
          <w:p>
            <w:pPr>
              <w:pStyle w:val="yTable"/>
            </w:pPr>
            <w:r>
              <w:t>s. 83(1)</w:t>
            </w:r>
          </w:p>
        </w:tc>
        <w:tc>
          <w:tcPr>
            <w:tcW w:w="4961" w:type="dxa"/>
          </w:tcPr>
          <w:p>
            <w:pPr>
              <w:pStyle w:val="yTable"/>
              <w:tabs>
                <w:tab w:val="right" w:pos="3406"/>
              </w:tabs>
            </w:pPr>
            <w:r>
              <w:t>Delete “this Act or a relevant Act”, substitute the following </w:t>
            </w:r>
            <w:r>
              <w:rPr>
                <w:snapToGrid w:val="0"/>
              </w:rPr>
              <w:t>—</w:t>
            </w:r>
            <w:r>
              <w:t> </w:t>
            </w:r>
          </w:p>
        </w:tc>
      </w:tr>
      <w:tr>
        <w:tc>
          <w:tcPr>
            <w:tcW w:w="2127" w:type="dxa"/>
          </w:tcPr>
          <w:p>
            <w:pPr>
              <w:pStyle w:val="yTable"/>
            </w:pPr>
          </w:p>
        </w:tc>
        <w:tc>
          <w:tcPr>
            <w:tcW w:w="4961" w:type="dxa"/>
          </w:tcPr>
          <w:p>
            <w:pPr>
              <w:pStyle w:val="yTable"/>
              <w:tabs>
                <w:tab w:val="right" w:pos="3406"/>
              </w:tabs>
              <w:ind w:left="429" w:right="1" w:hanging="429"/>
            </w:pPr>
            <w:r>
              <w:t>“</w:t>
            </w:r>
            <w:r>
              <w:tab/>
              <w:t>its operating licence    ”.</w:t>
            </w:r>
          </w:p>
        </w:tc>
      </w:tr>
      <w:tr>
        <w:tc>
          <w:tcPr>
            <w:tcW w:w="2127" w:type="dxa"/>
          </w:tcPr>
          <w:p>
            <w:pPr>
              <w:pStyle w:val="yTable"/>
            </w:pPr>
          </w:p>
        </w:tc>
        <w:tc>
          <w:tcPr>
            <w:tcW w:w="4961" w:type="dxa"/>
          </w:tcPr>
          <w:p>
            <w:pPr>
              <w:pStyle w:val="yTable"/>
              <w:tabs>
                <w:tab w:val="right" w:pos="3406"/>
              </w:tabs>
            </w:pPr>
            <w:r>
              <w:t>Delete paragraph (a), substitute the following paragraph </w:t>
            </w:r>
            <w:r>
              <w:rPr>
                <w:snapToGrid w:val="0"/>
              </w:rPr>
              <w:t>—</w:t>
            </w:r>
            <w:r>
              <w:t> </w:t>
            </w:r>
          </w:p>
        </w:tc>
      </w:tr>
      <w:tr>
        <w:tc>
          <w:tcPr>
            <w:tcW w:w="2127" w:type="dxa"/>
          </w:tcPr>
          <w:p>
            <w:pPr>
              <w:pStyle w:val="yTable"/>
            </w:pPr>
          </w:p>
        </w:tc>
        <w:tc>
          <w:tcPr>
            <w:tcW w:w="4961" w:type="dxa"/>
          </w:tcPr>
          <w:p>
            <w:pPr>
              <w:pStyle w:val="yTable"/>
              <w:tabs>
                <w:tab w:val="left" w:pos="284"/>
                <w:tab w:val="right" w:pos="3406"/>
              </w:tabs>
              <w:ind w:left="851" w:hanging="851"/>
            </w:pPr>
            <w:r>
              <w:t>“</w:t>
            </w:r>
            <w:r>
              <w:tab/>
              <w:t>(a)</w:t>
            </w:r>
            <w:r>
              <w:tab/>
              <w:t>enter upon any land or street and acquire, provide or construct </w:t>
            </w:r>
            <w:r>
              <w:rPr>
                <w:snapToGrid w:val="0"/>
              </w:rPr>
              <w:t>—</w:t>
            </w:r>
            <w:r>
              <w:t> </w:t>
            </w:r>
          </w:p>
        </w:tc>
      </w:tr>
      <w:tr>
        <w:tc>
          <w:tcPr>
            <w:tcW w:w="2127" w:type="dxa"/>
          </w:tcPr>
          <w:p>
            <w:pPr>
              <w:pStyle w:val="yTable"/>
            </w:pPr>
          </w:p>
        </w:tc>
        <w:tc>
          <w:tcPr>
            <w:tcW w:w="4961" w:type="dxa"/>
          </w:tcPr>
          <w:p>
            <w:pPr>
              <w:pStyle w:val="yTable"/>
              <w:tabs>
                <w:tab w:val="left" w:pos="851"/>
                <w:tab w:val="right" w:pos="3406"/>
              </w:tabs>
              <w:ind w:left="1418" w:right="284" w:hanging="1418"/>
            </w:pPr>
            <w:r>
              <w:tab/>
              <w:t>(i)</w:t>
            </w:r>
            <w:r>
              <w:tab/>
              <w:t>irrigation works; or</w:t>
            </w:r>
          </w:p>
        </w:tc>
      </w:tr>
      <w:tr>
        <w:tc>
          <w:tcPr>
            <w:tcW w:w="2127" w:type="dxa"/>
          </w:tcPr>
          <w:p>
            <w:pPr>
              <w:pStyle w:val="yTable"/>
            </w:pPr>
          </w:p>
        </w:tc>
        <w:tc>
          <w:tcPr>
            <w:tcW w:w="4961" w:type="dxa"/>
          </w:tcPr>
          <w:p>
            <w:pPr>
              <w:pStyle w:val="yTable"/>
              <w:tabs>
                <w:tab w:val="left" w:pos="851"/>
                <w:tab w:val="right" w:pos="3406"/>
              </w:tabs>
              <w:ind w:left="1418" w:right="284" w:hanging="1418"/>
            </w:pPr>
            <w:r>
              <w:tab/>
              <w:t>(ii)</w:t>
            </w:r>
            <w:r>
              <w:tab/>
              <w:t>non</w:t>
            </w:r>
            <w:r>
              <w:noBreakHyphen/>
              <w:t>potable water supply works,</w:t>
            </w:r>
          </w:p>
        </w:tc>
      </w:tr>
      <w:tr>
        <w:tc>
          <w:tcPr>
            <w:tcW w:w="2127" w:type="dxa"/>
          </w:tcPr>
          <w:p>
            <w:pPr>
              <w:pStyle w:val="yTable"/>
            </w:pPr>
          </w:p>
        </w:tc>
        <w:tc>
          <w:tcPr>
            <w:tcW w:w="4961" w:type="dxa"/>
          </w:tcPr>
          <w:p>
            <w:pPr>
              <w:pStyle w:val="yTable"/>
              <w:tabs>
                <w:tab w:val="right" w:pos="4820"/>
              </w:tabs>
              <w:ind w:left="851" w:right="284" w:hanging="851"/>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
            </w:pPr>
            <w:r>
              <w:t>s. 83(2)</w:t>
            </w:r>
          </w:p>
        </w:tc>
        <w:tc>
          <w:tcPr>
            <w:tcW w:w="4961" w:type="dxa"/>
          </w:tcPr>
          <w:p>
            <w:pPr>
              <w:pStyle w:val="yTable"/>
              <w:tabs>
                <w:tab w:val="right" w:pos="3406"/>
              </w:tabs>
            </w:pPr>
            <w:r>
              <w:t>Delete “this Act or a relevant Act”,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3264"/>
                <w:tab w:val="right" w:pos="3406"/>
              </w:tabs>
            </w:pPr>
            <w:r>
              <w:t>In paragraph (a), delete “, 93, 94, 112 and 112A”,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and 93    ”.</w:t>
            </w:r>
          </w:p>
        </w:tc>
      </w:tr>
      <w:tr>
        <w:tc>
          <w:tcPr>
            <w:tcW w:w="2127" w:type="dxa"/>
          </w:tcPr>
          <w:p>
            <w:pPr>
              <w:pStyle w:val="yTable"/>
            </w:pPr>
            <w:r>
              <w:t>s. 86 (definition of “exempt works”)</w:t>
            </w:r>
          </w:p>
        </w:tc>
        <w:tc>
          <w:tcPr>
            <w:tcW w:w="4961" w:type="dxa"/>
          </w:tcPr>
          <w:p>
            <w:pPr>
              <w:pStyle w:val="yTable"/>
              <w:tabs>
                <w:tab w:val="right" w:pos="3406"/>
              </w:tabs>
            </w:pPr>
            <w:r>
              <w:t>In paragraph (c), delete “vested in the Commission or”, substitute the following </w:t>
            </w:r>
            <w:r>
              <w:rPr>
                <w:snapToGrid w:val="0"/>
              </w:rPr>
              <w:t>—</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r>
              <w:t>s. 102(2)</w:t>
            </w:r>
          </w:p>
        </w:tc>
        <w:tc>
          <w:tcPr>
            <w:tcW w:w="4961" w:type="dxa"/>
          </w:tcPr>
          <w:p>
            <w:pPr>
              <w:pStyle w:val="yTable"/>
              <w:tabs>
                <w:tab w:val="left" w:pos="3264"/>
                <w:tab w:val="right" w:pos="3406"/>
              </w:tabs>
            </w:pPr>
            <w:r>
              <w:t>Delete “during the office hours of the Corporation”, substitute the following </w:t>
            </w:r>
            <w:r>
              <w:rPr>
                <w:snapToGrid w:val="0"/>
              </w:rPr>
              <w:t>—</w:t>
            </w:r>
          </w:p>
        </w:tc>
      </w:tr>
      <w:tr>
        <w:tc>
          <w:tcPr>
            <w:tcW w:w="2127" w:type="dxa"/>
          </w:tcPr>
          <w:p>
            <w:pPr>
              <w:pStyle w:val="yTable"/>
            </w:pPr>
          </w:p>
        </w:tc>
        <w:tc>
          <w:tcPr>
            <w:tcW w:w="4961" w:type="dxa"/>
          </w:tcPr>
          <w:p>
            <w:pPr>
              <w:pStyle w:val="yTable"/>
              <w:tabs>
                <w:tab w:val="right" w:pos="4820"/>
              </w:tabs>
              <w:ind w:left="429" w:right="-141" w:hanging="429"/>
            </w:pPr>
            <w:r>
              <w:t>“</w:t>
            </w:r>
            <w:r>
              <w:tab/>
              <w:t>after reasonable notice has been given by the interested person</w:t>
            </w:r>
            <w:r>
              <w:tab/>
              <w:t>”.</w:t>
            </w:r>
          </w:p>
        </w:tc>
      </w:tr>
    </w:tbl>
    <w:p>
      <w:pPr>
        <w:pStyle w:val="yMiscellaneousHeading"/>
        <w:rPr>
          <w:b/>
          <w:sz w:val="24"/>
        </w:rPr>
      </w:pPr>
      <w:bookmarkStart w:id="40" w:name="_Toc527280020"/>
      <w:bookmarkStart w:id="41" w:name="_Toc62551007"/>
      <w:bookmarkStart w:id="42" w:name="_Toc62959695"/>
      <w:bookmarkStart w:id="43" w:name="_Toc62961119"/>
      <w:r>
        <w:rPr>
          <w:b/>
          <w:sz w:val="24"/>
        </w:rPr>
        <w:t>Division 2 — Rights in Water and Irrigation Act 1914</w:t>
      </w:r>
      <w:bookmarkEnd w:id="40"/>
      <w:bookmarkEnd w:id="41"/>
      <w:bookmarkEnd w:id="42"/>
      <w:bookmarkEnd w:id="43"/>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
            </w:pPr>
            <w:r>
              <w:t>s. 33</w:t>
            </w:r>
          </w:p>
        </w:tc>
        <w:tc>
          <w:tcPr>
            <w:tcW w:w="4958" w:type="dxa"/>
          </w:tcPr>
          <w:p>
            <w:pPr>
              <w:pStyle w:val="yTable"/>
              <w:tabs>
                <w:tab w:val="left" w:pos="429"/>
                <w:tab w:val="left" w:pos="713"/>
              </w:tabs>
              <w:ind w:left="4" w:right="-2"/>
            </w:pPr>
            <w:r>
              <w:t>Delete “any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s>
              <w:ind w:left="4" w:right="-2"/>
            </w:pPr>
            <w:r>
              <w:t>“</w:t>
            </w:r>
            <w:r>
              <w:tab/>
              <w:t>its operating area    ”.</w:t>
            </w:r>
          </w:p>
        </w:tc>
      </w:tr>
      <w:tr>
        <w:tc>
          <w:tcPr>
            <w:tcW w:w="2127" w:type="dxa"/>
          </w:tcPr>
          <w:p>
            <w:pPr>
              <w:pStyle w:val="yTable"/>
            </w:pPr>
            <w:r>
              <w:t>s. 36</w:t>
            </w:r>
          </w:p>
        </w:tc>
        <w:tc>
          <w:tcPr>
            <w:tcW w:w="4958" w:type="dxa"/>
          </w:tcPr>
          <w:p>
            <w:pPr>
              <w:pStyle w:val="yTable"/>
              <w:tabs>
                <w:tab w:val="left" w:pos="429"/>
                <w:tab w:val="left" w:pos="713"/>
              </w:tabs>
              <w:ind w:left="4" w:right="-2"/>
            </w:pPr>
            <w:r>
              <w:t xml:space="preserve">Delete “and of the </w:t>
            </w:r>
            <w:r>
              <w:rPr>
                <w:i/>
              </w:rPr>
              <w:t>Water Agencies (Powers) Act 1984</w:t>
            </w:r>
            <w:r>
              <w:t>”.</w:t>
            </w:r>
          </w:p>
        </w:tc>
      </w:tr>
      <w:tr>
        <w:tc>
          <w:tcPr>
            <w:tcW w:w="2127" w:type="dxa"/>
          </w:tcPr>
          <w:p>
            <w:pPr>
              <w:pStyle w:val="yTable"/>
            </w:pPr>
            <w:r>
              <w:t>s. 37</w:t>
            </w:r>
          </w:p>
        </w:tc>
        <w:tc>
          <w:tcPr>
            <w:tcW w:w="4958" w:type="dxa"/>
          </w:tcPr>
          <w:p>
            <w:pPr>
              <w:pStyle w:val="yTable"/>
              <w:tabs>
                <w:tab w:val="left" w:pos="429"/>
                <w:tab w:val="left" w:pos="713"/>
                <w:tab w:val="right" w:pos="3406"/>
              </w:tabs>
              <w:ind w:left="4" w:right="-2"/>
            </w:pPr>
            <w:r>
              <w:t xml:space="preserve">Delete “under the provisions of the </w:t>
            </w:r>
            <w:r>
              <w:rPr>
                <w:i/>
              </w:rPr>
              <w:t>Commercial Arbitration Act 1985</w:t>
            </w:r>
            <w:r>
              <w:t>.”, substitute the following </w:t>
            </w:r>
            <w:r>
              <w:rPr>
                <w:snapToGrid w:val="0"/>
              </w:rPr>
              <w:t>—</w:t>
            </w:r>
            <w:r>
              <w:t> </w:t>
            </w:r>
          </w:p>
          <w:p>
            <w:pPr>
              <w:pStyle w:val="yTable"/>
              <w:tabs>
                <w:tab w:val="right" w:pos="4536"/>
              </w:tabs>
              <w:ind w:left="429" w:right="1" w:hanging="429"/>
            </w:pPr>
            <w:r>
              <w:t>“</w:t>
            </w:r>
            <w:r>
              <w:tab/>
              <w:t>in accordance with the operating licence.</w:t>
            </w:r>
            <w:r>
              <w:tab/>
              <w:t>”.</w:t>
            </w:r>
          </w:p>
        </w:tc>
      </w:tr>
      <w:tr>
        <w:tc>
          <w:tcPr>
            <w:tcW w:w="2127" w:type="dxa"/>
          </w:tcPr>
          <w:p>
            <w:pPr>
              <w:pStyle w:val="yTable"/>
            </w:pPr>
            <w:r>
              <w:t>s. 42(1)</w:t>
            </w:r>
          </w:p>
        </w:tc>
        <w:tc>
          <w:tcPr>
            <w:tcW w:w="4958" w:type="dxa"/>
          </w:tcPr>
          <w:p>
            <w:pPr>
              <w:pStyle w:val="yTable"/>
              <w:tabs>
                <w:tab w:val="left" w:pos="429"/>
                <w:tab w:val="left" w:pos="713"/>
                <w:tab w:val="right" w:pos="3406"/>
              </w:tabs>
              <w:ind w:left="4" w:right="-2"/>
            </w:pPr>
            <w:r>
              <w:t>Delete “the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 w:val="right" w:pos="3406"/>
              </w:tabs>
              <w:ind w:left="4" w:right="-2"/>
            </w:pPr>
            <w:r>
              <w:t>“</w:t>
            </w:r>
            <w:r>
              <w:tab/>
              <w:t>an operating area    ”.</w:t>
            </w:r>
          </w:p>
        </w:tc>
      </w:tr>
      <w:tr>
        <w:tc>
          <w:tcPr>
            <w:tcW w:w="2127" w:type="dxa"/>
          </w:tcPr>
          <w:p>
            <w:pPr>
              <w:pStyle w:val="yTable"/>
            </w:pPr>
          </w:p>
        </w:tc>
        <w:tc>
          <w:tcPr>
            <w:tcW w:w="4958" w:type="dxa"/>
          </w:tcPr>
          <w:p>
            <w:pPr>
              <w:pStyle w:val="yTable"/>
              <w:tabs>
                <w:tab w:val="left" w:pos="429"/>
                <w:tab w:val="left" w:pos="713"/>
                <w:tab w:val="right" w:pos="3406"/>
              </w:tabs>
              <w:ind w:left="4" w:right="-2"/>
            </w:pPr>
            <w:r>
              <w:t>Delete “alone”.</w:t>
            </w:r>
          </w:p>
        </w:tc>
      </w:tr>
      <w:tr>
        <w:tc>
          <w:tcPr>
            <w:tcW w:w="2127" w:type="dxa"/>
          </w:tcPr>
          <w:p>
            <w:pPr>
              <w:pStyle w:val="yTable"/>
              <w:keepNext/>
            </w:pPr>
          </w:p>
        </w:tc>
        <w:tc>
          <w:tcPr>
            <w:tcW w:w="4958" w:type="dxa"/>
          </w:tcPr>
          <w:p>
            <w:pPr>
              <w:pStyle w:val="yTable"/>
              <w:keepNext/>
              <w:tabs>
                <w:tab w:val="left" w:pos="429"/>
                <w:tab w:val="left" w:pos="713"/>
                <w:tab w:val="right" w:pos="3406"/>
              </w:tabs>
              <w:ind w:left="4" w:right="-2"/>
            </w:pPr>
            <w:r>
              <w:t>In the proviso </w:t>
            </w:r>
            <w:r>
              <w:rPr>
                <w:snapToGrid w:val="0"/>
              </w:rPr>
              <w:t>—</w:t>
            </w:r>
            <w:r>
              <w:t> </w:t>
            </w:r>
          </w:p>
        </w:tc>
      </w:tr>
      <w:tr>
        <w:tc>
          <w:tcPr>
            <w:tcW w:w="2127" w:type="dxa"/>
          </w:tcPr>
          <w:p>
            <w:pPr>
              <w:pStyle w:val="yTable"/>
              <w:keepNext/>
            </w:pPr>
          </w:p>
        </w:tc>
        <w:tc>
          <w:tcPr>
            <w:tcW w:w="4958" w:type="dxa"/>
          </w:tcPr>
          <w:p>
            <w:pPr>
              <w:pStyle w:val="yTable"/>
              <w:keepNext/>
              <w:tabs>
                <w:tab w:val="left" w:pos="284"/>
                <w:tab w:val="left" w:pos="851"/>
                <w:tab w:val="right" w:pos="3406"/>
              </w:tabs>
              <w:ind w:left="851" w:right="-2" w:hanging="847"/>
            </w:pPr>
            <w:r>
              <w:tab/>
              <w:t>(a)</w:t>
            </w:r>
            <w:r>
              <w:tab/>
              <w:t>insert after “for such purposes,” the following </w:t>
            </w:r>
            <w:r>
              <w:rPr>
                <w:snapToGrid w:val="0"/>
              </w:rPr>
              <w:t>—</w:t>
            </w:r>
            <w:r>
              <w:t> </w:t>
            </w:r>
          </w:p>
        </w:tc>
      </w:tr>
      <w:tr>
        <w:tc>
          <w:tcPr>
            <w:tcW w:w="2127" w:type="dxa"/>
          </w:tcPr>
          <w:p>
            <w:pPr>
              <w:pStyle w:val="yTable"/>
            </w:pPr>
          </w:p>
        </w:tc>
        <w:tc>
          <w:tcPr>
            <w:tcW w:w="4958" w:type="dxa"/>
          </w:tcPr>
          <w:p>
            <w:pPr>
              <w:pStyle w:val="yTable"/>
              <w:tabs>
                <w:tab w:val="left" w:pos="851"/>
                <w:tab w:val="right" w:pos="4820"/>
              </w:tabs>
              <w:ind w:left="1276" w:right="-144" w:hanging="1272"/>
            </w:pPr>
            <w:r>
              <w:tab/>
              <w:t>“</w:t>
            </w:r>
            <w:r>
              <w:tab/>
              <w:t>as are authorised by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(b)</w:t>
            </w:r>
            <w:r>
              <w:tab/>
              <w:t>delete “or beyond the boundaries of an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851"/>
                <w:tab w:val="left" w:pos="1276"/>
                <w:tab w:val="right" w:pos="3402"/>
              </w:tabs>
              <w:ind w:left="1276" w:right="-2" w:hanging="1272"/>
            </w:pPr>
            <w:r>
              <w:tab/>
              <w:t>“</w:t>
            </w:r>
            <w:r>
              <w:tab/>
              <w:t>its operating area</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(c)</w:t>
            </w:r>
            <w:r>
              <w:tab/>
              <w:t>insert after “other persons,”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subject to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(d)</w:t>
            </w:r>
            <w:r>
              <w:tab/>
              <w:t>delete “the by</w:t>
            </w:r>
            <w:r>
              <w:noBreakHyphen/>
              <w:t>laws and payment of the prescribed charges”, substitute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its operating licence     ”.</w:t>
            </w:r>
          </w:p>
        </w:tc>
      </w:tr>
      <w:tr>
        <w:tc>
          <w:tcPr>
            <w:tcW w:w="2127" w:type="dxa"/>
          </w:tcPr>
          <w:p>
            <w:pPr>
              <w:pStyle w:val="yTable"/>
            </w:pPr>
            <w:r>
              <w:t>s. 42A(1)</w:t>
            </w:r>
          </w:p>
        </w:tc>
        <w:tc>
          <w:tcPr>
            <w:tcW w:w="4958" w:type="dxa"/>
          </w:tcPr>
          <w:p>
            <w:pPr>
              <w:pStyle w:val="yTable"/>
              <w:tabs>
                <w:tab w:val="left" w:pos="429"/>
                <w:tab w:val="left" w:pos="713"/>
                <w:tab w:val="left" w:pos="3122"/>
                <w:tab w:val="right" w:pos="3406"/>
              </w:tabs>
              <w:ind w:left="4" w:right="-2"/>
            </w:pPr>
            <w:r>
              <w:t>Delete “the provisions of this Act”,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its operating licence    ”.</w:t>
            </w:r>
          </w:p>
        </w:tc>
      </w:tr>
      <w:tr>
        <w:tc>
          <w:tcPr>
            <w:tcW w:w="2127" w:type="dxa"/>
          </w:tcPr>
          <w:p>
            <w:pPr>
              <w:pStyle w:val="yTable"/>
            </w:pPr>
            <w:r>
              <w:t>s. 71</w:t>
            </w:r>
          </w:p>
        </w:tc>
        <w:tc>
          <w:tcPr>
            <w:tcW w:w="4958" w:type="dxa"/>
          </w:tcPr>
          <w:p>
            <w:pPr>
              <w:pStyle w:val="yTable"/>
              <w:tabs>
                <w:tab w:val="left" w:pos="429"/>
                <w:tab w:val="left" w:pos="713"/>
                <w:tab w:val="right" w:pos="3406"/>
              </w:tabs>
              <w:ind w:left="4" w:right="-2"/>
            </w:pPr>
            <w:r>
              <w:t>Delete “vested in or under the control of the Commission or”, substitute the following </w:t>
            </w:r>
            <w:r>
              <w:rPr>
                <w:snapToGrid w:val="0"/>
              </w:rPr>
              <w:t>—</w:t>
            </w:r>
            <w:r>
              <w:t> </w:t>
            </w:r>
          </w:p>
          <w:p>
            <w:pPr>
              <w:pStyle w:val="yTable"/>
              <w:tabs>
                <w:tab w:val="right" w:pos="4111"/>
              </w:tabs>
              <w:ind w:left="429" w:right="1" w:hanging="429"/>
            </w:pPr>
            <w:r>
              <w:t>“</w:t>
            </w:r>
            <w:r>
              <w:tab/>
              <w:t>under the control or management of</w:t>
            </w:r>
            <w:r>
              <w:tab/>
              <w:t>”.</w:t>
            </w:r>
          </w:p>
          <w:p>
            <w:pPr>
              <w:pStyle w:val="yTable"/>
              <w:tabs>
                <w:tab w:val="left" w:pos="429"/>
                <w:tab w:val="left" w:pos="713"/>
                <w:tab w:val="right" w:pos="3406"/>
              </w:tabs>
              <w:ind w:left="4" w:right="-2"/>
            </w:pPr>
            <w:r>
              <w:t>Delete “and to be imprisoned for any period not exceeding 6 months”.</w:t>
            </w:r>
          </w:p>
        </w:tc>
      </w:tr>
    </w:tbl>
    <w:p>
      <w:pPr>
        <w:pStyle w:val="yFootnotesection"/>
      </w:pPr>
      <w:r>
        <w:tab/>
        <w:t>[Schedule 1 amended in Gazette 9 Jul 1999 p. 3092; 31 Jul 2001 p. 3925.]</w:t>
      </w:r>
    </w:p>
    <w:p>
      <w:pPr>
        <w:pStyle w:val="yScheduleHeading"/>
      </w:pPr>
      <w:bookmarkStart w:id="44" w:name="_Toc527280021"/>
      <w:bookmarkStart w:id="45" w:name="_Toc119121878"/>
      <w:bookmarkStart w:id="46" w:name="_Toc119122736"/>
      <w:r>
        <w:rPr>
          <w:rStyle w:val="CharSchNo"/>
        </w:rPr>
        <w:t>Schedule 1A</w:t>
      </w:r>
      <w:r>
        <w:t> — </w:t>
      </w:r>
      <w:r>
        <w:rPr>
          <w:rStyle w:val="CharSchText"/>
        </w:rPr>
        <w:t>Modification of enactments (Hamersley Iron Pty Ltd)</w:t>
      </w:r>
      <w:bookmarkEnd w:id="44"/>
      <w:bookmarkEnd w:id="45"/>
      <w:bookmarkEnd w:id="46"/>
    </w:p>
    <w:p>
      <w:pPr>
        <w:pStyle w:val="yShoulderClause"/>
      </w:pPr>
      <w:r>
        <w:t>[r. 5(2)]</w:t>
      </w:r>
    </w:p>
    <w:p>
      <w:pPr>
        <w:pStyle w:val="yMiscellaneousHeading"/>
        <w:rPr>
          <w:b/>
          <w:sz w:val="24"/>
        </w:rPr>
      </w:pPr>
      <w:bookmarkStart w:id="47" w:name="_Toc527280022"/>
      <w:bookmarkStart w:id="48" w:name="_Toc62551009"/>
      <w:bookmarkStart w:id="49" w:name="_Toc62959697"/>
      <w:bookmarkStart w:id="50" w:name="_Toc62961121"/>
      <w:r>
        <w:rPr>
          <w:b/>
          <w:sz w:val="24"/>
        </w:rPr>
        <w:t>Division 1 — Water Agencies (Powers) Act 1984</w:t>
      </w:r>
      <w:bookmarkEnd w:id="47"/>
      <w:bookmarkEnd w:id="48"/>
      <w:bookmarkEnd w:id="49"/>
      <w:bookmarkEnd w:id="50"/>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pPr>
            <w:r>
              <w:t>s. 3(1) (definition of “officer”)</w:t>
            </w:r>
          </w:p>
        </w:tc>
        <w:tc>
          <w:tcPr>
            <w:tcW w:w="4961" w:type="dxa"/>
          </w:tcPr>
          <w:p>
            <w:pPr>
              <w:pStyle w:val="yTable"/>
            </w:pPr>
            <w:r>
              <w:t xml:space="preserve">In paragraph (b), delete “engaged under section 15 of the </w:t>
            </w:r>
            <w:r>
              <w:rPr>
                <w:i/>
              </w:rPr>
              <w:t>Water Corporation Act 1995</w:t>
            </w:r>
            <w:r>
              <w:t>”.</w:t>
            </w:r>
          </w:p>
        </w:tc>
      </w:tr>
      <w:tr>
        <w:trPr>
          <w:cantSplit/>
        </w:trPr>
        <w:tc>
          <w:tcPr>
            <w:tcW w:w="2127" w:type="dxa"/>
          </w:tcPr>
          <w:p>
            <w:pPr>
              <w:pStyle w:val="yTable"/>
            </w:pPr>
            <w:r>
              <w:t>s. 3(1) (definition of “works”)</w:t>
            </w:r>
          </w:p>
        </w:tc>
        <w:tc>
          <w:tcPr>
            <w:tcW w:w="4961" w:type="dxa"/>
          </w:tcPr>
          <w:p>
            <w:pPr>
              <w:pStyle w:val="yTable"/>
            </w:pPr>
            <w:r>
              <w:t xml:space="preserve">Delete “water services or by the Commission for the assessment, control or management of water resources”, insert instead — </w:t>
            </w:r>
          </w:p>
          <w:p>
            <w:pPr>
              <w:pStyle w:val="MiscOpen"/>
              <w:keepNext w:val="0"/>
              <w:keepLines w:val="0"/>
              <w:rPr>
                <w:sz w:val="22"/>
              </w:rPr>
            </w:pPr>
            <w:r>
              <w:rPr>
                <w:sz w:val="22"/>
              </w:rPr>
              <w:t xml:space="preserve">“    </w:t>
            </w:r>
          </w:p>
          <w:p>
            <w:pPr>
              <w:pStyle w:val="yTable"/>
              <w:ind w:left="459" w:right="317"/>
            </w:pPr>
            <w:r>
              <w:t>providing the water services specified in its operating licence</w:t>
            </w:r>
          </w:p>
          <w:p>
            <w:pPr>
              <w:pStyle w:val="MiscClose"/>
              <w:keepLines w:val="0"/>
              <w:ind w:right="-108"/>
            </w:pPr>
            <w:r>
              <w:t xml:space="preserve">    ”.</w:t>
            </w:r>
          </w:p>
        </w:tc>
      </w:tr>
      <w:tr>
        <w:trPr>
          <w:cantSplit/>
        </w:trPr>
        <w:tc>
          <w:tcPr>
            <w:tcW w:w="2127" w:type="dxa"/>
          </w:tcPr>
          <w:p>
            <w:pPr>
              <w:pStyle w:val="yTable"/>
            </w:pPr>
            <w:r>
              <w:t>s. 34(1)</w:t>
            </w:r>
          </w:p>
        </w:tc>
        <w:tc>
          <w:tcPr>
            <w:tcW w:w="4961" w:type="dxa"/>
          </w:tcPr>
          <w:p>
            <w:pPr>
              <w:pStyle w:val="yTable"/>
            </w:pPr>
            <w:r>
              <w:t xml:space="preserve">Delete “the Commission, the Corporation or the Coordinator of their respective functions under this Act or any relevant Act.”, insert instead — </w:t>
            </w:r>
          </w:p>
          <w:p>
            <w:pPr>
              <w:pStyle w:val="MiscOpen"/>
              <w:rPr>
                <w:sz w:val="22"/>
              </w:rPr>
            </w:pPr>
            <w:r>
              <w:rPr>
                <w:sz w:val="22"/>
              </w:rPr>
              <w:t xml:space="preserve">“    </w:t>
            </w:r>
          </w:p>
          <w:p>
            <w:pPr>
              <w:pStyle w:val="yTable"/>
              <w:ind w:left="459" w:right="317"/>
            </w:pPr>
            <w:r>
              <w:t>the prescribed licensee of its functions under its operating licence.</w:t>
            </w:r>
          </w:p>
          <w:p>
            <w:pPr>
              <w:pStyle w:val="MiscClose"/>
              <w:ind w:right="-108"/>
            </w:pPr>
            <w:r>
              <w:t xml:space="preserve">    ”.</w:t>
            </w:r>
          </w:p>
        </w:tc>
      </w:tr>
      <w:tr>
        <w:trPr>
          <w:cantSplit/>
        </w:trPr>
        <w:tc>
          <w:tcPr>
            <w:tcW w:w="2127" w:type="dxa"/>
          </w:tcPr>
          <w:p>
            <w:pPr>
              <w:pStyle w:val="yTable"/>
            </w:pPr>
            <w:r>
              <w:t>s. 41(1)</w:t>
            </w:r>
          </w:p>
        </w:tc>
        <w:tc>
          <w:tcPr>
            <w:tcW w:w="4961" w:type="dxa"/>
          </w:tcPr>
          <w:p>
            <w:pPr>
              <w:pStyle w:val="yTable"/>
            </w:pPr>
            <w:r>
              <w:t xml:space="preserve">Delete “this Act and any relevant Act”, insert instead — </w:t>
            </w:r>
          </w:p>
          <w:p>
            <w:pPr>
              <w:pStyle w:val="yTable"/>
            </w:pPr>
            <w:r>
              <w:t>“    its operating licence    ”.</w:t>
            </w:r>
          </w:p>
        </w:tc>
      </w:tr>
      <w:tr>
        <w:trPr>
          <w:cantSplit/>
        </w:trPr>
        <w:tc>
          <w:tcPr>
            <w:tcW w:w="2127" w:type="dxa"/>
          </w:tcPr>
          <w:p>
            <w:pPr>
              <w:pStyle w:val="yTable"/>
            </w:pPr>
            <w:r>
              <w:t>s. 70</w:t>
            </w:r>
          </w:p>
        </w:tc>
        <w:tc>
          <w:tcPr>
            <w:tcW w:w="4961" w:type="dxa"/>
          </w:tcPr>
          <w:p>
            <w:pPr>
              <w:pStyle w:val="yTable"/>
            </w:pPr>
            <w:r>
              <w:t xml:space="preserve">Insert after subsection (4), the following subsections — </w:t>
            </w:r>
          </w:p>
          <w:p>
            <w:pPr>
              <w:pStyle w:val="yTable"/>
            </w:pPr>
            <w:r>
              <w:t xml:space="preserve">“    </w:t>
            </w:r>
          </w:p>
          <w:p>
            <w:pPr>
              <w:pStyle w:val="Subsection"/>
            </w:pPr>
            <w:r>
              <w:rPr>
                <w:sz w:val="22"/>
              </w:rPr>
              <w:tab/>
              <w:t>(5)</w:t>
            </w:r>
            <w:r>
              <w:rPr>
                <w:sz w:val="22"/>
              </w:rP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
            </w:pPr>
          </w:p>
        </w:tc>
        <w:tc>
          <w:tcPr>
            <w:tcW w:w="4961" w:type="dxa"/>
          </w:tcPr>
          <w:p>
            <w:pPr>
              <w:pStyle w:val="Subsection"/>
            </w:pPr>
            <w:r>
              <w:rPr>
                <w:sz w:val="22"/>
              </w:rPr>
              <w:tab/>
              <w:t>(6)</w:t>
            </w:r>
            <w:r>
              <w:rPr>
                <w:sz w:val="22"/>
              </w:rPr>
              <w:tab/>
              <w:t>On a referral under subsection (5), the arbitrator is to determine whether the exercise of the power of entry was unlawful and the compensation (if any) payable to the owner or occupier.</w:t>
            </w:r>
          </w:p>
          <w:p>
            <w:pPr>
              <w:pStyle w:val="Subsection"/>
              <w:ind w:right="-108"/>
              <w:jc w:val="right"/>
            </w:pPr>
            <w:r>
              <w:t xml:space="preserve">    ”.</w:t>
            </w:r>
          </w:p>
        </w:tc>
      </w:tr>
      <w:tr>
        <w:trPr>
          <w:cantSplit/>
        </w:trPr>
        <w:tc>
          <w:tcPr>
            <w:tcW w:w="2127" w:type="dxa"/>
          </w:tcPr>
          <w:p>
            <w:pPr>
              <w:pStyle w:val="yTable"/>
            </w:pPr>
            <w:r>
              <w:t>s. 71(1)</w:t>
            </w:r>
          </w:p>
        </w:tc>
        <w:tc>
          <w:tcPr>
            <w:tcW w:w="4961" w:type="dxa"/>
          </w:tcPr>
          <w:p>
            <w:pPr>
              <w:pStyle w:val="yTable"/>
            </w:pPr>
            <w:r>
              <w:t xml:space="preserve">Delete “this Act and any relevant Act”, insert instead — </w:t>
            </w:r>
          </w:p>
          <w:p>
            <w:pPr>
              <w:pStyle w:val="MiscClose"/>
              <w:ind w:right="-108"/>
              <w:jc w:val="left"/>
            </w:pPr>
            <w:r>
              <w:rPr>
                <w:sz w:val="22"/>
              </w:rPr>
              <w:t>“    its functions under its operating licence</w:t>
            </w:r>
            <w:r>
              <w:t xml:space="preserve">    ”.</w:t>
            </w:r>
          </w:p>
        </w:tc>
      </w:tr>
      <w:tr>
        <w:trPr>
          <w:cantSplit/>
        </w:trPr>
        <w:tc>
          <w:tcPr>
            <w:tcW w:w="2127" w:type="dxa"/>
          </w:tcPr>
          <w:p>
            <w:pPr>
              <w:pStyle w:val="yTable"/>
            </w:pPr>
            <w:r>
              <w:t>s. 83(1)</w:t>
            </w:r>
          </w:p>
        </w:tc>
        <w:tc>
          <w:tcPr>
            <w:tcW w:w="4961" w:type="dxa"/>
          </w:tcPr>
          <w:p>
            <w:pPr>
              <w:pStyle w:val="yTable"/>
            </w:pPr>
            <w:r>
              <w:t xml:space="preserve">Delete “this Act or a relevant Act”, insert instead — </w:t>
            </w:r>
          </w:p>
          <w:p>
            <w:pPr>
              <w:pStyle w:val="yTable"/>
            </w:pPr>
            <w:r>
              <w:t>“    its operating licence    ”.</w:t>
            </w:r>
          </w:p>
        </w:tc>
      </w:tr>
      <w:tr>
        <w:trPr>
          <w:cantSplit/>
        </w:trPr>
        <w:tc>
          <w:tcPr>
            <w:tcW w:w="2127" w:type="dxa"/>
          </w:tcPr>
          <w:p>
            <w:pPr>
              <w:pStyle w:val="yTable"/>
            </w:pPr>
            <w:r>
              <w:t>s. 83(2)</w:t>
            </w:r>
          </w:p>
        </w:tc>
        <w:tc>
          <w:tcPr>
            <w:tcW w:w="4961" w:type="dxa"/>
          </w:tcPr>
          <w:p>
            <w:pPr>
              <w:pStyle w:val="yTable"/>
            </w:pPr>
            <w:r>
              <w:t xml:space="preserve">Delete “this Act or a relevant Act”, insert instead — </w:t>
            </w:r>
          </w:p>
          <w:p>
            <w:pPr>
              <w:pStyle w:val="MiscClose"/>
              <w:ind w:right="-108"/>
              <w:jc w:val="left"/>
            </w:pPr>
            <w:r>
              <w:rPr>
                <w:sz w:val="22"/>
              </w:rPr>
              <w:t>“    its functions under its operating licence</w:t>
            </w:r>
            <w:r>
              <w:t xml:space="preserve">    ”.</w:t>
            </w:r>
          </w:p>
        </w:tc>
      </w:tr>
    </w:tbl>
    <w:p>
      <w:pPr>
        <w:pStyle w:val="yMiscellaneousHeading"/>
        <w:rPr>
          <w:b/>
          <w:sz w:val="24"/>
        </w:rPr>
      </w:pPr>
      <w:bookmarkStart w:id="51" w:name="_Toc527280023"/>
      <w:bookmarkStart w:id="52" w:name="_Toc62551010"/>
      <w:bookmarkStart w:id="53" w:name="_Toc62959698"/>
      <w:bookmarkStart w:id="54" w:name="_Toc62961122"/>
      <w:r>
        <w:rPr>
          <w:b/>
          <w:sz w:val="24"/>
        </w:rPr>
        <w:t>Division 2 — Country Areas Water Supply Act 1947</w:t>
      </w:r>
      <w:bookmarkEnd w:id="51"/>
      <w:bookmarkEnd w:id="52"/>
      <w:bookmarkEnd w:id="53"/>
      <w:bookmarkEnd w:id="54"/>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11(1)</w:t>
            </w:r>
          </w:p>
        </w:tc>
        <w:tc>
          <w:tcPr>
            <w:tcW w:w="4961" w:type="dxa"/>
          </w:tcPr>
          <w:p>
            <w:pPr>
              <w:pStyle w:val="yTable"/>
              <w:spacing w:line="260" w:lineRule="atLeast"/>
            </w:pPr>
            <w:r>
              <w:t xml:space="preserve">Insert after “water reserve” in the first place where it occurs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28(2)</w:t>
            </w:r>
          </w:p>
        </w:tc>
        <w:tc>
          <w:tcPr>
            <w:tcW w:w="4961" w:type="dxa"/>
          </w:tcPr>
          <w:p>
            <w:pPr>
              <w:pStyle w:val="yTable"/>
              <w:spacing w:line="260" w:lineRule="atLeast"/>
            </w:pPr>
            <w:r>
              <w:t xml:space="preserve">Delete “a country water area”, insert instead — </w:t>
            </w:r>
          </w:p>
          <w:p>
            <w:pPr>
              <w:pStyle w:val="yTable"/>
              <w:spacing w:line="260" w:lineRule="atLeast"/>
            </w:pPr>
            <w:r>
              <w:t>“    its operating area    ”.</w:t>
            </w:r>
          </w:p>
        </w:tc>
      </w:tr>
      <w:tr>
        <w:trPr>
          <w:cantSplit/>
        </w:trPr>
        <w:tc>
          <w:tcPr>
            <w:tcW w:w="2127" w:type="dxa"/>
          </w:tcPr>
          <w:p>
            <w:pPr>
              <w:pStyle w:val="yTable"/>
              <w:spacing w:line="260" w:lineRule="atLeast"/>
            </w:pPr>
            <w:r>
              <w:t>s. 30(1)</w:t>
            </w:r>
          </w:p>
        </w:tc>
        <w:tc>
          <w:tcPr>
            <w:tcW w:w="4961" w:type="dxa"/>
          </w:tcPr>
          <w:p>
            <w:pPr>
              <w:pStyle w:val="yTable"/>
              <w:spacing w:line="260" w:lineRule="atLeast"/>
            </w:pPr>
            <w:r>
              <w:t xml:space="preserve">Delete “a country water area”, insert instead — </w:t>
            </w:r>
          </w:p>
          <w:p>
            <w:pPr>
              <w:pStyle w:val="MiscClose"/>
              <w:tabs>
                <w:tab w:val="clear" w:pos="893"/>
                <w:tab w:val="left" w:pos="317"/>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before="0" w:line="260" w:lineRule="atLeast"/>
            </w:pPr>
            <w:r>
              <w:t>s. 40</w:t>
            </w:r>
          </w:p>
        </w:tc>
        <w:tc>
          <w:tcPr>
            <w:tcW w:w="4961" w:type="dxa"/>
          </w:tcPr>
          <w:p>
            <w:pPr>
              <w:pStyle w:val="yTable"/>
              <w:spacing w:line="260" w:lineRule="atLeast"/>
            </w:pPr>
            <w:r>
              <w:t xml:space="preserve">Delete “this Act”, insert instead — </w:t>
            </w:r>
          </w:p>
          <w:p>
            <w:pPr>
              <w:pStyle w:val="MiscClose"/>
              <w:tabs>
                <w:tab w:val="clear" w:pos="893"/>
                <w:tab w:val="left" w:pos="317"/>
              </w:tabs>
              <w:spacing w:before="60"/>
              <w:ind w:left="884" w:right="-108" w:hanging="884"/>
              <w:jc w:val="left"/>
            </w:pPr>
            <w:r>
              <w:rPr>
                <w:sz w:val="22"/>
              </w:rPr>
              <w:t>“    the prescribed licensee’s operating licence</w:t>
            </w:r>
            <w:r>
              <w:t xml:space="preserve">    ”.</w:t>
            </w:r>
          </w:p>
        </w:tc>
      </w:tr>
      <w:tr>
        <w:trPr>
          <w:cantSplit/>
        </w:trPr>
        <w:tc>
          <w:tcPr>
            <w:tcW w:w="2127" w:type="dxa"/>
          </w:tcPr>
          <w:p>
            <w:pPr>
              <w:pStyle w:val="yTable"/>
              <w:spacing w:line="260" w:lineRule="atLeast"/>
            </w:pPr>
            <w:r>
              <w:t>s. 42(1)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line="260" w:lineRule="atLeast"/>
            </w:pPr>
            <w:r>
              <w:t>s. 43A(1)</w:t>
            </w:r>
          </w:p>
        </w:tc>
        <w:tc>
          <w:tcPr>
            <w:tcW w:w="4961" w:type="dxa"/>
          </w:tcPr>
          <w:p>
            <w:pPr>
              <w:pStyle w:val="yTable"/>
              <w:spacing w:line="260" w:lineRule="atLeast"/>
            </w:pPr>
            <w:r>
              <w:t xml:space="preserve">Delete “a country water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keepNext/>
              <w:keepLines/>
              <w:spacing w:line="260" w:lineRule="atLeast"/>
            </w:pPr>
            <w:r>
              <w:t>s. 44(1)</w:t>
            </w:r>
          </w:p>
        </w:tc>
        <w:tc>
          <w:tcPr>
            <w:tcW w:w="4961" w:type="dxa"/>
          </w:tcPr>
          <w:p>
            <w:pPr>
              <w:pStyle w:val="yTable"/>
              <w:keepNext/>
              <w:keepLines/>
              <w:spacing w:line="260" w:lineRule="atLeast"/>
            </w:pPr>
            <w:r>
              <w:t xml:space="preserve">Delete “this Act”, insert instead — </w:t>
            </w:r>
          </w:p>
          <w:p>
            <w:pPr>
              <w:pStyle w:val="yTable"/>
              <w:keepNext/>
              <w:keepLines/>
              <w:spacing w:line="260" w:lineRule="atLeast"/>
            </w:pPr>
            <w:r>
              <w:t>“    its operating licence    ”.</w:t>
            </w:r>
          </w:p>
        </w:tc>
      </w:tr>
      <w:tr>
        <w:trPr>
          <w:cantSplit/>
        </w:trPr>
        <w:tc>
          <w:tcPr>
            <w:tcW w:w="2127" w:type="dxa"/>
          </w:tcPr>
          <w:p>
            <w:pPr>
              <w:pStyle w:val="yTable"/>
              <w:spacing w:line="260" w:lineRule="atLeast"/>
            </w:pPr>
            <w:r>
              <w:t>s. 45(4)</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bl>
    <w:p>
      <w:pPr>
        <w:pStyle w:val="yMiscellaneousHeading"/>
        <w:rPr>
          <w:b/>
          <w:sz w:val="24"/>
        </w:rPr>
      </w:pPr>
      <w:bookmarkStart w:id="55" w:name="_Toc527280024"/>
      <w:bookmarkStart w:id="56" w:name="_Toc62551011"/>
      <w:bookmarkStart w:id="57" w:name="_Toc62959699"/>
      <w:bookmarkStart w:id="58" w:name="_Toc62961123"/>
      <w:r>
        <w:rPr>
          <w:b/>
          <w:sz w:val="24"/>
        </w:rPr>
        <w:t>Division 3 — Country Towns Sewerage Act 1948</w:t>
      </w:r>
      <w:bookmarkEnd w:id="55"/>
      <w:bookmarkEnd w:id="56"/>
      <w:bookmarkEnd w:id="57"/>
      <w:bookmarkEnd w:id="58"/>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23</w:t>
            </w:r>
          </w:p>
        </w:tc>
        <w:tc>
          <w:tcPr>
            <w:tcW w:w="4961" w:type="dxa"/>
          </w:tcPr>
          <w:p>
            <w:pPr>
              <w:pStyle w:val="yTable"/>
              <w:spacing w:line="260" w:lineRule="atLeast"/>
            </w:pPr>
            <w:r>
              <w:t xml:space="preserve">Delete “a sewerage area”, insert instead — </w:t>
            </w:r>
          </w:p>
          <w:p>
            <w:pPr>
              <w:pStyle w:val="yTable"/>
              <w:spacing w:line="260" w:lineRule="atLeast"/>
            </w:pPr>
            <w:r>
              <w:t>“    its operating area    ”.</w:t>
            </w:r>
          </w:p>
        </w:tc>
      </w:tr>
      <w:tr>
        <w:trPr>
          <w:cantSplit/>
        </w:trPr>
        <w:tc>
          <w:tcPr>
            <w:tcW w:w="2127" w:type="dxa"/>
          </w:tcPr>
          <w:p>
            <w:pPr>
              <w:pStyle w:val="yTable"/>
              <w:spacing w:line="260" w:lineRule="atLeast"/>
            </w:pPr>
            <w:r>
              <w:t>s. 23A(1)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25</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r>
        <w:trPr>
          <w:cantSplit/>
        </w:trPr>
        <w:tc>
          <w:tcPr>
            <w:tcW w:w="2127" w:type="dxa"/>
          </w:tcPr>
          <w:p>
            <w:pPr>
              <w:pStyle w:val="yTable"/>
              <w:spacing w:line="260" w:lineRule="atLeast"/>
            </w:pPr>
            <w:r>
              <w:t>s. 29(1)</w:t>
            </w:r>
          </w:p>
        </w:tc>
        <w:tc>
          <w:tcPr>
            <w:tcW w:w="4961" w:type="dxa"/>
          </w:tcPr>
          <w:p>
            <w:pPr>
              <w:pStyle w:val="yTable"/>
              <w:spacing w:line="260" w:lineRule="atLeast"/>
            </w:pPr>
            <w:r>
              <w:t xml:space="preserve">Insert after “any land”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35(1)</w:t>
            </w:r>
          </w:p>
        </w:tc>
        <w:tc>
          <w:tcPr>
            <w:tcW w:w="4961" w:type="dxa"/>
          </w:tcPr>
          <w:p>
            <w:pPr>
              <w:pStyle w:val="yTable"/>
              <w:spacing w:line="260" w:lineRule="atLeast"/>
            </w:pPr>
            <w:r>
              <w:t xml:space="preserve">Delete “the area”, insert instead — </w:t>
            </w:r>
          </w:p>
          <w:p>
            <w:pPr>
              <w:pStyle w:val="yTable"/>
              <w:spacing w:line="260" w:lineRule="atLeast"/>
            </w:pPr>
            <w:r>
              <w:t>“    its operating area    ”.</w:t>
            </w:r>
          </w:p>
        </w:tc>
      </w:tr>
      <w:tr>
        <w:trPr>
          <w:cantSplit/>
        </w:trPr>
        <w:tc>
          <w:tcPr>
            <w:tcW w:w="2127" w:type="dxa"/>
          </w:tcPr>
          <w:p>
            <w:pPr>
              <w:pStyle w:val="yTable"/>
              <w:spacing w:line="260" w:lineRule="atLeast"/>
            </w:pPr>
            <w:r>
              <w:t>s. 36(1)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41A(1)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46</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bl>
    <w:p>
      <w:pPr>
        <w:pStyle w:val="yFootnotesection"/>
      </w:pPr>
      <w:r>
        <w:tab/>
        <w:t>[Schedule 1A inserted in Gazette 31 Jul 2001 p. 3925</w:t>
      </w:r>
      <w:r>
        <w:noBreakHyphen/>
        <w:t>8.]</w:t>
      </w:r>
    </w:p>
    <w:p>
      <w:pPr>
        <w:pStyle w:val="yScheduleHeading"/>
      </w:pPr>
      <w:bookmarkStart w:id="59" w:name="_Toc527280025"/>
      <w:bookmarkStart w:id="60" w:name="_Toc119121879"/>
      <w:bookmarkStart w:id="61" w:name="_Toc119122737"/>
      <w:r>
        <w:rPr>
          <w:rStyle w:val="CharSchNo"/>
        </w:rPr>
        <w:t>Schedule 2</w:t>
      </w:r>
      <w:r>
        <w:t> — </w:t>
      </w:r>
      <w:r>
        <w:rPr>
          <w:rStyle w:val="CharSchText"/>
        </w:rPr>
        <w:t>Enactments which do not apply</w:t>
      </w:r>
      <w:bookmarkEnd w:id="59"/>
      <w:bookmarkEnd w:id="60"/>
      <w:bookmarkEnd w:id="61"/>
      <w:r>
        <w:rPr>
          <w:rStyle w:val="CharSchText"/>
        </w:rPr>
        <w:t xml:space="preserve"> </w:t>
      </w:r>
    </w:p>
    <w:p>
      <w:pPr>
        <w:pStyle w:val="yShoulderClause"/>
        <w:rPr>
          <w:snapToGrid w:val="0"/>
        </w:rPr>
      </w:pPr>
      <w:r>
        <w:rPr>
          <w:snapToGrid w:val="0"/>
        </w:rPr>
        <w:t>[r. 6]</w:t>
      </w:r>
    </w:p>
    <w:p>
      <w:pPr>
        <w:pStyle w:val="yMiscellaneousHeading"/>
        <w:rPr>
          <w:b/>
          <w:sz w:val="24"/>
        </w:rPr>
      </w:pPr>
      <w:bookmarkStart w:id="62" w:name="_Toc62551013"/>
      <w:bookmarkStart w:id="63" w:name="_Toc62959701"/>
      <w:bookmarkStart w:id="64" w:name="_Toc62961125"/>
      <w:bookmarkStart w:id="65" w:name="_Toc527280026"/>
      <w:r>
        <w:rPr>
          <w:b/>
          <w:sz w:val="24"/>
        </w:rPr>
        <w:t>Division 1</w:t>
      </w:r>
      <w:bookmarkEnd w:id="62"/>
      <w:bookmarkEnd w:id="63"/>
      <w:bookmarkEnd w:id="64"/>
    </w:p>
    <w:p>
      <w:pPr>
        <w:pStyle w:val="yMiscellaneousHeading"/>
        <w:rPr>
          <w:i/>
          <w:sz w:val="24"/>
        </w:rPr>
      </w:pPr>
      <w:bookmarkStart w:id="66" w:name="_Toc62551014"/>
      <w:bookmarkStart w:id="67" w:name="_Toc62959702"/>
      <w:bookmarkStart w:id="68" w:name="_Toc62961126"/>
      <w:r>
        <w:rPr>
          <w:i/>
          <w:sz w:val="24"/>
        </w:rPr>
        <w:t>Water Agencies (Powers) Act 1984</w:t>
      </w:r>
      <w:bookmarkEnd w:id="65"/>
      <w:bookmarkEnd w:id="66"/>
      <w:bookmarkEnd w:id="67"/>
      <w:bookmarkEnd w:id="68"/>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spacing w:before="0"/>
            </w:pPr>
            <w:r>
              <w:t>s. 62(2)</w:t>
            </w:r>
          </w:p>
          <w:p>
            <w:pPr>
              <w:pStyle w:val="yTable"/>
              <w:spacing w:before="0"/>
            </w:pPr>
            <w:r>
              <w:t>s. 63</w:t>
            </w:r>
          </w:p>
          <w:p>
            <w:pPr>
              <w:pStyle w:val="yTable"/>
              <w:spacing w:before="0"/>
            </w:pPr>
            <w:r>
              <w:t>s. 67(10)</w:t>
            </w:r>
          </w:p>
          <w:p>
            <w:pPr>
              <w:pStyle w:val="yTable"/>
              <w:spacing w:before="0"/>
            </w:pPr>
            <w:r>
              <w:t>s. 67A</w:t>
            </w:r>
          </w:p>
          <w:p>
            <w:pPr>
              <w:pStyle w:val="yTable"/>
              <w:spacing w:before="0"/>
            </w:pPr>
            <w:r>
              <w:t>s. 67B</w:t>
            </w:r>
          </w:p>
          <w:p>
            <w:pPr>
              <w:pStyle w:val="yTable"/>
              <w:spacing w:before="0"/>
            </w:pPr>
            <w:r>
              <w:t>s. 68</w:t>
            </w:r>
          </w:p>
        </w:tc>
        <w:tc>
          <w:tcPr>
            <w:tcW w:w="3260" w:type="dxa"/>
          </w:tcPr>
          <w:p>
            <w:pPr>
              <w:pStyle w:val="yTable"/>
              <w:spacing w:before="0"/>
            </w:pPr>
            <w:r>
              <w:t>s. 69</w:t>
            </w:r>
          </w:p>
          <w:p>
            <w:pPr>
              <w:pStyle w:val="yTable"/>
              <w:spacing w:before="0"/>
            </w:pPr>
            <w:r>
              <w:t>s. 69A</w:t>
            </w:r>
          </w:p>
          <w:p>
            <w:pPr>
              <w:pStyle w:val="yTable"/>
              <w:spacing w:before="0"/>
            </w:pPr>
            <w:r>
              <w:t>s. 69B</w:t>
            </w:r>
          </w:p>
          <w:p>
            <w:pPr>
              <w:pStyle w:val="yTable"/>
              <w:spacing w:before="0"/>
            </w:pPr>
            <w:r>
              <w:t>s. 70(3)(c)</w:t>
            </w:r>
          </w:p>
          <w:p>
            <w:pPr>
              <w:pStyle w:val="yTable"/>
              <w:spacing w:before="0"/>
            </w:pPr>
            <w:r>
              <w:t>s. 83(1)(b)</w:t>
            </w:r>
          </w:p>
          <w:p>
            <w:pPr>
              <w:pStyle w:val="yTable"/>
              <w:spacing w:before="0"/>
            </w:pPr>
            <w:r>
              <w:t>s. 84(2)</w:t>
            </w:r>
          </w:p>
        </w:tc>
      </w:tr>
    </w:tbl>
    <w:p>
      <w:pPr>
        <w:pStyle w:val="yMiscellaneousHeading"/>
        <w:rPr>
          <w:i/>
          <w:sz w:val="24"/>
        </w:rPr>
      </w:pPr>
      <w:bookmarkStart w:id="69" w:name="_Toc527280027"/>
      <w:bookmarkStart w:id="70" w:name="_Toc62551015"/>
      <w:bookmarkStart w:id="71" w:name="_Toc62959703"/>
      <w:bookmarkStart w:id="72" w:name="_Toc62961127"/>
      <w:r>
        <w:rPr>
          <w:i/>
          <w:sz w:val="24"/>
        </w:rPr>
        <w:t>Rights in Water and Irrigation Act 1914</w:t>
      </w:r>
      <w:bookmarkEnd w:id="69"/>
      <w:bookmarkEnd w:id="70"/>
      <w:bookmarkEnd w:id="71"/>
      <w:bookmarkEnd w:id="72"/>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ind w:left="493"/>
            </w:pPr>
            <w:r>
              <w:t>s. 38</w:t>
            </w:r>
          </w:p>
          <w:p>
            <w:pPr>
              <w:pStyle w:val="yTable"/>
              <w:spacing w:before="0"/>
              <w:ind w:left="491"/>
            </w:pPr>
            <w:r>
              <w:t>s. 39E</w:t>
            </w:r>
          </w:p>
          <w:p>
            <w:pPr>
              <w:pStyle w:val="yTable"/>
              <w:spacing w:before="0"/>
              <w:ind w:left="491"/>
            </w:pPr>
            <w:r>
              <w:t>s. 39G</w:t>
            </w:r>
          </w:p>
          <w:p>
            <w:pPr>
              <w:pStyle w:val="yTable"/>
              <w:spacing w:before="0"/>
              <w:ind w:left="491"/>
            </w:pPr>
            <w:r>
              <w:t>s. 39I</w:t>
            </w:r>
          </w:p>
        </w:tc>
        <w:tc>
          <w:tcPr>
            <w:tcW w:w="3260" w:type="dxa"/>
          </w:tcPr>
          <w:p>
            <w:pPr>
              <w:pStyle w:val="yTable"/>
            </w:pPr>
            <w:r>
              <w:t>s. 41(3)</w:t>
            </w:r>
          </w:p>
          <w:p>
            <w:pPr>
              <w:pStyle w:val="yTable"/>
              <w:spacing w:before="0"/>
            </w:pPr>
            <w:r>
              <w:t>s. 63</w:t>
            </w:r>
          </w:p>
          <w:p>
            <w:pPr>
              <w:pStyle w:val="yTable"/>
              <w:spacing w:before="0"/>
            </w:pPr>
            <w:r>
              <w:t>s. 69</w:t>
            </w:r>
          </w:p>
        </w:tc>
      </w:tr>
    </w:tbl>
    <w:p>
      <w:pPr>
        <w:pStyle w:val="yFootnotesection"/>
      </w:pPr>
      <w:bookmarkStart w:id="73" w:name="_Toc527280028"/>
      <w:bookmarkStart w:id="74" w:name="_Toc62551016"/>
      <w:bookmarkStart w:id="75" w:name="_Toc62959704"/>
      <w:bookmarkStart w:id="76" w:name="_Toc62961128"/>
      <w:r>
        <w:tab/>
        <w:t>[Division 1 amended in Gazette 16 Aug 2005 p. 3816.]</w:t>
      </w:r>
    </w:p>
    <w:p>
      <w:pPr>
        <w:pStyle w:val="yMiscellaneousHeading"/>
        <w:rPr>
          <w:b/>
          <w:sz w:val="24"/>
        </w:rPr>
      </w:pPr>
      <w:r>
        <w:rPr>
          <w:b/>
          <w:sz w:val="24"/>
        </w:rPr>
        <w:t>Division 2</w:t>
      </w:r>
      <w:bookmarkEnd w:id="73"/>
      <w:bookmarkEnd w:id="74"/>
      <w:bookmarkEnd w:id="75"/>
      <w:bookmarkEnd w:id="76"/>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98</w:t>
            </w:r>
          </w:p>
          <w:p>
            <w:pPr>
              <w:pStyle w:val="yTable"/>
              <w:spacing w:before="0"/>
              <w:ind w:left="743"/>
            </w:pPr>
            <w:r>
              <w:t>s. 99</w:t>
            </w:r>
          </w:p>
        </w:tc>
        <w:tc>
          <w:tcPr>
            <w:tcW w:w="3260" w:type="dxa"/>
          </w:tcPr>
          <w:p>
            <w:pPr>
              <w:pStyle w:val="yTable"/>
              <w:ind w:left="271"/>
            </w:pPr>
            <w:r>
              <w:t>s. 100</w:t>
            </w:r>
          </w:p>
          <w:p>
            <w:pPr>
              <w:pStyle w:val="yTable"/>
              <w:spacing w:before="0"/>
              <w:ind w:left="272"/>
            </w:pPr>
            <w:r>
              <w:t>s. 101</w:t>
            </w:r>
          </w:p>
        </w:tc>
      </w:tr>
    </w:tbl>
    <w:p>
      <w:pPr>
        <w:pStyle w:val="yMiscellaneousHeading"/>
        <w:rPr>
          <w:b/>
          <w:sz w:val="24"/>
        </w:rPr>
      </w:pPr>
      <w:bookmarkStart w:id="77" w:name="_Toc527280029"/>
      <w:bookmarkStart w:id="78" w:name="_Toc62551017"/>
      <w:bookmarkStart w:id="79" w:name="_Toc62959705"/>
      <w:bookmarkStart w:id="80" w:name="_Toc62961129"/>
      <w:r>
        <w:rPr>
          <w:b/>
          <w:sz w:val="24"/>
        </w:rPr>
        <w:t>Division 3</w:t>
      </w:r>
      <w:bookmarkEnd w:id="77"/>
      <w:bookmarkEnd w:id="78"/>
      <w:bookmarkEnd w:id="79"/>
      <w:bookmarkEnd w:id="80"/>
    </w:p>
    <w:p>
      <w:pPr>
        <w:pStyle w:val="yMiscellaneousHeading"/>
        <w:rPr>
          <w:i/>
          <w:sz w:val="24"/>
        </w:rPr>
      </w:pPr>
      <w:bookmarkStart w:id="81" w:name="_Toc527280030"/>
      <w:bookmarkStart w:id="82" w:name="_Toc62551018"/>
      <w:bookmarkStart w:id="83" w:name="_Toc62959706"/>
      <w:bookmarkStart w:id="84" w:name="_Toc62961130"/>
      <w:r>
        <w:rPr>
          <w:i/>
          <w:sz w:val="24"/>
        </w:rPr>
        <w:t>Country Areas Water Supply Act 1947</w:t>
      </w:r>
      <w:bookmarkEnd w:id="81"/>
      <w:bookmarkEnd w:id="82"/>
      <w:bookmarkEnd w:id="83"/>
      <w:bookmarkEnd w:id="84"/>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35</w:t>
            </w:r>
          </w:p>
        </w:tc>
        <w:tc>
          <w:tcPr>
            <w:tcW w:w="3260" w:type="dxa"/>
          </w:tcPr>
          <w:p>
            <w:pPr>
              <w:pStyle w:val="yTable"/>
              <w:ind w:left="317"/>
            </w:pPr>
            <w:r>
              <w:t>s. 71(2)</w:t>
            </w:r>
          </w:p>
        </w:tc>
      </w:tr>
    </w:tbl>
    <w:p>
      <w:pPr>
        <w:pStyle w:val="yMiscellaneousHeading"/>
        <w:rPr>
          <w:i/>
          <w:sz w:val="24"/>
        </w:rPr>
      </w:pPr>
      <w:bookmarkStart w:id="85" w:name="_Toc527280031"/>
      <w:bookmarkStart w:id="86" w:name="_Toc62551019"/>
      <w:bookmarkStart w:id="87" w:name="_Toc62959707"/>
      <w:bookmarkStart w:id="88" w:name="_Toc62961131"/>
      <w:r>
        <w:rPr>
          <w:i/>
          <w:sz w:val="24"/>
        </w:rPr>
        <w:t>Water Agencies (Powers) Act 1984</w:t>
      </w:r>
      <w:bookmarkEnd w:id="85"/>
      <w:bookmarkEnd w:id="86"/>
      <w:bookmarkEnd w:id="87"/>
      <w:bookmarkEnd w:id="88"/>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62(2)</w:t>
            </w:r>
          </w:p>
        </w:tc>
        <w:tc>
          <w:tcPr>
            <w:tcW w:w="3260" w:type="dxa"/>
          </w:tcPr>
          <w:p>
            <w:pPr>
              <w:pStyle w:val="yTable"/>
              <w:ind w:left="317"/>
            </w:pPr>
            <w:r>
              <w:t>s. 84(2)</w:t>
            </w:r>
          </w:p>
        </w:tc>
      </w:tr>
    </w:tbl>
    <w:p>
      <w:pPr>
        <w:pStyle w:val="yFootnotesection"/>
      </w:pPr>
      <w:r>
        <w:tab/>
        <w:t>[Schedule 2 amended in Gazette 9 Jul 1999 p. 3092; 31 Jul 2001 p 3928; correction to reprint in Gazette 1 Oct 2004 p. 4284; 16 Aug 2005 p. 3816.]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9" w:name="_Toc84397581"/>
      <w:bookmarkStart w:id="90" w:name="_Toc84397634"/>
      <w:bookmarkStart w:id="91" w:name="_Toc84397868"/>
      <w:bookmarkStart w:id="92" w:name="_Toc111888764"/>
      <w:bookmarkStart w:id="93" w:name="_Toc111972014"/>
      <w:bookmarkStart w:id="94" w:name="_Toc119121880"/>
      <w:bookmarkStart w:id="95" w:name="_Toc119122738"/>
      <w:r>
        <w:t>Notes</w:t>
      </w:r>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119121881"/>
      <w:bookmarkStart w:id="97" w:name="_Toc119122739"/>
      <w:r>
        <w:rPr>
          <w:snapToGrid w:val="0"/>
        </w:rPr>
        <w:t>Compilation table</w:t>
      </w:r>
      <w:bookmarkEnd w:id="96"/>
      <w:bookmarkEnd w:id="9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single" w:sz="8" w:space="0" w:color="auto"/>
            </w:tcBorders>
          </w:tcPr>
          <w:p>
            <w:pPr>
              <w:pStyle w:val="nTable"/>
              <w:spacing w:after="40"/>
              <w:rPr>
                <w:i/>
                <w:sz w:val="19"/>
              </w:rPr>
            </w:pPr>
            <w:r>
              <w:rPr>
                <w:i/>
                <w:sz w:val="19"/>
              </w:rPr>
              <w:t>Water Services Coordination (Extension of Enactments) Amendment Regulations 2005</w:t>
            </w:r>
          </w:p>
        </w:tc>
        <w:tc>
          <w:tcPr>
            <w:tcW w:w="1276" w:type="dxa"/>
            <w:tcBorders>
              <w:top w:val="nil"/>
              <w:bottom w:val="single" w:sz="8" w:space="0" w:color="auto"/>
            </w:tcBorders>
          </w:tcPr>
          <w:p>
            <w:pPr>
              <w:pStyle w:val="nTable"/>
              <w:spacing w:after="40"/>
              <w:rPr>
                <w:sz w:val="19"/>
              </w:rPr>
            </w:pPr>
            <w:r>
              <w:rPr>
                <w:sz w:val="19"/>
              </w:rPr>
              <w:t>16 Aug 2005 p. 3815</w:t>
            </w:r>
            <w:r>
              <w:rPr>
                <w:sz w:val="19"/>
              </w:rPr>
              <w:noBreakHyphen/>
              <w:t>16</w:t>
            </w:r>
          </w:p>
        </w:tc>
        <w:tc>
          <w:tcPr>
            <w:tcW w:w="2693" w:type="dxa"/>
            <w:tcBorders>
              <w:top w:val="nil"/>
              <w:bottom w:val="single" w:sz="8" w:space="0" w:color="auto"/>
            </w:tcBorders>
          </w:tcPr>
          <w:p>
            <w:pPr>
              <w:pStyle w:val="nTable"/>
              <w:spacing w:after="40"/>
              <w:rPr>
                <w:i/>
                <w:iCs/>
                <w:sz w:val="19"/>
              </w:rPr>
            </w:pPr>
            <w:r>
              <w:rPr>
                <w:sz w:val="19"/>
              </w:rPr>
              <w:t xml:space="preserve">21 Oct 2005 (see r. 1 and </w:t>
            </w:r>
            <w:r>
              <w:rPr>
                <w:i/>
                <w:iCs/>
                <w:sz w:val="19"/>
              </w:rPr>
              <w:t xml:space="preserve">Gazette </w:t>
            </w:r>
            <w:r>
              <w:rPr>
                <w:sz w:val="19"/>
              </w:rPr>
              <w:t>4 Nov 2005 p. 5326)</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Modification of enactments (prescribed licensees (irrigation services))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Modification of enactments (prescribed licensees (irrigation services))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Services Licensing (Extension of Enactments)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891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5ABD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B644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0C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431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DCEA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9EDA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14E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CA9730"/>
    <w:lvl w:ilvl="0">
      <w:start w:val="1"/>
      <w:numFmt w:val="decimal"/>
      <w:pStyle w:val="ListNumber"/>
      <w:lvlText w:val="%1."/>
      <w:lvlJc w:val="left"/>
      <w:pPr>
        <w:tabs>
          <w:tab w:val="num" w:pos="360"/>
        </w:tabs>
        <w:ind w:left="360" w:hanging="360"/>
      </w:pPr>
    </w:lvl>
  </w:abstractNum>
  <w:abstractNum w:abstractNumId="9">
    <w:nsid w:val="FFFFFF89"/>
    <w:multiLevelType w:val="singleLevel"/>
    <w:tmpl w:val="529A2E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A6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6669C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20"/>
    <w:docVar w:name="WAFER_20151216145920" w:val="RemoveTrackChanges"/>
    <w:docVar w:name="WAFER_20151216145920_GUID" w:val="bb3c1b84-fff4-49de-a1bc-3995fc32d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2737</Words>
  <Characters>13689</Characters>
  <Application>Microsoft Office Word</Application>
  <DocSecurity>0</DocSecurity>
  <Lines>570</Lines>
  <Paragraphs>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1997 - 01-b0-05</dc:title>
  <dc:subject/>
  <dc:creator/>
  <cp:keywords/>
  <dc:description/>
  <cp:lastModifiedBy>svcMRProcess</cp:lastModifiedBy>
  <cp:revision>4</cp:revision>
  <cp:lastPrinted>2005-11-07T02:15:00Z</cp:lastPrinted>
  <dcterms:created xsi:type="dcterms:W3CDTF">2018-09-17T00:31:00Z</dcterms:created>
  <dcterms:modified xsi:type="dcterms:W3CDTF">2018-09-17T00:31:00Z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20051021</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AsAtDate">
    <vt:lpwstr>21 Oct 2005</vt:lpwstr>
  </property>
  <property fmtid="{D5CDD505-2E9C-101B-9397-08002B2CF9AE}" pid="8" name="Suffix">
    <vt:lpwstr>01-b0-05</vt:lpwstr>
  </property>
</Properties>
</file>