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Industry Portable Paid Long Service Leave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_Toc154748639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awards</w:t>
      </w:r>
      <w:r>
        <w:tab/>
      </w:r>
      <w:r>
        <w:fldChar w:fldCharType="begin"/>
      </w:r>
      <w:r>
        <w:instrText xml:space="preserve"> PAGEREF _Toc154748640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classifications of work</w:t>
      </w:r>
      <w:r>
        <w:tab/>
      </w:r>
      <w:r>
        <w:fldChar w:fldCharType="begin"/>
      </w:r>
      <w:r>
        <w:instrText xml:space="preserve"> PAGEREF _Toc154748641 \h </w:instrText>
      </w:r>
      <w:r>
        <w:fldChar w:fldCharType="separate"/>
      </w:r>
      <w:r>
        <w:t>1</w:t>
      </w:r>
      <w:r>
        <w:fldChar w:fldCharType="end"/>
      </w:r>
    </w:p>
    <w:p>
      <w:pPr>
        <w:pStyle w:val="TOC8"/>
        <w:rPr>
          <w:rFonts w:asciiTheme="minorHAnsi" w:eastAsiaTheme="minorEastAsia" w:hAnsiTheme="minorHAnsi" w:cstheme="minorBidi"/>
          <w:szCs w:val="22"/>
        </w:rPr>
      </w:pPr>
      <w:r>
        <w:t>3A.</w:t>
      </w:r>
      <w:r>
        <w:tab/>
        <w:t>Ministers, authorities and local governments not employers</w:t>
      </w:r>
      <w:r>
        <w:tab/>
      </w:r>
      <w:r>
        <w:fldChar w:fldCharType="begin"/>
      </w:r>
      <w:r>
        <w:instrText xml:space="preserve"> PAGEREF _Toc154748642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_Toc154748643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notifiable contracts</w:t>
      </w:r>
      <w:r>
        <w:tab/>
      </w:r>
      <w:r>
        <w:fldChar w:fldCharType="begin"/>
      </w:r>
      <w:r>
        <w:instrText xml:space="preserve"> PAGEREF _Toc154748644 \h </w:instrText>
      </w:r>
      <w:r>
        <w:fldChar w:fldCharType="separate"/>
      </w:r>
      <w:r>
        <w:t>2</w:t>
      </w:r>
      <w:r>
        <w:fldChar w:fldCharType="end"/>
      </w:r>
    </w:p>
    <w:p>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_Toc154748645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period for section 31</w:t>
      </w:r>
      <w:r>
        <w:tab/>
      </w:r>
      <w:r>
        <w:fldChar w:fldCharType="begin"/>
      </w:r>
      <w:r>
        <w:instrText xml:space="preserve"> PAGEREF _Toc154748646 \h </w:instrText>
      </w:r>
      <w:r>
        <w:fldChar w:fldCharType="separate"/>
      </w:r>
      <w:r>
        <w:t>3</w:t>
      </w:r>
      <w:r>
        <w:fldChar w:fldCharType="end"/>
      </w:r>
    </w:p>
    <w:p>
      <w:pPr>
        <w:pStyle w:val="TOC8"/>
        <w:rPr>
          <w:rFonts w:asciiTheme="minorHAnsi" w:eastAsiaTheme="minorEastAsia" w:hAnsiTheme="minorHAnsi" w:cstheme="minorBidi"/>
          <w:szCs w:val="22"/>
        </w:rPr>
      </w:pPr>
      <w:r>
        <w:t>7.</w:t>
      </w:r>
      <w:r>
        <w:tab/>
        <w:t>Information required (Act s. 32(1))</w:t>
      </w:r>
      <w:r>
        <w:tab/>
      </w:r>
      <w:r>
        <w:fldChar w:fldCharType="begin"/>
      </w:r>
      <w:r>
        <w:instrText xml:space="preserve"> PAGEREF _Toc154748647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for section 34</w:t>
      </w:r>
      <w:r>
        <w:tab/>
      </w:r>
      <w:r>
        <w:fldChar w:fldCharType="begin"/>
      </w:r>
      <w:r>
        <w:instrText xml:space="preserve"> PAGEREF _Toc154748648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appointment of inspector</w:t>
      </w:r>
      <w:r>
        <w:tab/>
      </w:r>
      <w:r>
        <w:fldChar w:fldCharType="begin"/>
      </w:r>
      <w:r>
        <w:instrText xml:space="preserve"> PAGEREF _Toc154748649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Schedule 1 — Prescribed awards and classifications of work</w:t>
      </w:r>
    </w:p>
    <w:p>
      <w:pPr>
        <w:pStyle w:val="TOC4"/>
        <w:tabs>
          <w:tab w:val="right" w:pos="7077"/>
        </w:tabs>
        <w:rPr>
          <w:rFonts w:asciiTheme="minorHAnsi" w:eastAsiaTheme="minorEastAsia" w:hAnsiTheme="minorHAnsi" w:cstheme="minorBidi"/>
          <w:b w:val="0"/>
          <w:szCs w:val="22"/>
        </w:rPr>
      </w:pPr>
      <w:r>
        <w:t xml:space="preserve">Division 1 — Awards under the </w:t>
      </w:r>
      <w:r>
        <w:rPr>
          <w:i/>
        </w:rPr>
        <w:t>Fair Work Act 2009</w:t>
      </w:r>
      <w:r>
        <w:t xml:space="preserve"> (Commonwealth) and awards given continuing effect under the </w:t>
      </w:r>
      <w:r>
        <w:rPr>
          <w:i/>
        </w:rPr>
        <w:t xml:space="preserve">Fair Work (Transitional Provisions and </w:t>
      </w:r>
      <w:r>
        <w:rPr>
          <w:i/>
        </w:rPr>
        <w:lastRenderedPageBreak/>
        <w:t>Consequential Amendments) Act 2009</w:t>
      </w:r>
      <w:r>
        <w:t xml:space="preserve"> (Commonwealth)</w:t>
      </w:r>
    </w:p>
    <w:p>
      <w:pPr>
        <w:pStyle w:val="TOC4"/>
        <w:tabs>
          <w:tab w:val="right" w:pos="7077"/>
        </w:tabs>
        <w:rPr>
          <w:rFonts w:asciiTheme="minorHAnsi" w:eastAsiaTheme="minorEastAsia" w:hAnsiTheme="minorHAnsi" w:cstheme="minorBidi"/>
          <w:b w:val="0"/>
          <w:szCs w:val="22"/>
        </w:rPr>
      </w:pPr>
      <w:r>
        <w:t xml:space="preserve">Division 2 — Awards under the </w:t>
      </w:r>
      <w:r>
        <w:rPr>
          <w:i/>
        </w:rPr>
        <w:t>Industrial Relations Act 1979</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_Toc154748655 \h </w:instrText>
      </w:r>
      <w:r>
        <w:fldChar w:fldCharType="separate"/>
      </w:r>
      <w:r>
        <w:t>13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_Toc154748656 \h </w:instrText>
      </w:r>
      <w:r>
        <w:fldChar w:fldCharType="separate"/>
      </w:r>
      <w:r>
        <w:t>17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720"/>
        <w:rPr>
          <w:snapToGrid w:val="0"/>
        </w:rPr>
      </w:pPr>
      <w:r>
        <w:rPr>
          <w:snapToGrid w:val="0"/>
        </w:rPr>
        <w:lastRenderedPageBreak/>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3" w:name="_Toc154748639"/>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w:t>
      </w:r>
    </w:p>
    <w:p>
      <w:pPr>
        <w:pStyle w:val="Heading5"/>
        <w:rPr>
          <w:snapToGrid w:val="0"/>
        </w:rPr>
      </w:pPr>
      <w:bookmarkStart w:id="4" w:name="_Toc154748640"/>
      <w:r>
        <w:rPr>
          <w:rStyle w:val="CharSectno"/>
        </w:rPr>
        <w:t>2</w:t>
      </w:r>
      <w:r>
        <w:rPr>
          <w:snapToGrid w:val="0"/>
        </w:rPr>
        <w:t>.</w:t>
      </w:r>
      <w:r>
        <w:rPr>
          <w:snapToGrid w:val="0"/>
        </w:rPr>
        <w:tab/>
        <w:t>Prescribed awards</w:t>
      </w:r>
      <w:bookmarkEnd w:id="4"/>
      <w:r>
        <w:rPr>
          <w:snapToGrid w:val="0"/>
        </w:rPr>
        <w:t xml:space="preserve"> </w:t>
      </w:r>
    </w:p>
    <w:p>
      <w:pPr>
        <w:pStyle w:val="Subsection"/>
        <w:spacing w:before="120"/>
        <w:rPr>
          <w:snapToGrid w:val="0"/>
        </w:rPr>
      </w:pPr>
      <w:r>
        <w:rPr>
          <w:snapToGrid w:val="0"/>
        </w:rPr>
        <w:tab/>
      </w:r>
      <w:r>
        <w:rPr>
          <w:snapToGrid w:val="0"/>
        </w:rPr>
        <w:tab/>
        <w:t xml:space="preserve">The awards mentioned in </w:t>
      </w:r>
      <w:r>
        <w:t xml:space="preserve">Schedule 1, whether or not in force, </w:t>
      </w:r>
      <w:r>
        <w:rPr>
          <w:snapToGrid w:val="0"/>
        </w:rPr>
        <w:t>are prescribed under section 3(4)(b) of the Act.</w:t>
      </w:r>
    </w:p>
    <w:p>
      <w:pPr>
        <w:pStyle w:val="Footnotesection"/>
      </w:pPr>
      <w:r>
        <w:tab/>
        <w:t>[Regulation 2 amended: Gazette 20 Feb 2004 p. 603; 10 Jul 2012 p. 3057; SL 2021/191 r. 4.]</w:t>
      </w:r>
    </w:p>
    <w:p>
      <w:pPr>
        <w:pStyle w:val="Heading5"/>
        <w:rPr>
          <w:snapToGrid w:val="0"/>
        </w:rPr>
      </w:pPr>
      <w:bookmarkStart w:id="5" w:name="_Toc154748641"/>
      <w:r>
        <w:rPr>
          <w:rStyle w:val="CharSectno"/>
        </w:rPr>
        <w:t>3</w:t>
      </w:r>
      <w:r>
        <w:rPr>
          <w:snapToGrid w:val="0"/>
        </w:rPr>
        <w:t>.</w:t>
      </w:r>
      <w:r>
        <w:rPr>
          <w:snapToGrid w:val="0"/>
        </w:rPr>
        <w:tab/>
        <w:t>Prescribed classifications of work</w:t>
      </w:r>
      <w:bookmarkEnd w:id="5"/>
      <w:r>
        <w:rPr>
          <w:snapToGrid w:val="0"/>
        </w:rPr>
        <w:t xml:space="preserve"> </w:t>
      </w:r>
    </w:p>
    <w:p>
      <w:pPr>
        <w:pStyle w:val="Subsection"/>
        <w:spacing w:before="120"/>
        <w:rPr>
          <w:snapToGrid w:val="0"/>
        </w:rPr>
      </w:pPr>
      <w:r>
        <w:rPr>
          <w:snapToGrid w:val="0"/>
        </w:rPr>
        <w:tab/>
        <w:t>(1)</w:t>
      </w:r>
      <w:r>
        <w:rPr>
          <w:snapToGrid w:val="0"/>
        </w:rPr>
        <w:tab/>
        <w:t xml:space="preserve">Subject to subregulation (2), all classifications of work referred to in an award mentioned in </w:t>
      </w:r>
      <w:r>
        <w:t xml:space="preserve">Schedule 1, whether or not the award is in force, </w:t>
      </w:r>
      <w:r>
        <w:rPr>
          <w:snapToGrid w:val="0"/>
        </w:rPr>
        <w:t>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Gazette 10 Jul 2012 p. 3057; SL 2021/191 r. 5.]</w:t>
      </w:r>
    </w:p>
    <w:p>
      <w:pPr>
        <w:pStyle w:val="Heading5"/>
      </w:pPr>
      <w:bookmarkStart w:id="6" w:name="_Toc154748642"/>
      <w:r>
        <w:rPr>
          <w:rStyle w:val="CharSectno"/>
        </w:rPr>
        <w:lastRenderedPageBreak/>
        <w:t>3A</w:t>
      </w:r>
      <w:r>
        <w:t>.</w:t>
      </w:r>
      <w:r>
        <w:tab/>
        <w:t>Ministers, authorities and local governments not employers</w:t>
      </w:r>
      <w:bookmarkEnd w:id="6"/>
    </w:p>
    <w:p>
      <w:pPr>
        <w:pStyle w:val="Subsection"/>
      </w:pPr>
      <w:r>
        <w:tab/>
      </w:r>
      <w:r>
        <w:tab/>
        <w:t xml:space="preserve">For the purposes of the definition of </w:t>
      </w:r>
      <w:r>
        <w:rPr>
          <w:b/>
          <w:i/>
        </w:rPr>
        <w:t>employer</w:t>
      </w:r>
      <w:r>
        <w:t xml:space="preserve"> in section 3(1) of the Act, each of the following is not an employer —</w:t>
      </w:r>
    </w:p>
    <w:p>
      <w:pPr>
        <w:pStyle w:val="Indenta"/>
      </w:pPr>
      <w:r>
        <w:tab/>
        <w:t>(a)</w:t>
      </w:r>
      <w:r>
        <w:tab/>
        <w:t>any Minister in the Government;</w:t>
      </w:r>
    </w:p>
    <w:p>
      <w:pPr>
        <w:pStyle w:val="Indenta"/>
      </w:pPr>
      <w:r>
        <w:tab/>
        <w:t>(b)</w:t>
      </w:r>
      <w:r>
        <w:tab/>
        <w:t>any authority, whether a body corporate or not, constituted for a public purpose by a written law;</w:t>
      </w:r>
    </w:p>
    <w:p>
      <w:pPr>
        <w:pStyle w:val="Indenta"/>
      </w:pPr>
      <w:r>
        <w:tab/>
        <w:t>(c)</w:t>
      </w:r>
      <w:r>
        <w:tab/>
        <w:t>any local government.</w:t>
      </w:r>
    </w:p>
    <w:p>
      <w:pPr>
        <w:pStyle w:val="Footnotesection"/>
        <w:ind w:left="890" w:hanging="890"/>
      </w:pPr>
      <w:r>
        <w:tab/>
        <w:t>[Regulation 3A inserted: SL 2023/187 r. 4.]</w:t>
      </w:r>
    </w:p>
    <w:p>
      <w:pPr>
        <w:pStyle w:val="Heading5"/>
        <w:rPr>
          <w:snapToGrid w:val="0"/>
        </w:rPr>
      </w:pPr>
      <w:bookmarkStart w:id="7" w:name="_Toc154748643"/>
      <w:r>
        <w:rPr>
          <w:rStyle w:val="CharSectno"/>
        </w:rPr>
        <w:t>4</w:t>
      </w:r>
      <w:r>
        <w:rPr>
          <w:snapToGrid w:val="0"/>
        </w:rPr>
        <w:t>.</w:t>
      </w:r>
      <w:r>
        <w:rPr>
          <w:snapToGrid w:val="0"/>
        </w:rPr>
        <w:tab/>
        <w:t>Common seal</w:t>
      </w:r>
      <w:bookmarkEnd w:id="7"/>
      <w:r>
        <w:rPr>
          <w:snapToGrid w:val="0"/>
        </w:rPr>
        <w:t xml:space="preserve"> </w:t>
      </w:r>
    </w:p>
    <w:p>
      <w:pPr>
        <w:pStyle w:val="Subsection"/>
        <w:keepNext/>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8" w:name="_Toc154748644"/>
      <w:r>
        <w:rPr>
          <w:rStyle w:val="CharSectno"/>
        </w:rPr>
        <w:t>5</w:t>
      </w:r>
      <w:r>
        <w:rPr>
          <w:snapToGrid w:val="0"/>
        </w:rPr>
        <w:t>.</w:t>
      </w:r>
      <w:r>
        <w:rPr>
          <w:snapToGrid w:val="0"/>
        </w:rPr>
        <w:tab/>
        <w:t>Amount of notifiable contracts</w:t>
      </w:r>
      <w:bookmarkEnd w:id="8"/>
      <w:r>
        <w:rPr>
          <w:snapToGrid w:val="0"/>
        </w:rPr>
        <w:t xml:space="preserve"> </w:t>
      </w:r>
    </w:p>
    <w:p>
      <w:pPr>
        <w:pStyle w:val="Subsection"/>
        <w:rPr>
          <w:snapToGrid w:val="0"/>
        </w:rPr>
      </w:pPr>
      <w:r>
        <w:rPr>
          <w:snapToGrid w:val="0"/>
        </w:rPr>
        <w:tab/>
      </w:r>
      <w:r>
        <w:rPr>
          <w:snapToGrid w:val="0"/>
        </w:rPr>
        <w:tab/>
        <w:t>The prescribed amount for the purposes of section 17 of the Act is </w:t>
      </w:r>
      <w:r>
        <w:t>$250 000.</w:t>
      </w:r>
    </w:p>
    <w:p>
      <w:pPr>
        <w:pStyle w:val="Footnotesection"/>
        <w:ind w:left="890" w:hanging="890"/>
      </w:pPr>
      <w:r>
        <w:tab/>
        <w:t>[Regulation 5 amended: SL 2023/187 r. 5.]</w:t>
      </w:r>
    </w:p>
    <w:p>
      <w:pPr>
        <w:pStyle w:val="Heading5"/>
      </w:pPr>
      <w:bookmarkStart w:id="9" w:name="_Toc154748645"/>
      <w:r>
        <w:rPr>
          <w:rStyle w:val="CharSectno"/>
        </w:rPr>
        <w:t>5A</w:t>
      </w:r>
      <w:r>
        <w:t>.</w:t>
      </w:r>
      <w:r>
        <w:tab/>
        <w:t>Prescribed corresponding laws</w:t>
      </w:r>
      <w:bookmarkEnd w:id="9"/>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(Queensland);</w:t>
      </w:r>
    </w:p>
    <w:p>
      <w:pPr>
        <w:pStyle w:val="Indenta"/>
      </w:pPr>
      <w:r>
        <w:lastRenderedPageBreak/>
        <w:tab/>
        <w:t>(c)</w:t>
      </w:r>
      <w:r>
        <w:tab/>
        <w:t xml:space="preserve">the </w:t>
      </w:r>
      <w:r>
        <w:rPr>
          <w:i/>
        </w:rPr>
        <w:t>Construction Industry Long Service Leave Act 1997</w:t>
      </w:r>
      <w:r>
        <w:t xml:space="preserve"> (Victoria);</w:t>
      </w:r>
    </w:p>
    <w:p>
      <w:pPr>
        <w:pStyle w:val="Indenta"/>
      </w:pPr>
      <w:r>
        <w:tab/>
        <w:t>(d)</w:t>
      </w:r>
      <w:r>
        <w:tab/>
        <w:t xml:space="preserve">the </w:t>
      </w:r>
      <w:r>
        <w:rPr>
          <w:i/>
        </w:rPr>
        <w:t>Construction Industry (Long Service) Act 1997</w:t>
      </w:r>
      <w:r>
        <w:t xml:space="preserve"> (Tasmania);</w:t>
      </w:r>
    </w:p>
    <w:p>
      <w:pPr>
        <w:pStyle w:val="Indenta"/>
        <w:keepNext/>
      </w:pPr>
      <w:r>
        <w:tab/>
        <w:t>(e)</w:t>
      </w:r>
      <w:r>
        <w:tab/>
        <w:t xml:space="preserve">the </w:t>
      </w:r>
      <w:r>
        <w:rPr>
          <w:i/>
        </w:rPr>
        <w:t>Construction Industry Long Service Leave and Benefits Act</w:t>
      </w:r>
      <w:r>
        <w:t xml:space="preserve"> (Northern Territory);</w:t>
      </w:r>
    </w:p>
    <w:p>
      <w:pPr>
        <w:pStyle w:val="Indenta"/>
      </w:pPr>
      <w:r>
        <w:tab/>
        <w:t>(f)</w:t>
      </w:r>
      <w:r>
        <w:tab/>
        <w:t xml:space="preserve">the </w:t>
      </w:r>
      <w:r>
        <w:rPr>
          <w:i/>
        </w:rPr>
        <w:t>Construction Industry Long Service Leave Act 1987</w:t>
      </w:r>
      <w:r>
        <w:t xml:space="preserve"> (South Australia);</w:t>
      </w:r>
    </w:p>
    <w:p>
      <w:pPr>
        <w:pStyle w:val="Indenta"/>
        <w:keepNext/>
      </w:pPr>
      <w:r>
        <w:tab/>
        <w:t>(g)</w:t>
      </w:r>
      <w:r>
        <w:tab/>
        <w:t xml:space="preserve">the </w:t>
      </w:r>
      <w:r>
        <w:rPr>
          <w:i/>
        </w:rPr>
        <w:t>Long Service Leave (Portable Schemes) Act 2009</w:t>
      </w:r>
      <w:r>
        <w:t xml:space="preserve"> (Australian Capital Territory) except to the extent to which it does not relate to the construction industry.</w:t>
      </w:r>
    </w:p>
    <w:p>
      <w:pPr>
        <w:pStyle w:val="Footnotesection"/>
        <w:spacing w:before="80"/>
        <w:ind w:left="890" w:hanging="890"/>
      </w:pPr>
      <w:r>
        <w:tab/>
        <w:t>[Regulation 5A inserted: Gazette 30 Dec 2011 p. 5574-5.]</w:t>
      </w:r>
    </w:p>
    <w:p>
      <w:pPr>
        <w:pStyle w:val="Heading5"/>
        <w:spacing w:before="260"/>
        <w:rPr>
          <w:snapToGrid w:val="0"/>
        </w:rPr>
      </w:pPr>
      <w:bookmarkStart w:id="10" w:name="_Toc154748646"/>
      <w:r>
        <w:rPr>
          <w:rStyle w:val="CharSectno"/>
        </w:rPr>
        <w:t>6</w:t>
      </w:r>
      <w:r>
        <w:rPr>
          <w:snapToGrid w:val="0"/>
        </w:rPr>
        <w:t>.</w:t>
      </w:r>
      <w:r>
        <w:rPr>
          <w:snapToGrid w:val="0"/>
        </w:rPr>
        <w:tab/>
        <w:t>Prescribed period for section 31</w:t>
      </w:r>
      <w:bookmarkEnd w:id="10"/>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Gazette 20 Feb 1998 p. 929.]</w:t>
      </w:r>
    </w:p>
    <w:p>
      <w:pPr>
        <w:pStyle w:val="Heading5"/>
      </w:pPr>
      <w:bookmarkStart w:id="11" w:name="_Toc154748647"/>
      <w:r>
        <w:rPr>
          <w:rStyle w:val="CharSectno"/>
        </w:rPr>
        <w:t>7</w:t>
      </w:r>
      <w:r>
        <w:t>.</w:t>
      </w:r>
      <w:r>
        <w:tab/>
        <w:t>Information required (Act s. 32(1))</w:t>
      </w:r>
      <w:bookmarkEnd w:id="11"/>
    </w:p>
    <w:p>
      <w:pPr>
        <w:pStyle w:val="Subsection"/>
      </w:pPr>
      <w:r>
        <w:tab/>
      </w:r>
      <w:r>
        <w:tab/>
        <w:t>For the purposes of section 32(1) of the Act, the following information must be included in the record maintained for each employee —</w:t>
      </w:r>
    </w:p>
    <w:p>
      <w:pPr>
        <w:pStyle w:val="Indenta"/>
      </w:pPr>
      <w:r>
        <w:tab/>
        <w:t>(a)</w:t>
      </w:r>
      <w:r>
        <w:tab/>
        <w:t>the employee’s full name, date of birth and gender;</w:t>
      </w:r>
    </w:p>
    <w:p>
      <w:pPr>
        <w:pStyle w:val="Indenta"/>
      </w:pPr>
      <w:r>
        <w:tab/>
        <w:t>(b)</w:t>
      </w:r>
      <w:r>
        <w:tab/>
        <w:t>the following contact details of the employee —</w:t>
      </w:r>
    </w:p>
    <w:p>
      <w:pPr>
        <w:pStyle w:val="Indenti"/>
      </w:pPr>
      <w:r>
        <w:tab/>
        <w:t>(i)</w:t>
      </w:r>
      <w:r>
        <w:tab/>
        <w:t>residential address;</w:t>
      </w:r>
    </w:p>
    <w:p>
      <w:pPr>
        <w:pStyle w:val="Indenti"/>
      </w:pPr>
      <w:r>
        <w:tab/>
        <w:t>(ii)</w:t>
      </w:r>
      <w:r>
        <w:tab/>
        <w:t>postal address;</w:t>
      </w:r>
    </w:p>
    <w:p>
      <w:pPr>
        <w:pStyle w:val="Indenti"/>
      </w:pPr>
      <w:r>
        <w:tab/>
        <w:t>(iii)</w:t>
      </w:r>
      <w:r>
        <w:tab/>
        <w:t>mobile phone number;</w:t>
      </w:r>
    </w:p>
    <w:p>
      <w:pPr>
        <w:pStyle w:val="Indenti"/>
      </w:pPr>
      <w:r>
        <w:tab/>
        <w:t>(iv)</w:t>
      </w:r>
      <w:r>
        <w:tab/>
        <w:t>other phone number;</w:t>
      </w:r>
    </w:p>
    <w:p>
      <w:pPr>
        <w:pStyle w:val="Indenti"/>
      </w:pPr>
      <w:r>
        <w:tab/>
        <w:t>(v)</w:t>
      </w:r>
      <w:r>
        <w:tab/>
        <w:t>email address;</w:t>
      </w:r>
    </w:p>
    <w:p>
      <w:pPr>
        <w:pStyle w:val="Indenta"/>
      </w:pPr>
      <w:r>
        <w:lastRenderedPageBreak/>
        <w:tab/>
        <w:t>(c)</w:t>
      </w:r>
      <w:r>
        <w:tab/>
        <w:t>the basis on which the employee is employed, including whether the employee is employed —</w:t>
      </w:r>
    </w:p>
    <w:p>
      <w:pPr>
        <w:pStyle w:val="Indenti"/>
      </w:pPr>
      <w:r>
        <w:tab/>
        <w:t>(i)</w:t>
      </w:r>
      <w:r>
        <w:tab/>
        <w:t>on a permanent, fixed term, casual or other basis; and</w:t>
      </w:r>
    </w:p>
    <w:p>
      <w:pPr>
        <w:pStyle w:val="Indenti"/>
      </w:pPr>
      <w:r>
        <w:tab/>
        <w:t>(ii)</w:t>
      </w:r>
      <w:r>
        <w:tab/>
        <w:t>full-time or part-time or otherwise;</w:t>
      </w:r>
    </w:p>
    <w:p>
      <w:pPr>
        <w:pStyle w:val="Indenta"/>
      </w:pPr>
      <w:r>
        <w:tab/>
        <w:t>(d)</w:t>
      </w:r>
      <w:r>
        <w:tab/>
        <w:t>whether the employer describes the employee as a contractor or subcontractor;</w:t>
      </w:r>
    </w:p>
    <w:p>
      <w:pPr>
        <w:pStyle w:val="Indenta"/>
      </w:pPr>
      <w:r>
        <w:tab/>
        <w:t>(e)</w:t>
      </w:r>
      <w:r>
        <w:tab/>
        <w:t>whether the employee is entitled to paid annual leave;</w:t>
      </w:r>
    </w:p>
    <w:p>
      <w:pPr>
        <w:pStyle w:val="Indenta"/>
      </w:pPr>
      <w:r>
        <w:tab/>
        <w:t>(f)</w:t>
      </w:r>
      <w:r>
        <w:tab/>
        <w:t>whether the employee is an apprentice or a trainee;</w:t>
      </w:r>
    </w:p>
    <w:p>
      <w:pPr>
        <w:pStyle w:val="Indenta"/>
      </w:pPr>
      <w:r>
        <w:tab/>
        <w:t>(g)</w:t>
      </w:r>
      <w:r>
        <w:tab/>
        <w:t>the number of the certificate of registration issued to the employee under section 31A(1)(b) of the Act;</w:t>
      </w:r>
    </w:p>
    <w:p>
      <w:pPr>
        <w:pStyle w:val="Indenta"/>
      </w:pPr>
      <w:r>
        <w:tab/>
        <w:t>(h)</w:t>
      </w:r>
      <w:r>
        <w:tab/>
        <w:t>the employee’s job title and occupation, and the primary tasks performed by the employee;</w:t>
      </w:r>
    </w:p>
    <w:p>
      <w:pPr>
        <w:pStyle w:val="Indenta"/>
      </w:pPr>
      <w:r>
        <w:tab/>
        <w:t>(i)</w:t>
      </w:r>
      <w:r>
        <w:tab/>
        <w:t>the days on which the employee’s employment started and, if applicable, finished;</w:t>
      </w:r>
    </w:p>
    <w:p>
      <w:pPr>
        <w:pStyle w:val="Indenta"/>
      </w:pPr>
      <w:r>
        <w:tab/>
        <w:t>(j)</w:t>
      </w:r>
      <w:r>
        <w:tab/>
        <w:t>for any day on which the employee was absent from work —</w:t>
      </w:r>
    </w:p>
    <w:p>
      <w:pPr>
        <w:pStyle w:val="Indenti"/>
      </w:pPr>
      <w:r>
        <w:tab/>
        <w:t>(i)</w:t>
      </w:r>
      <w:r>
        <w:tab/>
        <w:t>the date of the absence; and</w:t>
      </w:r>
    </w:p>
    <w:p>
      <w:pPr>
        <w:pStyle w:val="Indenti"/>
      </w:pPr>
      <w:r>
        <w:tab/>
        <w:t>(ii)</w:t>
      </w:r>
      <w:r>
        <w:tab/>
        <w:t>the reason for the absence; and</w:t>
      </w:r>
    </w:p>
    <w:p>
      <w:pPr>
        <w:pStyle w:val="Indenti"/>
      </w:pPr>
      <w:r>
        <w:tab/>
        <w:t>(iii)</w:t>
      </w:r>
      <w:r>
        <w:tab/>
        <w:t>whether the employee was paid for the day;</w:t>
      </w:r>
    </w:p>
    <w:p>
      <w:pPr>
        <w:pStyle w:val="Indenta"/>
      </w:pPr>
      <w:r>
        <w:tab/>
        <w:t>(k)</w:t>
      </w:r>
      <w:r>
        <w:tab/>
        <w:t>the day or days of service completed as an employee within the meaning of the Act.</w:t>
      </w:r>
    </w:p>
    <w:p>
      <w:pPr>
        <w:pStyle w:val="Footnotesection"/>
        <w:ind w:left="890" w:hanging="890"/>
      </w:pPr>
      <w:r>
        <w:tab/>
        <w:t>[Regulation 7 inserted: SL 2023/187 r. 6.]</w:t>
      </w:r>
    </w:p>
    <w:p>
      <w:pPr>
        <w:pStyle w:val="Heading5"/>
        <w:spacing w:before="240"/>
        <w:rPr>
          <w:snapToGrid w:val="0"/>
        </w:rPr>
      </w:pPr>
      <w:bookmarkStart w:id="12" w:name="_Toc154748648"/>
      <w:r>
        <w:rPr>
          <w:rStyle w:val="CharSectno"/>
        </w:rPr>
        <w:lastRenderedPageBreak/>
        <w:t>8</w:t>
      </w:r>
      <w:r>
        <w:rPr>
          <w:snapToGrid w:val="0"/>
        </w:rPr>
        <w:t>.</w:t>
      </w:r>
      <w:r>
        <w:rPr>
          <w:snapToGrid w:val="0"/>
        </w:rPr>
        <w:tab/>
        <w:t>Amount prescribed for section 34</w:t>
      </w:r>
      <w:bookmarkEnd w:id="12"/>
      <w:r>
        <w:rPr>
          <w:snapToGrid w:val="0"/>
        </w:rPr>
        <w:t xml:space="preserve"> </w:t>
      </w:r>
    </w:p>
    <w:p>
      <w:pPr>
        <w:pStyle w:val="Subsection"/>
        <w:keepNext/>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0.1% </w:t>
      </w:r>
      <w:r>
        <w:rPr>
          <w:snapToGrid w:val="0"/>
          <w:spacing w:val="-4"/>
        </w:rPr>
        <w:t>of the ordinary pay of that employee.</w:t>
      </w:r>
    </w:p>
    <w:p>
      <w:pPr>
        <w:pStyle w:val="Footnotesection"/>
        <w:ind w:left="890" w:hanging="890"/>
      </w:pPr>
      <w:r>
        <w:tab/>
        <w:t xml:space="preserve">[Regulation 8 amended: Gazette 30 Dec 1988 p. 5121; 15 Dec 1989 p. 4581; 14 Dec 1990 p. 6142; 29 Nov 1991 p. 6043; 18 Dec 1992 p. 6138; 31 Dec 1993 p. 6874; 28 Nov 1997 p. 6985; 16 Oct 1998 p. 5730; 18 Oct 2002 p. 5221; 12 Oct 2004 p. 4754 (as amended: Gazette 14 Dec 2004 p. 6002); 7 Nov 2006 p. 4677; 30 Dec 2008 p. 5642; 30 Dec 2011 p. 5575; 27 Dec 2013 p. 6445; 21 Nov 2014 p. 4351; 20 Nov 2015 p. 4711; 8 Dec 2017 p. 5841; 9 Nov 2018 p. 4411; 13 Dec 2019 p. 4231; SL 2020/107 r. 4; SL 2020/227 r. 4; SL 2021/191 r. 6.] </w:t>
      </w:r>
    </w:p>
    <w:p>
      <w:pPr>
        <w:pStyle w:val="Heading5"/>
        <w:spacing w:before="240"/>
        <w:rPr>
          <w:snapToGrid w:val="0"/>
        </w:rPr>
      </w:pPr>
      <w:bookmarkStart w:id="13" w:name="_Toc154748649"/>
      <w:r>
        <w:rPr>
          <w:rStyle w:val="CharSectno"/>
        </w:rPr>
        <w:t>9</w:t>
      </w:r>
      <w:r>
        <w:rPr>
          <w:snapToGrid w:val="0"/>
        </w:rPr>
        <w:t>.</w:t>
      </w:r>
      <w:r>
        <w:rPr>
          <w:snapToGrid w:val="0"/>
        </w:rPr>
        <w:tab/>
        <w:t>Certificate of appointment of inspector</w:t>
      </w:r>
      <w:bookmarkEnd w:id="13"/>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4" w:name="_Toc154748650"/>
      <w:r>
        <w:rPr>
          <w:rStyle w:val="CharSchNo"/>
        </w:rPr>
        <w:lastRenderedPageBreak/>
        <w:t>Schedule 1</w:t>
      </w:r>
      <w:r>
        <w:t> — </w:t>
      </w:r>
      <w:r>
        <w:rPr>
          <w:rStyle w:val="CharSchText"/>
        </w:rPr>
        <w:t>Prescribed awards and classifications of work</w:t>
      </w:r>
      <w:bookmarkEnd w:id="14"/>
    </w:p>
    <w:p>
      <w:pPr>
        <w:pStyle w:val="yShoulderClause"/>
      </w:pPr>
      <w:r>
        <w:t>[r. 2 and 3]</w:t>
      </w:r>
    </w:p>
    <w:p>
      <w:pPr>
        <w:pStyle w:val="yFootnoteheading"/>
      </w:pPr>
      <w:r>
        <w:tab/>
        <w:t>[Heading inserted: SL 2021/191 r. 7.]</w:t>
      </w:r>
    </w:p>
    <w:p>
      <w:pPr>
        <w:pStyle w:val="yHeading3"/>
      </w:pPr>
      <w:bookmarkStart w:id="15" w:name="_Toc154748651"/>
      <w:r>
        <w:rPr>
          <w:rStyle w:val="CharSDivNo"/>
        </w:rPr>
        <w:t>Division 1</w:t>
      </w:r>
      <w:r>
        <w:t> — </w:t>
      </w:r>
      <w:r>
        <w:rPr>
          <w:rStyle w:val="CharSDivText"/>
        </w:rPr>
        <w:t xml:space="preserve">Awards under the </w:t>
      </w:r>
      <w:r>
        <w:rPr>
          <w:rStyle w:val="CharSDivText"/>
          <w:i/>
        </w:rPr>
        <w:t>Fair Work Act 2009</w:t>
      </w:r>
      <w:r>
        <w:rPr>
          <w:rStyle w:val="CharSDivText"/>
        </w:rPr>
        <w:t xml:space="preserve"> (Commonwealth) and awards given continuing effect under the </w:t>
      </w:r>
      <w:r>
        <w:rPr>
          <w:rStyle w:val="CharSDivText"/>
          <w:i/>
        </w:rPr>
        <w:t>Fair Work (Transitional Provisions and Consequential Amendments) Act 2009</w:t>
      </w:r>
      <w:r>
        <w:rPr>
          <w:rStyle w:val="CharSDivText"/>
        </w:rPr>
        <w:t xml:space="preserve"> (Commonwealth)</w:t>
      </w:r>
      <w:bookmarkEnd w:id="15"/>
    </w:p>
    <w:p>
      <w:pPr>
        <w:pStyle w:val="yFootnoteheading"/>
        <w:spacing w:after="60"/>
      </w:pPr>
      <w:r>
        <w:tab/>
        <w:t>[Heading inserted: SL 2021/191 r. 7.]</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tblHeader/>
        </w:trPr>
        <w:tc>
          <w:tcPr>
            <w:tcW w:w="992" w:type="dxa"/>
            <w:tcBorders>
              <w:left w:val="single" w:sz="4" w:space="0" w:color="auto"/>
              <w:bottom w:val="single" w:sz="4" w:space="0" w:color="auto"/>
              <w:right w:val="single" w:sz="4" w:space="0" w:color="auto"/>
            </w:tcBorders>
            <w:noWrap/>
          </w:tcPr>
          <w:p>
            <w:pPr>
              <w:pStyle w:val="yTableNAm"/>
              <w:jc w:val="center"/>
              <w:rPr>
                <w:b/>
              </w:rPr>
            </w:pPr>
            <w:r>
              <w:rPr>
                <w:b/>
              </w:rPr>
              <w:t>Item</w:t>
            </w:r>
          </w:p>
        </w:tc>
        <w:tc>
          <w:tcPr>
            <w:tcW w:w="3119" w:type="dxa"/>
            <w:tcBorders>
              <w:left w:val="nil"/>
              <w:bottom w:val="single" w:sz="4" w:space="0" w:color="auto"/>
            </w:tcBorders>
            <w:noWrap/>
          </w:tcPr>
          <w:p>
            <w:pPr>
              <w:pStyle w:val="yTableNAm"/>
              <w:jc w:val="center"/>
              <w:rPr>
                <w:b/>
              </w:rPr>
            </w:pPr>
            <w:r>
              <w:rPr>
                <w:b/>
              </w:rPr>
              <w:t>Prescribed awards</w:t>
            </w:r>
          </w:p>
        </w:tc>
        <w:tc>
          <w:tcPr>
            <w:tcW w:w="2835" w:type="dxa"/>
            <w:tcBorders>
              <w:bottom w:val="single" w:sz="4" w:space="0" w:color="auto"/>
            </w:tcBorders>
            <w:noWrap/>
          </w:tcPr>
          <w:p>
            <w:pPr>
              <w:pStyle w:val="yTableNAm"/>
              <w:jc w:val="center"/>
              <w:rPr>
                <w:b/>
              </w:rPr>
            </w:pPr>
            <w:r>
              <w:rPr>
                <w:b/>
              </w:rPr>
              <w:t>Exceptions, conditions and limitations</w:t>
            </w: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w:t>
            </w:r>
          </w:p>
        </w:tc>
        <w:tc>
          <w:tcPr>
            <w:tcW w:w="3119" w:type="dxa"/>
            <w:tcBorders>
              <w:top w:val="single" w:sz="4" w:space="0" w:color="auto"/>
              <w:left w:val="nil"/>
              <w:bottom w:val="single" w:sz="4" w:space="0" w:color="auto"/>
              <w:right w:val="single" w:sz="4" w:space="0" w:color="auto"/>
            </w:tcBorders>
            <w:noWrap/>
          </w:tcPr>
          <w:p>
            <w:pPr>
              <w:pStyle w:val="yTableNAm"/>
            </w:pPr>
            <w:r>
              <w:t>Aluminium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w:t>
            </w:r>
          </w:p>
        </w:tc>
        <w:tc>
          <w:tcPr>
            <w:tcW w:w="3119" w:type="dxa"/>
            <w:tcBorders>
              <w:top w:val="single" w:sz="4" w:space="0" w:color="auto"/>
              <w:left w:val="nil"/>
              <w:bottom w:val="single" w:sz="4" w:space="0" w:color="auto"/>
              <w:right w:val="single" w:sz="4" w:space="0" w:color="auto"/>
            </w:tcBorders>
            <w:noWrap/>
          </w:tcPr>
          <w:p>
            <w:pPr>
              <w:pStyle w:val="yTableNAm"/>
            </w:pPr>
            <w:r>
              <w:t>Asphalt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left w:val="single" w:sz="4" w:space="0" w:color="auto"/>
              <w:right w:val="single" w:sz="4" w:space="0" w:color="auto"/>
            </w:tcBorders>
            <w:noWrap/>
          </w:tcPr>
          <w:p>
            <w:pPr>
              <w:pStyle w:val="yTableNAm"/>
            </w:pPr>
            <w:r>
              <w:t>3.</w:t>
            </w:r>
          </w:p>
        </w:tc>
        <w:tc>
          <w:tcPr>
            <w:tcW w:w="3119" w:type="dxa"/>
            <w:tcBorders>
              <w:left w:val="nil"/>
            </w:tcBorders>
            <w:noWrap/>
          </w:tcPr>
          <w:p>
            <w:pPr>
              <w:pStyle w:val="yTableNAm"/>
            </w:pPr>
            <w:r>
              <w:t>Australian Workers’ Union Asphalt and Bitumen Industry (WA) Award 1988</w:t>
            </w:r>
          </w:p>
        </w:tc>
        <w:tc>
          <w:tcPr>
            <w:tcW w:w="2835" w:type="dxa"/>
            <w:noWrap/>
          </w:tcPr>
          <w:p>
            <w:pPr>
              <w:pStyle w:val="yTableNAm"/>
            </w:pPr>
          </w:p>
        </w:tc>
      </w:tr>
      <w:tr>
        <w:tc>
          <w:tcPr>
            <w:tcW w:w="992" w:type="dxa"/>
            <w:tcBorders>
              <w:left w:val="single" w:sz="4" w:space="0" w:color="auto"/>
              <w:right w:val="single" w:sz="4" w:space="0" w:color="auto"/>
            </w:tcBorders>
            <w:noWrap/>
          </w:tcPr>
          <w:p>
            <w:pPr>
              <w:pStyle w:val="yTableNAm"/>
            </w:pPr>
            <w:r>
              <w:t>4.</w:t>
            </w:r>
          </w:p>
        </w:tc>
        <w:tc>
          <w:tcPr>
            <w:tcW w:w="3119" w:type="dxa"/>
            <w:tcBorders>
              <w:left w:val="nil"/>
            </w:tcBorders>
            <w:noWrap/>
          </w:tcPr>
          <w:p>
            <w:pPr>
              <w:pStyle w:val="yTableNAm"/>
            </w:pPr>
            <w:r>
              <w:t>Australian Workers’ Union Construction and Maintenance Award 1989</w:t>
            </w:r>
          </w:p>
        </w:tc>
        <w:tc>
          <w:tcPr>
            <w:tcW w:w="2835" w:type="dxa"/>
            <w:noWrap/>
          </w:tcPr>
          <w:p>
            <w:pPr>
              <w:pStyle w:val="yTableNAm"/>
            </w:pPr>
          </w:p>
        </w:tc>
      </w:tr>
      <w:tr>
        <w:tc>
          <w:tcPr>
            <w:tcW w:w="992" w:type="dxa"/>
            <w:tcBorders>
              <w:left w:val="single" w:sz="4" w:space="0" w:color="auto"/>
              <w:right w:val="single" w:sz="4" w:space="0" w:color="auto"/>
            </w:tcBorders>
            <w:noWrap/>
          </w:tcPr>
          <w:p>
            <w:pPr>
              <w:pStyle w:val="yTableNAm"/>
            </w:pPr>
            <w:r>
              <w:t>5.</w:t>
            </w:r>
          </w:p>
        </w:tc>
        <w:tc>
          <w:tcPr>
            <w:tcW w:w="3119" w:type="dxa"/>
            <w:tcBorders>
              <w:left w:val="nil"/>
            </w:tcBorders>
            <w:noWrap/>
          </w:tcPr>
          <w:p>
            <w:pPr>
              <w:pStyle w:val="yTableNAm"/>
            </w:pPr>
            <w:r>
              <w:t>Australian Workers’ Union Construction and Maintenance (Consolidated) Award 1987</w:t>
            </w:r>
          </w:p>
        </w:tc>
        <w:tc>
          <w:tcPr>
            <w:tcW w:w="2835" w:type="dxa"/>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3119" w:type="dxa"/>
            <w:tcBorders>
              <w:top w:val="single" w:sz="4" w:space="0" w:color="auto"/>
              <w:left w:val="nil"/>
              <w:bottom w:val="single" w:sz="4" w:space="0" w:color="auto"/>
              <w:right w:val="single" w:sz="4" w:space="0" w:color="auto"/>
            </w:tcBorders>
            <w:noWrap/>
          </w:tcPr>
          <w:p>
            <w:pPr>
              <w:pStyle w:val="yTableNAm"/>
            </w:pPr>
            <w: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r>
              <w:t>Limited to temporary employees in receipt of an industry allowance under the award</w:t>
            </w: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lastRenderedPageBreak/>
              <w:t>7.</w:t>
            </w:r>
          </w:p>
        </w:tc>
        <w:tc>
          <w:tcPr>
            <w:tcW w:w="3119" w:type="dxa"/>
            <w:tcBorders>
              <w:top w:val="single" w:sz="4" w:space="0" w:color="auto"/>
              <w:left w:val="nil"/>
              <w:bottom w:val="single" w:sz="4" w:space="0" w:color="auto"/>
              <w:right w:val="single" w:sz="4" w:space="0" w:color="auto"/>
            </w:tcBorders>
            <w:noWrap/>
          </w:tcPr>
          <w:p>
            <w:pPr>
              <w:pStyle w:val="yTableNAm"/>
            </w:pPr>
            <w:r>
              <w:t>AWU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8.</w:t>
            </w:r>
          </w:p>
        </w:tc>
        <w:tc>
          <w:tcPr>
            <w:tcW w:w="3119" w:type="dxa"/>
            <w:tcBorders>
              <w:top w:val="single" w:sz="4" w:space="0" w:color="auto"/>
              <w:left w:val="nil"/>
              <w:bottom w:val="single" w:sz="4" w:space="0" w:color="auto"/>
              <w:right w:val="single" w:sz="4" w:space="0" w:color="auto"/>
            </w:tcBorders>
            <w:noWrap/>
          </w:tcPr>
          <w:p>
            <w:pPr>
              <w:pStyle w:val="yTableNAm"/>
            </w:pPr>
            <w:r>
              <w:t>Bitumen Spraying Services Award 1985</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9.</w:t>
            </w:r>
          </w:p>
        </w:tc>
        <w:tc>
          <w:tcPr>
            <w:tcW w:w="3119" w:type="dxa"/>
            <w:tcBorders>
              <w:top w:val="single" w:sz="4" w:space="0" w:color="auto"/>
              <w:left w:val="nil"/>
              <w:bottom w:val="single" w:sz="4" w:space="0" w:color="auto"/>
              <w:right w:val="single" w:sz="4" w:space="0" w:color="auto"/>
            </w:tcBorders>
            <w:noWrap/>
          </w:tcPr>
          <w:p>
            <w:pPr>
              <w:pStyle w:val="yTableNAm"/>
            </w:pPr>
            <w:r>
              <w:t>Building and Construction General On</w:t>
            </w:r>
            <w:r>
              <w:noBreakHyphen/>
              <w:t>site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10.</w:t>
            </w:r>
          </w:p>
        </w:tc>
        <w:tc>
          <w:tcPr>
            <w:tcW w:w="3119" w:type="dxa"/>
            <w:tcBorders>
              <w:top w:val="single" w:sz="4" w:space="0" w:color="auto"/>
              <w:left w:val="nil"/>
              <w:bottom w:val="single" w:sz="4" w:space="0" w:color="auto"/>
              <w:right w:val="single" w:sz="4" w:space="0" w:color="auto"/>
            </w:tcBorders>
            <w:noWrap/>
          </w:tcPr>
          <w:p>
            <w:pPr>
              <w:pStyle w:val="yTableNAm"/>
            </w:pPr>
            <w:r>
              <w:t>Dredging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11.</w:t>
            </w:r>
          </w:p>
        </w:tc>
        <w:tc>
          <w:tcPr>
            <w:tcW w:w="3119" w:type="dxa"/>
            <w:tcBorders>
              <w:top w:val="single" w:sz="4" w:space="0" w:color="auto"/>
              <w:left w:val="nil"/>
              <w:bottom w:val="single" w:sz="4" w:space="0" w:color="auto"/>
              <w:right w:val="single" w:sz="4" w:space="0" w:color="auto"/>
            </w:tcBorders>
            <w:noWrap/>
          </w:tcPr>
          <w:p>
            <w:pPr>
              <w:pStyle w:val="yTableNAm"/>
            </w:pPr>
            <w: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12.</w:t>
            </w:r>
          </w:p>
        </w:tc>
        <w:tc>
          <w:tcPr>
            <w:tcW w:w="3119" w:type="dxa"/>
            <w:tcBorders>
              <w:top w:val="single" w:sz="4" w:space="0" w:color="auto"/>
              <w:left w:val="nil"/>
              <w:bottom w:val="single" w:sz="4" w:space="0" w:color="auto"/>
              <w:right w:val="single" w:sz="4" w:space="0" w:color="auto"/>
            </w:tcBorders>
            <w:noWrap/>
          </w:tcPr>
          <w:p>
            <w:pPr>
              <w:pStyle w:val="yTableNAm"/>
            </w:pPr>
            <w:r>
              <w:t>Electrical, Electronic and Communications Contracting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13.</w:t>
            </w:r>
          </w:p>
        </w:tc>
        <w:tc>
          <w:tcPr>
            <w:tcW w:w="3119" w:type="dxa"/>
            <w:tcBorders>
              <w:top w:val="single" w:sz="4" w:space="0" w:color="auto"/>
              <w:left w:val="nil"/>
              <w:bottom w:val="single" w:sz="4" w:space="0" w:color="auto"/>
              <w:right w:val="single" w:sz="4" w:space="0" w:color="auto"/>
            </w:tcBorders>
            <w:noWrap/>
          </w:tcPr>
          <w:p>
            <w:pPr>
              <w:pStyle w:val="yTableNAm"/>
            </w:pPr>
            <w:r>
              <w:t>Gardening and Landscaping Services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14.</w:t>
            </w:r>
          </w:p>
        </w:tc>
        <w:tc>
          <w:tcPr>
            <w:tcW w:w="3119" w:type="dxa"/>
            <w:tcBorders>
              <w:top w:val="single" w:sz="4" w:space="0" w:color="auto"/>
              <w:left w:val="nil"/>
              <w:bottom w:val="single" w:sz="4" w:space="0" w:color="auto"/>
              <w:right w:val="single" w:sz="4" w:space="0" w:color="auto"/>
            </w:tcBorders>
            <w:noWrap/>
          </w:tcPr>
          <w:p>
            <w:pPr>
              <w:pStyle w:val="yTableNAm"/>
            </w:pPr>
            <w:r>
              <w:t>Joinery and Building Trades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15.</w:t>
            </w:r>
          </w:p>
        </w:tc>
        <w:tc>
          <w:tcPr>
            <w:tcW w:w="3119" w:type="dxa"/>
            <w:tcBorders>
              <w:top w:val="single" w:sz="4" w:space="0" w:color="auto"/>
              <w:left w:val="nil"/>
              <w:bottom w:val="single" w:sz="4" w:space="0" w:color="auto"/>
              <w:right w:val="single" w:sz="4" w:space="0" w:color="auto"/>
            </w:tcBorders>
            <w:noWrap/>
          </w:tcPr>
          <w:p>
            <w:pPr>
              <w:pStyle w:val="yTableNAm"/>
            </w:pPr>
            <w:r>
              <w:t>Manufacturing and Associated Industries and Occupations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16.</w:t>
            </w:r>
          </w:p>
        </w:tc>
        <w:tc>
          <w:tcPr>
            <w:tcW w:w="3119" w:type="dxa"/>
            <w:tcBorders>
              <w:top w:val="single" w:sz="4" w:space="0" w:color="auto"/>
              <w:left w:val="nil"/>
              <w:bottom w:val="single" w:sz="4" w:space="0" w:color="auto"/>
              <w:right w:val="single" w:sz="4" w:space="0" w:color="auto"/>
            </w:tcBorders>
            <w:noWrap/>
          </w:tcPr>
          <w:p>
            <w:pPr>
              <w:pStyle w:val="yTableNAm"/>
            </w:pPr>
            <w:r>
              <w:t>Mining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17.</w:t>
            </w:r>
          </w:p>
        </w:tc>
        <w:tc>
          <w:tcPr>
            <w:tcW w:w="3119" w:type="dxa"/>
            <w:tcBorders>
              <w:top w:val="single" w:sz="4" w:space="0" w:color="auto"/>
              <w:left w:val="nil"/>
              <w:bottom w:val="single" w:sz="4" w:space="0" w:color="auto"/>
              <w:right w:val="single" w:sz="4" w:space="0" w:color="auto"/>
            </w:tcBorders>
            <w:noWrap/>
          </w:tcPr>
          <w:p>
            <w:pPr>
              <w:pStyle w:val="yTableNAm"/>
            </w:pPr>
            <w:r>
              <w:t>Mobile Crane Hiring Award 1990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lastRenderedPageBreak/>
              <w:t>18.</w:t>
            </w:r>
          </w:p>
        </w:tc>
        <w:tc>
          <w:tcPr>
            <w:tcW w:w="3119" w:type="dxa"/>
            <w:tcBorders>
              <w:top w:val="single" w:sz="4" w:space="0" w:color="auto"/>
              <w:left w:val="nil"/>
              <w:bottom w:val="single" w:sz="4" w:space="0" w:color="auto"/>
              <w:right w:val="single" w:sz="4" w:space="0" w:color="auto"/>
            </w:tcBorders>
            <w:noWrap/>
          </w:tcPr>
          <w:p>
            <w:pPr>
              <w:pStyle w:val="yTableNAm"/>
            </w:pPr>
            <w:r>
              <w:t>Mobile Crane Hiring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19.</w:t>
            </w:r>
          </w:p>
        </w:tc>
        <w:tc>
          <w:tcPr>
            <w:tcW w:w="3119" w:type="dxa"/>
            <w:tcBorders>
              <w:top w:val="single" w:sz="4" w:space="0" w:color="auto"/>
              <w:left w:val="nil"/>
              <w:bottom w:val="single" w:sz="4" w:space="0" w:color="auto"/>
              <w:right w:val="single" w:sz="4" w:space="0" w:color="auto"/>
            </w:tcBorders>
            <w:noWrap/>
          </w:tcPr>
          <w:p>
            <w:pPr>
              <w:pStyle w:val="yTableNAm"/>
            </w:pPr>
            <w: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20.</w:t>
            </w:r>
          </w:p>
        </w:tc>
        <w:tc>
          <w:tcPr>
            <w:tcW w:w="3119" w:type="dxa"/>
            <w:tcBorders>
              <w:top w:val="single" w:sz="4" w:space="0" w:color="auto"/>
              <w:left w:val="nil"/>
              <w:bottom w:val="single" w:sz="4" w:space="0" w:color="auto"/>
              <w:right w:val="single" w:sz="4" w:space="0" w:color="auto"/>
            </w:tcBorders>
            <w:noWrap/>
          </w:tcPr>
          <w:p>
            <w:pPr>
              <w:pStyle w:val="yTableNAm"/>
            </w:pPr>
            <w:r>
              <w:t>Pest Control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21.</w:t>
            </w:r>
          </w:p>
        </w:tc>
        <w:tc>
          <w:tcPr>
            <w:tcW w:w="3119" w:type="dxa"/>
            <w:tcBorders>
              <w:top w:val="single" w:sz="4" w:space="0" w:color="auto"/>
              <w:left w:val="nil"/>
              <w:bottom w:val="single" w:sz="4" w:space="0" w:color="auto"/>
              <w:right w:val="single" w:sz="4" w:space="0" w:color="auto"/>
            </w:tcBorders>
            <w:noWrap/>
          </w:tcPr>
          <w:p>
            <w:pPr>
              <w:pStyle w:val="yTableNAm"/>
            </w:pPr>
            <w:r>
              <w:t>Plumbing and Fire Sprinklers Contracting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22.</w:t>
            </w:r>
          </w:p>
        </w:tc>
        <w:tc>
          <w:tcPr>
            <w:tcW w:w="3119" w:type="dxa"/>
            <w:tcBorders>
              <w:top w:val="single" w:sz="4" w:space="0" w:color="auto"/>
              <w:left w:val="nil"/>
              <w:bottom w:val="single" w:sz="4" w:space="0" w:color="auto"/>
              <w:right w:val="single" w:sz="4" w:space="0" w:color="auto"/>
            </w:tcBorders>
            <w:noWrap/>
          </w:tcPr>
          <w:p>
            <w:pPr>
              <w:pStyle w:val="yTableNAm"/>
            </w:pPr>
            <w:r>
              <w:t>Plumbing Industry (Qld and W.A.) Award 1979</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23.</w:t>
            </w:r>
          </w:p>
        </w:tc>
        <w:tc>
          <w:tcPr>
            <w:tcW w:w="3119" w:type="dxa"/>
            <w:tcBorders>
              <w:top w:val="single" w:sz="4" w:space="0" w:color="auto"/>
              <w:left w:val="nil"/>
              <w:bottom w:val="single" w:sz="4" w:space="0" w:color="auto"/>
              <w:right w:val="single" w:sz="4" w:space="0" w:color="auto"/>
            </w:tcBorders>
            <w:noWrap/>
          </w:tcPr>
          <w:p>
            <w:pPr>
              <w:pStyle w:val="yTableNAm"/>
            </w:pPr>
            <w:r>
              <w:t>Professional Divers’ Award 1988</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24.</w:t>
            </w:r>
          </w:p>
        </w:tc>
        <w:tc>
          <w:tcPr>
            <w:tcW w:w="3119" w:type="dxa"/>
            <w:tcBorders>
              <w:top w:val="single" w:sz="4" w:space="0" w:color="auto"/>
              <w:left w:val="nil"/>
              <w:bottom w:val="single" w:sz="4" w:space="0" w:color="auto"/>
              <w:right w:val="single" w:sz="4" w:space="0" w:color="auto"/>
            </w:tcBorders>
            <w:noWrap/>
          </w:tcPr>
          <w:p>
            <w:pPr>
              <w:pStyle w:val="yTableNAm"/>
            </w:pPr>
            <w:r>
              <w:t>Professional Diving Industry (Industrial)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25.</w:t>
            </w:r>
          </w:p>
        </w:tc>
        <w:tc>
          <w:tcPr>
            <w:tcW w:w="3119" w:type="dxa"/>
            <w:tcBorders>
              <w:top w:val="single" w:sz="4" w:space="0" w:color="auto"/>
              <w:left w:val="nil"/>
              <w:bottom w:val="single" w:sz="4" w:space="0" w:color="auto"/>
              <w:right w:val="single" w:sz="4" w:space="0" w:color="auto"/>
            </w:tcBorders>
            <w:noWrap/>
          </w:tcPr>
          <w:p>
            <w:pPr>
              <w:pStyle w:val="yTableNAm"/>
            </w:pPr>
            <w:r>
              <w:t>Sprinkler Pipe Fitters’ Award 1975</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26.</w:t>
            </w:r>
          </w:p>
        </w:tc>
        <w:tc>
          <w:tcPr>
            <w:tcW w:w="3119" w:type="dxa"/>
            <w:tcBorders>
              <w:top w:val="single" w:sz="4" w:space="0" w:color="auto"/>
              <w:left w:val="nil"/>
              <w:bottom w:val="single" w:sz="4" w:space="0" w:color="auto"/>
              <w:right w:val="single" w:sz="4" w:space="0" w:color="auto"/>
            </w:tcBorders>
            <w:noWrap/>
          </w:tcPr>
          <w:p>
            <w:pPr>
              <w:pStyle w:val="yTableNAm"/>
            </w:pPr>
            <w:r>
              <w:t>Telecommunications Services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r>
              <w:t>Limited to employees in the classification structure A.1.3 Technical Stream in Schedule A of the award</w:t>
            </w: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27.</w:t>
            </w:r>
          </w:p>
        </w:tc>
        <w:tc>
          <w:tcPr>
            <w:tcW w:w="3119" w:type="dxa"/>
            <w:tcBorders>
              <w:top w:val="single" w:sz="4" w:space="0" w:color="auto"/>
              <w:left w:val="nil"/>
              <w:bottom w:val="single" w:sz="4" w:space="0" w:color="auto"/>
              <w:right w:val="single" w:sz="4" w:space="0" w:color="auto"/>
            </w:tcBorders>
            <w:noWrap/>
          </w:tcPr>
          <w:p>
            <w:pPr>
              <w:pStyle w:val="yTableNAm"/>
            </w:pPr>
            <w: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keepNext/>
            </w:pPr>
            <w:r>
              <w:lastRenderedPageBreak/>
              <w:t>28.</w:t>
            </w:r>
          </w:p>
        </w:tc>
        <w:tc>
          <w:tcPr>
            <w:tcW w:w="3119" w:type="dxa"/>
            <w:tcBorders>
              <w:top w:val="single" w:sz="4" w:space="0" w:color="auto"/>
              <w:left w:val="nil"/>
              <w:bottom w:val="single" w:sz="4" w:space="0" w:color="auto"/>
              <w:right w:val="single" w:sz="4" w:space="0" w:color="auto"/>
            </w:tcBorders>
            <w:noWrap/>
          </w:tcPr>
          <w:p>
            <w:pPr>
              <w:pStyle w:val="yTableNAm"/>
              <w:keepNext/>
            </w:pPr>
            <w: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noWrap/>
          </w:tcPr>
          <w:p>
            <w:pPr>
              <w:pStyle w:val="yTableNAm"/>
              <w:keepNext/>
            </w:pPr>
          </w:p>
        </w:tc>
      </w:tr>
    </w:tbl>
    <w:p>
      <w:pPr>
        <w:pStyle w:val="yFootnotesection"/>
      </w:pPr>
      <w:r>
        <w:tab/>
        <w:t>[Division 1 inserted: SL 2021/191 r. 7.]</w:t>
      </w:r>
    </w:p>
    <w:p>
      <w:pPr>
        <w:pStyle w:val="yHeading3"/>
        <w:rPr>
          <w:i/>
        </w:rPr>
      </w:pPr>
      <w:bookmarkStart w:id="16" w:name="_Toc154748652"/>
      <w:r>
        <w:rPr>
          <w:rStyle w:val="CharSDivNo"/>
        </w:rPr>
        <w:t>Division 2</w:t>
      </w:r>
      <w:r>
        <w:t> — </w:t>
      </w:r>
      <w:r>
        <w:rPr>
          <w:rStyle w:val="CharSDivText"/>
        </w:rPr>
        <w:t xml:space="preserve">Awards under the </w:t>
      </w:r>
      <w:r>
        <w:rPr>
          <w:rStyle w:val="CharSDivText"/>
          <w:i/>
        </w:rPr>
        <w:t>Industrial Relations Act 1979</w:t>
      </w:r>
      <w:bookmarkEnd w:id="16"/>
    </w:p>
    <w:p>
      <w:pPr>
        <w:pStyle w:val="yFootnoteheading"/>
        <w:spacing w:after="60"/>
      </w:pPr>
      <w:r>
        <w:tab/>
        <w:t>[Heading inserted: SL 2021/191 r. 7.]</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cantSplit/>
          <w:tblHeader/>
        </w:trPr>
        <w:tc>
          <w:tcPr>
            <w:tcW w:w="992"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Item</w:t>
            </w:r>
          </w:p>
        </w:tc>
        <w:tc>
          <w:tcPr>
            <w:tcW w:w="3119" w:type="dxa"/>
            <w:tcBorders>
              <w:top w:val="single" w:sz="4" w:space="0" w:color="auto"/>
              <w:left w:val="nil"/>
              <w:bottom w:val="single" w:sz="4" w:space="0" w:color="auto"/>
              <w:right w:val="single" w:sz="4" w:space="0" w:color="auto"/>
            </w:tcBorders>
            <w:noWrap/>
          </w:tcPr>
          <w:p>
            <w:pPr>
              <w:pStyle w:val="yTableNAm"/>
              <w:jc w:val="center"/>
              <w:rPr>
                <w:b/>
              </w:rPr>
            </w:pPr>
            <w:r>
              <w:rPr>
                <w:b/>
              </w:rPr>
              <w:t>Prescribed awards</w:t>
            </w:r>
          </w:p>
        </w:tc>
        <w:tc>
          <w:tcPr>
            <w:tcW w:w="2835"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Exceptions, conditions and limitations</w:t>
            </w: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keepNext/>
            </w:pPr>
            <w:r>
              <w:t>1.</w:t>
            </w:r>
          </w:p>
        </w:tc>
        <w:tc>
          <w:tcPr>
            <w:tcW w:w="3119" w:type="dxa"/>
            <w:tcBorders>
              <w:top w:val="single" w:sz="4" w:space="0" w:color="auto"/>
              <w:left w:val="nil"/>
              <w:bottom w:val="single" w:sz="4" w:space="0" w:color="auto"/>
              <w:right w:val="single" w:sz="4" w:space="0" w:color="auto"/>
            </w:tcBorders>
            <w:noWrap/>
          </w:tcPr>
          <w:p>
            <w:pPr>
              <w:pStyle w:val="yTableNAm"/>
              <w:keepNext/>
            </w:pPr>
            <w: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noWrap/>
          </w:tcPr>
          <w:p>
            <w:pPr>
              <w:pStyle w:val="yTableNAm"/>
              <w:keepNext/>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keepNext/>
            </w:pPr>
            <w:r>
              <w:t>2.</w:t>
            </w:r>
          </w:p>
        </w:tc>
        <w:tc>
          <w:tcPr>
            <w:tcW w:w="3119" w:type="dxa"/>
            <w:tcBorders>
              <w:top w:val="single" w:sz="4" w:space="0" w:color="auto"/>
              <w:left w:val="nil"/>
              <w:bottom w:val="single" w:sz="4" w:space="0" w:color="auto"/>
              <w:right w:val="single" w:sz="4" w:space="0" w:color="auto"/>
            </w:tcBorders>
            <w:noWrap/>
          </w:tcPr>
          <w:p>
            <w:pPr>
              <w:pStyle w:val="yTableNAm"/>
              <w:keepNext/>
            </w:pPr>
            <w:r>
              <w:t>Building Trades Award 1968</w:t>
            </w:r>
          </w:p>
        </w:tc>
        <w:tc>
          <w:tcPr>
            <w:tcW w:w="2835" w:type="dxa"/>
            <w:tcBorders>
              <w:top w:val="single" w:sz="4" w:space="0" w:color="auto"/>
              <w:left w:val="single" w:sz="4" w:space="0" w:color="auto"/>
              <w:bottom w:val="single" w:sz="4" w:space="0" w:color="auto"/>
              <w:right w:val="single" w:sz="4" w:space="0" w:color="auto"/>
            </w:tcBorders>
            <w:noWrap/>
          </w:tcPr>
          <w:p>
            <w:pPr>
              <w:pStyle w:val="yTableNAm"/>
              <w:keepNext/>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3.</w:t>
            </w:r>
          </w:p>
        </w:tc>
        <w:tc>
          <w:tcPr>
            <w:tcW w:w="3119" w:type="dxa"/>
            <w:tcBorders>
              <w:top w:val="single" w:sz="4" w:space="0" w:color="auto"/>
              <w:left w:val="nil"/>
              <w:bottom w:val="single" w:sz="4" w:space="0" w:color="auto"/>
              <w:right w:val="single" w:sz="4" w:space="0" w:color="auto"/>
            </w:tcBorders>
            <w:noWrap/>
          </w:tcPr>
          <w:p>
            <w:pPr>
              <w:pStyle w:val="yTableNAm"/>
            </w:pPr>
            <w:r>
              <w:t>Building Trades (Construction) Award 1987</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4.</w:t>
            </w:r>
          </w:p>
        </w:tc>
        <w:tc>
          <w:tcPr>
            <w:tcW w:w="3119" w:type="dxa"/>
            <w:tcBorders>
              <w:top w:val="single" w:sz="4" w:space="0" w:color="auto"/>
              <w:left w:val="nil"/>
              <w:bottom w:val="single" w:sz="4" w:space="0" w:color="auto"/>
              <w:right w:val="single" w:sz="4" w:space="0" w:color="auto"/>
            </w:tcBorders>
            <w:noWrap/>
          </w:tcPr>
          <w:p>
            <w:pPr>
              <w:pStyle w:val="yTableNAm"/>
            </w:pPr>
            <w:r>
              <w:t>Building Trades (Government) Award 1968</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r>
              <w:t>Limited to temporary employees</w:t>
            </w: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3119" w:type="dxa"/>
            <w:tcBorders>
              <w:top w:val="single" w:sz="4" w:space="0" w:color="auto"/>
              <w:left w:val="nil"/>
              <w:bottom w:val="single" w:sz="4" w:space="0" w:color="auto"/>
              <w:right w:val="single" w:sz="4" w:space="0" w:color="auto"/>
            </w:tcBorders>
            <w:noWrap/>
          </w:tcPr>
          <w:p>
            <w:pPr>
              <w:pStyle w:val="yTableNAm"/>
            </w:pPr>
            <w:r>
              <w:t>Earth Moving and Construction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3119" w:type="dxa"/>
            <w:tcBorders>
              <w:top w:val="single" w:sz="4" w:space="0" w:color="auto"/>
              <w:left w:val="nil"/>
              <w:bottom w:val="single" w:sz="4" w:space="0" w:color="auto"/>
              <w:right w:val="single" w:sz="4" w:space="0" w:color="auto"/>
            </w:tcBorders>
            <w:noWrap/>
          </w:tcPr>
          <w:p>
            <w:pPr>
              <w:pStyle w:val="yTableNAm"/>
            </w:pPr>
            <w: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7.</w:t>
            </w:r>
          </w:p>
        </w:tc>
        <w:tc>
          <w:tcPr>
            <w:tcW w:w="3119" w:type="dxa"/>
            <w:tcBorders>
              <w:top w:val="single" w:sz="4" w:space="0" w:color="auto"/>
              <w:left w:val="nil"/>
              <w:bottom w:val="single" w:sz="4" w:space="0" w:color="auto"/>
              <w:right w:val="single" w:sz="4" w:space="0" w:color="auto"/>
            </w:tcBorders>
            <w:noWrap/>
          </w:tcPr>
          <w:p>
            <w:pPr>
              <w:pStyle w:val="yTableNAm"/>
            </w:pPr>
            <w: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8.</w:t>
            </w:r>
          </w:p>
        </w:tc>
        <w:tc>
          <w:tcPr>
            <w:tcW w:w="3119" w:type="dxa"/>
            <w:tcBorders>
              <w:top w:val="single" w:sz="4" w:space="0" w:color="auto"/>
              <w:left w:val="nil"/>
              <w:bottom w:val="single" w:sz="4" w:space="0" w:color="auto"/>
              <w:right w:val="single" w:sz="4" w:space="0" w:color="auto"/>
            </w:tcBorders>
            <w:noWrap/>
          </w:tcPr>
          <w:p>
            <w:pPr>
              <w:pStyle w:val="yTableNAm"/>
            </w:pPr>
            <w:r>
              <w:t>Electronics Industry Award No. A22 of 1985</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lastRenderedPageBreak/>
              <w:t>9.</w:t>
            </w:r>
          </w:p>
        </w:tc>
        <w:tc>
          <w:tcPr>
            <w:tcW w:w="3119" w:type="dxa"/>
            <w:tcBorders>
              <w:top w:val="single" w:sz="4" w:space="0" w:color="auto"/>
              <w:left w:val="nil"/>
              <w:bottom w:val="single" w:sz="4" w:space="0" w:color="auto"/>
              <w:right w:val="single" w:sz="4" w:space="0" w:color="auto"/>
            </w:tcBorders>
            <w:noWrap/>
          </w:tcPr>
          <w:p>
            <w:pPr>
              <w:pStyle w:val="yTableNAm"/>
            </w:pPr>
            <w: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keepNext/>
            </w:pPr>
            <w:r>
              <w:t>10.</w:t>
            </w:r>
          </w:p>
        </w:tc>
        <w:tc>
          <w:tcPr>
            <w:tcW w:w="3119" w:type="dxa"/>
            <w:tcBorders>
              <w:top w:val="single" w:sz="4" w:space="0" w:color="auto"/>
              <w:left w:val="nil"/>
              <w:bottom w:val="single" w:sz="4" w:space="0" w:color="auto"/>
              <w:right w:val="single" w:sz="4" w:space="0" w:color="auto"/>
            </w:tcBorders>
            <w:noWrap/>
          </w:tcPr>
          <w:p>
            <w:pPr>
              <w:pStyle w:val="yTableNAm"/>
              <w:keepNext/>
            </w:pPr>
            <w: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noWrap/>
          </w:tcPr>
          <w:p>
            <w:pPr>
              <w:pStyle w:val="yTableNAm"/>
              <w:keepNext/>
            </w:pPr>
            <w:r>
              <w:t>Limited to temporary employees in receipt of an allowance for construction work under the award</w:t>
            </w: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11.</w:t>
            </w:r>
          </w:p>
        </w:tc>
        <w:tc>
          <w:tcPr>
            <w:tcW w:w="3119" w:type="dxa"/>
            <w:tcBorders>
              <w:top w:val="single" w:sz="4" w:space="0" w:color="auto"/>
              <w:left w:val="nil"/>
              <w:bottom w:val="single" w:sz="4" w:space="0" w:color="auto"/>
              <w:right w:val="single" w:sz="4" w:space="0" w:color="auto"/>
            </w:tcBorders>
            <w:noWrap/>
          </w:tcPr>
          <w:p>
            <w:pPr>
              <w:pStyle w:val="yTableNAm"/>
            </w:pPr>
            <w:r>
              <w:t>Foremen (Building Trades) Award 1991</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12.</w:t>
            </w:r>
          </w:p>
        </w:tc>
        <w:tc>
          <w:tcPr>
            <w:tcW w:w="3119" w:type="dxa"/>
            <w:tcBorders>
              <w:top w:val="single" w:sz="4" w:space="0" w:color="auto"/>
              <w:left w:val="nil"/>
              <w:bottom w:val="single" w:sz="4" w:space="0" w:color="auto"/>
              <w:right w:val="single" w:sz="4" w:space="0" w:color="auto"/>
            </w:tcBorders>
            <w:noWrap/>
          </w:tcPr>
          <w:p>
            <w:pPr>
              <w:pStyle w:val="yTableNAm"/>
            </w:pPr>
            <w:r>
              <w:t>Furniture Trades Industry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r>
              <w:t>Limited to cabinet making and flooring covering</w:t>
            </w: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13.</w:t>
            </w:r>
          </w:p>
        </w:tc>
        <w:tc>
          <w:tcPr>
            <w:tcW w:w="3119" w:type="dxa"/>
            <w:tcBorders>
              <w:top w:val="single" w:sz="4" w:space="0" w:color="auto"/>
              <w:left w:val="nil"/>
              <w:bottom w:val="single" w:sz="4" w:space="0" w:color="auto"/>
              <w:right w:val="single" w:sz="4" w:space="0" w:color="auto"/>
            </w:tcBorders>
            <w:noWrap/>
          </w:tcPr>
          <w:p>
            <w:pPr>
              <w:pStyle w:val="yTableNAm"/>
            </w:pPr>
            <w:r>
              <w:t>Gate, Fence and Frames Manufacturing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14.</w:t>
            </w:r>
          </w:p>
        </w:tc>
        <w:tc>
          <w:tcPr>
            <w:tcW w:w="3119" w:type="dxa"/>
            <w:tcBorders>
              <w:top w:val="single" w:sz="4" w:space="0" w:color="auto"/>
              <w:left w:val="nil"/>
              <w:bottom w:val="single" w:sz="4" w:space="0" w:color="auto"/>
              <w:right w:val="single" w:sz="4" w:space="0" w:color="auto"/>
            </w:tcBorders>
            <w:noWrap/>
          </w:tcPr>
          <w:p>
            <w:pPr>
              <w:pStyle w:val="yTableNAm"/>
            </w:pPr>
            <w: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15.</w:t>
            </w:r>
          </w:p>
        </w:tc>
        <w:tc>
          <w:tcPr>
            <w:tcW w:w="3119" w:type="dxa"/>
            <w:tcBorders>
              <w:top w:val="single" w:sz="4" w:space="0" w:color="auto"/>
              <w:left w:val="nil"/>
              <w:bottom w:val="single" w:sz="4" w:space="0" w:color="auto"/>
              <w:right w:val="single" w:sz="4" w:space="0" w:color="auto"/>
            </w:tcBorders>
            <w:noWrap/>
          </w:tcPr>
          <w:p>
            <w:pPr>
              <w:pStyle w:val="yTableNAm"/>
            </w:pPr>
            <w: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16.</w:t>
            </w:r>
          </w:p>
        </w:tc>
        <w:tc>
          <w:tcPr>
            <w:tcW w:w="3119" w:type="dxa"/>
            <w:tcBorders>
              <w:top w:val="single" w:sz="4" w:space="0" w:color="auto"/>
              <w:left w:val="nil"/>
              <w:bottom w:val="single" w:sz="4" w:space="0" w:color="auto"/>
              <w:right w:val="single" w:sz="4" w:space="0" w:color="auto"/>
            </w:tcBorders>
            <w:noWrap/>
          </w:tcPr>
          <w:p>
            <w:pPr>
              <w:pStyle w:val="yTableNAm"/>
            </w:pPr>
            <w: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17.</w:t>
            </w:r>
          </w:p>
        </w:tc>
        <w:tc>
          <w:tcPr>
            <w:tcW w:w="3119" w:type="dxa"/>
            <w:tcBorders>
              <w:top w:val="single" w:sz="4" w:space="0" w:color="auto"/>
              <w:left w:val="nil"/>
              <w:bottom w:val="single" w:sz="4" w:space="0" w:color="auto"/>
              <w:right w:val="single" w:sz="4" w:space="0" w:color="auto"/>
            </w:tcBorders>
            <w:noWrap/>
          </w:tcPr>
          <w:p>
            <w:pPr>
              <w:pStyle w:val="yTableNAm"/>
            </w:pPr>
            <w:r>
              <w:t>Metal Trades (General)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18.</w:t>
            </w:r>
          </w:p>
        </w:tc>
        <w:tc>
          <w:tcPr>
            <w:tcW w:w="3119" w:type="dxa"/>
            <w:tcBorders>
              <w:top w:val="single" w:sz="4" w:space="0" w:color="auto"/>
              <w:left w:val="nil"/>
              <w:bottom w:val="single" w:sz="4" w:space="0" w:color="auto"/>
              <w:right w:val="single" w:sz="4" w:space="0" w:color="auto"/>
            </w:tcBorders>
            <w:noWrap/>
          </w:tcPr>
          <w:p>
            <w:pPr>
              <w:pStyle w:val="yTableNAm"/>
            </w:pPr>
            <w:r>
              <w:t>Pest Control Industry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19.</w:t>
            </w:r>
          </w:p>
        </w:tc>
        <w:tc>
          <w:tcPr>
            <w:tcW w:w="3119" w:type="dxa"/>
            <w:tcBorders>
              <w:top w:val="single" w:sz="4" w:space="0" w:color="auto"/>
              <w:left w:val="nil"/>
              <w:bottom w:val="single" w:sz="4" w:space="0" w:color="auto"/>
              <w:right w:val="single" w:sz="4" w:space="0" w:color="auto"/>
            </w:tcBorders>
            <w:noWrap/>
          </w:tcPr>
          <w:p>
            <w:pPr>
              <w:pStyle w:val="yTableNAm"/>
            </w:pPr>
            <w:r>
              <w:t>Radio and Television Employees’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lastRenderedPageBreak/>
              <w:t>20.</w:t>
            </w:r>
          </w:p>
        </w:tc>
        <w:tc>
          <w:tcPr>
            <w:tcW w:w="3119" w:type="dxa"/>
            <w:tcBorders>
              <w:top w:val="single" w:sz="4" w:space="0" w:color="auto"/>
              <w:left w:val="nil"/>
              <w:bottom w:val="single" w:sz="4" w:space="0" w:color="auto"/>
              <w:right w:val="single" w:sz="4" w:space="0" w:color="auto"/>
            </w:tcBorders>
            <w:noWrap/>
          </w:tcPr>
          <w:p>
            <w:pPr>
              <w:pStyle w:val="yTableNAm"/>
            </w:pPr>
            <w:r>
              <w:t>Sheet Metal Workers’ Award No. 10 of 1973</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21.</w:t>
            </w:r>
          </w:p>
        </w:tc>
        <w:tc>
          <w:tcPr>
            <w:tcW w:w="3119" w:type="dxa"/>
            <w:tcBorders>
              <w:top w:val="single" w:sz="4" w:space="0" w:color="auto"/>
              <w:left w:val="nil"/>
              <w:bottom w:val="single" w:sz="4" w:space="0" w:color="auto"/>
              <w:right w:val="single" w:sz="4" w:space="0" w:color="auto"/>
            </w:tcBorders>
            <w:noWrap/>
          </w:tcPr>
          <w:p>
            <w:pPr>
              <w:pStyle w:val="yTableNAm"/>
            </w:pPr>
            <w: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bl>
    <w:p>
      <w:pPr>
        <w:pStyle w:val="yFootnotesection"/>
      </w:pPr>
      <w:r>
        <w:tab/>
        <w:t>[Division 2 inserted: SL 2021/191 r. 7.]</w:t>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8" w:name="_Toc154748653"/>
      <w:r>
        <w:rPr>
          <w:rStyle w:val="CharSchNo"/>
        </w:rPr>
        <w:lastRenderedPageBreak/>
        <w:t>Schedule 2</w:t>
      </w:r>
      <w:bookmarkEnd w:id="18"/>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9" w:name="_Toc154748654"/>
      <w:r>
        <w:lastRenderedPageBreak/>
        <w:t>Notes</w:t>
      </w:r>
      <w:bookmarkEnd w:id="19"/>
    </w:p>
    <w:p>
      <w:pPr>
        <w:pStyle w:val="nStatement"/>
      </w:pPr>
      <w:r>
        <w:t xml:space="preserve">This is a compilation of the </w:t>
      </w:r>
      <w:r>
        <w:rPr>
          <w:i/>
          <w:noProof/>
        </w:rPr>
        <w:t>Construction Industry Portable Paid Long Service Leave Regulations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 w:name="_Toc154748655"/>
      <w:r>
        <w:t>Compilation table</w:t>
      </w:r>
      <w:bookmarkEnd w:id="2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by </w:t>
            </w:r>
            <w:r>
              <w:rPr>
                <w:i/>
                <w:iCs/>
              </w:rPr>
              <w:t>Gazette</w:t>
            </w:r>
            <w:r>
              <w:t xml:space="preserve"> 14 Dec 2004 p. 6002)</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lastRenderedPageBreak/>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spacing w:after="40"/>
            </w:pPr>
            <w:r>
              <w:t>21 Nov 2014 p. 4351</w:t>
            </w:r>
          </w:p>
        </w:tc>
        <w:tc>
          <w:tcPr>
            <w:tcW w:w="2693" w:type="dxa"/>
            <w:tcBorders>
              <w:top w:val="nil"/>
              <w:bottom w:val="nil"/>
            </w:tcBorders>
          </w:tcPr>
          <w:p>
            <w:pPr>
              <w:pStyle w:val="nTable"/>
              <w:spacing w:after="40"/>
            </w:pPr>
            <w:r>
              <w:rPr>
                <w:bCs/>
                <w:snapToGrid w:val="0"/>
                <w:spacing w:val="-2"/>
              </w:rPr>
              <w:t>r. 1 and 2: 21 Nov 2014 (see r. 2(a));</w:t>
            </w:r>
            <w:r>
              <w:rPr>
                <w:bCs/>
                <w:snapToGrid w:val="0"/>
                <w:spacing w:val="-2"/>
              </w:rPr>
              <w:br/>
              <w:t xml:space="preserve">Regulations other than r. 1 and 2: </w:t>
            </w:r>
            <w:r>
              <w:t>1 Jan 2015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2015</w:t>
            </w:r>
          </w:p>
        </w:tc>
        <w:tc>
          <w:tcPr>
            <w:tcW w:w="1276" w:type="dxa"/>
            <w:tcBorders>
              <w:top w:val="nil"/>
              <w:bottom w:val="nil"/>
            </w:tcBorders>
          </w:tcPr>
          <w:p>
            <w:pPr>
              <w:pStyle w:val="nTable"/>
              <w:spacing w:after="40"/>
            </w:pPr>
            <w:r>
              <w:t>20 Nov 2015 p. 4711</w:t>
            </w:r>
          </w:p>
        </w:tc>
        <w:tc>
          <w:tcPr>
            <w:tcW w:w="2693" w:type="dxa"/>
            <w:tcBorders>
              <w:top w:val="nil"/>
              <w:bottom w:val="nil"/>
            </w:tcBorders>
          </w:tcPr>
          <w:p>
            <w:pPr>
              <w:pStyle w:val="nTable"/>
              <w:spacing w:after="40"/>
              <w:rPr>
                <w:bCs/>
                <w:snapToGrid w:val="0"/>
                <w:spacing w:val="-2"/>
              </w:rPr>
            </w:pPr>
            <w:r>
              <w:rPr>
                <w:bCs/>
                <w:snapToGrid w:val="0"/>
                <w:spacing w:val="-2"/>
              </w:rPr>
              <w:t>r. 1 and 2: 20 Nov 2015 (see r. 2(a));</w:t>
            </w:r>
            <w:r>
              <w:rPr>
                <w:bCs/>
                <w:snapToGrid w:val="0"/>
                <w:spacing w:val="-2"/>
              </w:rPr>
              <w:br/>
              <w:t xml:space="preserve">Regulations other than r. 1 and 2: </w:t>
            </w:r>
            <w:r>
              <w:t>1 Jan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2017</w:t>
            </w:r>
          </w:p>
        </w:tc>
        <w:tc>
          <w:tcPr>
            <w:tcW w:w="1276" w:type="dxa"/>
            <w:tcBorders>
              <w:top w:val="nil"/>
              <w:bottom w:val="nil"/>
            </w:tcBorders>
          </w:tcPr>
          <w:p>
            <w:pPr>
              <w:pStyle w:val="nTable"/>
              <w:spacing w:after="40"/>
            </w:pPr>
            <w:r>
              <w:t>8 Dec 2017 p. 5841</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 xml:space="preserve">Regulations other than r. 1 and 2: </w:t>
            </w:r>
            <w:r>
              <w:t>1 Jan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2018</w:t>
            </w:r>
          </w:p>
        </w:tc>
        <w:tc>
          <w:tcPr>
            <w:tcW w:w="1276" w:type="dxa"/>
            <w:tcBorders>
              <w:top w:val="nil"/>
              <w:bottom w:val="nil"/>
            </w:tcBorders>
          </w:tcPr>
          <w:p>
            <w:pPr>
              <w:pStyle w:val="nTable"/>
              <w:spacing w:after="40"/>
            </w:pPr>
            <w:r>
              <w:t>9 Nov 2018 p. 4411</w:t>
            </w:r>
          </w:p>
        </w:tc>
        <w:tc>
          <w:tcPr>
            <w:tcW w:w="2693" w:type="dxa"/>
            <w:tcBorders>
              <w:top w:val="nil"/>
              <w:bottom w:val="nil"/>
            </w:tcBorders>
          </w:tcPr>
          <w:p>
            <w:pPr>
              <w:pStyle w:val="nTable"/>
              <w:spacing w:after="40"/>
              <w:rPr>
                <w:bCs/>
                <w:snapToGrid w:val="0"/>
                <w:spacing w:val="-2"/>
              </w:rPr>
            </w:pPr>
            <w:r>
              <w:t xml:space="preserve">r. 1 and 2: 9 Nov 2018 </w:t>
            </w:r>
            <w:r>
              <w:rPr>
                <w:bCs/>
                <w:snapToGrid w:val="0"/>
                <w:spacing w:val="-2"/>
              </w:rPr>
              <w:t>(see r. 2(a));</w:t>
            </w:r>
            <w:r>
              <w:rPr>
                <w:bCs/>
                <w:snapToGrid w:val="0"/>
                <w:spacing w:val="-2"/>
              </w:rPr>
              <w:br/>
              <w:t xml:space="preserve">Regulations other than r. 1 and 2: </w:t>
            </w:r>
            <w:r>
              <w:t>1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2019</w:t>
            </w:r>
          </w:p>
        </w:tc>
        <w:tc>
          <w:tcPr>
            <w:tcW w:w="1276" w:type="dxa"/>
            <w:tcBorders>
              <w:top w:val="nil"/>
              <w:bottom w:val="nil"/>
            </w:tcBorders>
          </w:tcPr>
          <w:p>
            <w:pPr>
              <w:pStyle w:val="nTable"/>
              <w:spacing w:after="40"/>
            </w:pPr>
            <w:r>
              <w:t>13 Dec 2019 p. 4230</w:t>
            </w:r>
            <w:r>
              <w:noBreakHyphen/>
              <w:t>1</w:t>
            </w:r>
          </w:p>
        </w:tc>
        <w:tc>
          <w:tcPr>
            <w:tcW w:w="2693" w:type="dxa"/>
            <w:tcBorders>
              <w:top w:val="nil"/>
              <w:bottom w:val="nil"/>
            </w:tcBorders>
          </w:tcPr>
          <w:p>
            <w:pPr>
              <w:pStyle w:val="nTable"/>
              <w:spacing w:after="40"/>
            </w:pPr>
            <w:r>
              <w:t xml:space="preserve">r. 1 and 2: 13 Dec 2019 </w:t>
            </w:r>
            <w:r>
              <w:rPr>
                <w:bCs/>
                <w:snapToGrid w:val="0"/>
                <w:spacing w:val="-2"/>
              </w:rPr>
              <w:t>(see r. 2(a));</w:t>
            </w:r>
            <w:r>
              <w:rPr>
                <w:bCs/>
                <w:snapToGrid w:val="0"/>
                <w:spacing w:val="-2"/>
              </w:rPr>
              <w:br/>
              <w:t>Regulations other than r. 1 and 2: 1 Jan 2020</w:t>
            </w:r>
            <w:r>
              <w:t xml:space="preserve">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2020</w:t>
            </w:r>
          </w:p>
        </w:tc>
        <w:tc>
          <w:tcPr>
            <w:tcW w:w="1276" w:type="dxa"/>
            <w:tcBorders>
              <w:top w:val="nil"/>
              <w:bottom w:val="nil"/>
            </w:tcBorders>
          </w:tcPr>
          <w:p>
            <w:pPr>
              <w:pStyle w:val="nTable"/>
              <w:spacing w:after="40"/>
            </w:pPr>
            <w:r>
              <w:t>SL 2020/107</w:t>
            </w:r>
            <w:r>
              <w:br/>
              <w:t>30 Jun 2020</w:t>
            </w:r>
          </w:p>
        </w:tc>
        <w:tc>
          <w:tcPr>
            <w:tcW w:w="2693" w:type="dxa"/>
            <w:tcBorders>
              <w:top w:val="nil"/>
              <w:bottom w:val="nil"/>
            </w:tcBorders>
          </w:tcPr>
          <w:p>
            <w:pPr>
              <w:pStyle w:val="nTable"/>
              <w:spacing w:after="40"/>
            </w:pPr>
            <w:r>
              <w:t>r. 1 and 2: 30 Jun 2020 (see r. 2(a));</w:t>
            </w:r>
            <w:r>
              <w:br/>
              <w:t>Regulations other than r. 1 and 2: 1 Jul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(No. 2) 2020</w:t>
            </w:r>
          </w:p>
        </w:tc>
        <w:tc>
          <w:tcPr>
            <w:tcW w:w="1276" w:type="dxa"/>
            <w:tcBorders>
              <w:top w:val="nil"/>
              <w:bottom w:val="nil"/>
            </w:tcBorders>
          </w:tcPr>
          <w:p>
            <w:pPr>
              <w:pStyle w:val="nTable"/>
              <w:spacing w:after="40"/>
            </w:pPr>
            <w:r>
              <w:t>SL 2020/144 28 Aug 2020</w:t>
            </w:r>
          </w:p>
        </w:tc>
        <w:tc>
          <w:tcPr>
            <w:tcW w:w="2693" w:type="dxa"/>
            <w:tcBorders>
              <w:top w:val="nil"/>
              <w:bottom w:val="nil"/>
            </w:tcBorders>
          </w:tcPr>
          <w:p>
            <w:pPr>
              <w:pStyle w:val="nTable"/>
              <w:spacing w:after="40"/>
            </w:pPr>
            <w:r>
              <w:t>r. 1 and 2: 28 Aug 2020 (see r. 2(a));</w:t>
            </w:r>
            <w:r>
              <w:br/>
              <w:t>Regulations other than r. 1 and 2: 29 Aug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noProof/>
              </w:rPr>
              <w:t>Construction Industry Portable Paid Long Service Leave Amendment Regulations (No. 3) 2020</w:t>
            </w:r>
          </w:p>
        </w:tc>
        <w:tc>
          <w:tcPr>
            <w:tcW w:w="1276" w:type="dxa"/>
            <w:tcBorders>
              <w:top w:val="nil"/>
              <w:bottom w:val="nil"/>
            </w:tcBorders>
          </w:tcPr>
          <w:p>
            <w:pPr>
              <w:pStyle w:val="nTable"/>
              <w:spacing w:after="40"/>
            </w:pPr>
            <w:r>
              <w:t>SL 2020/227 20 Nov 2020</w:t>
            </w:r>
          </w:p>
        </w:tc>
        <w:tc>
          <w:tcPr>
            <w:tcW w:w="2693" w:type="dxa"/>
            <w:tcBorders>
              <w:top w:val="nil"/>
              <w:bottom w:val="nil"/>
            </w:tcBorders>
          </w:tcPr>
          <w:p>
            <w:pPr>
              <w:pStyle w:val="nTable"/>
              <w:spacing w:after="40"/>
            </w:pPr>
            <w:r>
              <w:t>r. 1 and 2: 20 Nov 2020 (see r. 2(a));</w:t>
            </w:r>
            <w:r>
              <w:br/>
              <w:t>Regulations other than r. 1 and 2: 1 Jan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noProof/>
              </w:rPr>
            </w:pPr>
            <w:r>
              <w:rPr>
                <w:i/>
              </w:rPr>
              <w:t>Construction Industry Portable Paid Long Service Leave Amendment Regulations 2021</w:t>
            </w:r>
          </w:p>
        </w:tc>
        <w:tc>
          <w:tcPr>
            <w:tcW w:w="1276" w:type="dxa"/>
            <w:tcBorders>
              <w:top w:val="nil"/>
              <w:bottom w:val="nil"/>
            </w:tcBorders>
          </w:tcPr>
          <w:p>
            <w:pPr>
              <w:pStyle w:val="nTable"/>
              <w:spacing w:after="40"/>
            </w:pPr>
            <w:r>
              <w:t>SL 2021/191 19 Nov 2021</w:t>
            </w:r>
          </w:p>
        </w:tc>
        <w:tc>
          <w:tcPr>
            <w:tcW w:w="2693" w:type="dxa"/>
            <w:tcBorders>
              <w:top w:val="nil"/>
              <w:bottom w:val="nil"/>
            </w:tcBorders>
          </w:tcPr>
          <w:p>
            <w:pPr>
              <w:pStyle w:val="nTable"/>
              <w:spacing w:after="40"/>
            </w:pPr>
            <w:r>
              <w:t>r. 1 and 2: 19 Nov 2021 (see r. 2(a));</w:t>
            </w:r>
            <w:r>
              <w:br/>
              <w:t>Regulations other than r. 1, 2 and 6: 20 Nov 2021 (see r. 2(c));</w:t>
            </w:r>
            <w:r>
              <w:br/>
              <w:t>r. 6: 1 Jan 2022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noProof/>
              </w:rPr>
            </w:pPr>
            <w:r>
              <w:rPr>
                <w:i/>
              </w:rPr>
              <w:lastRenderedPageBreak/>
              <w:t xml:space="preserve">Construction Industry Portable Paid Long Service Leave Amendment Regulations 2023 </w:t>
            </w:r>
            <w:r>
              <w:rPr>
                <w:iCs/>
              </w:rPr>
              <w:t>(other than r. 7)</w:t>
            </w:r>
          </w:p>
        </w:tc>
        <w:tc>
          <w:tcPr>
            <w:tcW w:w="1276" w:type="dxa"/>
            <w:tcBorders>
              <w:top w:val="nil"/>
              <w:bottom w:val="single" w:sz="4" w:space="0" w:color="auto"/>
            </w:tcBorders>
          </w:tcPr>
          <w:p>
            <w:pPr>
              <w:pStyle w:val="nTable"/>
              <w:spacing w:after="40"/>
            </w:pPr>
            <w:r>
              <w:t>SL 2023/187 29 Nov 2023</w:t>
            </w:r>
          </w:p>
        </w:tc>
        <w:tc>
          <w:tcPr>
            <w:tcW w:w="2693" w:type="dxa"/>
            <w:tcBorders>
              <w:top w:val="nil"/>
              <w:bottom w:val="single" w:sz="4" w:space="0" w:color="auto"/>
            </w:tcBorders>
          </w:tcPr>
          <w:p>
            <w:pPr>
              <w:pStyle w:val="nTable"/>
              <w:spacing w:after="40"/>
            </w:pPr>
            <w:r>
              <w:t>r. 1 and 2: 29 Nov 2023 (see r. 2(a));</w:t>
            </w:r>
            <w:r>
              <w:br/>
              <w:t>Regulations other than r. 1, 2 and 7: 30 Nov 2023 (see r. 2(c))</w:t>
            </w:r>
          </w:p>
        </w:tc>
      </w:tr>
    </w:tbl>
    <w:p>
      <w:pPr>
        <w:pStyle w:val="nHeading3"/>
      </w:pPr>
      <w:bookmarkStart w:id="21" w:name="_Toc154748656"/>
      <w:r>
        <w:t>Uncommenced provisions table</w:t>
      </w:r>
      <w:bookmarkEnd w:id="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noProof/>
              </w:rPr>
            </w:pPr>
            <w:r>
              <w:rPr>
                <w:i/>
              </w:rPr>
              <w:t xml:space="preserve">Construction Industry Portable Paid Long Service Leave Amendment Regulations 2023 </w:t>
            </w:r>
            <w:r>
              <w:rPr>
                <w:iCs/>
              </w:rPr>
              <w:t>r. 7</w:t>
            </w:r>
          </w:p>
        </w:tc>
        <w:tc>
          <w:tcPr>
            <w:tcW w:w="1276" w:type="dxa"/>
            <w:tcBorders>
              <w:top w:val="nil"/>
              <w:bottom w:val="single" w:sz="4" w:space="0" w:color="auto"/>
            </w:tcBorders>
          </w:tcPr>
          <w:p>
            <w:pPr>
              <w:pStyle w:val="nTable"/>
              <w:spacing w:after="40"/>
            </w:pPr>
            <w:r>
              <w:t>SL 2023/187 29 Nov 2023</w:t>
            </w:r>
          </w:p>
        </w:tc>
        <w:tc>
          <w:tcPr>
            <w:tcW w:w="2693" w:type="dxa"/>
            <w:tcBorders>
              <w:top w:val="nil"/>
              <w:bottom w:val="single" w:sz="4" w:space="0" w:color="auto"/>
            </w:tcBorders>
          </w:tcPr>
          <w:p>
            <w:pPr>
              <w:pStyle w:val="nTable"/>
              <w:spacing w:after="40"/>
            </w:pPr>
            <w:r>
              <w:t>1 Jan 2024 (see r. 2(b))</w:t>
            </w:r>
          </w:p>
        </w:tc>
      </w:tr>
    </w:tbl>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3" w:name="_Toc154748657"/>
      <w:r>
        <w:rPr>
          <w:sz w:val="28"/>
        </w:rPr>
        <w:lastRenderedPageBreak/>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temporary employee</w:t>
      </w:r>
      <w:r>
        <w:tab/>
        <w:t>3(3)</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7A8F1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CF4A42E" w14:textId="2E7F52E1" w:rsidR="00CC136D" w:rsidRDefault="00CC136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04B6043" w14:textId="77777777" w:rsidR="00CC136D" w:rsidRDefault="00CC136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6B8C53A" w14:textId="1E16CA10" w:rsidR="00CC136D" w:rsidRDefault="00CC136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9732893" w14:textId="77777777" w:rsidR="00CC136D" w:rsidRDefault="00CC136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22"/>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 w:name="WAFER_20181203122648" w:val="RemoveTocBookmarks,RemoveUnusedBookmarks,RemoveLanguageTags,UsedStyles,ResetPageSize"/>
    <w:docVar w:name="WAFER_20181203122648_GUID" w:val="125073d7-fb72-40d7-90c9-b6eca9692d24"/>
    <w:docVar w:name="WAFER_20191211152908" w:val="RemoveTocBookmarks,RemoveUnusedBookmarks,RemoveLanguageTags,ResetPageSize,RunningHeaders,UpdateStyles,UsedStyles"/>
    <w:docVar w:name="WAFER_20191211152908_GUID" w:val="35fb4570-e25a-4c5b-9995-606e15a260a3"/>
    <w:docVar w:name="WAFER_202002101358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817_GUID" w:val="f1cd150a-a102-4111-8f15-095e7d7a06c8"/>
    <w:docVar w:name="WAFER_2020063010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3246_GUID" w:val="7bd1be3d-338c-4521-b72f-6cb0e1122a15"/>
    <w:docVar w:name="WAFER_20200828084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4403_GUID" w:val="4769f223-5100-47a6-889c-348bf9b5b70b"/>
    <w:docVar w:name="WAFER_20201118140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40459_GUID" w:val="20f05804-aed0-47b9-b525-5cb975d3f7fe"/>
    <w:docVar w:name="WAFER_202011231533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3153352_GUID" w:val="7faa0ff6-2017-4563-a584-7b4bd4be5f98"/>
    <w:docVar w:name="WAFER_20211116122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2257_GUID" w:val="4e0107ad-19f0-489c-80e8-a1c1a00fefe9"/>
    <w:docVar w:name="WAFER_202112290958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095825_GUID" w:val="4f7773d2-aff4-4fbf-a494-7c3240d9e081"/>
    <w:docVar w:name="WAFER_20231123140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23140216_GUID" w:val="55c503d1-426d-41ae-a4b0-2bc0e2655026"/>
    <w:docVar w:name="WAFER_20231227163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22_GUID" w:val="5d7e9edd-f49f-4652-938c-1c38d36c24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C74E0C92-79DD-44BA-B619-76EC50D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E6BC-3056-4C38-A536-FE23ECF0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3234</Words>
  <Characters>16467</Characters>
  <Application>Microsoft Office Word</Application>
  <DocSecurity>0</DocSecurity>
  <Lines>823</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1986 - 04-r0-01</dc:title>
  <dc:subject/>
  <dc:creator/>
  <cp:keywords/>
  <dc:description/>
  <cp:lastModifiedBy>Master Repository Process</cp:lastModifiedBy>
  <cp:revision>4</cp:revision>
  <cp:lastPrinted>2019-12-17T01:16:00Z</cp:lastPrinted>
  <dcterms:created xsi:type="dcterms:W3CDTF">2023-12-29T05:23:00Z</dcterms:created>
  <dcterms:modified xsi:type="dcterms:W3CDTF">2023-12-29T05:23:00Z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AsAtDate">
    <vt:lpwstr>30 Nov 2023</vt:lpwstr>
  </property>
  <property fmtid="{D5CDD505-2E9C-101B-9397-08002B2CF9AE}" pid="8" name="Suffix">
    <vt:lpwstr>04-r0-01</vt:lpwstr>
  </property>
  <property fmtid="{D5CDD505-2E9C-101B-9397-08002B2CF9AE}" pid="9" name="Official">
    <vt:lpwstr/>
  </property>
  <property fmtid="{D5CDD505-2E9C-101B-9397-08002B2CF9AE}" pid="10" name="CommencementDate">
    <vt:lpwstr>20231130</vt:lpwstr>
  </property>
  <property fmtid="{D5CDD505-2E9C-101B-9397-08002B2CF9AE}" pid="11" name="CommencementAsAt">
    <vt:filetime>2023-11-29T16:00:00Z</vt:filetime>
  </property>
  <property fmtid="{D5CDD505-2E9C-101B-9397-08002B2CF9AE}" pid="12" name="CommencementYear">
    <vt:lpwstr>2023</vt:lpwstr>
  </property>
</Properties>
</file>