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_Toc155097885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_Toc155097886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_Toc155097887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_Toc155097888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_Toc155097889 \h </w:instrText>
      </w:r>
      <w:r>
        <w:fldChar w:fldCharType="separate"/>
      </w:r>
      <w:r>
        <w:t>4</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_Toc155097890 \h </w:instrText>
      </w:r>
      <w:r>
        <w:fldChar w:fldCharType="separate"/>
      </w:r>
      <w:r>
        <w:t>4</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_Toc155097891 \h </w:instrText>
      </w:r>
      <w:r>
        <w:fldChar w:fldCharType="separate"/>
      </w:r>
      <w:r>
        <w:t>5</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_Toc155097892 \h </w:instrText>
      </w:r>
      <w:r>
        <w:fldChar w:fldCharType="separate"/>
      </w:r>
      <w:r>
        <w:t>5</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_Toc155097893 \h </w:instrText>
      </w:r>
      <w:r>
        <w:fldChar w:fldCharType="separate"/>
      </w:r>
      <w:r>
        <w:t>5</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_Toc155097894 \h </w:instrText>
      </w:r>
      <w:r>
        <w:fldChar w:fldCharType="separate"/>
      </w:r>
      <w:r>
        <w:t>6</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_Toc155097895 \h </w:instrText>
      </w:r>
      <w:r>
        <w:fldChar w:fldCharType="separate"/>
      </w:r>
      <w:r>
        <w:t>6</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_Toc155097896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_Toc155097897 \h </w:instrText>
      </w:r>
      <w:r>
        <w:fldChar w:fldCharType="separate"/>
      </w:r>
      <w:r>
        <w:t>7</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_Toc155097898 \h </w:instrText>
      </w:r>
      <w:r>
        <w:fldChar w:fldCharType="separate"/>
      </w:r>
      <w:r>
        <w:t>7</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_Toc155097899 \h </w:instrText>
      </w:r>
      <w:r>
        <w:fldChar w:fldCharType="separate"/>
      </w:r>
      <w:r>
        <w:t>8</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_Toc155097900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_Toc155097901 \h </w:instrText>
      </w:r>
      <w:r>
        <w:fldChar w:fldCharType="separate"/>
      </w:r>
      <w:r>
        <w:t>8</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_Toc155097902 \h </w:instrText>
      </w:r>
      <w:r>
        <w:fldChar w:fldCharType="separate"/>
      </w:r>
      <w:r>
        <w:t>10</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_Toc155097903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_Toc155097904 \h </w:instrText>
      </w:r>
      <w:r>
        <w:fldChar w:fldCharType="separate"/>
      </w:r>
      <w:r>
        <w:t>13</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_Toc155097905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_Toc155097908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55097885"/>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55097886"/>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55097887"/>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55097888"/>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keepNex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lastRenderedPageBreak/>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Bryn Daniel Elphick</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MED0001926283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keepNext/>
            </w:pPr>
            <w:r>
              <w:lastRenderedPageBreak/>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keepNext/>
            </w:pPr>
            <w:r>
              <w:t>MED0001615298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keepNext/>
            </w:pPr>
            <w:r>
              <w:t>Maryam Tashakkori Jahromi</w:t>
            </w:r>
          </w:p>
        </w:tc>
        <w:tc>
          <w:tcPr>
            <w:tcW w:w="2664" w:type="dxa"/>
            <w:tcBorders>
              <w:top w:val="single" w:sz="4" w:space="0" w:color="auto"/>
              <w:left w:val="single" w:sz="4" w:space="0" w:color="auto"/>
              <w:bottom w:val="single" w:sz="4" w:space="0" w:color="auto"/>
              <w:right w:val="single" w:sz="4" w:space="0" w:color="auto"/>
            </w:tcBorders>
            <w:noWrap/>
          </w:tcPr>
          <w:p>
            <w:pPr>
              <w:pStyle w:val="TableNAm"/>
              <w:keepNext/>
            </w:pPr>
            <w:r>
              <w:t>MED0001763607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Altaf Nissar Khoja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MED0001208326</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Sabrina Amanda Pozzi Langhi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MED0001546857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Samanta Nagpal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MED0002739098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Anders Roy Hargrave Skarsten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MED0002495503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lastRenderedPageBreak/>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 SL 2023/150 r. 4; SL 2023/184 r. 4.]</w:t>
      </w:r>
    </w:p>
    <w:p>
      <w:pPr>
        <w:pStyle w:val="Heading5"/>
      </w:pPr>
      <w:bookmarkStart w:id="8" w:name="_Toc155097889"/>
      <w:r>
        <w:rPr>
          <w:rStyle w:val="CharSectno"/>
        </w:rPr>
        <w:t>4</w:t>
      </w:r>
      <w:r>
        <w:t>.</w:t>
      </w:r>
      <w:r>
        <w:tab/>
        <w:t>Standards for diagnosing mental illness (Act s. 6(4))</w:t>
      </w:r>
      <w:bookmarkEnd w:id="8"/>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155097890"/>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155097891"/>
      <w:r>
        <w:rPr>
          <w:rStyle w:val="CharSectno"/>
        </w:rPr>
        <w:lastRenderedPageBreak/>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155097892"/>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155097893"/>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155097894"/>
      <w:r>
        <w:rPr>
          <w:rStyle w:val="CharSectno"/>
        </w:rPr>
        <w:lastRenderedPageBreak/>
        <w:t>9</w:t>
      </w:r>
      <w:r>
        <w:t>.</w:t>
      </w:r>
      <w:r>
        <w:tab/>
        <w:t>Persons authorised to exercise search and seizure powers (Act s. 161)</w:t>
      </w:r>
      <w:bookmarkEnd w:id="1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155097895"/>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155097896"/>
      <w:r>
        <w:rPr>
          <w:rStyle w:val="CharSectno"/>
        </w:rPr>
        <w:lastRenderedPageBreak/>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155097897"/>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155097898"/>
      <w:r>
        <w:rPr>
          <w:rStyle w:val="CharSectno"/>
        </w:rPr>
        <w:t>13</w:t>
      </w:r>
      <w:r>
        <w:t>.</w:t>
      </w:r>
      <w:r>
        <w:tab/>
        <w:t>Standards for provision of mental health services (Act s. 333(3)(c))</w:t>
      </w:r>
      <w:bookmarkEnd w:id="1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155097899"/>
      <w:r>
        <w:rPr>
          <w:rStyle w:val="CharSectno"/>
        </w:rPr>
        <w:lastRenderedPageBreak/>
        <w:t>14</w:t>
      </w:r>
      <w:r>
        <w:t>.</w:t>
      </w:r>
      <w:r>
        <w:tab/>
        <w:t>Specific powers of mental health advocates (Act s. 359(1)(g))</w:t>
      </w:r>
      <w:bookmarkEnd w:id="1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155097900"/>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155097901"/>
      <w:r>
        <w:rPr>
          <w:rStyle w:val="CharSectno"/>
        </w:rPr>
        <w:t>16</w:t>
      </w:r>
      <w:r>
        <w:t>.</w:t>
      </w:r>
      <w:r>
        <w:tab/>
        <w:t>Particulars of involuntary patients to be kept by registrar of Mental Health Tribunal (Act s. 484(a))</w:t>
      </w:r>
      <w:bookmarkEnd w:id="20"/>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lastRenderedPageBreak/>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lastRenderedPageBreak/>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155097902"/>
      <w:r>
        <w:rPr>
          <w:rStyle w:val="CharSectno"/>
        </w:rPr>
        <w:t>17</w:t>
      </w:r>
      <w:r>
        <w:t>.</w:t>
      </w:r>
      <w:r>
        <w:tab/>
        <w:t>Authorised mental health practitioners (Act s. 539(4))</w:t>
      </w:r>
      <w:bookmarkEnd w:id="21"/>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lastRenderedPageBreak/>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155097903"/>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lastRenderedPageBreak/>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keepNext/>
      </w:pPr>
      <w:r>
        <w:lastRenderedPageBreak/>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155097904"/>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lastRenderedPageBreak/>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155097905"/>
      <w:r>
        <w:rPr>
          <w:rStyle w:val="CharSectno"/>
        </w:rPr>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keepNext/>
      </w:pPr>
      <w:r>
        <w:lastRenderedPageBreak/>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155097906"/>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 w:name="_Toc155097907"/>
      <w:r>
        <w:lastRenderedPageBreak/>
        <w:t>Notes</w:t>
      </w:r>
      <w:bookmarkEnd w:id="27"/>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28" w:name="_Toc155097908"/>
      <w:r>
        <w:t>Compilation table</w:t>
      </w:r>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2023</w:t>
            </w:r>
          </w:p>
        </w:tc>
        <w:tc>
          <w:tcPr>
            <w:tcW w:w="1276" w:type="dxa"/>
            <w:tcBorders>
              <w:top w:val="nil"/>
              <w:left w:val="nil"/>
              <w:bottom w:val="nil"/>
              <w:right w:val="nil"/>
            </w:tcBorders>
          </w:tcPr>
          <w:p>
            <w:pPr>
              <w:pStyle w:val="nTable"/>
              <w:keepLines/>
              <w:spacing w:after="40"/>
            </w:pPr>
            <w:r>
              <w:t>SL 2023/56 2 Jun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2023</w:t>
            </w:r>
          </w:p>
        </w:tc>
        <w:tc>
          <w:tcPr>
            <w:tcW w:w="1276" w:type="dxa"/>
            <w:tcBorders>
              <w:top w:val="nil"/>
              <w:left w:val="nil"/>
              <w:bottom w:val="nil"/>
              <w:right w:val="nil"/>
            </w:tcBorders>
          </w:tcPr>
          <w:p>
            <w:pPr>
              <w:pStyle w:val="nTable"/>
              <w:keepLines/>
              <w:spacing w:after="40"/>
            </w:pPr>
            <w:r>
              <w:t>SL 2023/150 4 Oct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4 Oct 2023 (see r. 2(a));</w:t>
            </w:r>
            <w:r>
              <w:rPr>
                <w:bCs/>
                <w:snapToGrid w:val="0"/>
                <w:spacing w:val="-2"/>
              </w:rPr>
              <w:br/>
              <w:t>Regulations other than r. 1 and 2: 5 Oct 2023 (see r. 2(b))</w:t>
            </w:r>
          </w:p>
        </w:tc>
      </w:tr>
      <w:tr>
        <w:trPr>
          <w:cantSplit/>
        </w:trPr>
        <w:tc>
          <w:tcPr>
            <w:tcW w:w="3118" w:type="dxa"/>
            <w:tcBorders>
              <w:top w:val="nil"/>
              <w:bottom w:val="single" w:sz="8" w:space="0" w:color="auto"/>
              <w:right w:val="nil"/>
            </w:tcBorders>
          </w:tcPr>
          <w:p>
            <w:pPr>
              <w:pStyle w:val="nTable"/>
              <w:keepNext/>
              <w:spacing w:after="40"/>
              <w:rPr>
                <w:i/>
              </w:rPr>
            </w:pPr>
            <w:r>
              <w:rPr>
                <w:i/>
              </w:rPr>
              <w:lastRenderedPageBreak/>
              <w:t>Mental Health Amendment Regulations (No. 4) 2023</w:t>
            </w:r>
          </w:p>
        </w:tc>
        <w:tc>
          <w:tcPr>
            <w:tcW w:w="1276" w:type="dxa"/>
            <w:tcBorders>
              <w:top w:val="nil"/>
              <w:left w:val="nil"/>
              <w:bottom w:val="single" w:sz="8" w:space="0" w:color="auto"/>
              <w:right w:val="nil"/>
            </w:tcBorders>
          </w:tcPr>
          <w:p>
            <w:pPr>
              <w:pStyle w:val="nTable"/>
              <w:keepNext/>
              <w:keepLines/>
              <w:spacing w:after="40"/>
            </w:pPr>
            <w:r>
              <w:t>SL 2023/184 29 Nov 2023</w:t>
            </w:r>
          </w:p>
        </w:tc>
        <w:tc>
          <w:tcPr>
            <w:tcW w:w="2693" w:type="dxa"/>
            <w:tcBorders>
              <w:top w:val="nil"/>
              <w:left w:val="nil"/>
              <w:bottom w:val="single" w:sz="8" w:space="0" w:color="auto"/>
            </w:tcBorders>
          </w:tcPr>
          <w:p>
            <w:pPr>
              <w:pStyle w:val="nTable"/>
              <w:keepNext/>
              <w:keepLines/>
              <w:spacing w:after="40"/>
              <w:rPr>
                <w:bCs/>
                <w:snapToGrid w:val="0"/>
                <w:spacing w:val="-2"/>
              </w:rPr>
            </w:pPr>
            <w:r>
              <w:rPr>
                <w:bCs/>
                <w:snapToGrid w:val="0"/>
                <w:spacing w:val="-2"/>
              </w:rPr>
              <w:t>r. 1 and 2: 29 Nov 2023 (see r. 2(a));</w:t>
            </w:r>
            <w:r>
              <w:rPr>
                <w:bCs/>
                <w:snapToGrid w:val="0"/>
                <w:spacing w:val="-2"/>
              </w:rPr>
              <w:br/>
              <w:t>Regulations other than r. 1 and 2: 30 Nov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0" w:name="_Toc155097909"/>
      <w:r>
        <w:rPr>
          <w:sz w:val="28"/>
        </w:rPr>
        <w:lastRenderedPageBreak/>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A96FE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3A12A5A" w14:textId="103E05C4" w:rsidR="00777ABC" w:rsidRDefault="00777AB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8E2A5DF" w14:textId="77777777" w:rsidR="00777ABC" w:rsidRDefault="00777AB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A023A6B" w14:textId="59C2B782" w:rsidR="00777ABC" w:rsidRDefault="00777AB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8815FA" w14:textId="77777777" w:rsidR="00777ABC" w:rsidRDefault="00777AB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2603"/>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 w:name="WAFER_20230928135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8135955_GUID" w:val="61b2c36b-1aba-46fc-a7d6-2ae5084b97c3"/>
    <w:docVar w:name="WAFER_20230928140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0038_GUID" w:val="9295e7b0-9bc7-4216-aed1-37b84e827b2c"/>
    <w:docVar w:name="WAFER_20231124093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752_GUID" w:val="789f0381-56cb-4452-8ffb-d9e66093bfff"/>
    <w:docVar w:name="WAFER_202311240938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833_GUID" w:val="63760c78-61e3-41ff-a869-9dd0f7cb8d3e"/>
    <w:docVar w:name="WAFER_202312281126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603_GUID" w:val="91e4e748-2898-4434-b647-6a69d7605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FF58-CB31-4A82-83F2-21FC797C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4881</Words>
  <Characters>23869</Characters>
  <Application>Microsoft Office Word</Application>
  <DocSecurity>0</DocSecurity>
  <Lines>823</Lines>
  <Paragraphs>435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2015 - 00-t0-01</dc:title>
  <dc:subject/>
  <dc:creator/>
  <cp:keywords/>
  <dc:description/>
  <cp:lastModifiedBy>Master Repository Process</cp:lastModifiedBy>
  <cp:revision>4</cp:revision>
  <cp:lastPrinted>2019-10-08T03:56:00Z</cp:lastPrinted>
  <dcterms:created xsi:type="dcterms:W3CDTF">2024-01-02T06:24:00Z</dcterms:created>
  <dcterms:modified xsi:type="dcterms:W3CDTF">2024-01-02T06:24:00Z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30 Nov 2023</vt:lpwstr>
  </property>
  <property fmtid="{D5CDD505-2E9C-101B-9397-08002B2CF9AE}" pid="6" name="Suffix">
    <vt:lpwstr>00-t0-01</vt:lpwstr>
  </property>
  <property fmtid="{D5CDD505-2E9C-101B-9397-08002B2CF9AE}" pid="7" name="Official">
    <vt:lpwstr/>
  </property>
  <property fmtid="{D5CDD505-2E9C-101B-9397-08002B2CF9AE}" pid="8" name="CommencementDate">
    <vt:lpwstr>20231130</vt:lpwstr>
  </property>
  <property fmtid="{D5CDD505-2E9C-101B-9397-08002B2CF9AE}" pid="9" name="CommencementAsAt">
    <vt:filetime>2023-11-29T16:00:00Z</vt:filetime>
  </property>
  <property fmtid="{D5CDD505-2E9C-101B-9397-08002B2CF9AE}" pid="10" name="CommencementYear">
    <vt:lpwstr>2023</vt:lpwstr>
  </property>
</Properties>
</file>