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_Toc152078591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_Toc152078592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Act binds Crown</w:t>
      </w:r>
      <w:r>
        <w:tab/>
      </w:r>
      <w:r>
        <w:fldChar w:fldCharType="begin"/>
      </w:r>
      <w:r>
        <w:instrText xml:space="preserve"> PAGEREF _Toc152078593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_Toc152078594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Registrar of Titles to take certain measures</w:t>
      </w:r>
      <w:r>
        <w:tab/>
      </w:r>
      <w:r>
        <w:fldChar w:fldCharType="begin"/>
      </w:r>
      <w:r>
        <w:instrText xml:space="preserve"> PAGEREF _Toc152078595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Excision of area from class A reserves</w:t>
      </w:r>
      <w:r>
        <w:tab/>
      </w:r>
      <w:r>
        <w:fldChar w:fldCharType="begin"/>
      </w:r>
      <w:r>
        <w:instrText xml:space="preserve"> PAGEREF _Toc152078596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Amendment to Reserve 48470</w:t>
      </w:r>
      <w:r>
        <w:tab/>
      </w:r>
      <w:r>
        <w:fldChar w:fldCharType="begin"/>
      </w:r>
      <w:r>
        <w:instrText xml:space="preserve"> PAGEREF _Toc152078597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Amendment to class A Reserve 24591</w:t>
      </w:r>
      <w:r>
        <w:tab/>
      </w:r>
      <w:r>
        <w:fldChar w:fldCharType="begin"/>
      </w:r>
      <w:r>
        <w:instrText xml:space="preserve"> PAGEREF _Toc152078598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Amendment to class A Reserve 39820</w:t>
      </w:r>
      <w:r>
        <w:tab/>
      </w:r>
      <w:r>
        <w:fldChar w:fldCharType="begin"/>
      </w:r>
      <w:r>
        <w:instrText xml:space="preserve"> PAGEREF _Toc152078599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Reserves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28 of 2023</w:t>
      </w:r>
    </w:p>
    <w:p>
      <w:pPr>
        <w:pStyle w:val="LongTitle"/>
      </w:pPr>
      <w:r>
        <w:t xml:space="preserve">An Act — </w:t>
      </w:r>
    </w:p>
    <w:p>
      <w:pPr>
        <w:pStyle w:val="LongTitle"/>
        <w:numPr>
          <w:ilvl w:val="0"/>
          <w:numId w:val="2"/>
        </w:numPr>
        <w:ind w:left="426"/>
      </w:pPr>
      <w:r>
        <w:t>to excise certain areas of land from class A reserves; and</w:t>
      </w:r>
    </w:p>
    <w:p>
      <w:pPr>
        <w:pStyle w:val="LongTitle"/>
        <w:numPr>
          <w:ilvl w:val="0"/>
          <w:numId w:val="2"/>
        </w:numPr>
        <w:ind w:left="426"/>
      </w:pPr>
      <w:r>
        <w:t>to amend the classification of certain reserved land; and</w:t>
      </w:r>
    </w:p>
    <w:p>
      <w:pPr>
        <w:pStyle w:val="LongTitle"/>
        <w:numPr>
          <w:ilvl w:val="0"/>
          <w:numId w:val="2"/>
        </w:numPr>
        <w:ind w:left="426"/>
      </w:pPr>
      <w:r>
        <w:t>to amend the purpose of certain reserved land.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28 November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52078591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Reserves Act 2023</w:t>
      </w:r>
      <w:r>
        <w:t>.</w:t>
      </w:r>
    </w:p>
    <w:p>
      <w:pPr>
        <w:pStyle w:val="Heading5"/>
      </w:pPr>
      <w:bookmarkStart w:id="5" w:name="_Toc152078592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</w:pPr>
      <w:bookmarkStart w:id="6" w:name="_Toc152078593"/>
      <w:r>
        <w:rPr>
          <w:rStyle w:val="CharSectno"/>
        </w:rPr>
        <w:t>3</w:t>
      </w:r>
      <w:r>
        <w:t>.</w:t>
      </w:r>
      <w:r>
        <w:tab/>
        <w:t>Act binds Crown</w:t>
      </w:r>
      <w:bookmarkEnd w:id="6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Heading5"/>
      </w:pPr>
      <w:bookmarkStart w:id="7" w:name="_Toc152078594"/>
      <w:r>
        <w:rPr>
          <w:rStyle w:val="CharSectno"/>
        </w:rPr>
        <w:t>4</w:t>
      </w:r>
      <w:r>
        <w:t>.</w:t>
      </w:r>
      <w:r>
        <w:tab/>
        <w:t>Terms used</w:t>
      </w:r>
      <w:bookmarkEnd w:id="7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Authority</w:t>
      </w:r>
      <w:r>
        <w:t xml:space="preserve"> means the Western Australian Land Information Authority established by the </w:t>
      </w:r>
      <w:r>
        <w:rPr>
          <w:i/>
        </w:rPr>
        <w:t xml:space="preserve">Land Information Authority Act 2006 </w:t>
      </w:r>
      <w:r>
        <w:t>section 5(1);</w:t>
      </w:r>
    </w:p>
    <w:p>
      <w:pPr>
        <w:pStyle w:val="Defstart"/>
      </w:pPr>
      <w:r>
        <w:tab/>
      </w:r>
      <w:r>
        <w:rPr>
          <w:rStyle w:val="CharDefText"/>
        </w:rPr>
        <w:t>class A reserve</w:t>
      </w:r>
      <w:r>
        <w:t xml:space="preserve"> has the meaning given in the </w:t>
      </w:r>
      <w:r>
        <w:rPr>
          <w:i/>
        </w:rPr>
        <w:t>Land Administration Act 1997</w:t>
      </w:r>
      <w:r>
        <w:t xml:space="preserve"> section 3(1);</w:t>
      </w:r>
    </w:p>
    <w:p>
      <w:pPr>
        <w:pStyle w:val="Defstart"/>
      </w:pPr>
      <w:r>
        <w:tab/>
      </w:r>
      <w:r>
        <w:rPr>
          <w:rStyle w:val="CharDefText"/>
        </w:rPr>
        <w:t>Deposited Plan</w:t>
      </w:r>
      <w:r>
        <w:t xml:space="preserve">, followed by a number, means the deposited plan of that number — </w:t>
      </w:r>
    </w:p>
    <w:p>
      <w:pPr>
        <w:pStyle w:val="Defpara"/>
      </w:pPr>
      <w:r>
        <w:tab/>
        <w:t>(a)</w:t>
      </w:r>
      <w:r>
        <w:tab/>
        <w:t>lodged with the Authority; and</w:t>
      </w:r>
    </w:p>
    <w:p>
      <w:pPr>
        <w:pStyle w:val="Defpara"/>
      </w:pPr>
      <w:r>
        <w:tab/>
        <w:t>(b)</w:t>
      </w:r>
      <w:r>
        <w:tab/>
        <w:t xml:space="preserve">approved by an authorised land officer as defined in the </w:t>
      </w:r>
      <w:r>
        <w:rPr>
          <w:i/>
        </w:rPr>
        <w:t>Land Administration Act 1997</w:t>
      </w:r>
      <w:r>
        <w:t xml:space="preserve"> section 3(1);</w:t>
      </w:r>
    </w:p>
    <w:p>
      <w:pPr>
        <w:pStyle w:val="Defstart"/>
      </w:pPr>
      <w:r>
        <w:tab/>
      </w:r>
      <w:r>
        <w:rPr>
          <w:rStyle w:val="CharDefText"/>
        </w:rPr>
        <w:t>lot</w:t>
      </w:r>
      <w:r>
        <w:t xml:space="preserve"> has the meaning given in the </w:t>
      </w:r>
      <w:r>
        <w:rPr>
          <w:i/>
        </w:rPr>
        <w:t>Land Administration Act 1997</w:t>
      </w:r>
      <w:r>
        <w:t xml:space="preserve"> section 3A;</w:t>
      </w:r>
    </w:p>
    <w:p>
      <w:pPr>
        <w:pStyle w:val="Defstart"/>
      </w:pPr>
      <w:r>
        <w:tab/>
      </w:r>
      <w:r>
        <w:rPr>
          <w:rStyle w:val="CharDefText"/>
        </w:rPr>
        <w:t>national park</w:t>
      </w:r>
      <w:r>
        <w:t xml:space="preserve"> has the meaning given in the </w:t>
      </w:r>
      <w:r>
        <w:rPr>
          <w:i/>
        </w:rPr>
        <w:t xml:space="preserve">Conservation and Land Management Act 1984 </w:t>
      </w:r>
      <w:r>
        <w:t>section 3;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Registrar of Titles</w:t>
      </w:r>
      <w:r>
        <w:t xml:space="preserve"> means the Registrar of Titles referred to in the </w:t>
      </w:r>
      <w:r>
        <w:rPr>
          <w:i/>
        </w:rPr>
        <w:t>Transfer of Land Act 1893</w:t>
      </w:r>
      <w:r>
        <w:t xml:space="preserve"> section 7.</w:t>
      </w:r>
    </w:p>
    <w:p>
      <w:pPr>
        <w:pStyle w:val="Heading5"/>
      </w:pPr>
      <w:bookmarkStart w:id="8" w:name="_Toc152078595"/>
      <w:r>
        <w:rPr>
          <w:rStyle w:val="CharSectno"/>
        </w:rPr>
        <w:t>5</w:t>
      </w:r>
      <w:r>
        <w:t>.</w:t>
      </w:r>
      <w:r>
        <w:tab/>
        <w:t>Registrar of Titles to take certain measures</w:t>
      </w:r>
      <w:bookmarkEnd w:id="8"/>
    </w:p>
    <w:p>
      <w:pPr>
        <w:pStyle w:val="Subsection"/>
      </w:pPr>
      <w:r>
        <w:tab/>
        <w:t>(1)</w:t>
      </w:r>
      <w:r>
        <w:tab/>
        <w:t xml:space="preserve">The Registrar of Titles must take any necessary measures to register the amendments effected by this Act. </w:t>
      </w:r>
    </w:p>
    <w:p>
      <w:pPr>
        <w:pStyle w:val="Subsection"/>
      </w:pPr>
      <w:r>
        <w:tab/>
        <w:t>(2)</w:t>
      </w:r>
      <w:r>
        <w:tab/>
        <w:t xml:space="preserve">For the purposes of subsection (1), this Act may be treated as if it were an order under the </w:t>
      </w:r>
      <w:r>
        <w:rPr>
          <w:i/>
        </w:rPr>
        <w:t>Land Administration Act 1997</w:t>
      </w:r>
      <w:r>
        <w:t>.</w:t>
      </w:r>
    </w:p>
    <w:p>
      <w:pPr>
        <w:pStyle w:val="Heading5"/>
      </w:pPr>
      <w:bookmarkStart w:id="9" w:name="_Toc152078596"/>
      <w:r>
        <w:rPr>
          <w:rStyle w:val="CharSectno"/>
        </w:rPr>
        <w:t>6</w:t>
      </w:r>
      <w:r>
        <w:t>.</w:t>
      </w:r>
      <w:r>
        <w:tab/>
        <w:t>Excision of area from class A reserves</w:t>
      </w:r>
      <w:bookmarkEnd w:id="9"/>
    </w:p>
    <w:p>
      <w:pPr>
        <w:pStyle w:val="Subsection"/>
      </w:pPr>
      <w:r>
        <w:tab/>
      </w:r>
      <w:r>
        <w:tab/>
        <w:t xml:space="preserve">A class A reserve specified in column 1 of the Table is amended by excising the lot specified in column 2. </w:t>
      </w:r>
    </w:p>
    <w:p>
      <w:pPr>
        <w:pStyle w:val="THeadingNAm"/>
      </w:pPr>
      <w:r>
        <w:t>Table</w:t>
      </w:r>
    </w:p>
    <w:tbl>
      <w:tblPr>
        <w:tblW w:w="6096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48"/>
        <w:gridCol w:w="3048"/>
      </w:tblGrid>
      <w:tr>
        <w:trPr>
          <w:tblHeader/>
        </w:trPr>
        <w:tc>
          <w:tcPr>
            <w:tcW w:w="3033" w:type="dxa"/>
            <w:noWrap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A reserve</w:t>
            </w:r>
          </w:p>
        </w:tc>
        <w:tc>
          <w:tcPr>
            <w:tcW w:w="3033" w:type="dxa"/>
            <w:noWrap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Excised land (by lot number and Deposited Plan)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Reserve 27575</w:t>
            </w:r>
          </w:p>
        </w:tc>
        <w:tc>
          <w:tcPr>
            <w:tcW w:w="3033" w:type="dxa"/>
            <w:noWrap/>
          </w:tcPr>
          <w:p>
            <w:pPr>
              <w:pStyle w:val="TableNAm"/>
            </w:pPr>
            <w:r>
              <w:t xml:space="preserve">Lot 600 on Deposited Plan 417115 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Reserve 33581</w:t>
            </w:r>
          </w:p>
        </w:tc>
        <w:tc>
          <w:tcPr>
            <w:tcW w:w="3033" w:type="dxa"/>
            <w:noWrap/>
          </w:tcPr>
          <w:p>
            <w:pPr>
              <w:pStyle w:val="TableNAm"/>
            </w:pPr>
            <w:r>
              <w:t>Lot 8010 on Deposited Plan 69110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Reserve 49730</w:t>
            </w:r>
          </w:p>
        </w:tc>
        <w:tc>
          <w:tcPr>
            <w:tcW w:w="3033" w:type="dxa"/>
            <w:noWrap/>
          </w:tcPr>
          <w:p>
            <w:pPr>
              <w:pStyle w:val="TableNAm"/>
            </w:pPr>
            <w:r>
              <w:t>Lot 372 on Deposited Plan 418235</w:t>
            </w:r>
          </w:p>
        </w:tc>
      </w:tr>
      <w:tr>
        <w:tc>
          <w:tcPr>
            <w:tcW w:w="3033" w:type="dxa"/>
            <w:noWrap/>
          </w:tcPr>
          <w:p>
            <w:pPr>
              <w:pStyle w:val="TableNAm"/>
            </w:pPr>
            <w:r>
              <w:t>Reserve 10003</w:t>
            </w:r>
          </w:p>
        </w:tc>
        <w:tc>
          <w:tcPr>
            <w:tcW w:w="3033" w:type="dxa"/>
            <w:noWrap/>
          </w:tcPr>
          <w:p>
            <w:pPr>
              <w:pStyle w:val="TableNAm"/>
            </w:pPr>
            <w:r>
              <w:t>Lot 350 on Deposited Plan 417644</w:t>
            </w:r>
          </w:p>
        </w:tc>
      </w:tr>
    </w:tbl>
    <w:p>
      <w:pPr>
        <w:pStyle w:val="Heading5"/>
      </w:pPr>
      <w:bookmarkStart w:id="10" w:name="_Toc152078597"/>
      <w:r>
        <w:rPr>
          <w:rStyle w:val="CharSectno"/>
        </w:rPr>
        <w:lastRenderedPageBreak/>
        <w:t>7</w:t>
      </w:r>
      <w:r>
        <w:t>.</w:t>
      </w:r>
      <w:r>
        <w:tab/>
        <w:t>Amendment to Reserve 48470</w:t>
      </w:r>
      <w:bookmarkEnd w:id="10"/>
    </w:p>
    <w:p>
      <w:pPr>
        <w:pStyle w:val="Subsection"/>
        <w:keepNext/>
      </w:pPr>
      <w:r>
        <w:tab/>
        <w:t>(1)</w:t>
      </w:r>
      <w:r>
        <w:tab/>
        <w:t>Reserve 48470 is amended by excising the lots on Deposited Plan 420726 specified in the Table.</w:t>
      </w:r>
    </w:p>
    <w:p>
      <w:pPr>
        <w:pStyle w:val="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rPr>
          <w:cantSplit/>
        </w:trPr>
        <w:tc>
          <w:tcPr>
            <w:tcW w:w="3033" w:type="dxa"/>
            <w:noWrap/>
          </w:tcPr>
          <w:p>
            <w:pPr>
              <w:pStyle w:val="TableNAm"/>
            </w:pPr>
            <w:r>
              <w:t>Lot 702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Lot 703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TableNAm"/>
            </w:pPr>
            <w:r>
              <w:t>Lot 710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Lot 712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TableNAm"/>
            </w:pPr>
            <w:r>
              <w:t>Lot 713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Lot 715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TableNAm"/>
            </w:pPr>
            <w:r>
              <w:t>Lot 716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  <w:r>
              <w:t>Lot 721</w:t>
            </w:r>
          </w:p>
        </w:tc>
      </w:tr>
      <w:tr>
        <w:trPr>
          <w:cantSplit/>
        </w:trPr>
        <w:tc>
          <w:tcPr>
            <w:tcW w:w="3033" w:type="dxa"/>
            <w:noWrap/>
          </w:tcPr>
          <w:p>
            <w:pPr>
              <w:pStyle w:val="TableNAm"/>
            </w:pPr>
            <w:r>
              <w:t>Lot 723</w:t>
            </w:r>
          </w:p>
        </w:tc>
        <w:tc>
          <w:tcPr>
            <w:tcW w:w="3034" w:type="dxa"/>
            <w:noWrap/>
          </w:tcPr>
          <w:p>
            <w:pPr>
              <w:pStyle w:val="TableNAm"/>
            </w:pPr>
          </w:p>
        </w:tc>
      </w:tr>
    </w:tbl>
    <w:p>
      <w:pPr>
        <w:pStyle w:val="Subsection"/>
      </w:pPr>
      <w:r>
        <w:tab/>
        <w:t>(2)</w:t>
      </w:r>
      <w:r>
        <w:tab/>
        <w:t xml:space="preserve">Immediately after the lots specified in the Table are excised under subsection (1), those lots are — </w:t>
      </w:r>
    </w:p>
    <w:p>
      <w:pPr>
        <w:pStyle w:val="Indenta"/>
      </w:pPr>
      <w:r>
        <w:tab/>
        <w:t>(a)</w:t>
      </w:r>
      <w:r>
        <w:tab/>
        <w:t xml:space="preserve">reserved under the </w:t>
      </w:r>
      <w:r>
        <w:rPr>
          <w:i/>
        </w:rPr>
        <w:t>Land Administration Act 1997</w:t>
      </w:r>
      <w:r>
        <w:t xml:space="preserve"> Part 4 for the purpose of a national park; and</w:t>
      </w:r>
    </w:p>
    <w:p>
      <w:pPr>
        <w:pStyle w:val="Indenta"/>
      </w:pPr>
      <w:r>
        <w:tab/>
        <w:t>(b)</w:t>
      </w:r>
      <w:r>
        <w:tab/>
        <w:t>classified under that Act as a class A reserve.</w:t>
      </w:r>
    </w:p>
    <w:p>
      <w:pPr>
        <w:pStyle w:val="Heading5"/>
      </w:pPr>
      <w:bookmarkStart w:id="11" w:name="_Toc152078598"/>
      <w:r>
        <w:rPr>
          <w:rStyle w:val="CharSectno"/>
        </w:rPr>
        <w:t>8</w:t>
      </w:r>
      <w:r>
        <w:t>.</w:t>
      </w:r>
      <w:r>
        <w:tab/>
        <w:t>Amendment to class A Reserve 24591</w:t>
      </w:r>
      <w:bookmarkEnd w:id="11"/>
    </w:p>
    <w:p>
      <w:pPr>
        <w:pStyle w:val="Subsection"/>
      </w:pPr>
      <w:r>
        <w:tab/>
        <w:t>(1)</w:t>
      </w:r>
      <w:r>
        <w:tab/>
        <w:t xml:space="preserve">In this section — </w:t>
      </w:r>
    </w:p>
    <w:p>
      <w:pPr>
        <w:pStyle w:val="Defstart"/>
      </w:pPr>
      <w:r>
        <w:tab/>
      </w:r>
      <w:r>
        <w:rPr>
          <w:rStyle w:val="CharDefText"/>
        </w:rPr>
        <w:t>Lot 1648 on Plan 6688</w:t>
      </w:r>
      <w:r>
        <w:t xml:space="preserve"> means</w:t>
      </w:r>
      <w:r>
        <w:rPr>
          <w:snapToGrid/>
        </w:rPr>
        <w:t xml:space="preserve"> the land comprised in Certificate of Title Volume LR3010 Folio 301.</w:t>
      </w:r>
    </w:p>
    <w:p>
      <w:pPr>
        <w:pStyle w:val="Subsection"/>
      </w:pPr>
      <w:r>
        <w:tab/>
        <w:t>(2)</w:t>
      </w:r>
      <w:r>
        <w:tab/>
        <w:t xml:space="preserve">Class A Reserve 24591, comprising Lot 1648 on Plan 6688 reserved for the purpose of Recreation, is cancelled. </w:t>
      </w:r>
    </w:p>
    <w:p>
      <w:pPr>
        <w:pStyle w:val="Subsection"/>
      </w:pPr>
      <w:r>
        <w:tab/>
        <w:t>(3)</w:t>
      </w:r>
      <w:r>
        <w:tab/>
        <w:t xml:space="preserve">Lot 1648 on Plan 6688 is reserved under the </w:t>
      </w:r>
      <w:r>
        <w:rPr>
          <w:i/>
        </w:rPr>
        <w:t>Land Administration Act 1997</w:t>
      </w:r>
      <w:r>
        <w:t xml:space="preserve"> Part 4 for the purpose of Yamatji social, cultural and/or economic benefit (as provided for in the Yamatji Nation Indigenous Land Use Agreement Schedule 11 Annexure A Part A </w:t>
      </w:r>
      <w:r>
        <w:noBreakHyphen/>
        <w:t xml:space="preserve"> Category 1 Land item 40).</w:t>
      </w:r>
    </w:p>
    <w:p>
      <w:pPr>
        <w:pStyle w:val="Heading5"/>
      </w:pPr>
      <w:bookmarkStart w:id="12" w:name="_Toc152078599"/>
      <w:r>
        <w:rPr>
          <w:rStyle w:val="CharSectno"/>
        </w:rPr>
        <w:lastRenderedPageBreak/>
        <w:t>9</w:t>
      </w:r>
      <w:r>
        <w:t>.</w:t>
      </w:r>
      <w:r>
        <w:tab/>
        <w:t>Amendment to class A Reserve 39820</w:t>
      </w:r>
      <w:bookmarkEnd w:id="12"/>
    </w:p>
    <w:p>
      <w:pPr>
        <w:pStyle w:val="Subsection"/>
      </w:pPr>
      <w:r>
        <w:tab/>
      </w:r>
      <w:r>
        <w:tab/>
        <w:t xml:space="preserve">The purpose for which class A Reserve 39820, comprising Lot 1829 on Deposited Plan 91614, is reserved under the </w:t>
      </w:r>
      <w:r>
        <w:rPr>
          <w:i/>
        </w:rPr>
        <w:t>Land Administration Act 1997</w:t>
      </w:r>
      <w:r>
        <w:t xml:space="preserve"> Part 4 is changed from “Conservation Park and the agreement defined in Section 2 of the Alumina Refinery Agreement Act 1961” to a national park.</w:t>
      </w:r>
    </w:p>
    <w:p>
      <w:pPr>
        <w:pStyle w:val="CentredBaseLine"/>
        <w:jc w:val="center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Heading2"/>
        <w:rPr>
          <w:sz w:val="28"/>
        </w:rPr>
      </w:pPr>
      <w:bookmarkStart w:id="13" w:name="_Toc152078362"/>
      <w:bookmarkStart w:id="14" w:name="_Toc152078467"/>
      <w:bookmarkStart w:id="15" w:name="_Toc152078600"/>
      <w:r>
        <w:rPr>
          <w:sz w:val="28"/>
        </w:rPr>
        <w:lastRenderedPageBreak/>
        <w:t>Defined terms</w:t>
      </w:r>
      <w:bookmarkEnd w:id="13"/>
      <w:bookmarkEnd w:id="14"/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4</w:t>
      </w:r>
    </w:p>
    <w:p>
      <w:pPr>
        <w:pStyle w:val="DefinedTerms"/>
      </w:pPr>
      <w:r>
        <w:t>class A reserve</w:t>
      </w:r>
      <w:r>
        <w:tab/>
        <w:t>4</w:t>
      </w:r>
    </w:p>
    <w:p>
      <w:pPr>
        <w:pStyle w:val="DefinedTerms"/>
      </w:pPr>
      <w:r>
        <w:t>Deposited Plan</w:t>
      </w:r>
      <w:r>
        <w:tab/>
        <w:t>4</w:t>
      </w:r>
    </w:p>
    <w:p>
      <w:pPr>
        <w:pStyle w:val="DefinedTerms"/>
      </w:pPr>
      <w:r>
        <w:t>lot</w:t>
      </w:r>
      <w:r>
        <w:tab/>
        <w:t>4</w:t>
      </w:r>
    </w:p>
    <w:p>
      <w:pPr>
        <w:pStyle w:val="DefinedTerms"/>
      </w:pPr>
      <w:r>
        <w:t>Lot 1648 on Plan 6688</w:t>
      </w:r>
      <w:r>
        <w:tab/>
        <w:t>8(1)</w:t>
      </w:r>
    </w:p>
    <w:p>
      <w:pPr>
        <w:pStyle w:val="DefinedTerms"/>
      </w:pPr>
      <w:r>
        <w:t>national park</w:t>
      </w:r>
      <w:r>
        <w:tab/>
        <w:t>4</w:t>
      </w:r>
    </w:p>
    <w:p>
      <w:pPr>
        <w:pStyle w:val="DefinedTerms"/>
      </w:pPr>
      <w:r>
        <w:t>Registrar of Titles</w:t>
      </w:r>
      <w:r>
        <w:tab/>
        <w:t>4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2023.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2023.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A7M2Lg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2023.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2023.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95910DF"/>
    <w:multiLevelType w:val="hybridMultilevel"/>
    <w:tmpl w:val="FC5E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-1&lt;/Maximum&gt;&lt;/AllLaws&gt;"/>
    <w:docVar w:name="WAFER" w:val="2023112815355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4031033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0403103322_GUID" w:val="c6be0b40-711c-4ff6-b353-501793f44ed0"/>
    <w:docVar w:name="WAFER_202308181557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18155753_GUID" w:val="75987ba5-56c9-4b83-8699-e69dbd558f00"/>
    <w:docVar w:name="WAFER_202308301423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30142345_GUID" w:val="fbd42487-17cf-4aeb-8fb8-d31153ac96d9"/>
    <w:docVar w:name="WAFER_202309041204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04120445_GUID" w:val="a9305a74-2364-4798-8dfc-e96533d5e8ff"/>
    <w:docVar w:name="WAFER_202309070911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7091152_GUID" w:val="44cc1302-69fd-4db4-84ff-49353a2c2f7a"/>
    <w:docVar w:name="WAFER_202310021523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2152347_GUID" w:val="75be542c-35ab-48c1-82c0-54e9aa189dc3"/>
    <w:docVar w:name="WAFER_202310021523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1002152354_GUID" w:val="b83a6147-f3fb-4818-8457-27f152844546"/>
    <w:docVar w:name="WAFER_202311281535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8153553_GUID" w:val="2f2210a8-d9ed-43d3-9a91-afe99e7c05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C4F21C-CF92-442A-8019-576A783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1AF7-60B3-43ED-989E-DF823EE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4069</Characters>
  <Application>Microsoft Office Word</Application>
  <DocSecurity>0</DocSecurity>
  <Lines>162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4814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Act 2023 - 00-00-00</dc:title>
  <dc:subject/>
  <dc:creator/>
  <cp:keywords/>
  <dc:description/>
  <cp:lastModifiedBy>Master Repository Process</cp:lastModifiedBy>
  <cp:revision>4</cp:revision>
  <cp:lastPrinted>2023-11-28T07:29:00Z</cp:lastPrinted>
  <dcterms:created xsi:type="dcterms:W3CDTF">2023-11-28T08:07:00Z</dcterms:created>
  <dcterms:modified xsi:type="dcterms:W3CDTF">2023-11-28T08:07:00Z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28 of 2023</vt:lpwstr>
  </property>
  <property fmtid="{D5CDD505-2E9C-101B-9397-08002B2CF9AE}" pid="3" name="DocumentType">
    <vt:lpwstr>Act</vt:lpwstr>
  </property>
  <property fmtid="{D5CDD505-2E9C-101B-9397-08002B2CF9AE}" pid="4" name="AsAtDate">
    <vt:lpwstr>28 Nov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28 of 2023</vt:lpwstr>
  </property>
  <property fmtid="{D5CDD505-2E9C-101B-9397-08002B2CF9AE}" pid="8" name="CommencementDate">
    <vt:lpwstr>20231128</vt:lpwstr>
  </property>
</Properties>
</file>