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Practitioner Regulation National Law (WA) Act 2010</w:t>
      </w:r>
      <w:r>
        <w:fldChar w:fldCharType="end"/>
      </w:r>
    </w:p>
    <w:p>
      <w:pPr>
        <w:pStyle w:val="NameofActRegPage1"/>
        <w:spacing w:before="1800" w:after="156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nNote"/>
        <w:rPr>
          <w:b/>
        </w:rPr>
      </w:pPr>
    </w:p>
    <w:p>
      <w:pPr>
        <w:pStyle w:val="nNote"/>
        <w:rPr>
          <w:b/>
        </w:rPr>
      </w:pPr>
    </w:p>
    <w:p>
      <w:pPr>
        <w:pStyle w:val="nNote"/>
        <w:rPr>
          <w:b/>
        </w:rPr>
      </w:pPr>
      <w:r>
        <w:rPr>
          <w:b/>
        </w:rPr>
        <w:t xml:space="preserve">Note: </w:t>
      </w:r>
    </w:p>
    <w:p>
      <w:pPr>
        <w:pStyle w:val="nNote"/>
      </w:pPr>
      <w:r>
        <w:tab/>
        <w:t>The COAG Health Council has made the following regulation under section 245 of the Health Practitioner Regulation National Law as applied by the States and Territories.  This regulation was made on 12 Oct 2018 and published by the Victorian Government Printer on 17 October 2018.</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Regulation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_Toc152833177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_Toc152833178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_Toc152833179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Boards and registers</w:t>
      </w:r>
    </w:p>
    <w:p>
      <w:pPr>
        <w:pStyle w:val="TOC8"/>
        <w:rPr>
          <w:rFonts w:asciiTheme="minorHAnsi" w:eastAsiaTheme="minorEastAsia" w:hAnsiTheme="minorHAnsi" w:cstheme="minorBidi"/>
          <w:szCs w:val="22"/>
        </w:rPr>
      </w:pPr>
      <w:r>
        <w:t>4.</w:t>
      </w:r>
      <w:r>
        <w:rPr>
          <w:snapToGrid w:val="0"/>
        </w:rPr>
        <w:tab/>
        <w:t>National Boards for health professions</w:t>
      </w:r>
      <w:r>
        <w:tab/>
      </w:r>
      <w:r>
        <w:fldChar w:fldCharType="begin"/>
      </w:r>
      <w:r>
        <w:instrText xml:space="preserve"> PAGEREF _Toc152833181 \h </w:instrText>
      </w:r>
      <w:r>
        <w:fldChar w:fldCharType="separate"/>
      </w:r>
      <w:r>
        <w:t>4</w:t>
      </w:r>
      <w:r>
        <w:fldChar w:fldCharType="end"/>
      </w:r>
    </w:p>
    <w:p>
      <w:pPr>
        <w:pStyle w:val="TOC8"/>
        <w:rPr>
          <w:rFonts w:asciiTheme="minorHAnsi" w:eastAsiaTheme="minorEastAsia" w:hAnsiTheme="minorHAnsi" w:cstheme="minorBidi"/>
          <w:szCs w:val="22"/>
        </w:rPr>
      </w:pPr>
      <w:r>
        <w:t>5.</w:t>
      </w:r>
      <w:r>
        <w:tab/>
        <w:t>National Boards required to keep public national registers</w:t>
      </w:r>
      <w:r>
        <w:tab/>
      </w:r>
      <w:r>
        <w:fldChar w:fldCharType="begin"/>
      </w:r>
      <w:r>
        <w:instrText xml:space="preserve"> PAGEREF _Toc152833182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AIC Act</w:t>
      </w:r>
    </w:p>
    <w:p>
      <w:pPr>
        <w:pStyle w:val="TOC8"/>
        <w:rPr>
          <w:rFonts w:asciiTheme="minorHAnsi" w:eastAsiaTheme="minorEastAsia" w:hAnsiTheme="minorHAnsi" w:cstheme="minorBidi"/>
          <w:szCs w:val="22"/>
        </w:rPr>
      </w:pPr>
      <w:r>
        <w:t>6.</w:t>
      </w:r>
      <w:r>
        <w:tab/>
        <w:t>Application of AIC Act</w:t>
      </w:r>
      <w:r>
        <w:tab/>
      </w:r>
      <w:r>
        <w:fldChar w:fldCharType="begin"/>
      </w:r>
      <w:r>
        <w:instrText xml:space="preserve"> PAGEREF _Toc152833184 \h </w:instrText>
      </w:r>
      <w:r>
        <w:fldChar w:fldCharType="separate"/>
      </w:r>
      <w:r>
        <w:t>7</w:t>
      </w:r>
      <w:r>
        <w:fldChar w:fldCharType="end"/>
      </w:r>
    </w:p>
    <w:p>
      <w:pPr>
        <w:pStyle w:val="TOC8"/>
        <w:rPr>
          <w:rFonts w:asciiTheme="minorHAnsi" w:eastAsiaTheme="minorEastAsia" w:hAnsiTheme="minorHAnsi" w:cstheme="minorBidi"/>
          <w:szCs w:val="22"/>
        </w:rPr>
      </w:pPr>
      <w:r>
        <w:t>7.</w:t>
      </w:r>
      <w:r>
        <w:tab/>
        <w:t>References in AIC Act to particular terms</w:t>
      </w:r>
      <w:r>
        <w:tab/>
      </w:r>
      <w:r>
        <w:fldChar w:fldCharType="begin"/>
      </w:r>
      <w:r>
        <w:instrText xml:space="preserve"> PAGEREF _Toc152833185 \h </w:instrText>
      </w:r>
      <w:r>
        <w:fldChar w:fldCharType="separate"/>
      </w:r>
      <w:r>
        <w:t>7</w:t>
      </w:r>
      <w:r>
        <w:fldChar w:fldCharType="end"/>
      </w:r>
    </w:p>
    <w:p>
      <w:pPr>
        <w:pStyle w:val="TOC8"/>
        <w:rPr>
          <w:rFonts w:asciiTheme="minorHAnsi" w:eastAsiaTheme="minorEastAsia" w:hAnsiTheme="minorHAnsi" w:cstheme="minorBidi"/>
          <w:szCs w:val="22"/>
        </w:rPr>
      </w:pPr>
      <w:r>
        <w:t>8.</w:t>
      </w:r>
      <w:r>
        <w:tab/>
        <w:t>Modifications relating to appointment of National Health Practitioner Privacy Commissioner and staff</w:t>
      </w:r>
      <w:r>
        <w:tab/>
      </w:r>
      <w:r>
        <w:fldChar w:fldCharType="begin"/>
      </w:r>
      <w:r>
        <w:instrText xml:space="preserve"> PAGEREF _Toc152833186 \h </w:instrText>
      </w:r>
      <w:r>
        <w:fldChar w:fldCharType="separate"/>
      </w:r>
      <w:r>
        <w:t>7</w:t>
      </w:r>
      <w:r>
        <w:fldChar w:fldCharType="end"/>
      </w:r>
    </w:p>
    <w:p>
      <w:pPr>
        <w:pStyle w:val="TOC8"/>
        <w:rPr>
          <w:rFonts w:asciiTheme="minorHAnsi" w:eastAsiaTheme="minorEastAsia" w:hAnsiTheme="minorHAnsi" w:cstheme="minorBidi"/>
          <w:szCs w:val="22"/>
        </w:rPr>
      </w:pPr>
      <w:r>
        <w:t>9.</w:t>
      </w:r>
      <w:r>
        <w:tab/>
        <w:t>Modifications about financial matters</w:t>
      </w:r>
      <w:r>
        <w:tab/>
      </w:r>
      <w:r>
        <w:fldChar w:fldCharType="begin"/>
      </w:r>
      <w:r>
        <w:instrText xml:space="preserve"> PAGEREF _Toc152833187 \h </w:instrText>
      </w:r>
      <w:r>
        <w:fldChar w:fldCharType="separate"/>
      </w:r>
      <w:r>
        <w:t>8</w:t>
      </w:r>
      <w:r>
        <w:fldChar w:fldCharType="end"/>
      </w:r>
    </w:p>
    <w:p>
      <w:pPr>
        <w:pStyle w:val="TOC8"/>
        <w:rPr>
          <w:rFonts w:asciiTheme="minorHAnsi" w:eastAsiaTheme="minorEastAsia" w:hAnsiTheme="minorHAnsi" w:cstheme="minorBidi"/>
          <w:szCs w:val="22"/>
        </w:rPr>
      </w:pPr>
      <w:r>
        <w:t>10.</w:t>
      </w:r>
      <w:r>
        <w:tab/>
        <w:t>Modifications about annual report</w:t>
      </w:r>
      <w:r>
        <w:tab/>
      </w:r>
      <w:r>
        <w:fldChar w:fldCharType="begin"/>
      </w:r>
      <w:r>
        <w:instrText xml:space="preserve"> PAGEREF _Toc152833188 \h </w:instrText>
      </w:r>
      <w:r>
        <w:fldChar w:fldCharType="separate"/>
      </w:r>
      <w:r>
        <w:t>9</w:t>
      </w:r>
      <w:r>
        <w:fldChar w:fldCharType="end"/>
      </w:r>
    </w:p>
    <w:p>
      <w:pPr>
        <w:pStyle w:val="TOC8"/>
        <w:rPr>
          <w:rFonts w:asciiTheme="minorHAnsi" w:eastAsiaTheme="minorEastAsia" w:hAnsiTheme="minorHAnsi" w:cstheme="minorBidi"/>
          <w:szCs w:val="22"/>
        </w:rPr>
      </w:pPr>
      <w:r>
        <w:t>11.</w:t>
      </w:r>
      <w:r>
        <w:tab/>
        <w:t>Miscellaneous modifications</w:t>
      </w:r>
      <w:r>
        <w:tab/>
      </w:r>
      <w:r>
        <w:fldChar w:fldCharType="begin"/>
      </w:r>
      <w:r>
        <w:instrText xml:space="preserve"> PAGEREF _Toc152833189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_Toc152833190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FOI Act</w:t>
      </w:r>
    </w:p>
    <w:p>
      <w:pPr>
        <w:pStyle w:val="TOC8"/>
        <w:rPr>
          <w:rFonts w:asciiTheme="minorHAnsi" w:eastAsiaTheme="minorEastAsia" w:hAnsiTheme="minorHAnsi" w:cstheme="minorBidi"/>
          <w:szCs w:val="22"/>
        </w:rPr>
      </w:pPr>
      <w:r>
        <w:t>13.</w:t>
      </w:r>
      <w:r>
        <w:tab/>
        <w:t>Application of FOI Act</w:t>
      </w:r>
      <w:r>
        <w:tab/>
      </w:r>
      <w:r>
        <w:fldChar w:fldCharType="begin"/>
      </w:r>
      <w:r>
        <w:instrText xml:space="preserve"> PAGEREF _Toc152833192 \h </w:instrText>
      </w:r>
      <w:r>
        <w:fldChar w:fldCharType="separate"/>
      </w:r>
      <w:r>
        <w:t>13</w:t>
      </w:r>
      <w:r>
        <w:fldChar w:fldCharType="end"/>
      </w:r>
    </w:p>
    <w:p>
      <w:pPr>
        <w:pStyle w:val="TOC8"/>
        <w:rPr>
          <w:rFonts w:asciiTheme="minorHAnsi" w:eastAsiaTheme="minorEastAsia" w:hAnsiTheme="minorHAnsi" w:cstheme="minorBidi"/>
          <w:szCs w:val="22"/>
        </w:rPr>
      </w:pPr>
      <w:r>
        <w:t>14.</w:t>
      </w:r>
      <w:r>
        <w:tab/>
        <w:t>References in FOI Act to particular terms</w:t>
      </w:r>
      <w:r>
        <w:tab/>
      </w:r>
      <w:r>
        <w:fldChar w:fldCharType="begin"/>
      </w:r>
      <w:r>
        <w:instrText xml:space="preserve"> PAGEREF _Toc152833193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Modifications relating to National Agency and National Boards</w:t>
      </w:r>
      <w:r>
        <w:tab/>
      </w:r>
      <w:r>
        <w:fldChar w:fldCharType="begin"/>
      </w:r>
      <w:r>
        <w:instrText xml:space="preserve"> PAGEREF _Toc152833194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Modifications relating to reports prepared by National  Health Practitioner Privacy Commissioner</w:t>
      </w:r>
      <w:r>
        <w:tab/>
      </w:r>
      <w:r>
        <w:fldChar w:fldCharType="begin"/>
      </w:r>
      <w:r>
        <w:instrText xml:space="preserve"> PAGEREF _Toc152833195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Modifications relating to Administrative Appeals Tribunal</w:t>
      </w:r>
      <w:r>
        <w:tab/>
      </w:r>
      <w:r>
        <w:fldChar w:fldCharType="begin"/>
      </w:r>
      <w:r>
        <w:instrText xml:space="preserve"> PAGEREF _Toc152833196 \h </w:instrText>
      </w:r>
      <w:r>
        <w:fldChar w:fldCharType="separate"/>
      </w:r>
      <w:r>
        <w:t>15</w:t>
      </w:r>
      <w:r>
        <w:fldChar w:fldCharType="end"/>
      </w:r>
    </w:p>
    <w:p>
      <w:pPr>
        <w:pStyle w:val="TOC8"/>
        <w:rPr>
          <w:rFonts w:asciiTheme="minorHAnsi" w:eastAsiaTheme="minorEastAsia" w:hAnsiTheme="minorHAnsi" w:cstheme="minorBidi"/>
          <w:szCs w:val="22"/>
        </w:rPr>
      </w:pPr>
      <w:r>
        <w:t>18.</w:t>
      </w:r>
      <w:r>
        <w:tab/>
        <w:t>Modifications relating to Part VII of the FOI Act</w:t>
      </w:r>
      <w:r>
        <w:tab/>
      </w:r>
      <w:r>
        <w:fldChar w:fldCharType="begin"/>
      </w:r>
      <w:r>
        <w:instrText xml:space="preserve"> PAGEREF _Toc152833197 \h </w:instrText>
      </w:r>
      <w:r>
        <w:fldChar w:fldCharType="separate"/>
      </w:r>
      <w:r>
        <w:t>15</w:t>
      </w:r>
      <w:r>
        <w:fldChar w:fldCharType="end"/>
      </w:r>
    </w:p>
    <w:p>
      <w:pPr>
        <w:pStyle w:val="TOC8"/>
        <w:rPr>
          <w:rFonts w:asciiTheme="minorHAnsi" w:eastAsiaTheme="minorEastAsia" w:hAnsiTheme="minorHAnsi" w:cstheme="minorBidi"/>
          <w:szCs w:val="22"/>
        </w:rPr>
      </w:pPr>
      <w:r>
        <w:t>19.</w:t>
      </w:r>
      <w:r>
        <w:tab/>
        <w:t>Miscellaneous modifications</w:t>
      </w:r>
      <w:r>
        <w:tab/>
      </w:r>
      <w:r>
        <w:fldChar w:fldCharType="begin"/>
      </w:r>
      <w:r>
        <w:instrText xml:space="preserve"> PAGEREF _Toc152833198 \h </w:instrText>
      </w:r>
      <w:r>
        <w:fldChar w:fldCharType="separate"/>
      </w:r>
      <w:r>
        <w:t>15</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_Toc152833199 \h </w:instrText>
      </w:r>
      <w:r>
        <w:fldChar w:fldCharType="separate"/>
      </w:r>
      <w:r>
        <w:t>16</w:t>
      </w:r>
      <w:r>
        <w:fldChar w:fldCharType="end"/>
      </w:r>
    </w:p>
    <w:p>
      <w:pPr>
        <w:pStyle w:val="TOC8"/>
        <w:rPr>
          <w:rFonts w:asciiTheme="minorHAnsi" w:eastAsiaTheme="minorEastAsia" w:hAnsiTheme="minorHAnsi" w:cstheme="minorBidi"/>
          <w:szCs w:val="22"/>
        </w:rPr>
      </w:pPr>
      <w:r>
        <w:t>21.</w:t>
      </w:r>
      <w:r>
        <w:tab/>
        <w:t>Transitional provision for existing right of review by Administrative Appeals Tribunal</w:t>
      </w:r>
      <w:r>
        <w:tab/>
      </w:r>
      <w:r>
        <w:fldChar w:fldCharType="begin"/>
      </w:r>
      <w:r>
        <w:instrText xml:space="preserve"> PAGEREF _Toc152833200 \h </w:instrText>
      </w:r>
      <w:r>
        <w:fldChar w:fldCharType="separate"/>
      </w:r>
      <w:r>
        <w:t>16</w:t>
      </w:r>
      <w:r>
        <w:fldChar w:fldCharType="end"/>
      </w:r>
    </w:p>
    <w:p>
      <w:pPr>
        <w:pStyle w:val="TOC8"/>
        <w:rPr>
          <w:rFonts w:asciiTheme="minorHAnsi" w:eastAsiaTheme="minorEastAsia" w:hAnsiTheme="minorHAnsi" w:cstheme="minorBidi"/>
          <w:szCs w:val="22"/>
        </w:rPr>
      </w:pPr>
      <w:r>
        <w:t>22.</w:t>
      </w:r>
      <w:r>
        <w:tab/>
        <w:t>Transitional provision for current obligation to publish information</w:t>
      </w:r>
      <w:r>
        <w:tab/>
      </w:r>
      <w:r>
        <w:fldChar w:fldCharType="begin"/>
      </w:r>
      <w:r>
        <w:instrText xml:space="preserve"> PAGEREF _Toc152833201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 of Ombudsman Act</w:t>
      </w:r>
    </w:p>
    <w:p>
      <w:pPr>
        <w:pStyle w:val="TOC8"/>
        <w:rPr>
          <w:rFonts w:asciiTheme="minorHAnsi" w:eastAsiaTheme="minorEastAsia" w:hAnsiTheme="minorHAnsi" w:cstheme="minorBidi"/>
          <w:szCs w:val="22"/>
        </w:rPr>
      </w:pPr>
      <w:r>
        <w:t>23.</w:t>
      </w:r>
      <w:r>
        <w:tab/>
        <w:t>Who is an agency service provider</w:t>
      </w:r>
      <w:r>
        <w:tab/>
      </w:r>
      <w:r>
        <w:fldChar w:fldCharType="begin"/>
      </w:r>
      <w:r>
        <w:instrText xml:space="preserve"> PAGEREF _Toc152833203 \h </w:instrText>
      </w:r>
      <w:r>
        <w:fldChar w:fldCharType="separate"/>
      </w:r>
      <w:r>
        <w:t>18</w:t>
      </w:r>
      <w:r>
        <w:fldChar w:fldCharType="end"/>
      </w:r>
    </w:p>
    <w:p>
      <w:pPr>
        <w:pStyle w:val="TOC8"/>
        <w:rPr>
          <w:rFonts w:asciiTheme="minorHAnsi" w:eastAsiaTheme="minorEastAsia" w:hAnsiTheme="minorHAnsi" w:cstheme="minorBidi"/>
          <w:szCs w:val="22"/>
        </w:rPr>
      </w:pPr>
      <w:r>
        <w:t>24.</w:t>
      </w:r>
      <w:r>
        <w:tab/>
        <w:t>Application of Ombudsman Act</w:t>
      </w:r>
      <w:r>
        <w:tab/>
      </w:r>
      <w:r>
        <w:fldChar w:fldCharType="begin"/>
      </w:r>
      <w:r>
        <w:instrText xml:space="preserve"> PAGEREF _Toc152833204 \h </w:instrText>
      </w:r>
      <w:r>
        <w:fldChar w:fldCharType="separate"/>
      </w:r>
      <w:r>
        <w:t>18</w:t>
      </w:r>
      <w:r>
        <w:fldChar w:fldCharType="end"/>
      </w:r>
    </w:p>
    <w:p>
      <w:pPr>
        <w:pStyle w:val="TOC8"/>
        <w:rPr>
          <w:rFonts w:asciiTheme="minorHAnsi" w:eastAsiaTheme="minorEastAsia" w:hAnsiTheme="minorHAnsi" w:cstheme="minorBidi"/>
          <w:szCs w:val="22"/>
        </w:rPr>
      </w:pPr>
      <w:r>
        <w:t>25.</w:t>
      </w:r>
      <w:r>
        <w:tab/>
        <w:t>References in Ombudsman Act to particular terms</w:t>
      </w:r>
      <w:r>
        <w:tab/>
      </w:r>
      <w:r>
        <w:fldChar w:fldCharType="begin"/>
      </w:r>
      <w:r>
        <w:instrText xml:space="preserve"> PAGEREF _Toc152833205 \h </w:instrText>
      </w:r>
      <w:r>
        <w:fldChar w:fldCharType="separate"/>
      </w:r>
      <w:r>
        <w:t>18</w:t>
      </w:r>
      <w:r>
        <w:fldChar w:fldCharType="end"/>
      </w:r>
    </w:p>
    <w:p>
      <w:pPr>
        <w:pStyle w:val="TOC8"/>
        <w:rPr>
          <w:rFonts w:asciiTheme="minorHAnsi" w:eastAsiaTheme="minorEastAsia" w:hAnsiTheme="minorHAnsi" w:cstheme="minorBidi"/>
          <w:szCs w:val="22"/>
        </w:rPr>
      </w:pPr>
      <w:r>
        <w:t>26.</w:t>
      </w:r>
      <w:r>
        <w:tab/>
        <w:t>Modifications relating to National Agency and National Boards</w:t>
      </w:r>
      <w:r>
        <w:tab/>
      </w:r>
      <w:r>
        <w:fldChar w:fldCharType="begin"/>
      </w:r>
      <w:r>
        <w:instrText xml:space="preserve"> PAGEREF _Toc152833206 \h </w:instrText>
      </w:r>
      <w:r>
        <w:fldChar w:fldCharType="separate"/>
      </w:r>
      <w:r>
        <w:t>19</w:t>
      </w:r>
      <w:r>
        <w:fldChar w:fldCharType="end"/>
      </w:r>
    </w:p>
    <w:p>
      <w:pPr>
        <w:pStyle w:val="TOC8"/>
        <w:rPr>
          <w:rFonts w:asciiTheme="minorHAnsi" w:eastAsiaTheme="minorEastAsia" w:hAnsiTheme="minorHAnsi" w:cstheme="minorBidi"/>
          <w:szCs w:val="22"/>
        </w:rPr>
      </w:pPr>
      <w:r>
        <w:t>27.</w:t>
      </w:r>
      <w:r>
        <w:tab/>
        <w:t>Modifications relating to appointment of National Health Practitioner Ombudsman and staff</w:t>
      </w:r>
      <w:r>
        <w:tab/>
      </w:r>
      <w:r>
        <w:fldChar w:fldCharType="begin"/>
      </w:r>
      <w:r>
        <w:instrText xml:space="preserve"> PAGEREF _Toc152833207 \h </w:instrText>
      </w:r>
      <w:r>
        <w:fldChar w:fldCharType="separate"/>
      </w:r>
      <w:r>
        <w:t>21</w:t>
      </w:r>
      <w:r>
        <w:fldChar w:fldCharType="end"/>
      </w:r>
    </w:p>
    <w:p>
      <w:pPr>
        <w:pStyle w:val="TOC8"/>
        <w:rPr>
          <w:rFonts w:asciiTheme="minorHAnsi" w:eastAsiaTheme="minorEastAsia" w:hAnsiTheme="minorHAnsi" w:cstheme="minorBidi"/>
          <w:szCs w:val="22"/>
        </w:rPr>
      </w:pPr>
      <w:r>
        <w:t>28.</w:t>
      </w:r>
      <w:r>
        <w:tab/>
        <w:t>Modifications about financial matters</w:t>
      </w:r>
      <w:r>
        <w:tab/>
      </w:r>
      <w:r>
        <w:fldChar w:fldCharType="begin"/>
      </w:r>
      <w:r>
        <w:instrText xml:space="preserve"> PAGEREF _Toc152833208 \h </w:instrText>
      </w:r>
      <w:r>
        <w:fldChar w:fldCharType="separate"/>
      </w:r>
      <w:r>
        <w:t>23</w:t>
      </w:r>
      <w:r>
        <w:fldChar w:fldCharType="end"/>
      </w:r>
    </w:p>
    <w:p>
      <w:pPr>
        <w:pStyle w:val="TOC8"/>
        <w:rPr>
          <w:rFonts w:asciiTheme="minorHAnsi" w:eastAsiaTheme="minorEastAsia" w:hAnsiTheme="minorHAnsi" w:cstheme="minorBidi"/>
          <w:szCs w:val="22"/>
        </w:rPr>
      </w:pPr>
      <w:r>
        <w:t>29.</w:t>
      </w:r>
      <w:r>
        <w:tab/>
        <w:t>Modifications about annual report</w:t>
      </w:r>
      <w:r>
        <w:tab/>
      </w:r>
      <w:r>
        <w:fldChar w:fldCharType="begin"/>
      </w:r>
      <w:r>
        <w:instrText xml:space="preserve"> PAGEREF _Toc152833209 \h </w:instrText>
      </w:r>
      <w:r>
        <w:fldChar w:fldCharType="separate"/>
      </w:r>
      <w:r>
        <w:t>24</w:t>
      </w:r>
      <w:r>
        <w:fldChar w:fldCharType="end"/>
      </w:r>
    </w:p>
    <w:p>
      <w:pPr>
        <w:pStyle w:val="TOC8"/>
        <w:rPr>
          <w:rFonts w:asciiTheme="minorHAnsi" w:eastAsiaTheme="minorEastAsia" w:hAnsiTheme="minorHAnsi" w:cstheme="minorBidi"/>
          <w:szCs w:val="22"/>
        </w:rPr>
      </w:pPr>
      <w:r>
        <w:t>30.</w:t>
      </w:r>
      <w:r>
        <w:tab/>
        <w:t>Miscellaneous modifications</w:t>
      </w:r>
      <w:r>
        <w:tab/>
      </w:r>
      <w:r>
        <w:fldChar w:fldCharType="begin"/>
      </w:r>
      <w:r>
        <w:instrText xml:space="preserve"> PAGEREF _Toc152833210 \h </w:instrText>
      </w:r>
      <w:r>
        <w:fldChar w:fldCharType="separate"/>
      </w:r>
      <w:r>
        <w:t>24</w:t>
      </w:r>
      <w:r>
        <w:fldChar w:fldCharType="end"/>
      </w:r>
    </w:p>
    <w:p>
      <w:pPr>
        <w:pStyle w:val="TOC8"/>
        <w:rPr>
          <w:rFonts w:asciiTheme="minorHAnsi" w:eastAsiaTheme="minorEastAsia" w:hAnsiTheme="minorHAnsi" w:cstheme="minorBidi"/>
          <w:szCs w:val="22"/>
        </w:rPr>
      </w:pPr>
      <w:r>
        <w:t>31.</w:t>
      </w:r>
      <w:r>
        <w:tab/>
        <w:t>Regulations</w:t>
      </w:r>
      <w:r>
        <w:tab/>
      </w:r>
      <w:r>
        <w:fldChar w:fldCharType="begin"/>
      </w:r>
      <w:r>
        <w:instrText xml:space="preserve"> PAGEREF _Toc152833211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of Privacy Act</w:t>
      </w:r>
    </w:p>
    <w:p>
      <w:pPr>
        <w:pStyle w:val="TOC8"/>
        <w:rPr>
          <w:rFonts w:asciiTheme="minorHAnsi" w:eastAsiaTheme="minorEastAsia" w:hAnsiTheme="minorHAnsi" w:cstheme="minorBidi"/>
          <w:szCs w:val="22"/>
        </w:rPr>
      </w:pPr>
      <w:r>
        <w:t>32.</w:t>
      </w:r>
      <w:r>
        <w:tab/>
        <w:t>Who is a contracted service provider</w:t>
      </w:r>
      <w:r>
        <w:tab/>
      </w:r>
      <w:r>
        <w:fldChar w:fldCharType="begin"/>
      </w:r>
      <w:r>
        <w:instrText xml:space="preserve"> PAGEREF _Toc152833213 \h </w:instrText>
      </w:r>
      <w:r>
        <w:fldChar w:fldCharType="separate"/>
      </w:r>
      <w:r>
        <w:t>26</w:t>
      </w:r>
      <w:r>
        <w:fldChar w:fldCharType="end"/>
      </w:r>
    </w:p>
    <w:p>
      <w:pPr>
        <w:pStyle w:val="TOC8"/>
        <w:rPr>
          <w:rFonts w:asciiTheme="minorHAnsi" w:eastAsiaTheme="minorEastAsia" w:hAnsiTheme="minorHAnsi" w:cstheme="minorBidi"/>
          <w:szCs w:val="22"/>
        </w:rPr>
      </w:pPr>
      <w:r>
        <w:t>33.</w:t>
      </w:r>
      <w:r>
        <w:tab/>
        <w:t>Application of Privacy Act</w:t>
      </w:r>
      <w:r>
        <w:tab/>
      </w:r>
      <w:r>
        <w:fldChar w:fldCharType="begin"/>
      </w:r>
      <w:r>
        <w:instrText xml:space="preserve"> PAGEREF _Toc152833214 \h </w:instrText>
      </w:r>
      <w:r>
        <w:fldChar w:fldCharType="separate"/>
      </w:r>
      <w:r>
        <w:t>26</w:t>
      </w:r>
      <w:r>
        <w:fldChar w:fldCharType="end"/>
      </w:r>
    </w:p>
    <w:p>
      <w:pPr>
        <w:pStyle w:val="TOC8"/>
        <w:rPr>
          <w:rFonts w:asciiTheme="minorHAnsi" w:eastAsiaTheme="minorEastAsia" w:hAnsiTheme="minorHAnsi" w:cstheme="minorBidi"/>
          <w:szCs w:val="22"/>
        </w:rPr>
      </w:pPr>
      <w:r>
        <w:t>34.</w:t>
      </w:r>
      <w:r>
        <w:tab/>
        <w:t>References in Privacy Act to particular terms</w:t>
      </w:r>
      <w:r>
        <w:tab/>
      </w:r>
      <w:r>
        <w:fldChar w:fldCharType="begin"/>
      </w:r>
      <w:r>
        <w:instrText xml:space="preserve"> PAGEREF _Toc152833215 \h </w:instrText>
      </w:r>
      <w:r>
        <w:fldChar w:fldCharType="separate"/>
      </w:r>
      <w:r>
        <w:t>26</w:t>
      </w:r>
      <w:r>
        <w:fldChar w:fldCharType="end"/>
      </w:r>
    </w:p>
    <w:p>
      <w:pPr>
        <w:pStyle w:val="TOC8"/>
        <w:rPr>
          <w:rFonts w:asciiTheme="minorHAnsi" w:eastAsiaTheme="minorEastAsia" w:hAnsiTheme="minorHAnsi" w:cstheme="minorBidi"/>
          <w:szCs w:val="22"/>
        </w:rPr>
      </w:pPr>
      <w:r>
        <w:t>35.</w:t>
      </w:r>
      <w:r>
        <w:tab/>
        <w:t>Modifications relating to National Agency and National Boards</w:t>
      </w:r>
      <w:r>
        <w:tab/>
      </w:r>
      <w:r>
        <w:fldChar w:fldCharType="begin"/>
      </w:r>
      <w:r>
        <w:instrText xml:space="preserve"> PAGEREF _Toc152833216 \h </w:instrText>
      </w:r>
      <w:r>
        <w:fldChar w:fldCharType="separate"/>
      </w:r>
      <w:r>
        <w:t>27</w:t>
      </w:r>
      <w:r>
        <w:fldChar w:fldCharType="end"/>
      </w:r>
    </w:p>
    <w:p>
      <w:pPr>
        <w:pStyle w:val="TOC8"/>
        <w:rPr>
          <w:rFonts w:asciiTheme="minorHAnsi" w:eastAsiaTheme="minorEastAsia" w:hAnsiTheme="minorHAnsi" w:cstheme="minorBidi"/>
          <w:szCs w:val="22"/>
        </w:rPr>
      </w:pPr>
      <w:r>
        <w:t>36.</w:t>
      </w:r>
      <w:r>
        <w:tab/>
        <w:t>Modifications about financial matters</w:t>
      </w:r>
      <w:r>
        <w:tab/>
      </w:r>
      <w:r>
        <w:fldChar w:fldCharType="begin"/>
      </w:r>
      <w:r>
        <w:instrText xml:space="preserve"> PAGEREF _Toc152833217 \h </w:instrText>
      </w:r>
      <w:r>
        <w:fldChar w:fldCharType="separate"/>
      </w:r>
      <w:r>
        <w:t>29</w:t>
      </w:r>
      <w:r>
        <w:fldChar w:fldCharType="end"/>
      </w:r>
    </w:p>
    <w:p>
      <w:pPr>
        <w:pStyle w:val="TOC8"/>
        <w:rPr>
          <w:rFonts w:asciiTheme="minorHAnsi" w:eastAsiaTheme="minorEastAsia" w:hAnsiTheme="minorHAnsi" w:cstheme="minorBidi"/>
          <w:szCs w:val="22"/>
        </w:rPr>
      </w:pPr>
      <w:r>
        <w:t>37.</w:t>
      </w:r>
      <w:r>
        <w:tab/>
        <w:t>Modifications about public interest determinations</w:t>
      </w:r>
      <w:r>
        <w:tab/>
      </w:r>
      <w:r>
        <w:fldChar w:fldCharType="begin"/>
      </w:r>
      <w:r>
        <w:instrText xml:space="preserve"> PAGEREF _Toc152833218 \h </w:instrText>
      </w:r>
      <w:r>
        <w:fldChar w:fldCharType="separate"/>
      </w:r>
      <w:r>
        <w:t>30</w:t>
      </w:r>
      <w:r>
        <w:fldChar w:fldCharType="end"/>
      </w:r>
    </w:p>
    <w:p>
      <w:pPr>
        <w:pStyle w:val="TOC8"/>
        <w:rPr>
          <w:rFonts w:asciiTheme="minorHAnsi" w:eastAsiaTheme="minorEastAsia" w:hAnsiTheme="minorHAnsi" w:cstheme="minorBidi"/>
          <w:szCs w:val="22"/>
        </w:rPr>
      </w:pPr>
      <w:r>
        <w:t>38.</w:t>
      </w:r>
      <w:r>
        <w:tab/>
        <w:t>Miscellaneous modifications</w:t>
      </w:r>
      <w:r>
        <w:tab/>
      </w:r>
      <w:r>
        <w:fldChar w:fldCharType="begin"/>
      </w:r>
      <w:r>
        <w:instrText xml:space="preserve"> PAGEREF _Toc152833219 \h </w:instrText>
      </w:r>
      <w:r>
        <w:fldChar w:fldCharType="separate"/>
      </w:r>
      <w:r>
        <w:t>31</w:t>
      </w:r>
      <w:r>
        <w:fldChar w:fldCharType="end"/>
      </w:r>
    </w:p>
    <w:p>
      <w:pPr>
        <w:pStyle w:val="TOC8"/>
        <w:rPr>
          <w:rFonts w:asciiTheme="minorHAnsi" w:eastAsiaTheme="minorEastAsia" w:hAnsiTheme="minorHAnsi" w:cstheme="minorBidi"/>
          <w:szCs w:val="22"/>
        </w:rPr>
      </w:pPr>
      <w:r>
        <w:t>39.</w:t>
      </w:r>
      <w:r>
        <w:tab/>
        <w:t>Regulations</w:t>
      </w:r>
      <w:r>
        <w:tab/>
      </w:r>
      <w:r>
        <w:fldChar w:fldCharType="begin"/>
      </w:r>
      <w:r>
        <w:instrText xml:space="preserve"> PAGEREF _Toc152833220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Miscellaneous</w:t>
      </w:r>
    </w:p>
    <w:p>
      <w:pPr>
        <w:pStyle w:val="TOC8"/>
        <w:rPr>
          <w:rFonts w:asciiTheme="minorHAnsi" w:eastAsiaTheme="minorEastAsia" w:hAnsiTheme="minorHAnsi" w:cstheme="minorBidi"/>
          <w:szCs w:val="22"/>
        </w:rPr>
      </w:pPr>
      <w:r>
        <w:t>40.</w:t>
      </w:r>
      <w:r>
        <w:tab/>
        <w:t>Transition period in relation to professional indemnity insurance arrangements for midwives practising private midwifery</w:t>
      </w:r>
      <w:r>
        <w:tab/>
      </w:r>
      <w:r>
        <w:fldChar w:fldCharType="begin"/>
      </w:r>
      <w:r>
        <w:instrText xml:space="preserve"> PAGEREF _Toc152833222 \h </w:instrText>
      </w:r>
      <w:r>
        <w:fldChar w:fldCharType="separate"/>
      </w:r>
      <w:r>
        <w:t>33</w:t>
      </w:r>
      <w:r>
        <w:fldChar w:fldCharType="end"/>
      </w:r>
    </w:p>
    <w:p>
      <w:pPr>
        <w:pStyle w:val="TOC8"/>
        <w:rPr>
          <w:rFonts w:asciiTheme="minorHAnsi" w:eastAsiaTheme="minorEastAsia" w:hAnsiTheme="minorHAnsi" w:cstheme="minorBidi"/>
          <w:szCs w:val="22"/>
        </w:rPr>
      </w:pPr>
      <w:r>
        <w:t>41.</w:t>
      </w:r>
      <w:r>
        <w:tab/>
        <w:t>Prescribed participation day for registration in paramedicine</w:t>
      </w:r>
      <w:r>
        <w:tab/>
      </w:r>
      <w:r>
        <w:fldChar w:fldCharType="begin"/>
      </w:r>
      <w:r>
        <w:instrText xml:space="preserve"> PAGEREF _Toc152833223 \h </w:instrText>
      </w:r>
      <w:r>
        <w:fldChar w:fldCharType="separate"/>
      </w:r>
      <w:r>
        <w:t>33</w:t>
      </w:r>
      <w:r>
        <w:fldChar w:fldCharType="end"/>
      </w:r>
    </w:p>
    <w:p>
      <w:pPr>
        <w:pStyle w:val="TOC8"/>
        <w:rPr>
          <w:rFonts w:asciiTheme="minorHAnsi" w:eastAsiaTheme="minorEastAsia" w:hAnsiTheme="minorHAnsi" w:cstheme="minorBidi"/>
          <w:szCs w:val="22"/>
        </w:rPr>
      </w:pPr>
      <w:r>
        <w:t>41A.</w:t>
      </w:r>
      <w:r>
        <w:tab/>
        <w:t>Prescribed qualification for general registration in paramedicine</w:t>
      </w:r>
      <w:r>
        <w:tab/>
      </w:r>
      <w:r>
        <w:fldChar w:fldCharType="begin"/>
      </w:r>
      <w:r>
        <w:instrText xml:space="preserve"> PAGEREF _Toc152833224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and repeal</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42.</w:t>
      </w:r>
      <w:r>
        <w:tab/>
        <w:t>Regulations repealed</w:t>
      </w:r>
      <w:r>
        <w:tab/>
      </w:r>
      <w:r>
        <w:fldChar w:fldCharType="begin"/>
      </w:r>
      <w:r>
        <w:instrText xml:space="preserve"> PAGEREF _Toc152833227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8"/>
        <w:rPr>
          <w:rFonts w:asciiTheme="minorHAnsi" w:eastAsiaTheme="minorEastAsia" w:hAnsiTheme="minorHAnsi" w:cstheme="minorBidi"/>
          <w:szCs w:val="22"/>
        </w:rPr>
      </w:pPr>
      <w:r>
        <w:t>43.</w:t>
      </w:r>
      <w:r>
        <w:tab/>
        <w:t>Definitions for Division</w:t>
      </w:r>
      <w:r>
        <w:tab/>
      </w:r>
      <w:r>
        <w:fldChar w:fldCharType="begin"/>
      </w:r>
      <w:r>
        <w:instrText xml:space="preserve"> PAGEREF _Toc152833229 \h </w:instrText>
      </w:r>
      <w:r>
        <w:fldChar w:fldCharType="separate"/>
      </w:r>
      <w:r>
        <w:t>34</w:t>
      </w:r>
      <w:r>
        <w:fldChar w:fldCharType="end"/>
      </w:r>
    </w:p>
    <w:p>
      <w:pPr>
        <w:pStyle w:val="TOC8"/>
        <w:rPr>
          <w:rFonts w:asciiTheme="minorHAnsi" w:eastAsiaTheme="minorEastAsia" w:hAnsiTheme="minorHAnsi" w:cstheme="minorBidi"/>
          <w:szCs w:val="22"/>
        </w:rPr>
      </w:pPr>
      <w:r>
        <w:t>44.</w:t>
      </w:r>
      <w:r>
        <w:tab/>
        <w:t>Transitional provision for continued Boards</w:t>
      </w:r>
      <w:r>
        <w:tab/>
      </w:r>
      <w:r>
        <w:fldChar w:fldCharType="begin"/>
      </w:r>
      <w:r>
        <w:instrText xml:space="preserve"> PAGEREF _Toc152833230 \h </w:instrText>
      </w:r>
      <w:r>
        <w:fldChar w:fldCharType="separate"/>
      </w:r>
      <w:r>
        <w:t>34</w:t>
      </w:r>
      <w:r>
        <w:fldChar w:fldCharType="end"/>
      </w:r>
    </w:p>
    <w:p>
      <w:pPr>
        <w:pStyle w:val="TOC8"/>
        <w:rPr>
          <w:rFonts w:asciiTheme="minorHAnsi" w:eastAsiaTheme="minorEastAsia" w:hAnsiTheme="minorHAnsi" w:cstheme="minorBidi"/>
          <w:szCs w:val="22"/>
        </w:rPr>
      </w:pPr>
      <w:r>
        <w:t>45.</w:t>
      </w:r>
      <w:r>
        <w:tab/>
        <w:t>Continuation of existing appointment and employment of National Health Practitioner Privacy Commissioner</w:t>
      </w:r>
      <w:r>
        <w:tab/>
      </w:r>
      <w:r>
        <w:fldChar w:fldCharType="begin"/>
      </w:r>
      <w:r>
        <w:instrText xml:space="preserve"> PAGEREF _Toc152833231 \h </w:instrText>
      </w:r>
      <w:r>
        <w:fldChar w:fldCharType="separate"/>
      </w:r>
      <w:r>
        <w:t>35</w:t>
      </w:r>
      <w:r>
        <w:fldChar w:fldCharType="end"/>
      </w:r>
    </w:p>
    <w:p>
      <w:pPr>
        <w:pStyle w:val="TOC8"/>
        <w:rPr>
          <w:rFonts w:asciiTheme="minorHAnsi" w:eastAsiaTheme="minorEastAsia" w:hAnsiTheme="minorHAnsi" w:cstheme="minorBidi"/>
          <w:szCs w:val="22"/>
        </w:rPr>
      </w:pPr>
      <w:r>
        <w:t>46.</w:t>
      </w:r>
      <w:r>
        <w:tab/>
        <w:t>Continuation of existing appointment and employment of National Health Practitioner Ombudsman</w:t>
      </w:r>
      <w:r>
        <w:tab/>
      </w:r>
      <w:r>
        <w:fldChar w:fldCharType="begin"/>
      </w:r>
      <w:r>
        <w:instrText xml:space="preserve"> PAGEREF _Toc152833232 \h </w:instrText>
      </w:r>
      <w:r>
        <w:fldChar w:fldCharType="separate"/>
      </w:r>
      <w:r>
        <w:t>35</w:t>
      </w:r>
      <w:r>
        <w:fldChar w:fldCharType="end"/>
      </w:r>
    </w:p>
    <w:p>
      <w:pPr>
        <w:pStyle w:val="TOC8"/>
        <w:rPr>
          <w:rFonts w:asciiTheme="minorHAnsi" w:eastAsiaTheme="minorEastAsia" w:hAnsiTheme="minorHAnsi" w:cstheme="minorBidi"/>
          <w:szCs w:val="22"/>
        </w:rPr>
      </w:pPr>
      <w:r>
        <w:t>47.</w:t>
      </w:r>
      <w:r>
        <w:tab/>
        <w:t>Acting Commissioner under the Privacy Act</w:t>
      </w:r>
      <w:r>
        <w:tab/>
      </w:r>
      <w:r>
        <w:fldChar w:fldCharType="begin"/>
      </w:r>
      <w:r>
        <w:instrText xml:space="preserve"> PAGEREF _Toc152833233 \h </w:instrText>
      </w:r>
      <w:r>
        <w:fldChar w:fldCharType="separate"/>
      </w:r>
      <w:r>
        <w:t>36</w:t>
      </w:r>
      <w:r>
        <w:fldChar w:fldCharType="end"/>
      </w:r>
    </w:p>
    <w:p>
      <w:pPr>
        <w:pStyle w:val="TOC8"/>
        <w:rPr>
          <w:rFonts w:asciiTheme="minorHAnsi" w:eastAsiaTheme="minorEastAsia" w:hAnsiTheme="minorHAnsi" w:cstheme="minorBidi"/>
          <w:szCs w:val="22"/>
        </w:rPr>
      </w:pPr>
      <w:r>
        <w:t>48.</w:t>
      </w:r>
      <w:r>
        <w:tab/>
        <w:t>Applications for access to a document</w:t>
      </w:r>
      <w:r>
        <w:tab/>
      </w:r>
      <w:r>
        <w:fldChar w:fldCharType="begin"/>
      </w:r>
      <w:r>
        <w:instrText xml:space="preserve"> PAGEREF _Toc152833234 \h </w:instrText>
      </w:r>
      <w:r>
        <w:fldChar w:fldCharType="separate"/>
      </w:r>
      <w:r>
        <w:t>36</w:t>
      </w:r>
      <w:r>
        <w:fldChar w:fldCharType="end"/>
      </w:r>
    </w:p>
    <w:p>
      <w:pPr>
        <w:pStyle w:val="TOC8"/>
        <w:rPr>
          <w:rFonts w:asciiTheme="minorHAnsi" w:eastAsiaTheme="minorEastAsia" w:hAnsiTheme="minorHAnsi" w:cstheme="minorBidi"/>
          <w:szCs w:val="22"/>
        </w:rPr>
      </w:pPr>
      <w:r>
        <w:t>49.</w:t>
      </w:r>
      <w:r>
        <w:tab/>
        <w:t>Applications for internal review of access refusal decision</w:t>
      </w:r>
      <w:r>
        <w:tab/>
      </w:r>
      <w:r>
        <w:fldChar w:fldCharType="begin"/>
      </w:r>
      <w:r>
        <w:instrText xml:space="preserve"> PAGEREF _Toc152833235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_Toc152833237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pPr>
      <w:r>
        <w:rPr>
          <w:bCs/>
        </w:rPr>
        <w:lastRenderedPageBreak/>
        <w:t>Health Practitioner Regulation National Law (WA) Act 2010</w:t>
      </w:r>
    </w:p>
    <w:p>
      <w:pPr>
        <w:pStyle w:val="NameofActReg"/>
      </w:pPr>
      <w:r>
        <w:rPr>
          <w:bCs/>
        </w:rPr>
        <w:t>Health Practitioner Regulation National Law Regulation 2018</w:t>
      </w:r>
    </w:p>
    <w:p>
      <w:pPr>
        <w:pStyle w:val="Heading2"/>
        <w:pageBreakBefore w:val="0"/>
      </w:pPr>
      <w:bookmarkStart w:id="3" w:name="_Toc152828839"/>
      <w:bookmarkStart w:id="4" w:name="_Toc152829946"/>
      <w:bookmarkStart w:id="5" w:name="_Toc1528331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2833177"/>
      <w:r>
        <w:rPr>
          <w:rStyle w:val="CharSectno"/>
        </w:rPr>
        <w:t>1</w:t>
      </w:r>
      <w:r>
        <w:t>.</w:t>
      </w:r>
      <w:r>
        <w:tab/>
        <w:t>Short title</w:t>
      </w:r>
      <w:bookmarkEnd w:id="6"/>
    </w:p>
    <w:p>
      <w:pPr>
        <w:pStyle w:val="Subsection"/>
      </w:pPr>
      <w:r>
        <w:tab/>
      </w:r>
      <w:r>
        <w:tab/>
        <w:t xml:space="preserve">This Regulation may be cited as the </w:t>
      </w:r>
      <w:r>
        <w:rPr>
          <w:i/>
        </w:rPr>
        <w:t>Health Practitioner Regulation National Law Regulation 2018</w:t>
      </w:r>
      <w:r>
        <w:t>.</w:t>
      </w:r>
    </w:p>
    <w:p>
      <w:pPr>
        <w:pStyle w:val="Heading5"/>
      </w:pPr>
      <w:bookmarkStart w:id="7" w:name="_Toc152833178"/>
      <w:r>
        <w:rPr>
          <w:rStyle w:val="CharSectno"/>
        </w:rPr>
        <w:t>2</w:t>
      </w:r>
      <w:r>
        <w:t>.</w:t>
      </w:r>
      <w:r>
        <w:tab/>
        <w:t>Commencement</w:t>
      </w:r>
      <w:bookmarkEnd w:id="7"/>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8" w:name="_Toc152833179"/>
      <w:r>
        <w:rPr>
          <w:rStyle w:val="CharSectno"/>
        </w:rPr>
        <w:t>3</w:t>
      </w:r>
      <w:r>
        <w:t>.</w:t>
      </w:r>
      <w:r>
        <w:tab/>
        <w:t>Definitions</w:t>
      </w:r>
      <w:bookmarkEnd w:id="8"/>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lastRenderedPageBreak/>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South Australian Civil and Administrative Tribunal established under the </w:t>
      </w:r>
      <w:r>
        <w:rPr>
          <w:i/>
        </w:rPr>
        <w:t>South Australian Civil and Administrative Tribunal Act 2013</w:t>
      </w:r>
      <w:r>
        <w:t xml:space="preserve"> of South Australia; </w:t>
      </w:r>
    </w:p>
    <w:p>
      <w:pPr>
        <w:pStyle w:val="Defpara"/>
      </w:pPr>
      <w:r>
        <w:lastRenderedPageBreak/>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Footnotesection"/>
      </w:pPr>
      <w:r>
        <w:tab/>
        <w:t>[Section 3 amended: Gazette 2 Feb 2023 p. 116.]</w:t>
      </w:r>
    </w:p>
    <w:p>
      <w:pPr>
        <w:pStyle w:val="Heading2"/>
      </w:pPr>
      <w:bookmarkStart w:id="9" w:name="_Toc152828843"/>
      <w:bookmarkStart w:id="10" w:name="_Toc152829950"/>
      <w:bookmarkStart w:id="11" w:name="_Toc152833180"/>
      <w:r>
        <w:rPr>
          <w:rStyle w:val="CharPartNo"/>
        </w:rPr>
        <w:lastRenderedPageBreak/>
        <w:t>Part 2</w:t>
      </w:r>
      <w:r>
        <w:rPr>
          <w:rStyle w:val="CharDivNo"/>
        </w:rPr>
        <w:t> </w:t>
      </w:r>
      <w:r>
        <w:t>—</w:t>
      </w:r>
      <w:r>
        <w:rPr>
          <w:rStyle w:val="CharDivText"/>
        </w:rPr>
        <w:t> </w:t>
      </w:r>
      <w:r>
        <w:rPr>
          <w:rStyle w:val="CharPartText"/>
        </w:rPr>
        <w:t>National Boards and registers</w:t>
      </w:r>
      <w:bookmarkEnd w:id="9"/>
      <w:bookmarkEnd w:id="10"/>
      <w:bookmarkEnd w:id="11"/>
      <w:r>
        <w:t xml:space="preserve"> </w:t>
      </w:r>
    </w:p>
    <w:p>
      <w:pPr>
        <w:pStyle w:val="Heading5"/>
        <w:rPr>
          <w:snapToGrid w:val="0"/>
        </w:rPr>
      </w:pPr>
      <w:bookmarkStart w:id="12" w:name="_Toc152833181"/>
      <w:r>
        <w:rPr>
          <w:rStyle w:val="CharSectno"/>
        </w:rPr>
        <w:t>4</w:t>
      </w:r>
      <w:r>
        <w:t>.</w:t>
      </w:r>
      <w:r>
        <w:rPr>
          <w:snapToGrid w:val="0"/>
        </w:rPr>
        <w:tab/>
        <w:t>National Boards for health professions</w:t>
      </w:r>
      <w:bookmarkEnd w:id="12"/>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543"/>
        <w:gridCol w:w="3544"/>
      </w:tblGrid>
      <w:tr>
        <w:tc>
          <w:tcPr>
            <w:tcW w:w="3656" w:type="dxa"/>
          </w:tcPr>
          <w:p>
            <w:pPr>
              <w:pStyle w:val="THeadingNAm"/>
              <w:ind w:left="0"/>
              <w:jc w:val="left"/>
              <w:rPr>
                <w:snapToGrid w:val="0"/>
              </w:rPr>
            </w:pPr>
            <w:r>
              <w:rPr>
                <w:snapToGrid w:val="0"/>
              </w:rPr>
              <w:t>Name of Board</w:t>
            </w:r>
          </w:p>
        </w:tc>
        <w:tc>
          <w:tcPr>
            <w:tcW w:w="3657" w:type="dxa"/>
          </w:tcPr>
          <w:p>
            <w:pPr>
              <w:pStyle w:val="THeadingNAm"/>
              <w:ind w:left="30"/>
              <w:jc w:val="left"/>
              <w:rPr>
                <w:snapToGrid w:val="0"/>
              </w:rPr>
            </w:pPr>
            <w:r>
              <w:rPr>
                <w:snapToGrid w:val="0"/>
              </w:rPr>
              <w:t>Health profession</w:t>
            </w:r>
          </w:p>
        </w:tc>
      </w:tr>
      <w:tr>
        <w:tc>
          <w:tcPr>
            <w:tcW w:w="3656" w:type="dxa"/>
          </w:tcPr>
          <w:p>
            <w:pPr>
              <w:pStyle w:val="TableNAm"/>
              <w:rPr>
                <w:snapToGrid w:val="0"/>
              </w:rPr>
            </w:pPr>
            <w:r>
              <w:rPr>
                <w:snapToGrid w:val="0"/>
              </w:rPr>
              <w:t>Aboriginal and Torres Strait Islander Health Practice Board of Australia</w:t>
            </w:r>
          </w:p>
        </w:tc>
        <w:tc>
          <w:tcPr>
            <w:tcW w:w="3657" w:type="dxa"/>
          </w:tcPr>
          <w:p>
            <w:pPr>
              <w:pStyle w:val="TableNAm"/>
              <w:rPr>
                <w:snapToGrid w:val="0"/>
              </w:rPr>
            </w:pPr>
            <w:r>
              <w:rPr>
                <w:snapToGrid w:val="0"/>
              </w:rPr>
              <w:t>Aboriginal and Torres Strait Islander health practice</w:t>
            </w:r>
          </w:p>
        </w:tc>
      </w:tr>
      <w:tr>
        <w:tc>
          <w:tcPr>
            <w:tcW w:w="3656" w:type="dxa"/>
          </w:tcPr>
          <w:p>
            <w:pPr>
              <w:pStyle w:val="TableNAm"/>
              <w:rPr>
                <w:snapToGrid w:val="0"/>
              </w:rPr>
            </w:pPr>
            <w:r>
              <w:t>Chinese Medicine Board of Australia</w:t>
            </w:r>
          </w:p>
        </w:tc>
        <w:tc>
          <w:tcPr>
            <w:tcW w:w="3657" w:type="dxa"/>
          </w:tcPr>
          <w:p>
            <w:pPr>
              <w:pStyle w:val="TableNAm"/>
              <w:rPr>
                <w:snapToGrid w:val="0"/>
              </w:rPr>
            </w:pPr>
            <w:r>
              <w:t>Chinese Medicine</w:t>
            </w:r>
          </w:p>
        </w:tc>
      </w:tr>
      <w:tr>
        <w:tc>
          <w:tcPr>
            <w:tcW w:w="3656" w:type="dxa"/>
          </w:tcPr>
          <w:p>
            <w:pPr>
              <w:pStyle w:val="TableNAm"/>
              <w:rPr>
                <w:snapToGrid w:val="0"/>
              </w:rPr>
            </w:pPr>
            <w:r>
              <w:t>Chiropractic Board of Australia</w:t>
            </w:r>
          </w:p>
        </w:tc>
        <w:tc>
          <w:tcPr>
            <w:tcW w:w="3657" w:type="dxa"/>
          </w:tcPr>
          <w:p>
            <w:pPr>
              <w:pStyle w:val="TableNAm"/>
              <w:rPr>
                <w:snapToGrid w:val="0"/>
              </w:rPr>
            </w:pPr>
            <w:r>
              <w:t>chiropractic</w:t>
            </w:r>
          </w:p>
        </w:tc>
      </w:tr>
      <w:tr>
        <w:tc>
          <w:tcPr>
            <w:tcW w:w="3656" w:type="dxa"/>
          </w:tcPr>
          <w:p>
            <w:pPr>
              <w:pStyle w:val="TableNAm"/>
            </w:pPr>
            <w:r>
              <w:t>Dental Board of Australia</w:t>
            </w:r>
          </w:p>
        </w:tc>
        <w:tc>
          <w:tcPr>
            <w:tcW w:w="3657" w:type="dxa"/>
          </w:tcPr>
          <w:p>
            <w:pPr>
              <w:pStyle w:val="TableNAm"/>
            </w:pPr>
            <w:r>
              <w:t>dental (including the profession of a dentist, dental therapist, dental hygienist, dental prosthetist or oral health therapist)</w:t>
            </w:r>
          </w:p>
        </w:tc>
      </w:tr>
      <w:tr>
        <w:tc>
          <w:tcPr>
            <w:tcW w:w="3656" w:type="dxa"/>
          </w:tcPr>
          <w:p>
            <w:pPr>
              <w:pStyle w:val="TableNAm"/>
            </w:pPr>
            <w:r>
              <w:t>Medical Board of Australia</w:t>
            </w:r>
          </w:p>
        </w:tc>
        <w:tc>
          <w:tcPr>
            <w:tcW w:w="3657" w:type="dxa"/>
          </w:tcPr>
          <w:p>
            <w:pPr>
              <w:pStyle w:val="TableNAm"/>
            </w:pPr>
            <w:r>
              <w:t>medical</w:t>
            </w:r>
          </w:p>
        </w:tc>
      </w:tr>
      <w:tr>
        <w:tc>
          <w:tcPr>
            <w:tcW w:w="3656" w:type="dxa"/>
          </w:tcPr>
          <w:p>
            <w:pPr>
              <w:pStyle w:val="TableNAm"/>
            </w:pPr>
            <w:r>
              <w:t>Medical Radiation Practice Board of Australia</w:t>
            </w:r>
          </w:p>
        </w:tc>
        <w:tc>
          <w:tcPr>
            <w:tcW w:w="3657" w:type="dxa"/>
          </w:tcPr>
          <w:p>
            <w:pPr>
              <w:pStyle w:val="TableNAm"/>
            </w:pPr>
            <w:r>
              <w:t>medical radiation practice</w:t>
            </w:r>
          </w:p>
        </w:tc>
      </w:tr>
      <w:tr>
        <w:tc>
          <w:tcPr>
            <w:tcW w:w="3656" w:type="dxa"/>
          </w:tcPr>
          <w:p>
            <w:pPr>
              <w:pStyle w:val="TableNAm"/>
            </w:pPr>
            <w:r>
              <w:t>Nursing and Midwifery Board of Australia</w:t>
            </w:r>
          </w:p>
        </w:tc>
        <w:tc>
          <w:tcPr>
            <w:tcW w:w="3657" w:type="dxa"/>
          </w:tcPr>
          <w:p>
            <w:pPr>
              <w:pStyle w:val="TableNAm"/>
            </w:pPr>
            <w:r>
              <w:t>nursing</w:t>
            </w:r>
          </w:p>
          <w:p>
            <w:pPr>
              <w:pStyle w:val="TableNAm"/>
            </w:pPr>
            <w:r>
              <w:t>midwifery</w:t>
            </w:r>
          </w:p>
        </w:tc>
      </w:tr>
      <w:tr>
        <w:tc>
          <w:tcPr>
            <w:tcW w:w="3656" w:type="dxa"/>
          </w:tcPr>
          <w:p>
            <w:pPr>
              <w:pStyle w:val="TableNAm"/>
            </w:pPr>
            <w:r>
              <w:t>Occupational Therapy Board of Australia</w:t>
            </w:r>
          </w:p>
        </w:tc>
        <w:tc>
          <w:tcPr>
            <w:tcW w:w="3657" w:type="dxa"/>
          </w:tcPr>
          <w:p>
            <w:pPr>
              <w:pStyle w:val="TableNAm"/>
            </w:pPr>
            <w:r>
              <w:t>occupational therapy</w:t>
            </w:r>
          </w:p>
        </w:tc>
      </w:tr>
      <w:tr>
        <w:tc>
          <w:tcPr>
            <w:tcW w:w="3656" w:type="dxa"/>
          </w:tcPr>
          <w:p>
            <w:pPr>
              <w:pStyle w:val="TableNAm"/>
            </w:pPr>
            <w:r>
              <w:t>Optometry Board of Australia</w:t>
            </w:r>
          </w:p>
        </w:tc>
        <w:tc>
          <w:tcPr>
            <w:tcW w:w="3657" w:type="dxa"/>
          </w:tcPr>
          <w:p>
            <w:pPr>
              <w:pStyle w:val="TableNAm"/>
            </w:pPr>
            <w:r>
              <w:t>optometry</w:t>
            </w:r>
          </w:p>
        </w:tc>
      </w:tr>
      <w:tr>
        <w:tc>
          <w:tcPr>
            <w:tcW w:w="3656" w:type="dxa"/>
          </w:tcPr>
          <w:p>
            <w:pPr>
              <w:pStyle w:val="TableNAm"/>
            </w:pPr>
            <w:r>
              <w:t>Osteopathy Board of Australia</w:t>
            </w:r>
          </w:p>
        </w:tc>
        <w:tc>
          <w:tcPr>
            <w:tcW w:w="3657" w:type="dxa"/>
          </w:tcPr>
          <w:p>
            <w:pPr>
              <w:pStyle w:val="TableNAm"/>
            </w:pPr>
            <w:r>
              <w:t>osteopathy</w:t>
            </w:r>
          </w:p>
        </w:tc>
      </w:tr>
      <w:tr>
        <w:tc>
          <w:tcPr>
            <w:tcW w:w="3656" w:type="dxa"/>
          </w:tcPr>
          <w:p>
            <w:pPr>
              <w:pStyle w:val="TableNAm"/>
            </w:pPr>
            <w:r>
              <w:t>Paramedicine Board of Australia</w:t>
            </w:r>
          </w:p>
        </w:tc>
        <w:tc>
          <w:tcPr>
            <w:tcW w:w="3657" w:type="dxa"/>
          </w:tcPr>
          <w:p>
            <w:pPr>
              <w:pStyle w:val="TableNAm"/>
            </w:pPr>
            <w:r>
              <w:t>paramedicine</w:t>
            </w:r>
          </w:p>
        </w:tc>
      </w:tr>
      <w:tr>
        <w:tc>
          <w:tcPr>
            <w:tcW w:w="3656" w:type="dxa"/>
          </w:tcPr>
          <w:p>
            <w:pPr>
              <w:pStyle w:val="TableNAm"/>
            </w:pPr>
            <w:r>
              <w:lastRenderedPageBreak/>
              <w:t>Pharmacy Board of Australia</w:t>
            </w:r>
          </w:p>
        </w:tc>
        <w:tc>
          <w:tcPr>
            <w:tcW w:w="3657" w:type="dxa"/>
          </w:tcPr>
          <w:p>
            <w:pPr>
              <w:pStyle w:val="TableNAm"/>
            </w:pPr>
            <w:r>
              <w:t>pharmacy</w:t>
            </w:r>
          </w:p>
        </w:tc>
      </w:tr>
      <w:tr>
        <w:tc>
          <w:tcPr>
            <w:tcW w:w="3656" w:type="dxa"/>
          </w:tcPr>
          <w:p>
            <w:pPr>
              <w:pStyle w:val="TableNAm"/>
            </w:pPr>
            <w:r>
              <w:t>Physiotherapy Board of Australia</w:t>
            </w:r>
          </w:p>
        </w:tc>
        <w:tc>
          <w:tcPr>
            <w:tcW w:w="3657" w:type="dxa"/>
          </w:tcPr>
          <w:p>
            <w:pPr>
              <w:pStyle w:val="TableNAm"/>
            </w:pPr>
            <w:r>
              <w:t>physiotherapy</w:t>
            </w:r>
          </w:p>
        </w:tc>
      </w:tr>
      <w:tr>
        <w:tc>
          <w:tcPr>
            <w:tcW w:w="3656" w:type="dxa"/>
          </w:tcPr>
          <w:p>
            <w:pPr>
              <w:pStyle w:val="TableNAm"/>
            </w:pPr>
            <w:r>
              <w:t>Podiatry Board of Australia</w:t>
            </w:r>
          </w:p>
        </w:tc>
        <w:tc>
          <w:tcPr>
            <w:tcW w:w="3657" w:type="dxa"/>
          </w:tcPr>
          <w:p>
            <w:pPr>
              <w:pStyle w:val="TableNAm"/>
            </w:pPr>
            <w:r>
              <w:t>podiatry</w:t>
            </w:r>
          </w:p>
        </w:tc>
      </w:tr>
      <w:tr>
        <w:tc>
          <w:tcPr>
            <w:tcW w:w="3656" w:type="dxa"/>
          </w:tcPr>
          <w:p>
            <w:pPr>
              <w:pStyle w:val="TableNAm"/>
            </w:pPr>
            <w:r>
              <w:t>Psychology Board of Australia</w:t>
            </w:r>
          </w:p>
        </w:tc>
        <w:tc>
          <w:tcPr>
            <w:tcW w:w="3657" w:type="dxa"/>
          </w:tcPr>
          <w:p>
            <w:pPr>
              <w:pStyle w:val="TableNAm"/>
            </w:pPr>
            <w:r>
              <w:t>psychology</w:t>
            </w:r>
          </w:p>
        </w:tc>
      </w:tr>
    </w:tbl>
    <w:p>
      <w:pPr>
        <w:pStyle w:val="Heading5"/>
      </w:pPr>
      <w:bookmarkStart w:id="13" w:name="_Toc152833182"/>
      <w:r>
        <w:rPr>
          <w:rStyle w:val="CharSectno"/>
        </w:rPr>
        <w:t>5</w:t>
      </w:r>
      <w:r>
        <w:t>.</w:t>
      </w:r>
      <w:r>
        <w:tab/>
        <w:t>National Boards required to keep public national registers</w:t>
      </w:r>
      <w:bookmarkEnd w:id="13"/>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543"/>
        <w:gridCol w:w="3554"/>
      </w:tblGrid>
      <w:tr>
        <w:trPr>
          <w:tblHeader/>
        </w:trPr>
        <w:tc>
          <w:tcPr>
            <w:tcW w:w="3656" w:type="dxa"/>
            <w:tcBorders>
              <w:left w:val="nil"/>
              <w:bottom w:val="single" w:sz="4" w:space="0" w:color="auto"/>
              <w:right w:val="nil"/>
            </w:tcBorders>
          </w:tcPr>
          <w:p>
            <w:pPr>
              <w:pStyle w:val="THeadingNAm"/>
              <w:ind w:left="0"/>
              <w:jc w:val="left"/>
            </w:pPr>
            <w:r>
              <w:t>Name of Board</w:t>
            </w:r>
          </w:p>
        </w:tc>
        <w:tc>
          <w:tcPr>
            <w:tcW w:w="3657" w:type="dxa"/>
            <w:tcBorders>
              <w:left w:val="nil"/>
              <w:bottom w:val="single" w:sz="4" w:space="0" w:color="auto"/>
              <w:right w:val="nil"/>
            </w:tcBorders>
          </w:tcPr>
          <w:p>
            <w:pPr>
              <w:pStyle w:val="THeadingNAm"/>
              <w:ind w:left="30" w:right="0"/>
              <w:jc w:val="left"/>
            </w:pPr>
            <w:r>
              <w:t>Name of public national register</w:t>
            </w:r>
          </w:p>
        </w:tc>
      </w:tr>
      <w:tr>
        <w:tc>
          <w:tcPr>
            <w:tcW w:w="3656" w:type="dxa"/>
            <w:tcBorders>
              <w:top w:val="single" w:sz="4" w:space="0" w:color="auto"/>
              <w:left w:val="nil"/>
              <w:bottom w:val="nil"/>
              <w:right w:val="nil"/>
            </w:tcBorders>
          </w:tcPr>
          <w:p>
            <w:pPr>
              <w:pStyle w:val="TableNAm"/>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pStyle w:val="TableNAm"/>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pStyle w:val="TableNAm"/>
            </w:pPr>
            <w:r>
              <w:t>Register of Nurses</w:t>
            </w:r>
          </w:p>
          <w:p>
            <w:pPr>
              <w:pStyle w:val="TableNAm"/>
            </w:pPr>
            <w:r>
              <w:t>Register of Midwives</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pStyle w:val="TableNAm"/>
            </w:pPr>
            <w:r>
              <w:lastRenderedPageBreak/>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pStyle w:val="TableNAm"/>
            </w:pPr>
            <w:r>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14" w:name="_Toc152828846"/>
      <w:bookmarkStart w:id="15" w:name="_Toc152829953"/>
      <w:bookmarkStart w:id="16" w:name="_Toc152833183"/>
      <w:r>
        <w:rPr>
          <w:rStyle w:val="CharPartNo"/>
        </w:rPr>
        <w:lastRenderedPageBreak/>
        <w:t>Part 3</w:t>
      </w:r>
      <w:r>
        <w:rPr>
          <w:rStyle w:val="CharDivNo"/>
        </w:rPr>
        <w:t> </w:t>
      </w:r>
      <w:r>
        <w:t>—</w:t>
      </w:r>
      <w:r>
        <w:rPr>
          <w:rStyle w:val="CharDivText"/>
        </w:rPr>
        <w:t> </w:t>
      </w:r>
      <w:r>
        <w:rPr>
          <w:rStyle w:val="CharPartText"/>
        </w:rPr>
        <w:t>Application of AIC Act</w:t>
      </w:r>
      <w:bookmarkEnd w:id="14"/>
      <w:bookmarkEnd w:id="15"/>
      <w:bookmarkEnd w:id="16"/>
    </w:p>
    <w:p>
      <w:pPr>
        <w:pStyle w:val="Heading5"/>
      </w:pPr>
      <w:bookmarkStart w:id="17" w:name="_Toc152833184"/>
      <w:r>
        <w:rPr>
          <w:rStyle w:val="CharSectno"/>
        </w:rPr>
        <w:t>6</w:t>
      </w:r>
      <w:r>
        <w:t>.</w:t>
      </w:r>
      <w:r>
        <w:tab/>
        <w:t>Application of AIC Act</w:t>
      </w:r>
      <w:bookmarkEnd w:id="17"/>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18" w:name="_Toc152833185"/>
      <w:r>
        <w:rPr>
          <w:rStyle w:val="CharSectno"/>
        </w:rPr>
        <w:t>7</w:t>
      </w:r>
      <w:r>
        <w:t>.</w:t>
      </w:r>
      <w:r>
        <w:tab/>
        <w:t>References in AIC Act to particular terms</w:t>
      </w:r>
      <w:bookmarkEnd w:id="18"/>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19" w:name="_Toc152833186"/>
      <w:r>
        <w:rPr>
          <w:rStyle w:val="CharSectno"/>
        </w:rPr>
        <w:t>8</w:t>
      </w:r>
      <w:r>
        <w:t>.</w:t>
      </w:r>
      <w:r>
        <w:tab/>
        <w:t>Modifications relating to appointment of National Health Practitioner Privacy Commissioner and staff</w:t>
      </w:r>
      <w:bookmarkEnd w:id="19"/>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 xml:space="preserve">the provisions about the appointment, and the general terms and conditions of service, of information officers (other than the provisions </w:t>
      </w:r>
      <w:r>
        <w:lastRenderedPageBreak/>
        <w:t>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20" w:name="_Toc152833187"/>
      <w:r>
        <w:rPr>
          <w:rStyle w:val="CharSectno"/>
        </w:rPr>
        <w:t>9</w:t>
      </w:r>
      <w:r>
        <w:t>.</w:t>
      </w:r>
      <w:r>
        <w:tab/>
        <w:t>Modifications about financial matters</w:t>
      </w:r>
      <w:bookmarkEnd w:id="20"/>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keepNext/>
      </w:pPr>
      <w:r>
        <w:lastRenderedPageBreak/>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1" w:name="_Toc152833188"/>
      <w:r>
        <w:rPr>
          <w:rStyle w:val="CharSectno"/>
        </w:rPr>
        <w:t>10</w:t>
      </w:r>
      <w:r>
        <w:t>.</w:t>
      </w:r>
      <w:r>
        <w:tab/>
        <w:t>Modifications about annual report</w:t>
      </w:r>
      <w:bookmarkEnd w:id="21"/>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keepNext/>
      </w:pPr>
      <w:r>
        <w:lastRenderedPageBreak/>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22" w:name="_Toc152833189"/>
      <w:r>
        <w:rPr>
          <w:rStyle w:val="CharSectno"/>
        </w:rPr>
        <w:t>11</w:t>
      </w:r>
      <w:r>
        <w:t>.</w:t>
      </w:r>
      <w:r>
        <w:tab/>
        <w:t>Miscellaneous modifications</w:t>
      </w:r>
      <w:bookmarkEnd w:id="22"/>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keepNext/>
      </w:pPr>
      <w:r>
        <w:lastRenderedPageBreak/>
        <w:tab/>
        <w:t>(iii)</w:t>
      </w:r>
      <w:r>
        <w:tab/>
        <w:t>disclosures of interests;</w:t>
      </w:r>
    </w:p>
    <w:p>
      <w:pPr>
        <w:pStyle w:val="PermNoteText"/>
        <w:tabs>
          <w:tab w:val="clear" w:pos="879"/>
          <w:tab w:val="left" w:pos="2352"/>
        </w:tabs>
        <w:ind w:left="2352" w:hanging="2352"/>
      </w:pPr>
      <w:r>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lastRenderedPageBreak/>
        <w:tab/>
        <w:t>(g)</w:t>
      </w:r>
      <w:r>
        <w:tab/>
        <w:t>a grandchild of the Commissioner or the Commissioner’s spouse;</w:t>
      </w:r>
    </w:p>
    <w:p>
      <w:pPr>
        <w:pStyle w:val="Indenta"/>
      </w:pPr>
      <w:r>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23" w:name="_Toc152833190"/>
      <w:r>
        <w:rPr>
          <w:rStyle w:val="CharSectno"/>
        </w:rPr>
        <w:t>12</w:t>
      </w:r>
      <w:r>
        <w:t>.</w:t>
      </w:r>
      <w:r>
        <w:tab/>
        <w:t>Regulations</w:t>
      </w:r>
      <w:bookmarkEnd w:id="23"/>
      <w:r>
        <w:t xml:space="preserve"> </w:t>
      </w:r>
    </w:p>
    <w:p>
      <w:pPr>
        <w:pStyle w:val="Subsection"/>
      </w:pPr>
      <w:r>
        <w:tab/>
      </w:r>
      <w:r>
        <w:tab/>
        <w:t>The Regulations made under the AIC Act do not apply.</w:t>
      </w:r>
    </w:p>
    <w:p>
      <w:pPr>
        <w:pStyle w:val="Heading2"/>
      </w:pPr>
      <w:bookmarkStart w:id="24" w:name="_Toc152828854"/>
      <w:bookmarkStart w:id="25" w:name="_Toc152829961"/>
      <w:bookmarkStart w:id="26" w:name="_Toc152833191"/>
      <w:r>
        <w:rPr>
          <w:rStyle w:val="CharPartNo"/>
        </w:rPr>
        <w:lastRenderedPageBreak/>
        <w:t>Part 4</w:t>
      </w:r>
      <w:r>
        <w:rPr>
          <w:rStyle w:val="CharDivNo"/>
        </w:rPr>
        <w:t> </w:t>
      </w:r>
      <w:r>
        <w:t>—</w:t>
      </w:r>
      <w:r>
        <w:rPr>
          <w:rStyle w:val="CharDivText"/>
        </w:rPr>
        <w:t> </w:t>
      </w:r>
      <w:r>
        <w:rPr>
          <w:rStyle w:val="CharPartText"/>
        </w:rPr>
        <w:t>Application of FOI Act</w:t>
      </w:r>
      <w:bookmarkEnd w:id="24"/>
      <w:bookmarkEnd w:id="25"/>
      <w:bookmarkEnd w:id="26"/>
    </w:p>
    <w:p>
      <w:pPr>
        <w:pStyle w:val="Heading5"/>
      </w:pPr>
      <w:bookmarkStart w:id="27" w:name="_Toc152833192"/>
      <w:r>
        <w:rPr>
          <w:rStyle w:val="CharSectno"/>
        </w:rPr>
        <w:t>13</w:t>
      </w:r>
      <w:r>
        <w:t>.</w:t>
      </w:r>
      <w:r>
        <w:tab/>
        <w:t>Application of FOI Act</w:t>
      </w:r>
      <w:bookmarkEnd w:id="27"/>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28" w:name="_Toc152833193"/>
      <w:r>
        <w:rPr>
          <w:rStyle w:val="CharSectno"/>
        </w:rPr>
        <w:t>14</w:t>
      </w:r>
      <w:r>
        <w:t>.</w:t>
      </w:r>
      <w:r>
        <w:tab/>
        <w:t>References in FOI Act to particular terms</w:t>
      </w:r>
      <w:bookmarkEnd w:id="28"/>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a reference to any other office holder or body of the Commonwealth (other than a reference to the Inspector</w:t>
      </w:r>
      <w:r>
        <w:noBreakHyphen/>
        <w:t xml:space="preserve">General of Intelligence and Security) were a </w:t>
      </w:r>
      <w:r>
        <w:lastRenderedPageBreak/>
        <w:t>reference to 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29" w:name="_Toc152833194"/>
      <w:r>
        <w:rPr>
          <w:rStyle w:val="CharSectno"/>
        </w:rPr>
        <w:t>15</w:t>
      </w:r>
      <w:r>
        <w:t>.</w:t>
      </w:r>
      <w:r>
        <w:tab/>
        <w:t>Modifications relating to National Agency and National Boards</w:t>
      </w:r>
      <w:bookmarkEnd w:id="29"/>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Ednotesubpara"/>
      </w:pPr>
      <w:r>
        <w:tab/>
        <w:t>[(i)</w:t>
      </w:r>
      <w:r>
        <w:tab/>
        <w:t>omitted]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Ednotesubpara"/>
      </w:pPr>
      <w:r>
        <w:tab/>
        <w:t>[(i)</w:t>
      </w:r>
      <w:r>
        <w:tab/>
        <w:t>omitted]</w:t>
      </w:r>
    </w:p>
    <w:p>
      <w:pPr>
        <w:pStyle w:val="Indenti"/>
      </w:pPr>
      <w:r>
        <w:tab/>
        <w:t>(ii)</w:t>
      </w:r>
      <w:r>
        <w:tab/>
        <w:t>for the National Agency, the chief executive officer of the National Agency; and</w:t>
      </w:r>
    </w:p>
    <w:p>
      <w:pPr>
        <w:pStyle w:val="Indenti"/>
      </w:pPr>
      <w:r>
        <w:tab/>
        <w:t>(iii)</w:t>
      </w:r>
      <w:r>
        <w:tab/>
        <w:t>for the Agency Board, the Chairperson of the Agency Board;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tab/>
        <w:t>(e)</w:t>
      </w:r>
      <w:r>
        <w:tab/>
        <w:t>the requirement for an agency to publish details of the appointment of officers of the agency does not apply; and</w:t>
      </w:r>
    </w:p>
    <w:p>
      <w:pPr>
        <w:pStyle w:val="Indenta"/>
        <w:keepNext/>
      </w:pPr>
      <w:r>
        <w:lastRenderedPageBreak/>
        <w:tab/>
        <w:t>(f)</w:t>
      </w:r>
      <w:r>
        <w:tab/>
        <w:t xml:space="preserve">the requirement to first complete a review of the operation in an agency of the information publication scheme is a requirement for the review to be complete by 1 June 2024. </w:t>
      </w:r>
    </w:p>
    <w:p>
      <w:pPr>
        <w:pStyle w:val="Footnotesection"/>
      </w:pPr>
      <w:r>
        <w:tab/>
        <w:t>[Section 15 amended: Gazette 2 Feb 2023 p. 116.]</w:t>
      </w:r>
    </w:p>
    <w:p>
      <w:pPr>
        <w:pStyle w:val="Heading5"/>
      </w:pPr>
      <w:bookmarkStart w:id="30" w:name="_Toc152833195"/>
      <w:r>
        <w:rPr>
          <w:rStyle w:val="CharSectno"/>
        </w:rPr>
        <w:t>16</w:t>
      </w:r>
      <w:r>
        <w:t>.</w:t>
      </w:r>
      <w:r>
        <w:tab/>
        <w:t>Modifications relating to reports prepared by National  Health Practitioner Privacy Commissioner</w:t>
      </w:r>
      <w:bookmarkEnd w:id="30"/>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31" w:name="_Toc152833196"/>
      <w:r>
        <w:rPr>
          <w:rStyle w:val="CharSectno"/>
        </w:rPr>
        <w:t>17</w:t>
      </w:r>
      <w:r>
        <w:t>.</w:t>
      </w:r>
      <w:r>
        <w:tab/>
        <w:t>Modifications relating to Administrative Appeals Tribunal</w:t>
      </w:r>
      <w:bookmarkEnd w:id="31"/>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32" w:name="_Toc152833197"/>
      <w:r>
        <w:rPr>
          <w:rStyle w:val="CharSectno"/>
        </w:rPr>
        <w:t>18</w:t>
      </w:r>
      <w:r>
        <w:t>.</w:t>
      </w:r>
      <w:r>
        <w:tab/>
        <w:t>Modifications relating to Part VII of the FOI Act</w:t>
      </w:r>
      <w:bookmarkEnd w:id="32"/>
      <w:r>
        <w:t xml:space="preserve"> </w:t>
      </w:r>
    </w:p>
    <w:p>
      <w:pPr>
        <w:pStyle w:val="Subsection"/>
      </w:pPr>
      <w:r>
        <w:tab/>
      </w:r>
      <w:r>
        <w:tab/>
        <w:t xml:space="preserve">The FOI Act applies as if it were modified to provide that Part VII of the Act commences on 1 February 2019. </w:t>
      </w:r>
    </w:p>
    <w:p>
      <w:pPr>
        <w:pStyle w:val="Heading5"/>
      </w:pPr>
      <w:bookmarkStart w:id="33" w:name="_Toc152833198"/>
      <w:r>
        <w:rPr>
          <w:rStyle w:val="CharSectno"/>
        </w:rPr>
        <w:t>19</w:t>
      </w:r>
      <w:r>
        <w:t>.</w:t>
      </w:r>
      <w:r>
        <w:tab/>
        <w:t>Miscellaneous modifications</w:t>
      </w:r>
      <w:bookmarkEnd w:id="33"/>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w:t>
      </w:r>
      <w:r>
        <w:lastRenderedPageBreak/>
        <w:t xml:space="preserve">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34" w:name="_Toc152833199"/>
      <w:r>
        <w:rPr>
          <w:rStyle w:val="CharSectno"/>
        </w:rPr>
        <w:t>20</w:t>
      </w:r>
      <w:r>
        <w:t>.</w:t>
      </w:r>
      <w:r>
        <w:tab/>
        <w:t>Regulations</w:t>
      </w:r>
      <w:bookmarkEnd w:id="34"/>
      <w:r>
        <w:t xml:space="preserve"> </w:t>
      </w:r>
    </w:p>
    <w:p>
      <w:pPr>
        <w:pStyle w:val="Subsection"/>
      </w:pPr>
      <w:r>
        <w:tab/>
      </w:r>
      <w:r>
        <w:tab/>
        <w:t xml:space="preserve">The Regulations made under the FOI Act, other than the provisions providing for fees and charges, do not apply. </w:t>
      </w:r>
    </w:p>
    <w:p>
      <w:pPr>
        <w:pStyle w:val="Heading5"/>
      </w:pPr>
      <w:bookmarkStart w:id="35" w:name="_Toc152833200"/>
      <w:r>
        <w:rPr>
          <w:rStyle w:val="CharSectno"/>
        </w:rPr>
        <w:t>21</w:t>
      </w:r>
      <w:r>
        <w:t>.</w:t>
      </w:r>
      <w:r>
        <w:tab/>
        <w:t>Transitional provision for existing right of review by Administrative Appeals Tribunal</w:t>
      </w:r>
      <w:bookmarkEnd w:id="35"/>
      <w:r>
        <w:t xml:space="preserve"> </w:t>
      </w:r>
    </w:p>
    <w:p>
      <w:pPr>
        <w:pStyle w:val="Subsection"/>
        <w:keepNext/>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lastRenderedPageBreak/>
        <w:tab/>
        <w:t>(b)</w:t>
      </w:r>
      <w:r>
        <w:tab/>
        <w:t>the person had not yet applied for a review of the decision.</w:t>
      </w:r>
    </w:p>
    <w:p>
      <w:pPr>
        <w:pStyle w:val="Subsection"/>
        <w:keepNext/>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36" w:name="_Toc152833201"/>
      <w:r>
        <w:rPr>
          <w:rStyle w:val="CharSectno"/>
        </w:rPr>
        <w:t>22</w:t>
      </w:r>
      <w:r>
        <w:t>.</w:t>
      </w:r>
      <w:r>
        <w:tab/>
        <w:t>Transitional provision for current obligation to publish information</w:t>
      </w:r>
      <w:bookmarkEnd w:id="36"/>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keepNext/>
      </w:pPr>
      <w:r>
        <w:tab/>
        <w:t>(2)</w:t>
      </w:r>
      <w:r>
        <w:tab/>
        <w:t xml:space="preserve">In this section — </w:t>
      </w:r>
    </w:p>
    <w:p>
      <w:pPr>
        <w:pStyle w:val="Defstart"/>
        <w:keepNex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keepNext/>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22 amended: Gazette 17 Dec 2019 p. 4364.]</w:t>
      </w:r>
    </w:p>
    <w:p>
      <w:pPr>
        <w:pStyle w:val="Heading2"/>
      </w:pPr>
      <w:bookmarkStart w:id="37" w:name="_Toc152828865"/>
      <w:bookmarkStart w:id="38" w:name="_Toc152829972"/>
      <w:bookmarkStart w:id="39" w:name="_Toc152833202"/>
      <w:r>
        <w:rPr>
          <w:rStyle w:val="CharPartNo"/>
        </w:rPr>
        <w:lastRenderedPageBreak/>
        <w:t>Part 5</w:t>
      </w:r>
      <w:r>
        <w:rPr>
          <w:rStyle w:val="CharDivNo"/>
        </w:rPr>
        <w:t> </w:t>
      </w:r>
      <w:r>
        <w:t>—</w:t>
      </w:r>
      <w:r>
        <w:rPr>
          <w:rStyle w:val="CharDivText"/>
        </w:rPr>
        <w:t> </w:t>
      </w:r>
      <w:r>
        <w:rPr>
          <w:rStyle w:val="CharPartText"/>
        </w:rPr>
        <w:t>Application of Ombudsman Act</w:t>
      </w:r>
      <w:bookmarkEnd w:id="37"/>
      <w:bookmarkEnd w:id="38"/>
      <w:bookmarkEnd w:id="39"/>
    </w:p>
    <w:p>
      <w:pPr>
        <w:pStyle w:val="Heading5"/>
      </w:pPr>
      <w:bookmarkStart w:id="40" w:name="_Toc152833203"/>
      <w:r>
        <w:rPr>
          <w:rStyle w:val="CharSectno"/>
        </w:rPr>
        <w:t>23</w:t>
      </w:r>
      <w:r>
        <w:t>.</w:t>
      </w:r>
      <w:r>
        <w:tab/>
        <w:t>Who is an agency service provider</w:t>
      </w:r>
      <w:bookmarkEnd w:id="40"/>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41" w:name="_Toc152833204"/>
      <w:r>
        <w:rPr>
          <w:rStyle w:val="CharSectno"/>
        </w:rPr>
        <w:t>24</w:t>
      </w:r>
      <w:r>
        <w:t>.</w:t>
      </w:r>
      <w:r>
        <w:tab/>
        <w:t>Application of Ombudsman Act</w:t>
      </w:r>
      <w:bookmarkEnd w:id="41"/>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42" w:name="_Toc152833205"/>
      <w:r>
        <w:rPr>
          <w:rStyle w:val="CharSectno"/>
        </w:rPr>
        <w:t>25</w:t>
      </w:r>
      <w:r>
        <w:t>.</w:t>
      </w:r>
      <w:r>
        <w:tab/>
        <w:t>References in Ombudsman Act to particular terms</w:t>
      </w:r>
      <w:bookmarkEnd w:id="42"/>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lastRenderedPageBreak/>
        <w:tab/>
        <w:t>(c)</w:t>
      </w:r>
      <w:r>
        <w:tab/>
        <w:t>a reference to the Information Commissioner were a reference to the National Health Practitioner Privacy Commissioner; and</w:t>
      </w:r>
    </w:p>
    <w:p>
      <w:pPr>
        <w:pStyle w:val="Indenta"/>
      </w:pPr>
      <w:r>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43" w:name="_Toc152833206"/>
      <w:r>
        <w:rPr>
          <w:rStyle w:val="CharSectno"/>
        </w:rPr>
        <w:t>26</w:t>
      </w:r>
      <w:r>
        <w:t>.</w:t>
      </w:r>
      <w:r>
        <w:tab/>
        <w:t>Modifications relating to National Agency and National Boards</w:t>
      </w:r>
      <w:bookmarkEnd w:id="43"/>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lastRenderedPageBreak/>
        <w:tab/>
        <w:t>(i)</w:t>
      </w:r>
      <w:r>
        <w:tab/>
        <w:t>prescribed authorities; and</w:t>
      </w:r>
    </w:p>
    <w:p>
      <w:pPr>
        <w:pStyle w:val="Indenti"/>
      </w:pPr>
      <w:r>
        <w:tab/>
        <w:t>(ii)</w:t>
      </w:r>
      <w:r>
        <w:tab/>
        <w:t>agency service providers; and</w:t>
      </w:r>
    </w:p>
    <w:p>
      <w:pPr>
        <w:pStyle w:val="Indenta"/>
        <w:keepNext/>
      </w:pPr>
      <w:r>
        <w:tab/>
        <w:t>(b)</w:t>
      </w:r>
      <w:r>
        <w:tab/>
        <w:t xml:space="preserve">the prescribed authorities are — </w:t>
      </w:r>
    </w:p>
    <w:p>
      <w:pPr>
        <w:pStyle w:val="Ednotesubpara"/>
      </w:pPr>
      <w:r>
        <w:tab/>
        <w:t>[(i)</w:t>
      </w:r>
      <w:r>
        <w:tab/>
        <w:t>omitted]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i"/>
      </w:pPr>
      <w:r>
        <w:tab/>
        <w:t>(v)</w:t>
      </w:r>
      <w:r>
        <w:tab/>
        <w:t>each accreditation authority; and</w:t>
      </w:r>
    </w:p>
    <w:p>
      <w:pPr>
        <w:pStyle w:val="Indenti"/>
      </w:pPr>
      <w:r>
        <w:tab/>
        <w:t>(vi)</w:t>
      </w:r>
      <w:r>
        <w:tab/>
        <w:t>if the National Board appoints a person to conduct an examination or assessment of an individual under sections 54 or 59 of the Law — the person; and</w:t>
      </w:r>
    </w:p>
    <w:p>
      <w:pPr>
        <w:pStyle w:val="Indenti"/>
      </w:pPr>
      <w:r>
        <w:tab/>
        <w:t>(vii)</w:t>
      </w:r>
      <w:r>
        <w:tab/>
        <w:t>if the National Board appoints a person to conduct an examination or assessment of an applicant for registration under section 80(3)(a) of the Law — the person; and</w:t>
      </w:r>
    </w:p>
    <w:p>
      <w:pPr>
        <w:pStyle w:val="Indenti"/>
      </w:pPr>
      <w:r>
        <w:tab/>
        <w:t>(viii)</w:t>
      </w:r>
      <w:r>
        <w:tab/>
        <w:t>a specialist medical college in relation to an approved program of study provided by the college;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Ednotesubpara"/>
      </w:pPr>
      <w:r>
        <w:tab/>
        <w:t>[(i)</w:t>
      </w:r>
      <w:r>
        <w:tab/>
        <w:t>omitted]</w:t>
      </w:r>
    </w:p>
    <w:p>
      <w:pPr>
        <w:pStyle w:val="Indenti"/>
      </w:pPr>
      <w:r>
        <w:tab/>
        <w:t>(ii)</w:t>
      </w:r>
      <w:r>
        <w:tab/>
        <w:t>for the National Agency, the chief executive officer of the National Agency; and</w:t>
      </w:r>
    </w:p>
    <w:p>
      <w:pPr>
        <w:pStyle w:val="Indenti"/>
      </w:pPr>
      <w:r>
        <w:tab/>
        <w:t>(iii)</w:t>
      </w:r>
      <w:r>
        <w:tab/>
        <w:t>for the Agency Board, the Chairperson of the Agency Board; and</w:t>
      </w:r>
    </w:p>
    <w:p>
      <w:pPr>
        <w:pStyle w:val="Indenti"/>
      </w:pPr>
      <w:r>
        <w:lastRenderedPageBreak/>
        <w:tab/>
        <w:t>(iv)</w:t>
      </w:r>
      <w:r>
        <w:tab/>
        <w:t>for a National Board, the Chairperson of the National Board; and</w:t>
      </w:r>
    </w:p>
    <w:p>
      <w:pPr>
        <w:pStyle w:val="Indenti"/>
      </w:pPr>
      <w:r>
        <w:tab/>
        <w:t>(v)</w:t>
      </w:r>
      <w:r>
        <w:tab/>
        <w:t>for an accreditation committee — the Chairperson of the committee; and</w:t>
      </w:r>
    </w:p>
    <w:p>
      <w:pPr>
        <w:pStyle w:val="Indenti"/>
      </w:pPr>
      <w:r>
        <w:tab/>
        <w:t>(vi)</w:t>
      </w:r>
      <w:r>
        <w:tab/>
        <w:t>for an external accreditation entity — the chief executive officer of the entity; and</w:t>
      </w:r>
    </w:p>
    <w:p>
      <w:pPr>
        <w:pStyle w:val="Indenti"/>
      </w:pPr>
      <w:r>
        <w:tab/>
        <w:t>(vii)</w:t>
      </w:r>
      <w:r>
        <w:tab/>
        <w:t>for a prescribed authority specified in paragraph (b)(vi) or (vii) — the chief executive officer of the authority; and</w:t>
      </w:r>
    </w:p>
    <w:p>
      <w:pPr>
        <w:pStyle w:val="Indenti"/>
        <w:keepNext/>
      </w:pPr>
      <w:r>
        <w:tab/>
        <w:t>(viii)</w:t>
      </w:r>
      <w:r>
        <w:tab/>
        <w:t xml:space="preserve">for a specialist medical college specified in paragraph (b)(viii) — </w:t>
      </w:r>
    </w:p>
    <w:p>
      <w:pPr>
        <w:pStyle w:val="IndentI0"/>
      </w:pPr>
      <w:r>
        <w:tab/>
        <w:t>(A)</w:t>
      </w:r>
      <w:r>
        <w:tab/>
        <w:t>the chief executive officer of the college; or</w:t>
      </w:r>
    </w:p>
    <w:p>
      <w:pPr>
        <w:pStyle w:val="IndentI0"/>
        <w:keepNext/>
      </w:pPr>
      <w:r>
        <w:tab/>
        <w:t>(B)</w:t>
      </w:r>
      <w:r>
        <w:tab/>
        <w:t>if there is no chief executive officer — the president of the college.</w:t>
      </w:r>
    </w:p>
    <w:p>
      <w:pPr>
        <w:pStyle w:val="PermNoteText"/>
        <w:keepNext/>
        <w:tabs>
          <w:tab w:val="left" w:pos="1560"/>
        </w:tabs>
        <w:ind w:left="896" w:hanging="896"/>
      </w:pPr>
      <w:r>
        <w:rPr>
          <w:b/>
        </w:rPr>
        <w:t>Note.</w:t>
      </w:r>
      <w:r>
        <w:tab/>
        <w:t>As the Act applies only in relation to agencies (that is, the National Agency, the Agency Board, National Boards, accreditation authorities, entities appointed to conduct certain examinations or assessments and specialist medical colleges in certain circumstances, certain provisions of the Act, including, for example, provisions providing for the Defence Force Ombudsman and Postal Industry Ombudsman do not apply.</w:t>
      </w:r>
    </w:p>
    <w:p>
      <w:pPr>
        <w:pStyle w:val="Footnotesection"/>
      </w:pPr>
      <w:r>
        <w:tab/>
        <w:t>[Section 26 amended: Gazette 2 Feb 2023 p. 116 and 117.]</w:t>
      </w:r>
    </w:p>
    <w:p>
      <w:pPr>
        <w:pStyle w:val="Heading5"/>
      </w:pPr>
      <w:bookmarkStart w:id="44" w:name="_Toc152833207"/>
      <w:r>
        <w:rPr>
          <w:rStyle w:val="CharSectno"/>
        </w:rPr>
        <w:t>27</w:t>
      </w:r>
      <w:r>
        <w:t>.</w:t>
      </w:r>
      <w:r>
        <w:tab/>
        <w:t>Modifications relating to appointment of National Health Practitioner Ombudsman and staff</w:t>
      </w:r>
      <w:bookmarkEnd w:id="44"/>
      <w:r>
        <w:t xml:space="preserve"> </w:t>
      </w:r>
    </w:p>
    <w:p>
      <w:pPr>
        <w:pStyle w:val="Subsection"/>
        <w:keepNext/>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lastRenderedPageBreak/>
        <w:tab/>
        <w:t>(c)</w:t>
      </w:r>
      <w:r>
        <w:tab/>
        <w:t>so that the provisions of the Act relating to the removal and retirement of the Ombudsman on the grounds of invalidity do not apply; and</w:t>
      </w:r>
    </w:p>
    <w:p>
      <w:pPr>
        <w:pStyle w:val="Indenta"/>
      </w:pPr>
      <w:r>
        <w:tab/>
        <w:t>(d)</w:t>
      </w:r>
      <w:r>
        <w:tab/>
        <w:t>to provide that the National Health Practitioner Ombudsman is appointed with the remuneration, and on the terms and conditions, decided by the Ministerial Council; and</w:t>
      </w:r>
    </w:p>
    <w:p>
      <w:pPr>
        <w:pStyle w:val="Indenta"/>
        <w:keepNext/>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tab/>
        <w:t>(iv)</w:t>
      </w:r>
      <w:r>
        <w:tab/>
        <w:t>delegate all or any of the functions or powers to any person the Ombudsman considers appropriate.</w:t>
      </w:r>
    </w:p>
    <w:p>
      <w:pPr>
        <w:pStyle w:val="Heading5"/>
      </w:pPr>
      <w:bookmarkStart w:id="45" w:name="_Toc152833208"/>
      <w:r>
        <w:rPr>
          <w:rStyle w:val="CharSectno"/>
        </w:rPr>
        <w:lastRenderedPageBreak/>
        <w:t>28</w:t>
      </w:r>
      <w:r>
        <w:t>.</w:t>
      </w:r>
      <w:r>
        <w:tab/>
        <w:t>Modifications about financial matters</w:t>
      </w:r>
      <w:bookmarkEnd w:id="45"/>
      <w:r>
        <w:t xml:space="preserve"> </w:t>
      </w:r>
    </w:p>
    <w:p>
      <w:pPr>
        <w:pStyle w:val="Subsection"/>
        <w:keepNext/>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keepNext/>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6" w:name="_Toc152833209"/>
      <w:r>
        <w:rPr>
          <w:rStyle w:val="CharSectno"/>
        </w:rPr>
        <w:lastRenderedPageBreak/>
        <w:t>29</w:t>
      </w:r>
      <w:r>
        <w:t>.</w:t>
      </w:r>
      <w:r>
        <w:tab/>
        <w:t>Modifications about annual report</w:t>
      </w:r>
      <w:bookmarkEnd w:id="46"/>
      <w:r>
        <w:t xml:space="preserve"> </w:t>
      </w:r>
    </w:p>
    <w:p>
      <w:pPr>
        <w:pStyle w:val="Subsection"/>
        <w:keepNext/>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keepNext/>
      </w:pPr>
      <w:r>
        <w:tab/>
        <w:t>(b)</w:t>
      </w:r>
      <w:r>
        <w:tab/>
        <w:t xml:space="preserve">the annual report must include — </w:t>
      </w:r>
    </w:p>
    <w:p>
      <w:pPr>
        <w:pStyle w:val="Indenti"/>
        <w:keepNext/>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47" w:name="_Toc152833210"/>
      <w:r>
        <w:rPr>
          <w:rStyle w:val="CharSectno"/>
        </w:rPr>
        <w:t>30</w:t>
      </w:r>
      <w:r>
        <w:t>.</w:t>
      </w:r>
      <w:r>
        <w:tab/>
        <w:t>Miscellaneous modifications</w:t>
      </w:r>
      <w:bookmarkEnd w:id="47"/>
      <w:r>
        <w:t xml:space="preserve"> </w:t>
      </w:r>
    </w:p>
    <w:p>
      <w:pPr>
        <w:pStyle w:val="Subsection"/>
        <w:keepNext/>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lastRenderedPageBreak/>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(d)</w:t>
      </w:r>
      <w:r>
        <w:tab/>
        <w:t>with any other modifications that are necessary.</w:t>
      </w:r>
    </w:p>
    <w:p>
      <w:pPr>
        <w:pStyle w:val="Heading5"/>
      </w:pPr>
      <w:bookmarkStart w:id="48" w:name="_Toc152833211"/>
      <w:r>
        <w:rPr>
          <w:rStyle w:val="CharSectno"/>
        </w:rPr>
        <w:t>31</w:t>
      </w:r>
      <w:r>
        <w:t>.</w:t>
      </w:r>
      <w:r>
        <w:tab/>
        <w:t>Regulations</w:t>
      </w:r>
      <w:bookmarkEnd w:id="48"/>
      <w:r>
        <w:t xml:space="preserve"> </w:t>
      </w:r>
    </w:p>
    <w:p>
      <w:pPr>
        <w:pStyle w:val="Subsection"/>
      </w:pPr>
      <w:r>
        <w:tab/>
      </w:r>
      <w:r>
        <w:tab/>
        <w:t>The Regulations made under the Ombudsman Act, other than provisions providing for witness expenses, do not apply.</w:t>
      </w:r>
    </w:p>
    <w:p>
      <w:pPr>
        <w:pStyle w:val="Heading2"/>
      </w:pPr>
      <w:bookmarkStart w:id="49" w:name="_Toc152828875"/>
      <w:bookmarkStart w:id="50" w:name="_Toc152829982"/>
      <w:bookmarkStart w:id="51" w:name="_Toc152833212"/>
      <w:r>
        <w:rPr>
          <w:rStyle w:val="CharPartNo"/>
        </w:rPr>
        <w:lastRenderedPageBreak/>
        <w:t>Part 6</w:t>
      </w:r>
      <w:r>
        <w:rPr>
          <w:rStyle w:val="CharDivNo"/>
        </w:rPr>
        <w:t> </w:t>
      </w:r>
      <w:r>
        <w:t>—</w:t>
      </w:r>
      <w:r>
        <w:rPr>
          <w:rStyle w:val="CharDivText"/>
        </w:rPr>
        <w:t> </w:t>
      </w:r>
      <w:r>
        <w:rPr>
          <w:rStyle w:val="CharPartText"/>
        </w:rPr>
        <w:t>Application of Privacy Act</w:t>
      </w:r>
      <w:bookmarkEnd w:id="49"/>
      <w:bookmarkEnd w:id="50"/>
      <w:bookmarkEnd w:id="51"/>
    </w:p>
    <w:p>
      <w:pPr>
        <w:pStyle w:val="Heading5"/>
      </w:pPr>
      <w:bookmarkStart w:id="52" w:name="_Toc152833213"/>
      <w:r>
        <w:rPr>
          <w:rStyle w:val="CharSectno"/>
        </w:rPr>
        <w:t>32</w:t>
      </w:r>
      <w:r>
        <w:t>.</w:t>
      </w:r>
      <w:r>
        <w:tab/>
        <w:t>Who is a contracted service provider</w:t>
      </w:r>
      <w:bookmarkEnd w:id="52"/>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53" w:name="_Toc152833214"/>
      <w:r>
        <w:rPr>
          <w:rStyle w:val="CharSectno"/>
        </w:rPr>
        <w:t>33</w:t>
      </w:r>
      <w:r>
        <w:t>.</w:t>
      </w:r>
      <w:r>
        <w:tab/>
        <w:t>Application of Privacy Act</w:t>
      </w:r>
      <w:bookmarkEnd w:id="53"/>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54" w:name="_Toc152833215"/>
      <w:r>
        <w:rPr>
          <w:rStyle w:val="CharSectno"/>
        </w:rPr>
        <w:t>34</w:t>
      </w:r>
      <w:r>
        <w:t>.</w:t>
      </w:r>
      <w:r>
        <w:tab/>
        <w:t>References in Privacy Act to particular terms</w:t>
      </w:r>
      <w:bookmarkEnd w:id="54"/>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lastRenderedPageBreak/>
        <w:tab/>
        <w:t>(d)</w:t>
      </w:r>
      <w:r>
        <w:tab/>
        <w:t>a reference to the Parliament were a reference to a relevant Parliament; and</w:t>
      </w:r>
    </w:p>
    <w:p>
      <w:pPr>
        <w:pStyle w:val="Indenta"/>
      </w:pPr>
      <w:r>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55" w:name="_Toc152833216"/>
      <w:r>
        <w:rPr>
          <w:rStyle w:val="CharSectno"/>
        </w:rPr>
        <w:t>35</w:t>
      </w:r>
      <w:r>
        <w:t>.</w:t>
      </w:r>
      <w:r>
        <w:tab/>
        <w:t>Modifications relating to National Agency and National Boards</w:t>
      </w:r>
      <w:bookmarkEnd w:id="55"/>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Board; and</w:t>
      </w:r>
    </w:p>
    <w:p>
      <w:pPr>
        <w:pStyle w:val="Indenti"/>
      </w:pPr>
      <w:r>
        <w:tab/>
        <w:t>(iv)</w:t>
      </w:r>
      <w:r>
        <w:tab/>
        <w:t>each of the National Boards; and</w:t>
      </w:r>
    </w:p>
    <w:p>
      <w:pPr>
        <w:pStyle w:val="Indenti"/>
      </w:pPr>
      <w:r>
        <w:tab/>
        <w:t>(v)</w:t>
      </w:r>
      <w:r>
        <w:tab/>
        <w:t>each accreditation authority; and</w:t>
      </w:r>
    </w:p>
    <w:p>
      <w:pPr>
        <w:pStyle w:val="Indenti"/>
      </w:pPr>
      <w:r>
        <w:lastRenderedPageBreak/>
        <w:tab/>
        <w:t>(vi)</w:t>
      </w:r>
      <w:r>
        <w:tab/>
        <w:t>if the National Board appoints a person to conduct an examination or assessment of an individual under sections 54 or 59 of the Law — the person; and</w:t>
      </w:r>
    </w:p>
    <w:p>
      <w:pPr>
        <w:pStyle w:val="Indenti"/>
      </w:pPr>
      <w:r>
        <w:tab/>
        <w:t>(vii)</w:t>
      </w:r>
      <w:r>
        <w:tab/>
        <w:t>if the National Board appoints a person to conduct an examination or assessment of an applicant for registration under section 80(3)(a) of the Law — the person; and</w:t>
      </w:r>
    </w:p>
    <w:p>
      <w:pPr>
        <w:pStyle w:val="Indenti"/>
      </w:pPr>
      <w:r>
        <w:tab/>
        <w:t>(viii)</w:t>
      </w:r>
      <w:r>
        <w:tab/>
        <w:t>a specialist medical college in relation to an approved program of study provided by the college; and</w:t>
      </w:r>
    </w:p>
    <w:p>
      <w:pPr>
        <w:pStyle w:val="Indenta"/>
        <w:keepNext/>
      </w:pPr>
      <w:r>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Board, the Chairperson of the Agency Management Committee; and</w:t>
      </w:r>
    </w:p>
    <w:p>
      <w:pPr>
        <w:pStyle w:val="Indenti"/>
      </w:pPr>
      <w:r>
        <w:tab/>
        <w:t>(iv)</w:t>
      </w:r>
      <w:r>
        <w:tab/>
        <w:t>for a National Board, the Chairperson of the National Board; and</w:t>
      </w:r>
    </w:p>
    <w:p>
      <w:pPr>
        <w:pStyle w:val="Indenti"/>
      </w:pPr>
      <w:r>
        <w:tab/>
        <w:t>(v)</w:t>
      </w:r>
      <w:r>
        <w:tab/>
        <w:t>for an accreditation committee — the Chairperson of the committee; and</w:t>
      </w:r>
    </w:p>
    <w:p>
      <w:pPr>
        <w:pStyle w:val="Indenti"/>
      </w:pPr>
      <w:r>
        <w:tab/>
        <w:t>(vi)</w:t>
      </w:r>
      <w:r>
        <w:tab/>
        <w:t>for an external accreditation entity — the chief executive officer of the entity; and</w:t>
      </w:r>
    </w:p>
    <w:p>
      <w:pPr>
        <w:pStyle w:val="Indenti"/>
      </w:pPr>
      <w:r>
        <w:tab/>
        <w:t>(vii)</w:t>
      </w:r>
      <w:r>
        <w:tab/>
        <w:t>for an agency specified in paragraph (b)(vi) or (vii) — the chief executive officer of the agency; and</w:t>
      </w:r>
    </w:p>
    <w:p>
      <w:pPr>
        <w:pStyle w:val="Indenti"/>
      </w:pPr>
      <w:r>
        <w:tab/>
        <w:t>(viii)</w:t>
      </w:r>
      <w:r>
        <w:tab/>
        <w:t xml:space="preserve">for a specialist medical college specified in paragraph (b)(viii) — </w:t>
      </w:r>
    </w:p>
    <w:p>
      <w:pPr>
        <w:pStyle w:val="IndentI0"/>
      </w:pPr>
      <w:r>
        <w:tab/>
        <w:t>(A)</w:t>
      </w:r>
      <w:r>
        <w:tab/>
        <w:t>the chief executive officer of the college; or</w:t>
      </w:r>
    </w:p>
    <w:p>
      <w:pPr>
        <w:pStyle w:val="IndentI0"/>
        <w:keepNext/>
      </w:pPr>
      <w:r>
        <w:lastRenderedPageBreak/>
        <w:tab/>
        <w:t>(B)</w:t>
      </w:r>
      <w:r>
        <w:tab/>
        <w:t>if there is no chief executive officer — the president of the college.</w:t>
      </w:r>
    </w:p>
    <w:p>
      <w:pPr>
        <w:pStyle w:val="PermNoteText"/>
        <w:keepNext/>
        <w:tabs>
          <w:tab w:val="left" w:pos="1560"/>
        </w:tabs>
        <w:ind w:left="896" w:hanging="896"/>
      </w:pPr>
      <w:r>
        <w:rPr>
          <w:b/>
        </w:rPr>
        <w:t>Note.</w:t>
      </w:r>
      <w:r>
        <w:tab/>
        <w:t>As the Act applies only in relation to agencies (that is, the National Agency, the Agency Board, National Boards, accreditation authorities, entities appointed to conduct certain examinations or assessments and specialist medical colleges in certain circumstances) and contracted service providers, provisions of the Act dealing with organisations (other than to the extent the provisions relate to contracted service providers) do not apply.</w:t>
      </w:r>
    </w:p>
    <w:p>
      <w:pPr>
        <w:pStyle w:val="Footnotesection"/>
      </w:pPr>
      <w:r>
        <w:tab/>
        <w:t>[Section 35 amended: Gazette 2 Feb 2023 p. 117.]</w:t>
      </w:r>
    </w:p>
    <w:p>
      <w:pPr>
        <w:pStyle w:val="Heading5"/>
      </w:pPr>
      <w:bookmarkStart w:id="56" w:name="_Toc152833217"/>
      <w:r>
        <w:rPr>
          <w:rStyle w:val="CharSectno"/>
        </w:rPr>
        <w:t>36</w:t>
      </w:r>
      <w:r>
        <w:t>.</w:t>
      </w:r>
      <w:r>
        <w:tab/>
        <w:t>Modifications about financial matters</w:t>
      </w:r>
      <w:bookmarkEnd w:id="56"/>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lastRenderedPageBreak/>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7" w:name="_Toc152833218"/>
      <w:r>
        <w:rPr>
          <w:rStyle w:val="CharSectno"/>
        </w:rPr>
        <w:t>37</w:t>
      </w:r>
      <w:r>
        <w:t>.</w:t>
      </w:r>
      <w:r>
        <w:tab/>
        <w:t>Modifications about public interest determinations</w:t>
      </w:r>
      <w:bookmarkEnd w:id="57"/>
      <w:r>
        <w:t xml:space="preserve"> </w:t>
      </w:r>
    </w:p>
    <w:p>
      <w:pPr>
        <w:pStyle w:val="Subsection"/>
        <w:keepNext/>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 xml:space="preserve">unless a contrary intention appears in a public interest determination, an expression used in the determination </w:t>
      </w:r>
      <w:r>
        <w:lastRenderedPageBreak/>
        <w:t>that is also used in the Act has the same meaning in the determination as the expression has in the Act; and</w:t>
      </w:r>
    </w:p>
    <w:p>
      <w:pPr>
        <w:pStyle w:val="Indenta"/>
      </w:pPr>
      <w:r>
        <w:tab/>
        <w:t>(g)</w:t>
      </w:r>
      <w:r>
        <w:tab/>
        <w:t>sections 246 and 247 of the Law apply to a public interest determination as if it were a regulation (other than to the extent the determination is in force in Western Australia); and</w:t>
      </w:r>
    </w:p>
    <w:p>
      <w:pPr>
        <w:pStyle w:val="Indenta"/>
        <w:keepNext/>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58" w:name="_Toc152833219"/>
      <w:r>
        <w:rPr>
          <w:rStyle w:val="CharSectno"/>
        </w:rPr>
        <w:t>38</w:t>
      </w:r>
      <w:r>
        <w:t>.</w:t>
      </w:r>
      <w:r>
        <w:tab/>
        <w:t>Miscellaneous modifications</w:t>
      </w:r>
      <w:bookmarkEnd w:id="58"/>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lastRenderedPageBreak/>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59" w:name="_Toc152833220"/>
      <w:r>
        <w:rPr>
          <w:rStyle w:val="CharSectno"/>
        </w:rPr>
        <w:t>39</w:t>
      </w:r>
      <w:r>
        <w:t>.</w:t>
      </w:r>
      <w:r>
        <w:tab/>
        <w:t>Regulations</w:t>
      </w:r>
      <w:bookmarkEnd w:id="59"/>
    </w:p>
    <w:p>
      <w:pPr>
        <w:pStyle w:val="Subsection"/>
      </w:pPr>
      <w:r>
        <w:tab/>
      </w:r>
      <w:r>
        <w:tab/>
        <w:t>The Regulations made under the Privacy Act do not apply.</w:t>
      </w:r>
    </w:p>
    <w:p>
      <w:pPr>
        <w:pStyle w:val="Heading2"/>
      </w:pPr>
      <w:bookmarkStart w:id="60" w:name="_Toc152828884"/>
      <w:bookmarkStart w:id="61" w:name="_Toc152829991"/>
      <w:bookmarkStart w:id="62" w:name="_Toc152833221"/>
      <w:r>
        <w:rPr>
          <w:rStyle w:val="CharPartNo"/>
        </w:rPr>
        <w:lastRenderedPageBreak/>
        <w:t>Part 7</w:t>
      </w:r>
      <w:r>
        <w:rPr>
          <w:rStyle w:val="CharDivNo"/>
        </w:rPr>
        <w:t> </w:t>
      </w:r>
      <w:r>
        <w:t>—</w:t>
      </w:r>
      <w:r>
        <w:rPr>
          <w:rStyle w:val="CharDivText"/>
        </w:rPr>
        <w:t> </w:t>
      </w:r>
      <w:r>
        <w:rPr>
          <w:rStyle w:val="CharPartText"/>
        </w:rPr>
        <w:t>Miscellaneous</w:t>
      </w:r>
      <w:bookmarkEnd w:id="60"/>
      <w:bookmarkEnd w:id="61"/>
      <w:bookmarkEnd w:id="62"/>
    </w:p>
    <w:p>
      <w:pPr>
        <w:pStyle w:val="Heading5"/>
      </w:pPr>
      <w:bookmarkStart w:id="63" w:name="_Toc152833222"/>
      <w:r>
        <w:rPr>
          <w:rStyle w:val="CharSectno"/>
        </w:rPr>
        <w:t>40</w:t>
      </w:r>
      <w:r>
        <w:t>.</w:t>
      </w:r>
      <w:r>
        <w:tab/>
        <w:t>Transition period in relation to professional indemnity insurance arrangements for midwives practising private midwifery</w:t>
      </w:r>
      <w:bookmarkEnd w:id="63"/>
    </w:p>
    <w:p>
      <w:pPr>
        <w:pStyle w:val="Subsection"/>
      </w:pPr>
      <w:r>
        <w:tab/>
      </w:r>
      <w:r>
        <w:tab/>
        <w:t>For the purposes of section 284(3)(b) of the Law, the transition period ends on 1 July 2025.</w:t>
      </w:r>
    </w:p>
    <w:p>
      <w:pPr>
        <w:pStyle w:val="Footnotesection"/>
      </w:pPr>
      <w:r>
        <w:tab/>
        <w:t>[Section 40 amended: Gazette 17 Dec 2019 p. 4364; 13 Dec 2021 p. 5490; SL 2023/189 r. 4.]</w:t>
      </w:r>
    </w:p>
    <w:p>
      <w:pPr>
        <w:pStyle w:val="Heading5"/>
      </w:pPr>
      <w:bookmarkStart w:id="64" w:name="_Toc152833223"/>
      <w:r>
        <w:rPr>
          <w:rStyle w:val="CharSectno"/>
        </w:rPr>
        <w:t>41</w:t>
      </w:r>
      <w:r>
        <w:t>.</w:t>
      </w:r>
      <w:r>
        <w:tab/>
        <w:t>Prescribed participation day for registration in paramedicine</w:t>
      </w:r>
      <w:bookmarkEnd w:id="64"/>
    </w:p>
    <w:p>
      <w:pPr>
        <w:pStyle w:val="Subsection"/>
      </w:pPr>
      <w:r>
        <w:tab/>
      </w:r>
      <w:r>
        <w:tab/>
        <w:t xml:space="preserve">For the purposes of section 306 of the Law, definition participation day, the prescribed participation day is 1 December 2018. </w:t>
      </w:r>
    </w:p>
    <w:p>
      <w:pPr>
        <w:pStyle w:val="Heading5"/>
      </w:pPr>
      <w:bookmarkStart w:id="65" w:name="_Toc152833224"/>
      <w:r>
        <w:rPr>
          <w:rStyle w:val="CharSectno"/>
        </w:rPr>
        <w:t>41A</w:t>
      </w:r>
      <w:r>
        <w:t>.</w:t>
      </w:r>
      <w:r>
        <w:tab/>
        <w:t>Prescribed qualification for general registration in paramedicine</w:t>
      </w:r>
      <w:bookmarkEnd w:id="65"/>
    </w:p>
    <w:p>
      <w:pPr>
        <w:pStyle w:val="Subsection"/>
      </w:pPr>
      <w:r>
        <w:tab/>
      </w:r>
      <w:r>
        <w:tab/>
        <w:t>For the purposes of section 312(5)(d)(i) of the Law, the Diploma of Emergency Health Care is prescribed.</w:t>
      </w:r>
    </w:p>
    <w:p>
      <w:pPr>
        <w:pStyle w:val="Footnotesection"/>
      </w:pPr>
      <w:r>
        <w:tab/>
        <w:t>[Section 41A inserted: Gazette 2 Feb 2023 p. 123.]</w:t>
      </w:r>
    </w:p>
    <w:p>
      <w:pPr>
        <w:pStyle w:val="Heading2"/>
      </w:pPr>
      <w:bookmarkStart w:id="66" w:name="_Toc152828888"/>
      <w:bookmarkStart w:id="67" w:name="_Toc152829995"/>
      <w:bookmarkStart w:id="68" w:name="_Toc152833225"/>
      <w:r>
        <w:rPr>
          <w:rStyle w:val="CharPartNo"/>
        </w:rPr>
        <w:lastRenderedPageBreak/>
        <w:t>Part 8</w:t>
      </w:r>
      <w:r>
        <w:t> — </w:t>
      </w:r>
      <w:r>
        <w:rPr>
          <w:rStyle w:val="CharPartText"/>
        </w:rPr>
        <w:t>Transitional and repeal</w:t>
      </w:r>
      <w:bookmarkEnd w:id="66"/>
      <w:bookmarkEnd w:id="67"/>
      <w:bookmarkEnd w:id="68"/>
    </w:p>
    <w:p>
      <w:pPr>
        <w:pStyle w:val="Heading3"/>
      </w:pPr>
      <w:bookmarkStart w:id="69" w:name="_Toc152828889"/>
      <w:bookmarkStart w:id="70" w:name="_Toc152829996"/>
      <w:bookmarkStart w:id="71" w:name="_Toc152833226"/>
      <w:r>
        <w:rPr>
          <w:rStyle w:val="CharDivNo"/>
        </w:rPr>
        <w:t>Division 1</w:t>
      </w:r>
      <w:r>
        <w:t> — </w:t>
      </w:r>
      <w:r>
        <w:rPr>
          <w:rStyle w:val="CharDivText"/>
        </w:rPr>
        <w:t>Repeal</w:t>
      </w:r>
      <w:bookmarkEnd w:id="69"/>
      <w:bookmarkEnd w:id="70"/>
      <w:bookmarkEnd w:id="71"/>
    </w:p>
    <w:p>
      <w:pPr>
        <w:pStyle w:val="Heading5"/>
      </w:pPr>
      <w:bookmarkStart w:id="72" w:name="_Toc152833227"/>
      <w:r>
        <w:rPr>
          <w:rStyle w:val="CharSectno"/>
        </w:rPr>
        <w:t>42</w:t>
      </w:r>
      <w:r>
        <w:t>.</w:t>
      </w:r>
      <w:r>
        <w:tab/>
        <w:t>Regulations repealed</w:t>
      </w:r>
      <w:bookmarkEnd w:id="72"/>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73" w:name="_Toc152828891"/>
      <w:bookmarkStart w:id="74" w:name="_Toc152829998"/>
      <w:bookmarkStart w:id="75" w:name="_Toc152833228"/>
      <w:r>
        <w:rPr>
          <w:rStyle w:val="CharDivNo"/>
        </w:rPr>
        <w:t>Division 2</w:t>
      </w:r>
      <w:r>
        <w:t> — </w:t>
      </w:r>
      <w:r>
        <w:rPr>
          <w:rStyle w:val="CharDivText"/>
        </w:rPr>
        <w:t>Transitional provisions</w:t>
      </w:r>
      <w:bookmarkEnd w:id="73"/>
      <w:bookmarkEnd w:id="74"/>
      <w:bookmarkEnd w:id="75"/>
    </w:p>
    <w:p>
      <w:pPr>
        <w:pStyle w:val="Heading5"/>
      </w:pPr>
      <w:bookmarkStart w:id="76" w:name="_Toc152833229"/>
      <w:r>
        <w:rPr>
          <w:rStyle w:val="CharSectno"/>
        </w:rPr>
        <w:t>43</w:t>
      </w:r>
      <w:r>
        <w:t>.</w:t>
      </w:r>
      <w:r>
        <w:tab/>
        <w:t>Definitions for Division</w:t>
      </w:r>
      <w:bookmarkEnd w:id="76"/>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Health Practitioner Regulation National Law Regulation</w:t>
      </w:r>
      <w:r>
        <w:t xml:space="preserve"> as applied by the </w:t>
      </w:r>
      <w:r>
        <w:rPr>
          <w:i/>
        </w:rPr>
        <w:t>Health Practitioner Regulation National Law (WA) Regulations 2010</w:t>
      </w:r>
      <w:r>
        <w:t>.</w:t>
      </w:r>
    </w:p>
    <w:p>
      <w:pPr>
        <w:pStyle w:val="Footnotesection"/>
      </w:pPr>
      <w:r>
        <w:tab/>
        <w:t>[Section 43 amended: Gazette 17 Dec 2019 p. 4364.]</w:t>
      </w:r>
    </w:p>
    <w:p>
      <w:pPr>
        <w:pStyle w:val="Heading5"/>
      </w:pPr>
      <w:bookmarkStart w:id="77" w:name="_Toc152833230"/>
      <w:r>
        <w:rPr>
          <w:rStyle w:val="CharSectno"/>
        </w:rPr>
        <w:t>44</w:t>
      </w:r>
      <w:r>
        <w:t>.</w:t>
      </w:r>
      <w:r>
        <w:tab/>
        <w:t>Transitional provision for continued Boards</w:t>
      </w:r>
      <w:bookmarkEnd w:id="77"/>
    </w:p>
    <w:p>
      <w:pPr>
        <w:pStyle w:val="Subsection"/>
      </w:pPr>
      <w:r>
        <w:tab/>
      </w:r>
      <w:r>
        <w:tab/>
        <w:t xml:space="preserve">To remove any doubt, it is declared that — </w:t>
      </w:r>
    </w:p>
    <w:p>
      <w:pPr>
        <w:pStyle w:val="Indenta"/>
      </w:pPr>
      <w:r>
        <w:lastRenderedPageBreak/>
        <w:tab/>
        <w:t>(a)</w:t>
      </w:r>
      <w:r>
        <w:tab/>
        <w:t>anything started by a National Board before commencement may be completed by the Board as continued in existence under section 4;</w:t>
      </w:r>
    </w:p>
    <w:p>
      <w:pPr>
        <w:pStyle w:val="Indenta"/>
      </w:pPr>
      <w:r>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78" w:name="_Toc152833231"/>
      <w:r>
        <w:rPr>
          <w:rStyle w:val="CharSectno"/>
        </w:rPr>
        <w:t>45</w:t>
      </w:r>
      <w:r>
        <w:t>.</w:t>
      </w:r>
      <w:r>
        <w:tab/>
        <w:t>Continuation of existing appointment and employment of National Health Practitioner Privacy Commissioner</w:t>
      </w:r>
      <w:bookmarkEnd w:id="78"/>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79" w:name="_Toc152833232"/>
      <w:r>
        <w:rPr>
          <w:rStyle w:val="CharSectno"/>
        </w:rPr>
        <w:t>46</w:t>
      </w:r>
      <w:r>
        <w:t>.</w:t>
      </w:r>
      <w:r>
        <w:tab/>
        <w:t>Continuation of existing appointment and employment of National Health Practitioner Ombudsman</w:t>
      </w:r>
      <w:bookmarkEnd w:id="79"/>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lastRenderedPageBreak/>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Ombudsman during the term of the appointment.</w:t>
      </w:r>
    </w:p>
    <w:p>
      <w:pPr>
        <w:pStyle w:val="Heading5"/>
      </w:pPr>
      <w:bookmarkStart w:id="80" w:name="_Toc152833233"/>
      <w:r>
        <w:rPr>
          <w:rStyle w:val="CharSectno"/>
        </w:rPr>
        <w:t>47</w:t>
      </w:r>
      <w:r>
        <w:t>.</w:t>
      </w:r>
      <w:r>
        <w:tab/>
        <w:t>Acting Commissioner under the Privacy Act</w:t>
      </w:r>
      <w:bookmarkEnd w:id="80"/>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81" w:name="_Toc152833234"/>
      <w:r>
        <w:rPr>
          <w:rStyle w:val="CharSectno"/>
        </w:rPr>
        <w:t>48</w:t>
      </w:r>
      <w:r>
        <w:t>.</w:t>
      </w:r>
      <w:r>
        <w:tab/>
        <w:t>Applications for access to a document</w:t>
      </w:r>
      <w:bookmarkEnd w:id="81"/>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82" w:name="_Toc152833235"/>
      <w:r>
        <w:rPr>
          <w:rStyle w:val="CharSectno"/>
        </w:rPr>
        <w:t>49</w:t>
      </w:r>
      <w:r>
        <w:t>.</w:t>
      </w:r>
      <w:r>
        <w:tab/>
        <w:t>Applications for internal review of access refusal decision</w:t>
      </w:r>
      <w:bookmarkEnd w:id="82"/>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lastRenderedPageBreak/>
        <w:tab/>
        <w:t>(b)</w:t>
      </w:r>
      <w:r>
        <w:tab/>
        <w:t>the application was not decided or withdrawn before the commencement.</w:t>
      </w:r>
    </w:p>
    <w:p>
      <w:pPr>
        <w:pStyle w:val="Subsection"/>
      </w:pPr>
      <w:r>
        <w:tab/>
        <w:t>(2)</w:t>
      </w:r>
      <w:r>
        <w:tab/>
        <w:t>The application must be decided under Part VI of the applied FOI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83" w:name="_Toc152828899"/>
      <w:bookmarkStart w:id="84" w:name="_Toc152830006"/>
      <w:bookmarkStart w:id="85" w:name="_Toc152833236"/>
      <w:r>
        <w:lastRenderedPageBreak/>
        <w:t>Notes</w:t>
      </w:r>
      <w:bookmarkEnd w:id="83"/>
      <w:bookmarkEnd w:id="84"/>
      <w:bookmarkEnd w:id="85"/>
    </w:p>
    <w:p>
      <w:pPr>
        <w:pStyle w:val="nStatement"/>
      </w:pPr>
      <w:r>
        <w:t xml:space="preserve">This is a compilation of the </w:t>
      </w:r>
      <w:r>
        <w:rPr>
          <w:i/>
          <w:noProof/>
        </w:rPr>
        <w:t>Health Practitioner Regulation National Law Regulation 2018</w:t>
      </w:r>
      <w:r>
        <w:t xml:space="preserve"> and includes amendments made by other written laws. For provisions that have come into operation see the compilation table.</w:t>
      </w:r>
    </w:p>
    <w:p>
      <w:pPr>
        <w:pStyle w:val="nHeading3"/>
      </w:pPr>
      <w:bookmarkStart w:id="86" w:name="_Toc152833237"/>
      <w:r>
        <w:t>Compilation table</w:t>
      </w:r>
      <w:bookmarkEnd w:id="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Practitioner Regulation National Law Regulation 2018</w:t>
            </w:r>
          </w:p>
        </w:tc>
        <w:tc>
          <w:tcPr>
            <w:tcW w:w="1276" w:type="dxa"/>
            <w:tcBorders>
              <w:bottom w:val="nil"/>
            </w:tcBorders>
          </w:tcPr>
          <w:p>
            <w:pPr>
              <w:pStyle w:val="nTable"/>
              <w:spacing w:after="40"/>
            </w:pPr>
            <w:r>
              <w:t>26 Oct 2018 p. 4269</w:t>
            </w:r>
            <w:r>
              <w:noBreakHyphen/>
              <w:t>308</w:t>
            </w:r>
          </w:p>
        </w:tc>
        <w:tc>
          <w:tcPr>
            <w:tcW w:w="2693" w:type="dxa"/>
            <w:tcBorders>
              <w:bottom w:val="nil"/>
            </w:tcBorders>
          </w:tcPr>
          <w:p>
            <w:pPr>
              <w:pStyle w:val="nTable"/>
              <w:spacing w:after="40"/>
            </w:pPr>
            <w:r>
              <w:t>s. 41: 26 Oct 2018 (see r. 2(2)(a));</w:t>
            </w:r>
            <w:r>
              <w:br/>
              <w:t>Regulation other than s. 41: 1 Dec 2018 (see r. 2(1))</w:t>
            </w:r>
          </w:p>
        </w:tc>
      </w:tr>
      <w:tr>
        <w:tc>
          <w:tcPr>
            <w:tcW w:w="3118" w:type="dxa"/>
            <w:tcBorders>
              <w:top w:val="nil"/>
              <w:bottom w:val="nil"/>
            </w:tcBorders>
          </w:tcPr>
          <w:p>
            <w:pPr>
              <w:pStyle w:val="nTable"/>
              <w:spacing w:after="40"/>
              <w:rPr>
                <w:i/>
                <w:noProof/>
              </w:rPr>
            </w:pPr>
            <w:r>
              <w:rPr>
                <w:i/>
                <w:noProof/>
              </w:rPr>
              <w:t>Health Practitioner Regulation National Law Amendment (Miscellaneous) Regulation 2019</w:t>
            </w:r>
          </w:p>
        </w:tc>
        <w:tc>
          <w:tcPr>
            <w:tcW w:w="1276" w:type="dxa"/>
            <w:tcBorders>
              <w:top w:val="nil"/>
              <w:bottom w:val="nil"/>
            </w:tcBorders>
          </w:tcPr>
          <w:p>
            <w:pPr>
              <w:pStyle w:val="nTable"/>
              <w:spacing w:after="40"/>
            </w:pPr>
            <w:r>
              <w:t>17 Dec 2019 p. 4359</w:t>
            </w:r>
            <w:r>
              <w:noBreakHyphen/>
              <w:t>64</w:t>
            </w:r>
          </w:p>
        </w:tc>
        <w:tc>
          <w:tcPr>
            <w:tcW w:w="2693" w:type="dxa"/>
            <w:tcBorders>
              <w:top w:val="nil"/>
              <w:bottom w:val="nil"/>
            </w:tcBorders>
          </w:tcPr>
          <w:p>
            <w:pPr>
              <w:pStyle w:val="nTable"/>
              <w:spacing w:after="40"/>
            </w:pPr>
            <w:r>
              <w:t>18 Dec 2019 (see r. 2(a))</w:t>
            </w:r>
          </w:p>
        </w:tc>
      </w:tr>
      <w:tr>
        <w:tc>
          <w:tcPr>
            <w:tcW w:w="3118" w:type="dxa"/>
            <w:tcBorders>
              <w:top w:val="nil"/>
              <w:bottom w:val="nil"/>
            </w:tcBorders>
          </w:tcPr>
          <w:p>
            <w:pPr>
              <w:pStyle w:val="nTable"/>
              <w:spacing w:after="40"/>
              <w:rPr>
                <w:i/>
                <w:noProof/>
              </w:rPr>
            </w:pPr>
            <w:r>
              <w:rPr>
                <w:i/>
                <w:noProof/>
              </w:rPr>
              <w:t>Health Practitioner Regulation National Law Amendment (Professional Indemnity Insurance) Regulation 2021</w:t>
            </w:r>
          </w:p>
        </w:tc>
        <w:tc>
          <w:tcPr>
            <w:tcW w:w="1276" w:type="dxa"/>
            <w:tcBorders>
              <w:top w:val="nil"/>
              <w:bottom w:val="nil"/>
            </w:tcBorders>
          </w:tcPr>
          <w:p>
            <w:pPr>
              <w:pStyle w:val="nTable"/>
              <w:spacing w:after="40"/>
            </w:pPr>
            <w:r>
              <w:t>13 Dec 2021 p. 5487</w:t>
            </w:r>
            <w:r>
              <w:noBreakHyphen/>
              <w:t>90</w:t>
            </w:r>
          </w:p>
        </w:tc>
        <w:tc>
          <w:tcPr>
            <w:tcW w:w="2693" w:type="dxa"/>
            <w:tcBorders>
              <w:top w:val="nil"/>
              <w:bottom w:val="nil"/>
            </w:tcBorders>
          </w:tcPr>
          <w:p>
            <w:pPr>
              <w:pStyle w:val="nTable"/>
              <w:spacing w:after="40"/>
            </w:pPr>
            <w:r>
              <w:t>14 Dec 2021 (see r. 2(a))</w:t>
            </w:r>
          </w:p>
        </w:tc>
      </w:tr>
      <w:tr>
        <w:tc>
          <w:tcPr>
            <w:tcW w:w="3118" w:type="dxa"/>
            <w:tcBorders>
              <w:top w:val="nil"/>
              <w:bottom w:val="nil"/>
            </w:tcBorders>
          </w:tcPr>
          <w:p>
            <w:pPr>
              <w:pStyle w:val="nTable"/>
              <w:spacing w:after="40"/>
              <w:rPr>
                <w:i/>
                <w:noProof/>
              </w:rPr>
            </w:pPr>
            <w:r>
              <w:rPr>
                <w:i/>
                <w:noProof/>
              </w:rPr>
              <w:t>Health Practitioner Regulation National Law Amendment Regulation 2022</w:t>
            </w:r>
          </w:p>
        </w:tc>
        <w:tc>
          <w:tcPr>
            <w:tcW w:w="1276" w:type="dxa"/>
            <w:tcBorders>
              <w:top w:val="nil"/>
              <w:bottom w:val="nil"/>
            </w:tcBorders>
          </w:tcPr>
          <w:p>
            <w:pPr>
              <w:pStyle w:val="nTable"/>
              <w:spacing w:after="40"/>
            </w:pPr>
            <w:r>
              <w:t>2 Feb 2023 p. 111</w:t>
            </w:r>
            <w:r>
              <w:noBreakHyphen/>
              <w:t>17</w:t>
            </w:r>
          </w:p>
        </w:tc>
        <w:tc>
          <w:tcPr>
            <w:tcW w:w="2693" w:type="dxa"/>
            <w:tcBorders>
              <w:top w:val="nil"/>
              <w:bottom w:val="nil"/>
            </w:tcBorders>
          </w:tcPr>
          <w:p>
            <w:pPr>
              <w:pStyle w:val="nTable"/>
              <w:spacing w:after="40"/>
            </w:pPr>
            <w:r>
              <w:t>3 Feb 2023 (see r. 2a))</w:t>
            </w:r>
          </w:p>
        </w:tc>
      </w:tr>
      <w:tr>
        <w:tc>
          <w:tcPr>
            <w:tcW w:w="3118" w:type="dxa"/>
            <w:tcBorders>
              <w:top w:val="nil"/>
              <w:bottom w:val="nil"/>
            </w:tcBorders>
          </w:tcPr>
          <w:p>
            <w:pPr>
              <w:pStyle w:val="nTable"/>
              <w:spacing w:after="40"/>
              <w:rPr>
                <w:i/>
                <w:noProof/>
              </w:rPr>
            </w:pPr>
            <w:r>
              <w:rPr>
                <w:i/>
                <w:noProof/>
              </w:rPr>
              <w:t>Health Practitioner Regulation National Law Amendment (Paramedicine Qualification) Regulation 2022</w:t>
            </w:r>
          </w:p>
        </w:tc>
        <w:tc>
          <w:tcPr>
            <w:tcW w:w="1276" w:type="dxa"/>
            <w:tcBorders>
              <w:top w:val="nil"/>
              <w:bottom w:val="nil"/>
            </w:tcBorders>
          </w:tcPr>
          <w:p>
            <w:pPr>
              <w:pStyle w:val="nTable"/>
              <w:spacing w:after="40"/>
            </w:pPr>
            <w:r>
              <w:t>2 Feb 2023 p. 119</w:t>
            </w:r>
            <w:r>
              <w:noBreakHyphen/>
              <w:t>23</w:t>
            </w:r>
          </w:p>
        </w:tc>
        <w:tc>
          <w:tcPr>
            <w:tcW w:w="2693" w:type="dxa"/>
            <w:tcBorders>
              <w:top w:val="nil"/>
              <w:bottom w:val="nil"/>
            </w:tcBorders>
          </w:tcPr>
          <w:p>
            <w:pPr>
              <w:pStyle w:val="nTable"/>
              <w:spacing w:after="40"/>
            </w:pPr>
            <w:r>
              <w:t>3 Feb 2023 (see r. 2a))</w:t>
            </w:r>
          </w:p>
        </w:tc>
      </w:tr>
      <w:tr>
        <w:tc>
          <w:tcPr>
            <w:tcW w:w="3118" w:type="dxa"/>
            <w:tcBorders>
              <w:top w:val="nil"/>
              <w:bottom w:val="single" w:sz="4" w:space="0" w:color="auto"/>
            </w:tcBorders>
          </w:tcPr>
          <w:p>
            <w:pPr>
              <w:pStyle w:val="nTable"/>
              <w:spacing w:after="40"/>
              <w:rPr>
                <w:i/>
                <w:noProof/>
              </w:rPr>
            </w:pPr>
            <w:r>
              <w:rPr>
                <w:i/>
                <w:noProof/>
              </w:rPr>
              <w:t>Health Practitioner Regulation National Law Amendment (Professional Indemnity Insurance) Regulation 2023</w:t>
            </w:r>
          </w:p>
        </w:tc>
        <w:tc>
          <w:tcPr>
            <w:tcW w:w="1276" w:type="dxa"/>
            <w:tcBorders>
              <w:top w:val="nil"/>
              <w:bottom w:val="single" w:sz="4" w:space="0" w:color="auto"/>
            </w:tcBorders>
          </w:tcPr>
          <w:p>
            <w:pPr>
              <w:pStyle w:val="nTable"/>
              <w:spacing w:after="40"/>
            </w:pPr>
            <w:r>
              <w:t>SL 2023/189 7 Dec 2023</w:t>
            </w:r>
          </w:p>
        </w:tc>
        <w:tc>
          <w:tcPr>
            <w:tcW w:w="2693" w:type="dxa"/>
            <w:tcBorders>
              <w:top w:val="nil"/>
              <w:bottom w:val="single" w:sz="4" w:space="0" w:color="auto"/>
            </w:tcBorders>
          </w:tcPr>
          <w:p>
            <w:pPr>
              <w:pStyle w:val="nTable"/>
              <w:spacing w:after="40"/>
            </w:pPr>
            <w:r>
              <w:t>8 Dec 2023 (see r. 2(a))</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88" w:name="_Toc152828901"/>
      <w:bookmarkStart w:id="89" w:name="_Toc152830008"/>
      <w:bookmarkStart w:id="90" w:name="_Toc152833238"/>
      <w:r>
        <w:rPr>
          <w:sz w:val="28"/>
        </w:rPr>
        <w:lastRenderedPageBreak/>
        <w:t>Defined terms</w:t>
      </w:r>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AIC Act</w:t>
      </w:r>
      <w:r>
        <w:tab/>
        <w:t>3</w:t>
      </w:r>
    </w:p>
    <w:p>
      <w:pPr>
        <w:pStyle w:val="DefinedTerms"/>
      </w:pPr>
      <w:r>
        <w:t>applied FOI Act</w:t>
      </w:r>
      <w:r>
        <w:tab/>
        <w:t>43</w:t>
      </w:r>
    </w:p>
    <w:p>
      <w:pPr>
        <w:pStyle w:val="DefinedTerms"/>
      </w:pPr>
      <w:r>
        <w:t>commencement</w:t>
      </w:r>
      <w:r>
        <w:tab/>
        <w:t>21(5), 43</w:t>
      </w:r>
    </w:p>
    <w:p>
      <w:pPr>
        <w:pStyle w:val="DefinedTerms"/>
      </w:pPr>
      <w:r>
        <w:t>FOI Act</w:t>
      </w:r>
      <w:r>
        <w:tab/>
        <w:t>3</w:t>
      </w:r>
    </w:p>
    <w:p>
      <w:pPr>
        <w:pStyle w:val="DefinedTerms"/>
      </w:pPr>
      <w:r>
        <w:t>Gazette</w:t>
      </w:r>
      <w:r>
        <w:tab/>
        <w:t>3</w:t>
      </w:r>
    </w:p>
    <w:p>
      <w:pPr>
        <w:pStyle w:val="DefinedTerms"/>
      </w:pPr>
      <w:r>
        <w:t>National Health Practitioner Ombudsman</w:t>
      </w:r>
      <w:r>
        <w:tab/>
        <w:t>3</w:t>
      </w:r>
    </w:p>
    <w:p>
      <w:pPr>
        <w:pStyle w:val="DefinedTerms"/>
      </w:pPr>
      <w:r>
        <w:t>National Health Practitioner Privacy Commissioner</w:t>
      </w:r>
      <w:r>
        <w:tab/>
        <w:t>3</w:t>
      </w:r>
    </w:p>
    <w:p>
      <w:pPr>
        <w:pStyle w:val="DefinedTerms"/>
      </w:pPr>
      <w:r>
        <w:t>Ombudsman Act</w:t>
      </w:r>
      <w:r>
        <w:tab/>
        <w:t>3</w:t>
      </w:r>
    </w:p>
    <w:p>
      <w:pPr>
        <w:pStyle w:val="DefinedTerms"/>
      </w:pPr>
      <w:r>
        <w:t>previously applied FOI Act</w:t>
      </w:r>
      <w:r>
        <w:tab/>
        <w:t>43</w:t>
      </w:r>
    </w:p>
    <w:p>
      <w:pPr>
        <w:pStyle w:val="DefinedTerms"/>
      </w:pPr>
      <w:r>
        <w:t>Privacy Act</w:t>
      </w:r>
      <w:r>
        <w:tab/>
        <w:t>3</w:t>
      </w:r>
    </w:p>
    <w:p>
      <w:pPr>
        <w:pStyle w:val="DefinedTerms"/>
      </w:pPr>
      <w:r>
        <w:t>relevant Parliament</w:t>
      </w:r>
      <w:r>
        <w:tab/>
        <w:t>3</w:t>
      </w:r>
    </w:p>
    <w:p>
      <w:pPr>
        <w:pStyle w:val="DefinedTerms"/>
      </w:pPr>
      <w:r>
        <w:t>relevant tribunal</w:t>
      </w:r>
      <w:r>
        <w:tab/>
        <w:t>3</w:t>
      </w:r>
    </w:p>
    <w:p>
      <w:pPr>
        <w:pStyle w:val="DefinedTerms"/>
      </w:pPr>
      <w:r>
        <w:t>repealed Regulation</w:t>
      </w:r>
      <w:r>
        <w:tab/>
        <w:t>22(2), 43</w:t>
      </w:r>
    </w:p>
    <w:p>
      <w:pPr>
        <w:pStyle w:val="DefinedTerms"/>
      </w:pPr>
      <w:r>
        <w:t>spouse</w:t>
      </w:r>
      <w:r>
        <w:tab/>
        <w:t>11(3)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708053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1217140505" w:val="RemoveTocBookmarks,RemoveUnusedBookmarks,RemoveLanguageTags,ResetPageSize,RunningHeaders,UpdateStyles,UsedStyles"/>
    <w:docVar w:name="WAFER_20191217140505_GUID" w:val="84c5cc43-38f3-4ed0-b4ac-580f8592ce19"/>
    <w:docVar w:name="WAFER_2021121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10132511_GUID" w:val="0dfb8e05-9da0-4dbe-be9e-946d2c83c7b0"/>
    <w:docVar w:name="WAFER_20230202124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4432_GUID" w:val="718555f8-aa3d-42a1-8d86-bad3c363ecaa"/>
    <w:docVar w:name="WAFER_202312070805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7080531_GUID" w:val="45ccd8ce-ad7c-4948-af6e-4fd753c315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BFBD105-3706-47ED-82A1-6CA7E772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F53C-7B1F-4572-B1D2-F9A5F92F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7990</Words>
  <Characters>43068</Characters>
  <Application>Microsoft Office Word</Application>
  <DocSecurity>0</DocSecurity>
  <Lines>1305</Lines>
  <Paragraphs>750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2018 - 00-e0-00</dc:title>
  <dc:subject/>
  <dc:creator/>
  <cp:keywords/>
  <dc:description/>
  <cp:lastModifiedBy>Master Repository Process</cp:lastModifiedBy>
  <cp:revision>4</cp:revision>
  <cp:lastPrinted>2018-11-30T07:45:00Z</cp:lastPrinted>
  <dcterms:created xsi:type="dcterms:W3CDTF">2023-12-07T01:30:00Z</dcterms:created>
  <dcterms:modified xsi:type="dcterms:W3CDTF">2023-12-07T01:30:00Z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20231208</vt:lpwstr>
  </property>
  <property fmtid="{D5CDD505-2E9C-101B-9397-08002B2CF9AE}" pid="4" name="CommencementYear">
    <vt:lpwstr>2023</vt:lpwstr>
  </property>
  <property fmtid="{D5CDD505-2E9C-101B-9397-08002B2CF9AE}" pid="5" name="AsAtDate">
    <vt:lpwstr>08 Dec 2023</vt:lpwstr>
  </property>
  <property fmtid="{D5CDD505-2E9C-101B-9397-08002B2CF9AE}" pid="6" name="Suffix">
    <vt:lpwstr>00-e0-00</vt:lpwstr>
  </property>
  <property fmtid="{D5CDD505-2E9C-101B-9397-08002B2CF9AE}" pid="7" name="Official">
    <vt:lpwstr/>
  </property>
</Properties>
</file>