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Liquor Control Amendment Regulations (No. 2)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Amendment Regulations (No. 2)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_Toc153273401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_Toc153273402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_Toc153273403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Amendments commencing when banned drinkers register commences</w:t>
      </w:r>
    </w:p>
    <w:p>
      <w:pPr>
        <w:pStyle w:val="TOC8"/>
        <w:rPr>
          <w:rFonts w:asciiTheme="minorHAnsi" w:eastAsiaTheme="minorEastAsia" w:hAnsiTheme="minorHAnsi" w:cstheme="minorBidi"/>
          <w:szCs w:val="22"/>
        </w:rPr>
      </w:pPr>
      <w:r>
        <w:t>4.</w:t>
      </w:r>
      <w:r>
        <w:tab/>
        <w:t>Regulation 3A amended</w:t>
      </w:r>
      <w:r>
        <w:tab/>
      </w:r>
      <w:r>
        <w:fldChar w:fldCharType="begin"/>
      </w:r>
      <w:r>
        <w:instrText xml:space="preserve"> PAGEREF _Toc153273405 \h </w:instrText>
      </w:r>
      <w:r>
        <w:fldChar w:fldCharType="separate"/>
      </w:r>
      <w:r>
        <w:t>2</w:t>
      </w:r>
      <w:r>
        <w:fldChar w:fldCharType="end"/>
      </w:r>
    </w:p>
    <w:p>
      <w:pPr>
        <w:pStyle w:val="TOC8"/>
        <w:rPr>
          <w:rFonts w:asciiTheme="minorHAnsi" w:eastAsiaTheme="minorEastAsia" w:hAnsiTheme="minorHAnsi" w:cstheme="minorBidi"/>
          <w:szCs w:val="22"/>
        </w:rPr>
      </w:pPr>
      <w:r>
        <w:t>5.</w:t>
      </w:r>
      <w:r>
        <w:tab/>
        <w:t>Regulation 10C amended</w:t>
      </w:r>
      <w:r>
        <w:tab/>
      </w:r>
      <w:r>
        <w:fldChar w:fldCharType="begin"/>
      </w:r>
      <w:r>
        <w:instrText xml:space="preserve"> PAGEREF _Toc153273406 \h </w:instrText>
      </w:r>
      <w:r>
        <w:fldChar w:fldCharType="separate"/>
      </w:r>
      <w:r>
        <w:t>2</w:t>
      </w:r>
      <w:r>
        <w:fldChar w:fldCharType="end"/>
      </w:r>
    </w:p>
    <w:p>
      <w:pPr>
        <w:pStyle w:val="TOC8"/>
        <w:rPr>
          <w:rFonts w:asciiTheme="minorHAnsi" w:eastAsiaTheme="minorEastAsia" w:hAnsiTheme="minorHAnsi" w:cstheme="minorBidi"/>
          <w:szCs w:val="22"/>
        </w:rPr>
      </w:pPr>
      <w:r>
        <w:t>6.</w:t>
      </w:r>
      <w:r>
        <w:tab/>
        <w:t>Regulation 18EBB inserted</w:t>
      </w:r>
      <w:r>
        <w:tab/>
      </w:r>
      <w:r>
        <w:fldChar w:fldCharType="begin"/>
      </w:r>
      <w:r>
        <w:instrText xml:space="preserve"> PAGEREF _Toc153273407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18EBB.</w:t>
      </w:r>
      <w:r>
        <w:rPr>
          <w:noProof/>
        </w:rPr>
        <w:tab/>
        <w:t>Prescribed class of persons (Act s. 115AC(1AA)(b))</w:t>
      </w:r>
      <w:r>
        <w:rPr>
          <w:noProof/>
        </w:rPr>
        <w:tab/>
      </w:r>
      <w:r>
        <w:rPr>
          <w:noProof/>
        </w:rPr>
        <w:fldChar w:fldCharType="begin"/>
      </w:r>
      <w:r>
        <w:rPr>
          <w:noProof/>
        </w:rPr>
        <w:instrText xml:space="preserve"> PAGEREF _Toc153273408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7.</w:t>
      </w:r>
      <w:r>
        <w:tab/>
        <w:t>Regulation 18EB amended</w:t>
      </w:r>
      <w:r>
        <w:tab/>
      </w:r>
      <w:r>
        <w:fldChar w:fldCharType="begin"/>
      </w:r>
      <w:r>
        <w:instrText xml:space="preserve"> PAGEREF _Toc153273409 \h </w:instrText>
      </w:r>
      <w:r>
        <w:fldChar w:fldCharType="separate"/>
      </w:r>
      <w:r>
        <w:t>3</w:t>
      </w:r>
      <w:r>
        <w:fldChar w:fldCharType="end"/>
      </w:r>
    </w:p>
    <w:p>
      <w:pPr>
        <w:pStyle w:val="TOC8"/>
        <w:rPr>
          <w:rFonts w:asciiTheme="minorHAnsi" w:eastAsiaTheme="minorEastAsia" w:hAnsiTheme="minorHAnsi" w:cstheme="minorBidi"/>
          <w:szCs w:val="22"/>
        </w:rPr>
      </w:pPr>
      <w:r>
        <w:t>8.</w:t>
      </w:r>
      <w:r>
        <w:tab/>
        <w:t>Regulation 24AA inserted</w:t>
      </w:r>
      <w:r>
        <w:tab/>
      </w:r>
      <w:r>
        <w:fldChar w:fldCharType="begin"/>
      </w:r>
      <w:r>
        <w:instrText xml:space="preserve"> PAGEREF _Toc153273410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24AA.</w:t>
      </w:r>
      <w:r>
        <w:rPr>
          <w:noProof/>
        </w:rPr>
        <w:tab/>
        <w:t>Prescribed class of persons (Act s. 152K(2AA)(b))</w:t>
      </w:r>
      <w:r>
        <w:rPr>
          <w:noProof/>
        </w:rPr>
        <w:tab/>
      </w:r>
      <w:r>
        <w:rPr>
          <w:noProof/>
        </w:rPr>
        <w:fldChar w:fldCharType="begin"/>
      </w:r>
      <w:r>
        <w:rPr>
          <w:noProof/>
        </w:rPr>
        <w:instrText xml:space="preserve"> PAGEREF _Toc153273411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9.</w:t>
      </w:r>
      <w:r>
        <w:tab/>
        <w:t>Regulations 25B and 25C inserted</w:t>
      </w:r>
      <w:r>
        <w:tab/>
      </w:r>
      <w:r>
        <w:fldChar w:fldCharType="begin"/>
      </w:r>
      <w:r>
        <w:instrText xml:space="preserve"> PAGEREF _Toc153273412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25B.</w:t>
      </w:r>
      <w:r>
        <w:rPr>
          <w:noProof/>
        </w:rPr>
        <w:tab/>
        <w:t>Fee payable for review of decision related to banned drinker orders (Act s. 152YY(1))</w:t>
      </w:r>
      <w:r>
        <w:rPr>
          <w:noProof/>
        </w:rPr>
        <w:tab/>
      </w:r>
      <w:r>
        <w:rPr>
          <w:noProof/>
        </w:rPr>
        <w:fldChar w:fldCharType="begin"/>
      </w:r>
      <w:r>
        <w:rPr>
          <w:noProof/>
        </w:rPr>
        <w:instrText xml:space="preserve"> PAGEREF _Toc153273413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25C.</w:t>
      </w:r>
      <w:r>
        <w:rPr>
          <w:noProof/>
        </w:rPr>
        <w:tab/>
        <w:t>Disclosure of information about banned drinker order and banned drinker (Act s. 152ZC(2)(d))</w:t>
      </w:r>
      <w:r>
        <w:rPr>
          <w:noProof/>
        </w:rPr>
        <w:tab/>
      </w:r>
      <w:r>
        <w:rPr>
          <w:noProof/>
        </w:rPr>
        <w:fldChar w:fldCharType="begin"/>
      </w:r>
      <w:r>
        <w:rPr>
          <w:noProof/>
        </w:rPr>
        <w:instrText xml:space="preserve"> PAGEREF _Toc153273414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10.</w:t>
      </w:r>
      <w:r>
        <w:tab/>
        <w:t>Regulation 27 amended</w:t>
      </w:r>
      <w:r>
        <w:tab/>
      </w:r>
      <w:r>
        <w:fldChar w:fldCharType="begin"/>
      </w:r>
      <w:r>
        <w:instrText xml:space="preserve"> PAGEREF _Toc153273415 \h </w:instrText>
      </w:r>
      <w:r>
        <w:fldChar w:fldCharType="separate"/>
      </w:r>
      <w:r>
        <w:t>5</w:t>
      </w:r>
      <w:r>
        <w:fldChar w:fldCharType="end"/>
      </w:r>
    </w:p>
    <w:p>
      <w:pPr>
        <w:pStyle w:val="TOC8"/>
        <w:rPr>
          <w:rFonts w:asciiTheme="minorHAnsi" w:eastAsiaTheme="minorEastAsia" w:hAnsiTheme="minorHAnsi" w:cstheme="minorBidi"/>
          <w:szCs w:val="22"/>
        </w:rPr>
      </w:pPr>
      <w:r>
        <w:t>11.</w:t>
      </w:r>
      <w:r>
        <w:tab/>
        <w:t>Regulation 28 amended</w:t>
      </w:r>
      <w:r>
        <w:tab/>
      </w:r>
      <w:r>
        <w:fldChar w:fldCharType="begin"/>
      </w:r>
      <w:r>
        <w:instrText xml:space="preserve"> PAGEREF _Toc153273416 \h </w:instrText>
      </w:r>
      <w:r>
        <w:fldChar w:fldCharType="separate"/>
      </w:r>
      <w:r>
        <w:t>5</w:t>
      </w:r>
      <w:r>
        <w:fldChar w:fldCharType="end"/>
      </w:r>
    </w:p>
    <w:p>
      <w:pPr>
        <w:pStyle w:val="TOC8"/>
        <w:rPr>
          <w:rFonts w:asciiTheme="minorHAnsi" w:eastAsiaTheme="minorEastAsia" w:hAnsiTheme="minorHAnsi" w:cstheme="minorBidi"/>
          <w:szCs w:val="22"/>
        </w:rPr>
      </w:pPr>
      <w:r>
        <w:t>12.</w:t>
      </w:r>
      <w:r>
        <w:tab/>
        <w:t>Regulation 29 inserted</w:t>
      </w:r>
      <w:r>
        <w:tab/>
      </w:r>
      <w:r>
        <w:fldChar w:fldCharType="begin"/>
      </w:r>
      <w:r>
        <w:instrText xml:space="preserve"> PAGEREF _Toc153273417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29.</w:t>
      </w:r>
      <w:r>
        <w:rPr>
          <w:noProof/>
        </w:rPr>
        <w:tab/>
        <w:t>Banned drinker areas (Act s. 175(1G))</w:t>
      </w:r>
      <w:r>
        <w:rPr>
          <w:noProof/>
        </w:rPr>
        <w:tab/>
      </w:r>
      <w:r>
        <w:rPr>
          <w:noProof/>
        </w:rPr>
        <w:fldChar w:fldCharType="begin"/>
      </w:r>
      <w:r>
        <w:rPr>
          <w:noProof/>
        </w:rPr>
        <w:instrText xml:space="preserve"> PAGEREF _Toc153273418 \h </w:instrText>
      </w:r>
      <w:r>
        <w:rPr>
          <w:noProof/>
        </w:rPr>
      </w:r>
      <w:r>
        <w:rPr>
          <w:noProof/>
        </w:rPr>
        <w:fldChar w:fldCharType="separate"/>
      </w:r>
      <w:r>
        <w:rPr>
          <w:noProof/>
        </w:rPr>
        <w:t>5</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Amendments commencing on 1 January 2024</w:t>
      </w:r>
    </w:p>
    <w:p>
      <w:pPr>
        <w:pStyle w:val="TOC8"/>
        <w:rPr>
          <w:rFonts w:asciiTheme="minorHAnsi" w:eastAsiaTheme="minorEastAsia" w:hAnsiTheme="minorHAnsi" w:cstheme="minorBidi"/>
          <w:szCs w:val="22"/>
        </w:rPr>
      </w:pPr>
      <w:r>
        <w:t>13.</w:t>
      </w:r>
      <w:r>
        <w:tab/>
        <w:t>Regulation 25B amended</w:t>
      </w:r>
      <w:r>
        <w:tab/>
      </w:r>
      <w:r>
        <w:fldChar w:fldCharType="begin"/>
      </w:r>
      <w:r>
        <w:instrText xml:space="preserve"> PAGEREF _Toc153273420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Amendments commencing 2 years after banned drinkers register commences</w:t>
      </w:r>
    </w:p>
    <w:p>
      <w:pPr>
        <w:pStyle w:val="TOC8"/>
        <w:rPr>
          <w:rFonts w:asciiTheme="minorHAnsi" w:eastAsiaTheme="minorEastAsia" w:hAnsiTheme="minorHAnsi" w:cstheme="minorBidi"/>
          <w:szCs w:val="22"/>
        </w:rPr>
      </w:pPr>
      <w:r>
        <w:t>14.</w:t>
      </w:r>
      <w:r>
        <w:tab/>
        <w:t>Regulation 3A amended</w:t>
      </w:r>
      <w:r>
        <w:tab/>
      </w:r>
      <w:r>
        <w:fldChar w:fldCharType="begin"/>
      </w:r>
      <w:r>
        <w:instrText xml:space="preserve"> PAGEREF _Toc153273422 \h </w:instrText>
      </w:r>
      <w:r>
        <w:fldChar w:fldCharType="separate"/>
      </w:r>
      <w:r>
        <w:t>8</w:t>
      </w:r>
      <w:r>
        <w:fldChar w:fldCharType="end"/>
      </w:r>
    </w:p>
    <w:p>
      <w:pPr>
        <w:pStyle w:val="TOC8"/>
        <w:rPr>
          <w:rFonts w:asciiTheme="minorHAnsi" w:eastAsiaTheme="minorEastAsia" w:hAnsiTheme="minorHAnsi" w:cstheme="minorBidi"/>
          <w:szCs w:val="22"/>
        </w:rPr>
      </w:pPr>
      <w:r>
        <w:t>15.</w:t>
      </w:r>
      <w:r>
        <w:tab/>
        <w:t>Regulation 10C amended</w:t>
      </w:r>
      <w:r>
        <w:tab/>
      </w:r>
      <w:r>
        <w:fldChar w:fldCharType="begin"/>
      </w:r>
      <w:r>
        <w:instrText xml:space="preserve"> PAGEREF _Toc153273423 \h </w:instrText>
      </w:r>
      <w:r>
        <w:fldChar w:fldCharType="separate"/>
      </w:r>
      <w:r>
        <w:t>8</w:t>
      </w:r>
      <w:r>
        <w:fldChar w:fldCharType="end"/>
      </w:r>
    </w:p>
    <w:p>
      <w:pPr>
        <w:pStyle w:val="TOC8"/>
        <w:rPr>
          <w:rFonts w:asciiTheme="minorHAnsi" w:eastAsiaTheme="minorEastAsia" w:hAnsiTheme="minorHAnsi" w:cstheme="minorBidi"/>
          <w:szCs w:val="22"/>
        </w:rPr>
      </w:pPr>
      <w:r>
        <w:t>16.</w:t>
      </w:r>
      <w:r>
        <w:tab/>
        <w:t>Regulation 18EB amended</w:t>
      </w:r>
      <w:r>
        <w:tab/>
      </w:r>
      <w:r>
        <w:fldChar w:fldCharType="begin"/>
      </w:r>
      <w:r>
        <w:instrText xml:space="preserve"> PAGEREF _Toc153273424 \h </w:instrText>
      </w:r>
      <w:r>
        <w:fldChar w:fldCharType="separate"/>
      </w:r>
      <w:r>
        <w:t>8</w:t>
      </w:r>
      <w:r>
        <w:fldChar w:fldCharType="end"/>
      </w:r>
    </w:p>
    <w:p>
      <w:pPr>
        <w:pStyle w:val="TOC8"/>
        <w:rPr>
          <w:rFonts w:asciiTheme="minorHAnsi" w:eastAsiaTheme="minorEastAsia" w:hAnsiTheme="minorHAnsi" w:cstheme="minorBidi"/>
          <w:szCs w:val="22"/>
        </w:rPr>
      </w:pPr>
      <w:r>
        <w:t>17.</w:t>
      </w:r>
      <w:r>
        <w:tab/>
        <w:t>Regulations 25B and 25C deleted</w:t>
      </w:r>
      <w:r>
        <w:tab/>
      </w:r>
      <w:r>
        <w:fldChar w:fldCharType="begin"/>
      </w:r>
      <w:r>
        <w:instrText xml:space="preserve"> PAGEREF _Toc153273425 \h </w:instrText>
      </w:r>
      <w:r>
        <w:fldChar w:fldCharType="separate"/>
      </w:r>
      <w:r>
        <w:t>8</w:t>
      </w:r>
      <w:r>
        <w:fldChar w:fldCharType="end"/>
      </w:r>
    </w:p>
    <w:p>
      <w:pPr>
        <w:pStyle w:val="TOC8"/>
        <w:rPr>
          <w:rFonts w:asciiTheme="minorHAnsi" w:eastAsiaTheme="minorEastAsia" w:hAnsiTheme="minorHAnsi" w:cstheme="minorBidi"/>
          <w:szCs w:val="22"/>
        </w:rPr>
      </w:pPr>
      <w:r>
        <w:t>18.</w:t>
      </w:r>
      <w:r>
        <w:tab/>
        <w:t>Regulation 27 amended</w:t>
      </w:r>
      <w:r>
        <w:tab/>
      </w:r>
      <w:r>
        <w:fldChar w:fldCharType="begin"/>
      </w:r>
      <w:r>
        <w:instrText xml:space="preserve"> PAGEREF _Toc153273426 \h </w:instrText>
      </w:r>
      <w:r>
        <w:fldChar w:fldCharType="separate"/>
      </w:r>
      <w:r>
        <w:t>9</w:t>
      </w:r>
      <w:r>
        <w:fldChar w:fldCharType="end"/>
      </w:r>
    </w:p>
    <w:p>
      <w:pPr>
        <w:pStyle w:val="TOC8"/>
        <w:rPr>
          <w:rFonts w:asciiTheme="minorHAnsi" w:eastAsiaTheme="minorEastAsia" w:hAnsiTheme="minorHAnsi" w:cstheme="minorBidi"/>
          <w:szCs w:val="22"/>
        </w:rPr>
      </w:pPr>
      <w:r>
        <w:t>19.</w:t>
      </w:r>
      <w:r>
        <w:tab/>
        <w:t>Regulation 29 deleted</w:t>
      </w:r>
      <w:r>
        <w:tab/>
      </w:r>
      <w:r>
        <w:fldChar w:fldCharType="begin"/>
      </w:r>
      <w:r>
        <w:instrText xml:space="preserve"> PAGEREF _Toc153273427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Amendment Regulations (No. 2) 2023</w:t>
      </w:r>
    </w:p>
    <w:p>
      <w:pPr>
        <w:pStyle w:val="MadeBy"/>
      </w:pPr>
      <w:r>
        <w:t>Made by the Governor in Executive Council.</w:t>
      </w:r>
    </w:p>
    <w:p>
      <w:pPr>
        <w:pStyle w:val="Heading2"/>
        <w:pageBreakBefore w:val="0"/>
        <w:spacing w:before="360"/>
      </w:pPr>
      <w:bookmarkStart w:id="3" w:name="_Toc152946486"/>
      <w:bookmarkStart w:id="4" w:name="_Toc152946542"/>
      <w:bookmarkStart w:id="5" w:name="_Toc152946588"/>
      <w:bookmarkStart w:id="6" w:name="_Toc152946671"/>
      <w:bookmarkStart w:id="7" w:name="_Toc15327340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52946487"/>
      <w:bookmarkStart w:id="9" w:name="_Toc153273401"/>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Liquor Control Amendment Regulations (No. 2) 2023</w:t>
      </w:r>
      <w:r>
        <w:t>.</w:t>
      </w:r>
    </w:p>
    <w:p>
      <w:pPr>
        <w:pStyle w:val="Heading5"/>
        <w:rPr>
          <w:spacing w:val="-2"/>
        </w:rPr>
      </w:pPr>
      <w:bookmarkStart w:id="11" w:name="_Toc152946488"/>
      <w:bookmarkStart w:id="12" w:name="_Toc153273402"/>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on the WA legislation website;</w:t>
      </w:r>
    </w:p>
    <w:p>
      <w:pPr>
        <w:pStyle w:val="Indenta"/>
      </w:pPr>
      <w:r>
        <w:tab/>
        <w:t>(b)</w:t>
      </w:r>
      <w:r>
        <w:tab/>
        <w:t>Part 2 — on 14 December 2023;</w:t>
      </w:r>
    </w:p>
    <w:p>
      <w:pPr>
        <w:pStyle w:val="Indenta"/>
      </w:pPr>
      <w:r>
        <w:tab/>
        <w:t>(c)</w:t>
      </w:r>
      <w:r>
        <w:tab/>
        <w:t>Part 3 — on 1 January 2024;</w:t>
      </w:r>
    </w:p>
    <w:p>
      <w:pPr>
        <w:pStyle w:val="Indenta"/>
      </w:pPr>
      <w:r>
        <w:tab/>
        <w:t>(d)</w:t>
      </w:r>
      <w:r>
        <w:tab/>
        <w:t xml:space="preserve">the rest of the regulations — on the day on which the </w:t>
      </w:r>
      <w:r>
        <w:rPr>
          <w:i/>
        </w:rPr>
        <w:t>Liquor Control Amendment (Banned Drinkers Register) Act 2023</w:t>
      </w:r>
      <w:r>
        <w:t xml:space="preserve"> section 31 comes into operation.</w:t>
      </w:r>
    </w:p>
    <w:p>
      <w:pPr>
        <w:pStyle w:val="Heading5"/>
        <w:rPr>
          <w:snapToGrid w:val="0"/>
        </w:rPr>
      </w:pPr>
      <w:bookmarkStart w:id="13" w:name="_Toc152946489"/>
      <w:bookmarkStart w:id="14" w:name="_Toc153273403"/>
      <w:r>
        <w:rPr>
          <w:rStyle w:val="CharSectno"/>
        </w:rPr>
        <w:t>3</w:t>
      </w:r>
      <w:r>
        <w:rPr>
          <w:snapToGrid w:val="0"/>
        </w:rPr>
        <w:t>.</w:t>
      </w:r>
      <w:r>
        <w:rPr>
          <w:snapToGrid w:val="0"/>
        </w:rPr>
        <w:tab/>
        <w:t>Regulations amended</w:t>
      </w:r>
      <w:bookmarkEnd w:id="13"/>
      <w:bookmarkEnd w:id="14"/>
    </w:p>
    <w:p>
      <w:pPr>
        <w:pStyle w:val="Subsection"/>
      </w:pPr>
      <w:r>
        <w:tab/>
      </w:r>
      <w:r>
        <w:tab/>
        <w:t xml:space="preserve">These </w:t>
      </w:r>
      <w:r>
        <w:rPr>
          <w:spacing w:val="-2"/>
        </w:rPr>
        <w:t>regulations amend</w:t>
      </w:r>
      <w:r>
        <w:t xml:space="preserve"> the </w:t>
      </w:r>
      <w:r>
        <w:rPr>
          <w:i/>
        </w:rPr>
        <w:t>Liquor Control Regulations 1989</w:t>
      </w:r>
      <w:r>
        <w:t>.</w:t>
      </w:r>
    </w:p>
    <w:p>
      <w:pPr>
        <w:pStyle w:val="Heading2"/>
      </w:pPr>
      <w:bookmarkStart w:id="15" w:name="_Toc152946490"/>
      <w:bookmarkStart w:id="16" w:name="_Toc152946546"/>
      <w:bookmarkStart w:id="17" w:name="_Toc152946592"/>
      <w:bookmarkStart w:id="18" w:name="_Toc152946675"/>
      <w:bookmarkStart w:id="19" w:name="_Toc153273404"/>
      <w:r>
        <w:rPr>
          <w:rStyle w:val="CharPartNo"/>
        </w:rPr>
        <w:lastRenderedPageBreak/>
        <w:t>Part 2</w:t>
      </w:r>
      <w:r>
        <w:rPr>
          <w:rStyle w:val="CharDivNo"/>
        </w:rPr>
        <w:t> </w:t>
      </w:r>
      <w:r>
        <w:t>—</w:t>
      </w:r>
      <w:r>
        <w:rPr>
          <w:rStyle w:val="CharDivText"/>
        </w:rPr>
        <w:t> </w:t>
      </w:r>
      <w:r>
        <w:rPr>
          <w:rStyle w:val="CharPartText"/>
        </w:rPr>
        <w:t>Amendments commencing when banned drinkers register commences</w:t>
      </w:r>
      <w:bookmarkEnd w:id="15"/>
      <w:bookmarkEnd w:id="16"/>
      <w:bookmarkEnd w:id="17"/>
      <w:bookmarkEnd w:id="18"/>
      <w:bookmarkEnd w:id="19"/>
    </w:p>
    <w:p>
      <w:pPr>
        <w:pStyle w:val="Heading5"/>
      </w:pPr>
      <w:bookmarkStart w:id="20" w:name="_Toc152946491"/>
      <w:bookmarkStart w:id="21" w:name="_Toc153273405"/>
      <w:r>
        <w:rPr>
          <w:rStyle w:val="CharSectno"/>
        </w:rPr>
        <w:t>4</w:t>
      </w:r>
      <w:r>
        <w:t>.</w:t>
      </w:r>
      <w:r>
        <w:tab/>
        <w:t>Regulation 3A amended</w:t>
      </w:r>
      <w:bookmarkEnd w:id="20"/>
      <w:bookmarkEnd w:id="21"/>
    </w:p>
    <w:p>
      <w:pPr>
        <w:pStyle w:val="Subsection"/>
      </w:pPr>
      <w:r>
        <w:tab/>
      </w:r>
      <w:r>
        <w:tab/>
        <w:t>In regulation 3A(1) insert in alphabetical order:</w:t>
      </w:r>
    </w:p>
    <w:p>
      <w:pPr>
        <w:pStyle w:val="BlankOpen"/>
      </w:pPr>
    </w:p>
    <w:p>
      <w:pPr>
        <w:pStyle w:val="zDefstart"/>
      </w:pPr>
      <w:r>
        <w:rPr>
          <w:rStyle w:val="CharDefText"/>
        </w:rPr>
        <w:tab/>
        <w:t>Authority</w:t>
      </w:r>
      <w:r>
        <w:t xml:space="preserve"> means the Western Australian Land Information Authority established by the </w:t>
      </w:r>
      <w:r>
        <w:rPr>
          <w:i/>
        </w:rPr>
        <w:t>Land Information Authority Act 2006</w:t>
      </w:r>
      <w:r>
        <w:t xml:space="preserve"> section 5(1);</w:t>
      </w:r>
    </w:p>
    <w:p>
      <w:pPr>
        <w:pStyle w:val="zDefstart"/>
      </w:pPr>
      <w:r>
        <w:tab/>
      </w:r>
      <w:r>
        <w:rPr>
          <w:rStyle w:val="CharDefText"/>
        </w:rPr>
        <w:t>Deposited Plan</w:t>
      </w:r>
      <w:r>
        <w:t>, followed by a number, means the deposited plan of that number —</w:t>
      </w:r>
    </w:p>
    <w:p>
      <w:pPr>
        <w:pStyle w:val="zDefpara"/>
      </w:pPr>
      <w:r>
        <w:tab/>
        <w:t>(a)</w:t>
      </w:r>
      <w:r>
        <w:tab/>
        <w:t>lodged with the Authority; and</w:t>
      </w:r>
    </w:p>
    <w:p>
      <w:pPr>
        <w:pStyle w:val="zDefpara"/>
      </w:pPr>
      <w:r>
        <w:tab/>
        <w:t>(b)</w:t>
      </w:r>
      <w:r>
        <w:tab/>
        <w:t xml:space="preserve">approved by an authorised land officer as defined in the </w:t>
      </w:r>
      <w:r>
        <w:rPr>
          <w:i/>
        </w:rPr>
        <w:t>Land Administration Act 1997</w:t>
      </w:r>
      <w:r>
        <w:t xml:space="preserve"> section 3(1); </w:t>
      </w:r>
    </w:p>
    <w:p>
      <w:pPr>
        <w:pStyle w:val="zDefstart"/>
      </w:pPr>
      <w:r>
        <w:tab/>
      </w:r>
      <w:r>
        <w:rPr>
          <w:rStyle w:val="CharDefText"/>
        </w:rPr>
        <w:t>ID system</w:t>
      </w:r>
      <w:r>
        <w:t xml:space="preserve"> has the meaning given in section 152ZI;</w:t>
      </w:r>
    </w:p>
    <w:p>
      <w:pPr>
        <w:pStyle w:val="BlankClose"/>
      </w:pPr>
    </w:p>
    <w:p>
      <w:pPr>
        <w:pStyle w:val="Heading5"/>
      </w:pPr>
      <w:bookmarkStart w:id="22" w:name="_Toc152946492"/>
      <w:bookmarkStart w:id="23" w:name="_Toc153273406"/>
      <w:r>
        <w:rPr>
          <w:rStyle w:val="CharSectno"/>
        </w:rPr>
        <w:t>5</w:t>
      </w:r>
      <w:r>
        <w:t>.</w:t>
      </w:r>
      <w:r>
        <w:tab/>
        <w:t>Regulation 10C amended</w:t>
      </w:r>
      <w:bookmarkEnd w:id="22"/>
      <w:bookmarkEnd w:id="23"/>
    </w:p>
    <w:p>
      <w:pPr>
        <w:pStyle w:val="Subsection"/>
      </w:pPr>
      <w:r>
        <w:tab/>
      </w:r>
      <w:r>
        <w:tab/>
        <w:t>Delete regulation 10C(3)(b) and insert:</w:t>
      </w:r>
    </w:p>
    <w:p>
      <w:pPr>
        <w:pStyle w:val="BlankOpen"/>
      </w:pPr>
    </w:p>
    <w:p>
      <w:pPr>
        <w:pStyle w:val="zIndenta"/>
      </w:pPr>
      <w:r>
        <w:tab/>
        <w:t>(b)</w:t>
      </w:r>
      <w:r>
        <w:tab/>
        <w:t>if the delivery is made on the day on which the liquor is purchased — the person is the purchaser or a person nominated by the purchaser; and</w:t>
      </w:r>
    </w:p>
    <w:p>
      <w:pPr>
        <w:pStyle w:val="zIndenta"/>
      </w:pPr>
      <w:r>
        <w:tab/>
        <w:t>(c)</w:t>
      </w:r>
      <w:r>
        <w:tab/>
        <w:t xml:space="preserve">if the delivery is made within a banned drinker area — </w:t>
      </w:r>
    </w:p>
    <w:p>
      <w:pPr>
        <w:pStyle w:val="zIndenti"/>
      </w:pPr>
      <w:r>
        <w:tab/>
        <w:t>(i)</w:t>
      </w:r>
      <w:r>
        <w:tab/>
        <w:t xml:space="preserve">the person is the purchaser; or </w:t>
      </w:r>
    </w:p>
    <w:p>
      <w:pPr>
        <w:pStyle w:val="zIndenti"/>
      </w:pPr>
      <w:r>
        <w:tab/>
        <w:t>(ii)</w:t>
      </w:r>
      <w:r>
        <w:tab/>
        <w:t>the person is a person nominated by the purchaser who was not a banned drinker when the liquor was purchased.</w:t>
      </w:r>
    </w:p>
    <w:p>
      <w:pPr>
        <w:pStyle w:val="BlankClose"/>
      </w:pPr>
    </w:p>
    <w:p>
      <w:pPr>
        <w:pStyle w:val="Heading5"/>
      </w:pPr>
      <w:bookmarkStart w:id="24" w:name="_Toc152946493"/>
      <w:bookmarkStart w:id="25" w:name="_Toc153273407"/>
      <w:r>
        <w:rPr>
          <w:rStyle w:val="CharSectno"/>
        </w:rPr>
        <w:lastRenderedPageBreak/>
        <w:t>6</w:t>
      </w:r>
      <w:r>
        <w:t>.</w:t>
      </w:r>
      <w:r>
        <w:tab/>
        <w:t>Regulation 18EBB inserted</w:t>
      </w:r>
      <w:bookmarkEnd w:id="24"/>
      <w:bookmarkEnd w:id="25"/>
    </w:p>
    <w:p>
      <w:pPr>
        <w:pStyle w:val="Subsection"/>
      </w:pPr>
      <w:r>
        <w:tab/>
      </w:r>
      <w:r>
        <w:tab/>
        <w:t>After regulation 18EBA insert:</w:t>
      </w:r>
    </w:p>
    <w:p>
      <w:pPr>
        <w:pStyle w:val="BlankOpen"/>
      </w:pPr>
    </w:p>
    <w:p>
      <w:pPr>
        <w:pStyle w:val="zHeading5"/>
      </w:pPr>
      <w:bookmarkStart w:id="26" w:name="_Toc152946494"/>
      <w:bookmarkStart w:id="27" w:name="_Toc153273408"/>
      <w:r>
        <w:t>18EBB.</w:t>
      </w:r>
      <w:r>
        <w:tab/>
        <w:t>Prescribed class of persons (Act s. 115AC(1AA)(b))</w:t>
      </w:r>
      <w:bookmarkEnd w:id="26"/>
      <w:bookmarkEnd w:id="27"/>
    </w:p>
    <w:p>
      <w:pPr>
        <w:pStyle w:val="zSubsection"/>
      </w:pPr>
      <w:r>
        <w:tab/>
      </w:r>
      <w:r>
        <w:tab/>
        <w:t>For the purposes of section 115AC(1AA)(b), a person belongs to a prescribed class of persons if the person is engaged by the Department to create or provide equipment, software, databases or any other thing to be used by responsible persons in identifying persons in relation to whom barring notices are in effect.</w:t>
      </w:r>
    </w:p>
    <w:p>
      <w:pPr>
        <w:pStyle w:val="BlankClose"/>
      </w:pPr>
    </w:p>
    <w:p>
      <w:pPr>
        <w:pStyle w:val="Heading5"/>
      </w:pPr>
      <w:bookmarkStart w:id="28" w:name="_Toc152946495"/>
      <w:bookmarkStart w:id="29" w:name="_Toc153273409"/>
      <w:r>
        <w:rPr>
          <w:rStyle w:val="CharSectno"/>
        </w:rPr>
        <w:t>7</w:t>
      </w:r>
      <w:r>
        <w:t>.</w:t>
      </w:r>
      <w:r>
        <w:tab/>
        <w:t>Regulation 18EB amended</w:t>
      </w:r>
      <w:bookmarkEnd w:id="28"/>
      <w:bookmarkEnd w:id="29"/>
    </w:p>
    <w:p>
      <w:pPr>
        <w:pStyle w:val="Subsection"/>
      </w:pPr>
      <w:r>
        <w:tab/>
      </w:r>
      <w:r>
        <w:tab/>
        <w:t>In regulation 18EB(1):</w:t>
      </w:r>
    </w:p>
    <w:p>
      <w:pPr>
        <w:pStyle w:val="Indenta"/>
      </w:pPr>
      <w:r>
        <w:tab/>
        <w:t>(a)</w:t>
      </w:r>
      <w:r>
        <w:tab/>
        <w:t>in paragraph (g) delete “licence.” and insert:</w:t>
      </w:r>
    </w:p>
    <w:p>
      <w:pPr>
        <w:pStyle w:val="BlankOpen"/>
      </w:pPr>
    </w:p>
    <w:p>
      <w:pPr>
        <w:pStyle w:val="Indenta"/>
      </w:pPr>
      <w:r>
        <w:tab/>
      </w:r>
      <w:r>
        <w:tab/>
        <w:t>licence;</w:t>
      </w:r>
    </w:p>
    <w:p>
      <w:pPr>
        <w:pStyle w:val="BlankClose"/>
      </w:pPr>
    </w:p>
    <w:p>
      <w:pPr>
        <w:pStyle w:val="Indenta"/>
      </w:pPr>
      <w:r>
        <w:tab/>
        <w:t>(b)</w:t>
      </w:r>
      <w:r>
        <w:tab/>
        <w:t xml:space="preserve">after paragraph (g) insert: </w:t>
      </w:r>
    </w:p>
    <w:p>
      <w:pPr>
        <w:pStyle w:val="BlankOpen"/>
      </w:pPr>
      <w:r>
        <w:tab/>
      </w:r>
    </w:p>
    <w:p>
      <w:pPr>
        <w:pStyle w:val="zIndenta"/>
      </w:pPr>
      <w:r>
        <w:tab/>
        <w:t>(h)</w:t>
      </w:r>
      <w:r>
        <w:tab/>
        <w:t>if a responsible person in relation to the licensed premises uses the ID system — the ID system does not operate properly;</w:t>
      </w:r>
    </w:p>
    <w:p>
      <w:pPr>
        <w:pStyle w:val="zIndenta"/>
      </w:pPr>
      <w:r>
        <w:tab/>
        <w:t>(i)</w:t>
      </w:r>
      <w:r>
        <w:tab/>
        <w:t>if a responsible person in relation to the licensed premises attempts to use the ID system — the ID system is not able to be used (other than because it does not operate properly).</w:t>
      </w:r>
    </w:p>
    <w:p>
      <w:pPr>
        <w:pStyle w:val="BlankClose"/>
      </w:pPr>
    </w:p>
    <w:p>
      <w:pPr>
        <w:pStyle w:val="Heading5"/>
      </w:pPr>
      <w:bookmarkStart w:id="30" w:name="_Toc152946496"/>
      <w:bookmarkStart w:id="31" w:name="_Toc153273410"/>
      <w:r>
        <w:rPr>
          <w:rStyle w:val="CharSectno"/>
        </w:rPr>
        <w:lastRenderedPageBreak/>
        <w:t>8</w:t>
      </w:r>
      <w:r>
        <w:t>.</w:t>
      </w:r>
      <w:r>
        <w:tab/>
        <w:t>Regulation 24AA inserted</w:t>
      </w:r>
      <w:bookmarkEnd w:id="30"/>
      <w:bookmarkEnd w:id="31"/>
    </w:p>
    <w:p>
      <w:pPr>
        <w:pStyle w:val="Subsection"/>
        <w:keepNext/>
      </w:pPr>
      <w:r>
        <w:tab/>
      </w:r>
      <w:r>
        <w:tab/>
        <w:t>After regulation 24 insert:</w:t>
      </w:r>
    </w:p>
    <w:p>
      <w:pPr>
        <w:pStyle w:val="BlankOpen"/>
      </w:pPr>
    </w:p>
    <w:p>
      <w:pPr>
        <w:pStyle w:val="zHeading5"/>
      </w:pPr>
      <w:bookmarkStart w:id="32" w:name="_Toc152946497"/>
      <w:bookmarkStart w:id="33" w:name="_Toc153273411"/>
      <w:r>
        <w:t>24AA.</w:t>
      </w:r>
      <w:r>
        <w:tab/>
        <w:t>Prescribed class of persons (Act s. 152K(2AA)(b))</w:t>
      </w:r>
      <w:bookmarkEnd w:id="32"/>
      <w:bookmarkEnd w:id="33"/>
    </w:p>
    <w:p>
      <w:pPr>
        <w:pStyle w:val="zSubsection"/>
      </w:pPr>
      <w:r>
        <w:tab/>
      </w:r>
      <w:r>
        <w:tab/>
        <w:t>For the purposes of section 152K(2AA)(b), a person belongs to a prescribed class of persons if the person is engaged by the Department to create or provide equipment, software, databases or any other thing to be used by responsible persons in identifying persons subject to prohibition orders.</w:t>
      </w:r>
    </w:p>
    <w:p>
      <w:pPr>
        <w:pStyle w:val="BlankClose"/>
      </w:pPr>
    </w:p>
    <w:p>
      <w:pPr>
        <w:pStyle w:val="Heading5"/>
      </w:pPr>
      <w:bookmarkStart w:id="34" w:name="_Toc152946498"/>
      <w:bookmarkStart w:id="35" w:name="_Toc153273412"/>
      <w:r>
        <w:rPr>
          <w:rStyle w:val="CharSectno"/>
        </w:rPr>
        <w:t>9</w:t>
      </w:r>
      <w:r>
        <w:t>.</w:t>
      </w:r>
      <w:r>
        <w:tab/>
        <w:t>Regulations 25B and 25C inserted</w:t>
      </w:r>
      <w:bookmarkEnd w:id="34"/>
      <w:bookmarkEnd w:id="35"/>
    </w:p>
    <w:p>
      <w:pPr>
        <w:pStyle w:val="Subsection"/>
      </w:pPr>
      <w:r>
        <w:tab/>
      </w:r>
      <w:r>
        <w:tab/>
        <w:t>After regulation 25A insert:</w:t>
      </w:r>
    </w:p>
    <w:p>
      <w:pPr>
        <w:pStyle w:val="BlankOpen"/>
      </w:pPr>
    </w:p>
    <w:p>
      <w:pPr>
        <w:pStyle w:val="zHeading5"/>
      </w:pPr>
      <w:bookmarkStart w:id="36" w:name="_Toc152946499"/>
      <w:bookmarkStart w:id="37" w:name="_Toc153273413"/>
      <w:r>
        <w:t>25B.</w:t>
      </w:r>
      <w:r>
        <w:tab/>
        <w:t>Fee payable for review of decision related to banned drinker orders (Act s. 152YY(1))</w:t>
      </w:r>
      <w:bookmarkEnd w:id="36"/>
      <w:bookmarkEnd w:id="37"/>
    </w:p>
    <w:p>
      <w:pPr>
        <w:pStyle w:val="zSubsection"/>
      </w:pPr>
      <w:r>
        <w:tab/>
        <w:t>(1)</w:t>
      </w:r>
      <w:r>
        <w:tab/>
        <w:t>A fee of $264 is payable to the Commission in respect of an application under section 152YY(1).</w:t>
      </w:r>
    </w:p>
    <w:p>
      <w:pPr>
        <w:pStyle w:val="zSubsection"/>
      </w:pPr>
      <w:r>
        <w:tab/>
        <w:t>(2)</w:t>
      </w:r>
      <w:r>
        <w:tab/>
        <w:t>The person liable to pay the fee is the applicant.</w:t>
      </w:r>
    </w:p>
    <w:p>
      <w:pPr>
        <w:pStyle w:val="zSubsection"/>
      </w:pPr>
      <w:r>
        <w:tab/>
        <w:t>(3)</w:t>
      </w:r>
      <w:r>
        <w:tab/>
        <w:t>The fee must be paid on the day on which the application is made and, if an application under section 152YY(1) is made without payment of the fee, the application is taken not to have been made until the fee has been paid.</w:t>
      </w:r>
    </w:p>
    <w:p>
      <w:pPr>
        <w:pStyle w:val="zSubsection"/>
      </w:pPr>
      <w:r>
        <w:tab/>
        <w:t>(4)</w:t>
      </w:r>
      <w:r>
        <w:tab/>
        <w:t>The Director may reduce, waive or refund, in whole or in part, any fee payable under this regulation.</w:t>
      </w:r>
    </w:p>
    <w:p>
      <w:pPr>
        <w:pStyle w:val="zHeading5"/>
      </w:pPr>
      <w:bookmarkStart w:id="38" w:name="_Toc152946500"/>
      <w:bookmarkStart w:id="39" w:name="_Toc153273414"/>
      <w:r>
        <w:lastRenderedPageBreak/>
        <w:t>25C.</w:t>
      </w:r>
      <w:r>
        <w:tab/>
        <w:t>Disclosure of information about banned drinker order and banned drinker (Act s. 152ZC(2)(d))</w:t>
      </w:r>
      <w:bookmarkEnd w:id="38"/>
      <w:bookmarkEnd w:id="39"/>
    </w:p>
    <w:p>
      <w:pPr>
        <w:pStyle w:val="zSubsection"/>
        <w:keepNext/>
      </w:pPr>
      <w:r>
        <w:tab/>
      </w:r>
      <w:r>
        <w:tab/>
        <w:t>For the purposes of section 152ZC(2)(d), Scantek Solutions Pty Ltd (ACN 158 339 514) is prescribed in relation to each banned drinker.</w:t>
      </w:r>
    </w:p>
    <w:p>
      <w:pPr>
        <w:pStyle w:val="BlankClose"/>
        <w:rPr>
          <w:rStyle w:val="DraftersNotes"/>
          <w:b w:val="0"/>
          <w:i w:val="0"/>
          <w:sz w:val="24"/>
        </w:rPr>
      </w:pPr>
    </w:p>
    <w:p>
      <w:pPr>
        <w:pStyle w:val="Heading5"/>
      </w:pPr>
      <w:bookmarkStart w:id="40" w:name="_Toc152946501"/>
      <w:bookmarkStart w:id="41" w:name="_Toc153273415"/>
      <w:r>
        <w:rPr>
          <w:rStyle w:val="CharSectno"/>
        </w:rPr>
        <w:t>10</w:t>
      </w:r>
      <w:r>
        <w:t>.</w:t>
      </w:r>
      <w:r>
        <w:tab/>
        <w:t>Regulation 27 amended</w:t>
      </w:r>
      <w:bookmarkEnd w:id="40"/>
      <w:bookmarkEnd w:id="41"/>
    </w:p>
    <w:p>
      <w:pPr>
        <w:pStyle w:val="Subsection"/>
      </w:pPr>
      <w:r>
        <w:tab/>
      </w:r>
      <w:r>
        <w:tab/>
        <w:t>In regulation 27(2) in the Table insert in numerical order:</w:t>
      </w:r>
    </w:p>
    <w:p>
      <w:pPr>
        <w:pStyle w:val="BlankOpen"/>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tblGrid>
      <w:tr>
        <w:tc>
          <w:tcPr>
            <w:tcW w:w="3033" w:type="dxa"/>
            <w:tcBorders>
              <w:top w:val="nil"/>
              <w:left w:val="nil"/>
              <w:bottom w:val="nil"/>
              <w:right w:val="nil"/>
            </w:tcBorders>
          </w:tcPr>
          <w:p>
            <w:pPr>
              <w:pStyle w:val="zTableNAm"/>
            </w:pPr>
            <w:r>
              <w:t>s. 152ZA(2)</w:t>
            </w:r>
          </w:p>
          <w:p>
            <w:pPr>
              <w:pStyle w:val="zTableNAm"/>
            </w:pPr>
            <w:r>
              <w:t>s. 152ZB(1)</w:t>
            </w:r>
          </w:p>
          <w:p>
            <w:pPr>
              <w:pStyle w:val="zTableNAm"/>
            </w:pPr>
            <w:r>
              <w:t>s. 152ZD(1)</w:t>
            </w:r>
          </w:p>
          <w:p>
            <w:pPr>
              <w:pStyle w:val="zTableNAm"/>
            </w:pPr>
            <w:r>
              <w:t>s. 152ZJ(1)</w:t>
            </w:r>
          </w:p>
        </w:tc>
      </w:tr>
    </w:tbl>
    <w:p>
      <w:pPr>
        <w:pStyle w:val="BlankClose"/>
      </w:pPr>
    </w:p>
    <w:p>
      <w:pPr>
        <w:pStyle w:val="Heading5"/>
      </w:pPr>
      <w:bookmarkStart w:id="42" w:name="_Toc152946502"/>
      <w:bookmarkStart w:id="43" w:name="_Toc153273416"/>
      <w:r>
        <w:rPr>
          <w:rStyle w:val="CharSectno"/>
        </w:rPr>
        <w:t>11</w:t>
      </w:r>
      <w:r>
        <w:t>.</w:t>
      </w:r>
      <w:r>
        <w:tab/>
        <w:t>Regulation 28 amended</w:t>
      </w:r>
      <w:bookmarkEnd w:id="42"/>
      <w:bookmarkEnd w:id="43"/>
    </w:p>
    <w:p>
      <w:pPr>
        <w:pStyle w:val="Subsection"/>
      </w:pPr>
      <w:r>
        <w:tab/>
      </w:r>
      <w:r>
        <w:tab/>
        <w:t>Delete regulation 28(1).</w:t>
      </w:r>
    </w:p>
    <w:p>
      <w:pPr>
        <w:pStyle w:val="Heading5"/>
      </w:pPr>
      <w:bookmarkStart w:id="44" w:name="_Toc152946503"/>
      <w:bookmarkStart w:id="45" w:name="_Toc153273417"/>
      <w:r>
        <w:rPr>
          <w:rStyle w:val="CharSectno"/>
        </w:rPr>
        <w:t>12</w:t>
      </w:r>
      <w:r>
        <w:t>.</w:t>
      </w:r>
      <w:r>
        <w:tab/>
        <w:t>Regulation 29 inserted</w:t>
      </w:r>
      <w:bookmarkEnd w:id="44"/>
      <w:bookmarkEnd w:id="45"/>
    </w:p>
    <w:p>
      <w:pPr>
        <w:pStyle w:val="Subsection"/>
      </w:pPr>
      <w:r>
        <w:tab/>
      </w:r>
      <w:r>
        <w:tab/>
        <w:t>After regulation 28 insert:</w:t>
      </w:r>
    </w:p>
    <w:p>
      <w:pPr>
        <w:pStyle w:val="BlankOpen"/>
        <w:rPr>
          <w:b/>
          <w:bCs/>
        </w:rPr>
      </w:pPr>
    </w:p>
    <w:p>
      <w:pPr>
        <w:pStyle w:val="zHeading5"/>
      </w:pPr>
      <w:bookmarkStart w:id="46" w:name="_Toc152946504"/>
      <w:bookmarkStart w:id="47" w:name="_Toc153273418"/>
      <w:r>
        <w:t>29.</w:t>
      </w:r>
      <w:r>
        <w:tab/>
        <w:t>Banned drinker areas (Act s. 175(1G))</w:t>
      </w:r>
      <w:bookmarkEnd w:id="46"/>
      <w:bookmarkEnd w:id="47"/>
    </w:p>
    <w:p>
      <w:pPr>
        <w:pStyle w:val="zSubsection"/>
      </w:pPr>
      <w:r>
        <w:tab/>
        <w:t>(1)</w:t>
      </w:r>
      <w:r>
        <w:tab/>
        <w:t>Each area of the State described in the Table, other than an area described in subregulation (2), is a banned drinker area.</w:t>
      </w:r>
    </w:p>
    <w:p>
      <w:pPr>
        <w:pStyle w:val="zTHeadingNAm"/>
      </w:pPr>
      <w:r>
        <w:lastRenderedPageBreak/>
        <w:t>Table</w:t>
      </w:r>
    </w:p>
    <w:tbl>
      <w:tblPr>
        <w:tblW w:w="609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1701"/>
        <w:gridCol w:w="3402"/>
      </w:tblGrid>
      <w:tr>
        <w:trPr>
          <w:tblHeader/>
        </w:trPr>
        <w:tc>
          <w:tcPr>
            <w:tcW w:w="993" w:type="dxa"/>
          </w:tcPr>
          <w:p>
            <w:pPr>
              <w:pStyle w:val="zTableNAm"/>
              <w:jc w:val="center"/>
              <w:rPr>
                <w:b/>
                <w:bCs/>
              </w:rPr>
            </w:pPr>
            <w:r>
              <w:rPr>
                <w:b/>
                <w:bCs/>
              </w:rPr>
              <w:t>Item</w:t>
            </w:r>
          </w:p>
        </w:tc>
        <w:tc>
          <w:tcPr>
            <w:tcW w:w="1701" w:type="dxa"/>
          </w:tcPr>
          <w:p>
            <w:pPr>
              <w:pStyle w:val="zTableNAm"/>
              <w:jc w:val="center"/>
              <w:rPr>
                <w:b/>
                <w:bCs/>
              </w:rPr>
            </w:pPr>
            <w:r>
              <w:rPr>
                <w:b/>
                <w:bCs/>
              </w:rPr>
              <w:t xml:space="preserve">Banned drinker area </w:t>
            </w:r>
          </w:p>
        </w:tc>
        <w:tc>
          <w:tcPr>
            <w:tcW w:w="3402" w:type="dxa"/>
          </w:tcPr>
          <w:p>
            <w:pPr>
              <w:pStyle w:val="zTableNAm"/>
              <w:jc w:val="center"/>
              <w:rPr>
                <w:b/>
                <w:bCs/>
              </w:rPr>
            </w:pPr>
            <w:r>
              <w:rPr>
                <w:b/>
                <w:bCs/>
              </w:rPr>
              <w:t xml:space="preserve">Area of the State </w:t>
            </w:r>
          </w:p>
        </w:tc>
      </w:tr>
      <w:tr>
        <w:tc>
          <w:tcPr>
            <w:tcW w:w="993" w:type="dxa"/>
          </w:tcPr>
          <w:p>
            <w:pPr>
              <w:pStyle w:val="zTableNAm"/>
            </w:pPr>
            <w:r>
              <w:t>1.</w:t>
            </w:r>
          </w:p>
        </w:tc>
        <w:tc>
          <w:tcPr>
            <w:tcW w:w="1701" w:type="dxa"/>
          </w:tcPr>
          <w:p>
            <w:pPr>
              <w:pStyle w:val="zTableNAm"/>
            </w:pPr>
            <w:r>
              <w:t xml:space="preserve">Carnarvon and surrounds </w:t>
            </w:r>
          </w:p>
        </w:tc>
        <w:tc>
          <w:tcPr>
            <w:tcW w:w="3402" w:type="dxa"/>
          </w:tcPr>
          <w:p>
            <w:pPr>
              <w:pStyle w:val="zTableNAm"/>
            </w:pPr>
            <w:r>
              <w:t>The area delineated in blue and coloured blue on Deposited Plan 426604 version 1.</w:t>
            </w:r>
          </w:p>
        </w:tc>
      </w:tr>
      <w:tr>
        <w:tc>
          <w:tcPr>
            <w:tcW w:w="993" w:type="dxa"/>
          </w:tcPr>
          <w:p>
            <w:pPr>
              <w:pStyle w:val="zTableNAm"/>
            </w:pPr>
            <w:r>
              <w:t>2.</w:t>
            </w:r>
          </w:p>
        </w:tc>
        <w:tc>
          <w:tcPr>
            <w:tcW w:w="1701" w:type="dxa"/>
          </w:tcPr>
          <w:p>
            <w:pPr>
              <w:pStyle w:val="zTableNAm"/>
            </w:pPr>
            <w:r>
              <w:t xml:space="preserve">Kalgoorlie and surrounds </w:t>
            </w:r>
          </w:p>
        </w:tc>
        <w:tc>
          <w:tcPr>
            <w:tcW w:w="3402" w:type="dxa"/>
          </w:tcPr>
          <w:p>
            <w:pPr>
              <w:pStyle w:val="zTableNAm"/>
              <w:rPr>
                <w:rStyle w:val="DraftersNotes"/>
              </w:rPr>
            </w:pPr>
            <w:r>
              <w:t>The area delineated in blue and coloured blue on Deposited Plan 426610 version 1.</w:t>
            </w:r>
          </w:p>
        </w:tc>
      </w:tr>
      <w:tr>
        <w:tc>
          <w:tcPr>
            <w:tcW w:w="993" w:type="dxa"/>
          </w:tcPr>
          <w:p>
            <w:pPr>
              <w:pStyle w:val="zTableNAm"/>
            </w:pPr>
            <w:r>
              <w:t>3.</w:t>
            </w:r>
          </w:p>
        </w:tc>
        <w:tc>
          <w:tcPr>
            <w:tcW w:w="1701" w:type="dxa"/>
          </w:tcPr>
          <w:p>
            <w:pPr>
              <w:pStyle w:val="zTableNAm"/>
            </w:pPr>
            <w:r>
              <w:t xml:space="preserve">Kimberley region </w:t>
            </w:r>
          </w:p>
        </w:tc>
        <w:tc>
          <w:tcPr>
            <w:tcW w:w="3402" w:type="dxa"/>
          </w:tcPr>
          <w:p>
            <w:pPr>
              <w:pStyle w:val="zTableNAm"/>
              <w:rPr>
                <w:rStyle w:val="DraftersNotes"/>
              </w:rPr>
            </w:pPr>
            <w:r>
              <w:t xml:space="preserve">The area delineated in blue and coloured blue on Deposited Plan 426608 version 1. </w:t>
            </w:r>
          </w:p>
        </w:tc>
      </w:tr>
      <w:tr>
        <w:tc>
          <w:tcPr>
            <w:tcW w:w="993" w:type="dxa"/>
          </w:tcPr>
          <w:p>
            <w:pPr>
              <w:pStyle w:val="zTableNAm"/>
            </w:pPr>
            <w:r>
              <w:t>4.</w:t>
            </w:r>
          </w:p>
        </w:tc>
        <w:tc>
          <w:tcPr>
            <w:tcW w:w="1701" w:type="dxa"/>
          </w:tcPr>
          <w:p>
            <w:pPr>
              <w:pStyle w:val="zTableNAm"/>
            </w:pPr>
            <w:r>
              <w:t xml:space="preserve">Pilbara region </w:t>
            </w:r>
          </w:p>
        </w:tc>
        <w:tc>
          <w:tcPr>
            <w:tcW w:w="3402" w:type="dxa"/>
          </w:tcPr>
          <w:p>
            <w:pPr>
              <w:pStyle w:val="zTableNAm"/>
              <w:rPr>
                <w:rStyle w:val="DraftersNotes"/>
              </w:rPr>
            </w:pPr>
            <w:r>
              <w:t xml:space="preserve">The area delineated in blue and coloured blue on Deposited Plan 426609 version 1. </w:t>
            </w:r>
          </w:p>
        </w:tc>
      </w:tr>
    </w:tbl>
    <w:p>
      <w:pPr>
        <w:pStyle w:val="zSubsection"/>
      </w:pPr>
      <w:r>
        <w:tab/>
        <w:t>(2)</w:t>
      </w:r>
      <w:r>
        <w:tab/>
        <w:t>For the purposes of subregulation (1), the area is an area in relation to which a special facility licence has been granted in accordance with regulation 9A(1).</w:t>
      </w:r>
    </w:p>
    <w:p>
      <w:pPr>
        <w:pStyle w:val="BlankClose"/>
      </w:pPr>
    </w:p>
    <w:p>
      <w:pPr>
        <w:pStyle w:val="Heading2"/>
      </w:pPr>
      <w:bookmarkStart w:id="48" w:name="_Toc152946505"/>
      <w:bookmarkStart w:id="49" w:name="_Toc152946561"/>
      <w:bookmarkStart w:id="50" w:name="_Toc152946607"/>
      <w:bookmarkStart w:id="51" w:name="_Toc152946690"/>
      <w:bookmarkStart w:id="52" w:name="_Toc153273419"/>
      <w:r>
        <w:rPr>
          <w:rStyle w:val="CharPartNo"/>
        </w:rPr>
        <w:lastRenderedPageBreak/>
        <w:t>Part 3</w:t>
      </w:r>
      <w:r>
        <w:rPr>
          <w:rStyle w:val="CharDivNo"/>
        </w:rPr>
        <w:t> </w:t>
      </w:r>
      <w:r>
        <w:t>—</w:t>
      </w:r>
      <w:r>
        <w:rPr>
          <w:rStyle w:val="CharDivText"/>
        </w:rPr>
        <w:t> </w:t>
      </w:r>
      <w:r>
        <w:rPr>
          <w:rStyle w:val="CharPartText"/>
        </w:rPr>
        <w:t>Amendments commencing on 1 January 2024</w:t>
      </w:r>
      <w:bookmarkEnd w:id="48"/>
      <w:bookmarkEnd w:id="49"/>
      <w:bookmarkEnd w:id="50"/>
      <w:bookmarkEnd w:id="51"/>
      <w:bookmarkEnd w:id="52"/>
    </w:p>
    <w:p>
      <w:pPr>
        <w:pStyle w:val="Heading5"/>
      </w:pPr>
      <w:bookmarkStart w:id="53" w:name="_Toc152946506"/>
      <w:bookmarkStart w:id="54" w:name="_Toc153273420"/>
      <w:r>
        <w:rPr>
          <w:rStyle w:val="CharSectno"/>
        </w:rPr>
        <w:t>13</w:t>
      </w:r>
      <w:r>
        <w:t>.</w:t>
      </w:r>
      <w:r>
        <w:tab/>
        <w:t>Regulation 25B amended</w:t>
      </w:r>
      <w:bookmarkEnd w:id="53"/>
      <w:bookmarkEnd w:id="54"/>
    </w:p>
    <w:p>
      <w:pPr>
        <w:pStyle w:val="Subsection"/>
      </w:pPr>
      <w:r>
        <w:tab/>
      </w:r>
      <w:r>
        <w:tab/>
        <w:t>In regulation 25B(1) delete “$264” and insert:</w:t>
      </w:r>
    </w:p>
    <w:p>
      <w:pPr>
        <w:pStyle w:val="BlankOpen"/>
      </w:pPr>
    </w:p>
    <w:p>
      <w:pPr>
        <w:pStyle w:val="Subsection"/>
      </w:pPr>
      <w:r>
        <w:tab/>
      </w:r>
      <w:r>
        <w:tab/>
        <w:t>$272.50</w:t>
      </w:r>
    </w:p>
    <w:p>
      <w:pPr>
        <w:pStyle w:val="BlankClose"/>
      </w:pPr>
    </w:p>
    <w:p>
      <w:pPr>
        <w:pStyle w:val="Heading2"/>
      </w:pPr>
      <w:bookmarkStart w:id="55" w:name="_Toc152946507"/>
      <w:bookmarkStart w:id="56" w:name="_Toc152946563"/>
      <w:bookmarkStart w:id="57" w:name="_Toc152946609"/>
      <w:bookmarkStart w:id="58" w:name="_Toc152946692"/>
      <w:bookmarkStart w:id="59" w:name="_Toc153273421"/>
      <w:r>
        <w:rPr>
          <w:rStyle w:val="CharPartNo"/>
        </w:rPr>
        <w:lastRenderedPageBreak/>
        <w:t>Part 4</w:t>
      </w:r>
      <w:r>
        <w:rPr>
          <w:rStyle w:val="CharDivNo"/>
        </w:rPr>
        <w:t> </w:t>
      </w:r>
      <w:r>
        <w:t>—</w:t>
      </w:r>
      <w:r>
        <w:rPr>
          <w:rStyle w:val="CharDivText"/>
        </w:rPr>
        <w:t> </w:t>
      </w:r>
      <w:r>
        <w:rPr>
          <w:rStyle w:val="CharPartText"/>
        </w:rPr>
        <w:t>Amendments commencing 2 years after banned drinkers register commences</w:t>
      </w:r>
      <w:bookmarkEnd w:id="55"/>
      <w:bookmarkEnd w:id="56"/>
      <w:bookmarkEnd w:id="57"/>
      <w:bookmarkEnd w:id="58"/>
      <w:bookmarkEnd w:id="59"/>
    </w:p>
    <w:p>
      <w:pPr>
        <w:pStyle w:val="Heading5"/>
      </w:pPr>
      <w:bookmarkStart w:id="60" w:name="_Toc152946508"/>
      <w:bookmarkStart w:id="61" w:name="_Toc153273422"/>
      <w:r>
        <w:rPr>
          <w:rStyle w:val="CharSectno"/>
        </w:rPr>
        <w:t>14</w:t>
      </w:r>
      <w:r>
        <w:t>.</w:t>
      </w:r>
      <w:r>
        <w:tab/>
        <w:t>Regulation 3A amended</w:t>
      </w:r>
      <w:bookmarkEnd w:id="60"/>
      <w:bookmarkEnd w:id="61"/>
    </w:p>
    <w:p>
      <w:pPr>
        <w:pStyle w:val="Subsection"/>
      </w:pPr>
      <w:r>
        <w:tab/>
      </w:r>
      <w:r>
        <w:tab/>
        <w:t xml:space="preserve">In regulation 3A(1) delete the definition of </w:t>
      </w:r>
      <w:r>
        <w:rPr>
          <w:b/>
          <w:i/>
        </w:rPr>
        <w:t>ID system</w:t>
      </w:r>
      <w:r>
        <w:t>.</w:t>
      </w:r>
    </w:p>
    <w:p>
      <w:pPr>
        <w:pStyle w:val="Heading5"/>
      </w:pPr>
      <w:bookmarkStart w:id="62" w:name="_Toc152946509"/>
      <w:bookmarkStart w:id="63" w:name="_Toc153273423"/>
      <w:r>
        <w:rPr>
          <w:rStyle w:val="CharSectno"/>
        </w:rPr>
        <w:t>15</w:t>
      </w:r>
      <w:r>
        <w:t>.</w:t>
      </w:r>
      <w:r>
        <w:tab/>
        <w:t>Regulation 10C amended</w:t>
      </w:r>
      <w:bookmarkEnd w:id="62"/>
      <w:bookmarkEnd w:id="63"/>
    </w:p>
    <w:p>
      <w:pPr>
        <w:pStyle w:val="Subsection"/>
      </w:pPr>
      <w:r>
        <w:tab/>
      </w:r>
      <w:r>
        <w:tab/>
        <w:t>Delete regulation 10C(3)(b) and (c) and insert:</w:t>
      </w:r>
    </w:p>
    <w:p>
      <w:pPr>
        <w:pStyle w:val="BlankOpen"/>
      </w:pPr>
    </w:p>
    <w:p>
      <w:pPr>
        <w:pStyle w:val="zIndenta"/>
      </w:pPr>
      <w:r>
        <w:tab/>
        <w:t>(b)</w:t>
      </w:r>
      <w:r>
        <w:tab/>
        <w:t>if the delivery is made on the day on which the liquor is purchased — the person is the purchaser or a person nominated by the purchaser.</w:t>
      </w:r>
    </w:p>
    <w:p>
      <w:pPr>
        <w:pStyle w:val="BlankClose"/>
      </w:pPr>
    </w:p>
    <w:p>
      <w:pPr>
        <w:pStyle w:val="Heading5"/>
      </w:pPr>
      <w:bookmarkStart w:id="64" w:name="_Toc152946510"/>
      <w:bookmarkStart w:id="65" w:name="_Toc153273424"/>
      <w:r>
        <w:rPr>
          <w:rStyle w:val="CharSectno"/>
        </w:rPr>
        <w:t>16</w:t>
      </w:r>
      <w:r>
        <w:t>.</w:t>
      </w:r>
      <w:r>
        <w:tab/>
        <w:t>Regulation 18EB amended</w:t>
      </w:r>
      <w:bookmarkEnd w:id="64"/>
      <w:bookmarkEnd w:id="65"/>
    </w:p>
    <w:p>
      <w:pPr>
        <w:pStyle w:val="Subsection"/>
      </w:pPr>
      <w:r>
        <w:tab/>
      </w:r>
      <w:r>
        <w:tab/>
        <w:t>In regulation 18EB(1):</w:t>
      </w:r>
    </w:p>
    <w:p>
      <w:pPr>
        <w:pStyle w:val="Indenta"/>
      </w:pPr>
      <w:r>
        <w:tab/>
        <w:t>(a)</w:t>
      </w:r>
      <w:r>
        <w:tab/>
        <w:t>in paragraph (g) delete “licence;” and insert:</w:t>
      </w:r>
    </w:p>
    <w:p>
      <w:pPr>
        <w:pStyle w:val="BlankOpen"/>
      </w:pPr>
    </w:p>
    <w:p>
      <w:pPr>
        <w:pStyle w:val="Indenta"/>
      </w:pPr>
      <w:r>
        <w:tab/>
      </w:r>
      <w:r>
        <w:tab/>
        <w:t>licence.</w:t>
      </w:r>
    </w:p>
    <w:p>
      <w:pPr>
        <w:pStyle w:val="BlankClose"/>
      </w:pPr>
    </w:p>
    <w:p>
      <w:pPr>
        <w:pStyle w:val="Indenta"/>
      </w:pPr>
      <w:r>
        <w:tab/>
        <w:t>(b)</w:t>
      </w:r>
      <w:r>
        <w:tab/>
        <w:t>delete paragraphs (h) and (i).</w:t>
      </w:r>
    </w:p>
    <w:p>
      <w:pPr>
        <w:pStyle w:val="Heading5"/>
      </w:pPr>
      <w:bookmarkStart w:id="66" w:name="_Toc152946511"/>
      <w:bookmarkStart w:id="67" w:name="_Toc153273425"/>
      <w:r>
        <w:rPr>
          <w:rStyle w:val="CharSectno"/>
        </w:rPr>
        <w:t>17</w:t>
      </w:r>
      <w:r>
        <w:t>.</w:t>
      </w:r>
      <w:r>
        <w:tab/>
        <w:t>Regulations 25B and 25C deleted</w:t>
      </w:r>
      <w:bookmarkEnd w:id="66"/>
      <w:bookmarkEnd w:id="67"/>
    </w:p>
    <w:p>
      <w:pPr>
        <w:pStyle w:val="Subsection"/>
      </w:pPr>
      <w:r>
        <w:tab/>
      </w:r>
      <w:r>
        <w:tab/>
        <w:t>Delete regulations 25B and 25C.</w:t>
      </w:r>
    </w:p>
    <w:p>
      <w:pPr>
        <w:pStyle w:val="Subsection"/>
      </w:pPr>
    </w:p>
    <w:p>
      <w:pPr>
        <w:pStyle w:val="Heading5"/>
      </w:pPr>
      <w:bookmarkStart w:id="68" w:name="_Toc152946512"/>
      <w:bookmarkStart w:id="69" w:name="_Toc153273426"/>
      <w:r>
        <w:rPr>
          <w:rStyle w:val="CharSectno"/>
        </w:rPr>
        <w:lastRenderedPageBreak/>
        <w:t>18</w:t>
      </w:r>
      <w:r>
        <w:t>.</w:t>
      </w:r>
      <w:r>
        <w:tab/>
        <w:t>Regulation 27 amended</w:t>
      </w:r>
      <w:bookmarkEnd w:id="68"/>
      <w:bookmarkEnd w:id="69"/>
    </w:p>
    <w:p>
      <w:pPr>
        <w:pStyle w:val="Subsection"/>
        <w:keepNext/>
      </w:pPr>
      <w:r>
        <w:tab/>
      </w:r>
      <w:r>
        <w:tab/>
        <w:t>In regulation 27(2) in the Table delete:</w:t>
      </w:r>
    </w:p>
    <w:p>
      <w:pPr>
        <w:pStyle w:val="DeleteOpen"/>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tblGrid>
      <w:tr>
        <w:tc>
          <w:tcPr>
            <w:tcW w:w="3033" w:type="dxa"/>
            <w:tcBorders>
              <w:top w:val="nil"/>
              <w:left w:val="nil"/>
              <w:bottom w:val="nil"/>
              <w:right w:val="nil"/>
            </w:tcBorders>
          </w:tcPr>
          <w:p>
            <w:pPr>
              <w:pStyle w:val="TableNAm"/>
              <w:keepNext/>
            </w:pPr>
            <w:r>
              <w:t>s. 152ZA(2)</w:t>
            </w:r>
          </w:p>
          <w:p>
            <w:pPr>
              <w:pStyle w:val="TableNAm"/>
              <w:keepNext/>
            </w:pPr>
            <w:r>
              <w:t>s. 152ZB(1)</w:t>
            </w:r>
          </w:p>
          <w:p>
            <w:pPr>
              <w:pStyle w:val="TableNAm"/>
              <w:keepNext/>
            </w:pPr>
            <w:r>
              <w:t>s. 152ZD(1)</w:t>
            </w:r>
          </w:p>
          <w:p>
            <w:pPr>
              <w:pStyle w:val="TableNAm"/>
              <w:keepNext/>
            </w:pPr>
            <w:r>
              <w:t>s. 152ZJ(1)</w:t>
            </w:r>
          </w:p>
        </w:tc>
      </w:tr>
    </w:tbl>
    <w:p>
      <w:pPr>
        <w:pStyle w:val="DeleteClose"/>
      </w:pPr>
    </w:p>
    <w:p>
      <w:pPr>
        <w:pStyle w:val="Heading5"/>
      </w:pPr>
      <w:bookmarkStart w:id="70" w:name="_Toc152946513"/>
      <w:bookmarkStart w:id="71" w:name="_Toc153273427"/>
      <w:r>
        <w:rPr>
          <w:rStyle w:val="CharSectno"/>
        </w:rPr>
        <w:t>19</w:t>
      </w:r>
      <w:r>
        <w:t>.</w:t>
      </w:r>
      <w:r>
        <w:tab/>
        <w:t>Regulation 29 deleted</w:t>
      </w:r>
      <w:bookmarkEnd w:id="70"/>
      <w:bookmarkEnd w:id="71"/>
    </w:p>
    <w:p>
      <w:pPr>
        <w:pStyle w:val="Subsection"/>
      </w:pPr>
      <w:r>
        <w:tab/>
      </w:r>
      <w:r>
        <w:tab/>
        <w:t>Delete regulation 29.</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V. MOLAN, Clerk of the Executive Council</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2023/196</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13 Dec 2023</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2023/196</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13 Dec 2023</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2023/196</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13 Dec 2023</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2023/196</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13 Dec 2023</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2023/196</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13 Dec 2023</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2023/196</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13 Dec 2023</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Amendment Regulations (No. 2)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Amendment Regulations (No. 2)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Amendment Regulations (No. 2)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Amendment Regulations (No. 2)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8"/>
  </w:num>
  <w:num w:numId="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0815271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09041537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04153722_GUID" w:val="21d40194-d796-435b-b00f-0d5dbde9b1cf"/>
    <w:docVar w:name="WAFER_202310170916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7091641_GUID" w:val="ce2a5395-d16e-42d8-bb42-e68136086e32"/>
    <w:docVar w:name="WAFER_202310311159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115919_GUID" w:val="4578a6c0-2393-4e96-ac16-f9255fad7f56"/>
    <w:docVar w:name="WAFER_202311090835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083556_GUID" w:val="5131ae6d-4fce-4496-b125-14cf6dad04d8"/>
    <w:docVar w:name="WAFER_202311090858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085848_GUID" w:val="fcecf114-199a-4a24-86c3-ffc1450a577a"/>
    <w:docVar w:name="WAFER_202312081527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08152718_GUID" w:val="f8da293b-6656-46ca-a127-64e59813fd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7264D560-DC48-4429-8986-3AC3C01E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16531">
      <w:bodyDiv w:val="1"/>
      <w:marLeft w:val="0"/>
      <w:marRight w:val="0"/>
      <w:marTop w:val="0"/>
      <w:marBottom w:val="0"/>
      <w:divBdr>
        <w:top w:val="none" w:sz="0" w:space="0" w:color="auto"/>
        <w:left w:val="none" w:sz="0" w:space="0" w:color="auto"/>
        <w:bottom w:val="none" w:sz="0" w:space="0" w:color="auto"/>
        <w:right w:val="none" w:sz="0" w:space="0" w:color="auto"/>
      </w:divBdr>
    </w:div>
    <w:div w:id="179468605">
      <w:bodyDiv w:val="1"/>
      <w:marLeft w:val="0"/>
      <w:marRight w:val="0"/>
      <w:marTop w:val="0"/>
      <w:marBottom w:val="0"/>
      <w:divBdr>
        <w:top w:val="none" w:sz="0" w:space="0" w:color="auto"/>
        <w:left w:val="none" w:sz="0" w:space="0" w:color="auto"/>
        <w:bottom w:val="none" w:sz="0" w:space="0" w:color="auto"/>
        <w:right w:val="none" w:sz="0" w:space="0" w:color="auto"/>
      </w:divBdr>
    </w:div>
    <w:div w:id="195896842">
      <w:bodyDiv w:val="1"/>
      <w:marLeft w:val="0"/>
      <w:marRight w:val="0"/>
      <w:marTop w:val="0"/>
      <w:marBottom w:val="0"/>
      <w:divBdr>
        <w:top w:val="none" w:sz="0" w:space="0" w:color="auto"/>
        <w:left w:val="none" w:sz="0" w:space="0" w:color="auto"/>
        <w:bottom w:val="none" w:sz="0" w:space="0" w:color="auto"/>
        <w:right w:val="none" w:sz="0" w:space="0" w:color="auto"/>
      </w:divBdr>
    </w:div>
    <w:div w:id="231431787">
      <w:bodyDiv w:val="1"/>
      <w:marLeft w:val="0"/>
      <w:marRight w:val="0"/>
      <w:marTop w:val="0"/>
      <w:marBottom w:val="0"/>
      <w:divBdr>
        <w:top w:val="none" w:sz="0" w:space="0" w:color="auto"/>
        <w:left w:val="none" w:sz="0" w:space="0" w:color="auto"/>
        <w:bottom w:val="none" w:sz="0" w:space="0" w:color="auto"/>
        <w:right w:val="none" w:sz="0" w:space="0" w:color="auto"/>
      </w:divBdr>
    </w:div>
    <w:div w:id="294993410">
      <w:bodyDiv w:val="1"/>
      <w:marLeft w:val="0"/>
      <w:marRight w:val="0"/>
      <w:marTop w:val="0"/>
      <w:marBottom w:val="0"/>
      <w:divBdr>
        <w:top w:val="none" w:sz="0" w:space="0" w:color="auto"/>
        <w:left w:val="none" w:sz="0" w:space="0" w:color="auto"/>
        <w:bottom w:val="none" w:sz="0" w:space="0" w:color="auto"/>
        <w:right w:val="none" w:sz="0" w:space="0" w:color="auto"/>
      </w:divBdr>
    </w:div>
    <w:div w:id="328799103">
      <w:bodyDiv w:val="1"/>
      <w:marLeft w:val="0"/>
      <w:marRight w:val="0"/>
      <w:marTop w:val="0"/>
      <w:marBottom w:val="0"/>
      <w:divBdr>
        <w:top w:val="none" w:sz="0" w:space="0" w:color="auto"/>
        <w:left w:val="none" w:sz="0" w:space="0" w:color="auto"/>
        <w:bottom w:val="none" w:sz="0" w:space="0" w:color="auto"/>
        <w:right w:val="none" w:sz="0" w:space="0" w:color="auto"/>
      </w:divBdr>
    </w:div>
    <w:div w:id="334574836">
      <w:bodyDiv w:val="1"/>
      <w:marLeft w:val="0"/>
      <w:marRight w:val="0"/>
      <w:marTop w:val="0"/>
      <w:marBottom w:val="0"/>
      <w:divBdr>
        <w:top w:val="none" w:sz="0" w:space="0" w:color="auto"/>
        <w:left w:val="none" w:sz="0" w:space="0" w:color="auto"/>
        <w:bottom w:val="none" w:sz="0" w:space="0" w:color="auto"/>
        <w:right w:val="none" w:sz="0" w:space="0" w:color="auto"/>
      </w:divBdr>
    </w:div>
    <w:div w:id="945622612">
      <w:bodyDiv w:val="1"/>
      <w:marLeft w:val="0"/>
      <w:marRight w:val="0"/>
      <w:marTop w:val="0"/>
      <w:marBottom w:val="0"/>
      <w:divBdr>
        <w:top w:val="none" w:sz="0" w:space="0" w:color="auto"/>
        <w:left w:val="none" w:sz="0" w:space="0" w:color="auto"/>
        <w:bottom w:val="none" w:sz="0" w:space="0" w:color="auto"/>
        <w:right w:val="none" w:sz="0" w:space="0" w:color="auto"/>
      </w:divBdr>
    </w:div>
    <w:div w:id="1101492302">
      <w:bodyDiv w:val="1"/>
      <w:marLeft w:val="0"/>
      <w:marRight w:val="0"/>
      <w:marTop w:val="0"/>
      <w:marBottom w:val="0"/>
      <w:divBdr>
        <w:top w:val="none" w:sz="0" w:space="0" w:color="auto"/>
        <w:left w:val="none" w:sz="0" w:space="0" w:color="auto"/>
        <w:bottom w:val="none" w:sz="0" w:space="0" w:color="auto"/>
        <w:right w:val="none" w:sz="0" w:space="0" w:color="auto"/>
      </w:divBdr>
    </w:div>
    <w:div w:id="1281300700">
      <w:bodyDiv w:val="1"/>
      <w:marLeft w:val="0"/>
      <w:marRight w:val="0"/>
      <w:marTop w:val="0"/>
      <w:marBottom w:val="0"/>
      <w:divBdr>
        <w:top w:val="none" w:sz="0" w:space="0" w:color="auto"/>
        <w:left w:val="none" w:sz="0" w:space="0" w:color="auto"/>
        <w:bottom w:val="none" w:sz="0" w:space="0" w:color="auto"/>
        <w:right w:val="none" w:sz="0" w:space="0" w:color="auto"/>
      </w:divBdr>
    </w:div>
    <w:div w:id="1347946292">
      <w:bodyDiv w:val="1"/>
      <w:marLeft w:val="0"/>
      <w:marRight w:val="0"/>
      <w:marTop w:val="0"/>
      <w:marBottom w:val="0"/>
      <w:divBdr>
        <w:top w:val="none" w:sz="0" w:space="0" w:color="auto"/>
        <w:left w:val="none" w:sz="0" w:space="0" w:color="auto"/>
        <w:bottom w:val="none" w:sz="0" w:space="0" w:color="auto"/>
        <w:right w:val="none" w:sz="0" w:space="0" w:color="auto"/>
      </w:divBdr>
    </w:div>
    <w:div w:id="1374426352">
      <w:bodyDiv w:val="1"/>
      <w:marLeft w:val="0"/>
      <w:marRight w:val="0"/>
      <w:marTop w:val="0"/>
      <w:marBottom w:val="0"/>
      <w:divBdr>
        <w:top w:val="none" w:sz="0" w:space="0" w:color="auto"/>
        <w:left w:val="none" w:sz="0" w:space="0" w:color="auto"/>
        <w:bottom w:val="none" w:sz="0" w:space="0" w:color="auto"/>
        <w:right w:val="none" w:sz="0" w:space="0" w:color="auto"/>
      </w:divBdr>
    </w:div>
    <w:div w:id="1484811978">
      <w:bodyDiv w:val="1"/>
      <w:marLeft w:val="0"/>
      <w:marRight w:val="0"/>
      <w:marTop w:val="0"/>
      <w:marBottom w:val="0"/>
      <w:divBdr>
        <w:top w:val="none" w:sz="0" w:space="0" w:color="auto"/>
        <w:left w:val="none" w:sz="0" w:space="0" w:color="auto"/>
        <w:bottom w:val="none" w:sz="0" w:space="0" w:color="auto"/>
        <w:right w:val="none" w:sz="0" w:space="0" w:color="auto"/>
      </w:divBdr>
    </w:div>
    <w:div w:id="201877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C55B-1B02-4A8D-AB09-85943AF8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1369</Words>
  <Characters>6986</Characters>
  <Application>Microsoft Office Word</Application>
  <DocSecurity>0</DocSecurity>
  <Lines>303</Lines>
  <Paragraphs>198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Amendment Regulations (No. 2) 2023 - 00-00-00</dc:title>
  <dc:subject/>
  <dc:creator/>
  <cp:keywords/>
  <dc:description/>
  <cp:lastModifiedBy>Master Repository Process</cp:lastModifiedBy>
  <cp:revision>4</cp:revision>
  <cp:lastPrinted>2023-10-30T06:23:00Z</cp:lastPrinted>
  <dcterms:created xsi:type="dcterms:W3CDTF">2023-12-12T04:27:00Z</dcterms:created>
  <dcterms:modified xsi:type="dcterms:W3CDTF">2023-12-12T04:27:00Z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54453</vt:lpwstr>
  </property>
  <property fmtid="{D5CDD505-2E9C-101B-9397-08002B2CF9AE}" pid="3" name="DocumentType">
    <vt:lpwstr>Reg</vt:lpwstr>
  </property>
  <property fmtid="{D5CDD505-2E9C-101B-9397-08002B2CF9AE}" pid="4" name="SLAPId">
    <vt:lpwstr>2023/196</vt:lpwstr>
  </property>
  <property fmtid="{D5CDD505-2E9C-101B-9397-08002B2CF9AE}" pid="5" name="PublishDate">
    <vt:lpwstr>13 Dec 2023</vt:lpwstr>
  </property>
  <property fmtid="{D5CDD505-2E9C-101B-9397-08002B2CF9AE}" pid="6" name="AsAtDate">
    <vt:lpwstr>13 Dec 2023</vt:lpwstr>
  </property>
  <property fmtid="{D5CDD505-2E9C-101B-9397-08002B2CF9AE}" pid="7" name="Suffix">
    <vt:lpwstr>00-00-00</vt:lpwstr>
  </property>
  <property fmtid="{D5CDD505-2E9C-101B-9397-08002B2CF9AE}" pid="8" name="Official">
    <vt:lpwstr/>
  </property>
  <property fmtid="{D5CDD505-2E9C-101B-9397-08002B2CF9AE}" pid="9" name="CommencementDate">
    <vt:lpwstr>20231213</vt:lpwstr>
  </property>
  <property fmtid="{D5CDD505-2E9C-101B-9397-08002B2CF9AE}" pid="10" name="CommencementYear">
    <vt:lpwstr>2023</vt:lpwstr>
  </property>
</Properties>
</file>