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_Toc153787061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_Toc153787062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_Toc153787063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_Toc153787065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_Toc153787066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_Toc153787067 \h </w:instrText>
      </w:r>
      <w:r>
        <w:fldChar w:fldCharType="separate"/>
      </w:r>
      <w:r>
        <w:t>3</w:t>
      </w:r>
      <w:r>
        <w:fldChar w:fldCharType="end"/>
      </w:r>
    </w:p>
    <w:p>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_Toc153787068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Act</w:t>
      </w:r>
      <w:r>
        <w:tab/>
      </w:r>
      <w:r>
        <w:fldChar w:fldCharType="begin"/>
      </w:r>
      <w:r>
        <w:instrText xml:space="preserve"> PAGEREF _Toc153787069 \h </w:instrText>
      </w:r>
      <w:r>
        <w:fldChar w:fldCharType="separate"/>
      </w:r>
      <w:r>
        <w:t>4</w:t>
      </w:r>
      <w:r>
        <w:fldChar w:fldCharType="end"/>
      </w:r>
    </w:p>
    <w:p>
      <w:pPr>
        <w:pStyle w:val="TOC8"/>
        <w:rPr>
          <w:rFonts w:asciiTheme="minorHAnsi" w:eastAsiaTheme="minorEastAsia" w:hAnsiTheme="minorHAnsi" w:cstheme="minorBidi"/>
          <w:szCs w:val="22"/>
        </w:rPr>
      </w:pPr>
      <w:r>
        <w:t>5AB.</w:t>
      </w:r>
      <w:r>
        <w:tab/>
        <w:t>Exemptions from section 27A of Act — residential agreements not required to be in prescribed form</w:t>
      </w:r>
      <w:r>
        <w:tab/>
      </w:r>
      <w:r>
        <w:fldChar w:fldCharType="begin"/>
      </w:r>
      <w:r>
        <w:instrText xml:space="preserve"> PAGEREF _Toc153787070 \h </w:instrText>
      </w:r>
      <w:r>
        <w:fldChar w:fldCharType="separate"/>
      </w:r>
      <w:r>
        <w:t>4</w:t>
      </w:r>
      <w:r>
        <w:fldChar w:fldCharType="end"/>
      </w:r>
    </w:p>
    <w:p>
      <w:pPr>
        <w:pStyle w:val="TOC8"/>
        <w:rPr>
          <w:rFonts w:asciiTheme="minorHAnsi" w:eastAsiaTheme="minorEastAsia" w:hAnsiTheme="minorHAnsi" w:cstheme="minorBidi"/>
          <w:szCs w:val="22"/>
        </w:rPr>
      </w:pPr>
      <w:r>
        <w:t>5ABA.</w:t>
      </w:r>
      <w:r>
        <w:tab/>
        <w:t>Modified application of Act s. 27A — lessor may enter into agreement amended to reflect lawful terms</w:t>
      </w:r>
      <w:r>
        <w:tab/>
      </w:r>
      <w:r>
        <w:fldChar w:fldCharType="begin"/>
      </w:r>
      <w:r>
        <w:instrText xml:space="preserve"> PAGEREF _Toc153787071 \h </w:instrText>
      </w:r>
      <w:r>
        <w:fldChar w:fldCharType="separate"/>
      </w:r>
      <w:r>
        <w:t>5</w:t>
      </w:r>
      <w:r>
        <w:fldChar w:fldCharType="end"/>
      </w:r>
    </w:p>
    <w:p>
      <w:pPr>
        <w:pStyle w:val="TOC8"/>
        <w:rPr>
          <w:rFonts w:asciiTheme="minorHAnsi" w:eastAsiaTheme="minorEastAsia" w:hAnsiTheme="minorHAnsi" w:cstheme="minorBidi"/>
          <w:szCs w:val="22"/>
        </w:rPr>
      </w:pPr>
      <w:r>
        <w:t>5AC.</w:t>
      </w:r>
      <w:r>
        <w:tab/>
        <w:t>Exemption from section 27B of Act if residential tenancy agreement extended or renewed</w:t>
      </w:r>
      <w:r>
        <w:tab/>
      </w:r>
      <w:r>
        <w:fldChar w:fldCharType="begin"/>
      </w:r>
      <w:r>
        <w:instrText xml:space="preserve"> PAGEREF _Toc153787072 \h </w:instrText>
      </w:r>
      <w:r>
        <w:fldChar w:fldCharType="separate"/>
      </w:r>
      <w:r>
        <w:t>6</w:t>
      </w:r>
      <w:r>
        <w:fldChar w:fldCharType="end"/>
      </w:r>
    </w:p>
    <w:p>
      <w:pPr>
        <w:pStyle w:val="TOC8"/>
        <w:rPr>
          <w:rFonts w:asciiTheme="minorHAnsi" w:eastAsiaTheme="minorEastAsia" w:hAnsiTheme="minorHAnsi" w:cstheme="minorBidi"/>
          <w:szCs w:val="22"/>
        </w:rPr>
      </w:pPr>
      <w:r>
        <w:t>5AD.</w:t>
      </w:r>
      <w:r>
        <w:tab/>
        <w:t>Modified application of section 27C(4) of Act for Housing Authority</w:t>
      </w:r>
      <w:r>
        <w:tab/>
      </w:r>
      <w:r>
        <w:fldChar w:fldCharType="begin"/>
      </w:r>
      <w:r>
        <w:instrText xml:space="preserve"> PAGEREF _Toc153787073 \h </w:instrText>
      </w:r>
      <w:r>
        <w:fldChar w:fldCharType="separate"/>
      </w:r>
      <w:r>
        <w:t>6</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Act</w:t>
      </w:r>
      <w:r>
        <w:tab/>
      </w:r>
      <w:r>
        <w:fldChar w:fldCharType="begin"/>
      </w:r>
      <w:r>
        <w:instrText xml:space="preserve"> PAGEREF _Toc153787074 \h </w:instrText>
      </w:r>
      <w:r>
        <w:fldChar w:fldCharType="separate"/>
      </w:r>
      <w:r>
        <w:t>7</w:t>
      </w:r>
      <w:r>
        <w:fldChar w:fldCharType="end"/>
      </w:r>
    </w:p>
    <w:p>
      <w:pPr>
        <w:pStyle w:val="TOC8"/>
        <w:rPr>
          <w:rFonts w:asciiTheme="minorHAnsi" w:eastAsiaTheme="minorEastAsia" w:hAnsiTheme="minorHAnsi" w:cstheme="minorBidi"/>
          <w:szCs w:val="22"/>
        </w:rPr>
      </w:pPr>
      <w:r>
        <w:t>5BA.</w:t>
      </w:r>
      <w:r>
        <w:tab/>
        <w:t>Exemptions from section 29(8) of Act</w:t>
      </w:r>
      <w:r>
        <w:tab/>
      </w:r>
      <w:r>
        <w:fldChar w:fldCharType="begin"/>
      </w:r>
      <w:r>
        <w:instrText xml:space="preserve"> PAGEREF _Toc153787075 \h </w:instrText>
      </w:r>
      <w:r>
        <w:fldChar w:fldCharType="separate"/>
      </w:r>
      <w:r>
        <w:t>8</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Act</w:t>
      </w:r>
      <w:r>
        <w:tab/>
      </w:r>
      <w:r>
        <w:fldChar w:fldCharType="begin"/>
      </w:r>
      <w:r>
        <w:instrText xml:space="preserve"> PAGEREF _Toc153787076 \h </w:instrText>
      </w:r>
      <w:r>
        <w:fldChar w:fldCharType="separate"/>
      </w:r>
      <w:r>
        <w:t>8</w:t>
      </w:r>
      <w:r>
        <w:fldChar w:fldCharType="end"/>
      </w:r>
    </w:p>
    <w:p>
      <w:pPr>
        <w:pStyle w:val="TOC8"/>
        <w:rPr>
          <w:rFonts w:asciiTheme="minorHAnsi" w:eastAsiaTheme="minorEastAsia" w:hAnsiTheme="minorHAnsi" w:cstheme="minorBidi"/>
          <w:szCs w:val="22"/>
        </w:rPr>
      </w:pPr>
      <w:r>
        <w:t>5CA.</w:t>
      </w:r>
      <w:r>
        <w:tab/>
        <w:t>Modified application of section 30(2)(a) of Act</w:t>
      </w:r>
      <w:r>
        <w:tab/>
      </w:r>
      <w:r>
        <w:fldChar w:fldCharType="begin"/>
      </w:r>
      <w:r>
        <w:instrText xml:space="preserve"> PAGEREF _Toc153787077 \h </w:instrText>
      </w:r>
      <w:r>
        <w:fldChar w:fldCharType="separate"/>
      </w:r>
      <w:r>
        <w:t>10</w:t>
      </w:r>
      <w:r>
        <w:fldChar w:fldCharType="end"/>
      </w:r>
    </w:p>
    <w:p>
      <w:pPr>
        <w:pStyle w:val="TOC8"/>
        <w:rPr>
          <w:rFonts w:asciiTheme="minorHAnsi" w:eastAsiaTheme="minorEastAsia" w:hAnsiTheme="minorHAnsi" w:cstheme="minorBidi"/>
          <w:szCs w:val="22"/>
        </w:rPr>
      </w:pPr>
      <w:r>
        <w:lastRenderedPageBreak/>
        <w:t>5C.</w:t>
      </w:r>
      <w:r>
        <w:tab/>
        <w:t>Exemption from section 33 of Act for employment</w:t>
      </w:r>
      <w:r>
        <w:noBreakHyphen/>
        <w:t>linked residential tenancy agreements</w:t>
      </w:r>
      <w:r>
        <w:tab/>
      </w:r>
      <w:r>
        <w:fldChar w:fldCharType="begin"/>
      </w:r>
      <w:r>
        <w:instrText xml:space="preserve"> PAGEREF _Toc153787078 \h </w:instrText>
      </w:r>
      <w:r>
        <w:fldChar w:fldCharType="separate"/>
      </w:r>
      <w:r>
        <w:t>11</w:t>
      </w:r>
      <w:r>
        <w:fldChar w:fldCharType="end"/>
      </w:r>
    </w:p>
    <w:p>
      <w:pPr>
        <w:pStyle w:val="TOC8"/>
        <w:rPr>
          <w:rFonts w:asciiTheme="minorHAnsi" w:eastAsiaTheme="minorEastAsia" w:hAnsiTheme="minorHAnsi" w:cstheme="minorBidi"/>
          <w:szCs w:val="22"/>
        </w:rPr>
      </w:pPr>
      <w:r>
        <w:t>5D.</w:t>
      </w:r>
      <w:r>
        <w:tab/>
        <w:t xml:space="preserve">Exemption for certain agreements under </w:t>
      </w:r>
      <w:r>
        <w:rPr>
          <w:i/>
        </w:rPr>
        <w:t>Land Administration Act 1997</w:t>
      </w:r>
      <w:r>
        <w:tab/>
      </w:r>
      <w:r>
        <w:fldChar w:fldCharType="begin"/>
      </w:r>
      <w:r>
        <w:instrText xml:space="preserve"> PAGEREF _Toc153787079 \h </w:instrText>
      </w:r>
      <w:r>
        <w:fldChar w:fldCharType="separate"/>
      </w:r>
      <w:r>
        <w:t>11</w:t>
      </w:r>
      <w:r>
        <w:fldChar w:fldCharType="end"/>
      </w:r>
    </w:p>
    <w:p>
      <w:pPr>
        <w:pStyle w:val="TOC8"/>
        <w:rPr>
          <w:rFonts w:asciiTheme="minorHAnsi" w:eastAsiaTheme="minorEastAsia" w:hAnsiTheme="minorHAnsi" w:cstheme="minorBidi"/>
          <w:szCs w:val="22"/>
        </w:rPr>
      </w:pPr>
      <w:r>
        <w:t>6.</w:t>
      </w:r>
      <w:r>
        <w:tab/>
        <w:t>Modified application of section 43(3) of Act when Housing Authority is lessor of premises outside metropolitan region</w:t>
      </w:r>
      <w:r>
        <w:tab/>
      </w:r>
      <w:r>
        <w:fldChar w:fldCharType="begin"/>
      </w:r>
      <w:r>
        <w:instrText xml:space="preserve"> PAGEREF _Toc153787080 \h </w:instrText>
      </w:r>
      <w:r>
        <w:fldChar w:fldCharType="separate"/>
      </w:r>
      <w:r>
        <w:t>12</w:t>
      </w:r>
      <w:r>
        <w:fldChar w:fldCharType="end"/>
      </w:r>
    </w:p>
    <w:p>
      <w:pPr>
        <w:pStyle w:val="TOC8"/>
        <w:rPr>
          <w:rFonts w:asciiTheme="minorHAnsi" w:eastAsiaTheme="minorEastAsia" w:hAnsiTheme="minorHAnsi" w:cstheme="minorBidi"/>
          <w:szCs w:val="22"/>
        </w:rPr>
      </w:pPr>
      <w:r>
        <w:t>6A.</w:t>
      </w:r>
      <w:r>
        <w:tab/>
        <w:t>Modified application of s. 71AD(2) of Act when Housing Authority is lessor of premises</w:t>
      </w:r>
      <w:r>
        <w:tab/>
      </w:r>
      <w:r>
        <w:fldChar w:fldCharType="begin"/>
      </w:r>
      <w:r>
        <w:instrText xml:space="preserve"> PAGEREF _Toc153787081 \h </w:instrText>
      </w:r>
      <w:r>
        <w:fldChar w:fldCharType="separate"/>
      </w:r>
      <w:r>
        <w:t>12</w:t>
      </w:r>
      <w:r>
        <w:fldChar w:fldCharType="end"/>
      </w:r>
    </w:p>
    <w:p>
      <w:pPr>
        <w:pStyle w:val="TOC8"/>
        <w:rPr>
          <w:rFonts w:asciiTheme="minorHAnsi" w:eastAsiaTheme="minorEastAsia" w:hAnsiTheme="minorHAnsi" w:cstheme="minorBidi"/>
          <w:szCs w:val="22"/>
        </w:rPr>
      </w:pPr>
      <w:r>
        <w:t>6B.</w:t>
      </w:r>
      <w:r>
        <w:tab/>
        <w:t>Exemption from Act s. 45(2)(b) if Housing Authority is lessor</w:t>
      </w:r>
      <w:r>
        <w:tab/>
      </w:r>
      <w:r>
        <w:fldChar w:fldCharType="begin"/>
      </w:r>
      <w:r>
        <w:instrText xml:space="preserve"> PAGEREF _Toc153787082 \h </w:instrText>
      </w:r>
      <w:r>
        <w:fldChar w:fldCharType="separate"/>
      </w:r>
      <w:r>
        <w:t>13</w:t>
      </w:r>
      <w:r>
        <w:fldChar w:fldCharType="end"/>
      </w:r>
    </w:p>
    <w:p>
      <w:pPr>
        <w:pStyle w:val="TOC8"/>
        <w:rPr>
          <w:rFonts w:asciiTheme="minorHAnsi" w:eastAsiaTheme="minorEastAsia" w:hAnsiTheme="minorHAnsi" w:cstheme="minorBidi"/>
          <w:szCs w:val="22"/>
        </w:rPr>
      </w:pPr>
      <w:r>
        <w:t>7A.</w:t>
      </w:r>
      <w:r>
        <w:tab/>
        <w:t>Modified application of s. 45(1) of Act</w:t>
      </w:r>
      <w:r>
        <w:tab/>
      </w:r>
      <w:r>
        <w:fldChar w:fldCharType="begin"/>
      </w:r>
      <w:r>
        <w:instrText xml:space="preserve"> PAGEREF _Toc153787083 \h </w:instrText>
      </w:r>
      <w:r>
        <w:fldChar w:fldCharType="separate"/>
      </w:r>
      <w:r>
        <w:t>13</w:t>
      </w:r>
      <w:r>
        <w:fldChar w:fldCharType="end"/>
      </w:r>
    </w:p>
    <w:p>
      <w:pPr>
        <w:pStyle w:val="TOC8"/>
        <w:rPr>
          <w:rFonts w:asciiTheme="minorHAnsi" w:eastAsiaTheme="minorEastAsia" w:hAnsiTheme="minorHAnsi" w:cstheme="minorBidi"/>
          <w:szCs w:val="22"/>
        </w:rPr>
      </w:pPr>
      <w:r>
        <w:t>7B.</w:t>
      </w:r>
      <w:r>
        <w:tab/>
        <w:t>Modified application of section 47(1)(b) of Act for Housing Authority</w:t>
      </w:r>
      <w:r>
        <w:tab/>
      </w:r>
      <w:r>
        <w:fldChar w:fldCharType="begin"/>
      </w:r>
      <w:r>
        <w:instrText xml:space="preserve"> PAGEREF _Toc153787084 \h </w:instrText>
      </w:r>
      <w:r>
        <w:fldChar w:fldCharType="separate"/>
      </w:r>
      <w:r>
        <w:t>14</w:t>
      </w:r>
      <w:r>
        <w:fldChar w:fldCharType="end"/>
      </w:r>
    </w:p>
    <w:p>
      <w:pPr>
        <w:pStyle w:val="TOC8"/>
        <w:rPr>
          <w:rFonts w:asciiTheme="minorHAnsi" w:eastAsiaTheme="minorEastAsia" w:hAnsiTheme="minorHAnsi" w:cstheme="minorBidi"/>
          <w:szCs w:val="22"/>
        </w:rPr>
      </w:pPr>
      <w:r>
        <w:t>7C.</w:t>
      </w:r>
      <w:r>
        <w:tab/>
        <w:t>Modified application of s. 60(1) of Act</w:t>
      </w:r>
      <w:r>
        <w:tab/>
      </w:r>
      <w:r>
        <w:fldChar w:fldCharType="begin"/>
      </w:r>
      <w:r>
        <w:instrText xml:space="preserve"> PAGEREF _Toc153787085 \h </w:instrText>
      </w:r>
      <w:r>
        <w:fldChar w:fldCharType="separate"/>
      </w:r>
      <w:r>
        <w:t>14</w:t>
      </w:r>
      <w:r>
        <w:fldChar w:fldCharType="end"/>
      </w:r>
    </w:p>
    <w:p>
      <w:pPr>
        <w:pStyle w:val="TOC8"/>
        <w:rPr>
          <w:rFonts w:asciiTheme="minorHAnsi" w:eastAsiaTheme="minorEastAsia" w:hAnsiTheme="minorHAnsi" w:cstheme="minorBidi"/>
          <w:szCs w:val="22"/>
        </w:rPr>
      </w:pPr>
      <w:r>
        <w:t>7D.</w:t>
      </w:r>
      <w:r>
        <w:tab/>
        <w:t>Modified application of section 70A of Act for Foyer Oxford</w:t>
      </w:r>
      <w:r>
        <w:tab/>
      </w:r>
      <w:r>
        <w:fldChar w:fldCharType="begin"/>
      </w:r>
      <w:r>
        <w:instrText xml:space="preserve"> PAGEREF _Toc153787086 \h </w:instrText>
      </w:r>
      <w:r>
        <w:fldChar w:fldCharType="separate"/>
      </w:r>
      <w:r>
        <w:t>15</w:t>
      </w:r>
      <w:r>
        <w:fldChar w:fldCharType="end"/>
      </w:r>
    </w:p>
    <w:p>
      <w:pPr>
        <w:pStyle w:val="TOC8"/>
        <w:rPr>
          <w:rFonts w:asciiTheme="minorHAnsi" w:eastAsiaTheme="minorEastAsia" w:hAnsiTheme="minorHAnsi" w:cstheme="minorBidi"/>
          <w:szCs w:val="22"/>
        </w:rPr>
      </w:pPr>
      <w:r>
        <w:t>7E.</w:t>
      </w:r>
      <w:r>
        <w:tab/>
        <w:t>Modified application of section 72 of Act</w:t>
      </w:r>
      <w:r>
        <w:tab/>
      </w:r>
      <w:r>
        <w:fldChar w:fldCharType="begin"/>
      </w:r>
      <w:r>
        <w:instrText xml:space="preserve"> PAGEREF _Toc153787087 \h </w:instrText>
      </w:r>
      <w:r>
        <w:fldChar w:fldCharType="separate"/>
      </w:r>
      <w:r>
        <w:t>16</w:t>
      </w:r>
      <w:r>
        <w:fldChar w:fldCharType="end"/>
      </w:r>
    </w:p>
    <w:p>
      <w:pPr>
        <w:pStyle w:val="TOC8"/>
        <w:rPr>
          <w:rFonts w:asciiTheme="minorHAnsi" w:eastAsiaTheme="minorEastAsia" w:hAnsiTheme="minorHAnsi" w:cstheme="minorBidi"/>
          <w:szCs w:val="22"/>
        </w:rPr>
      </w:pPr>
      <w:r>
        <w:t>7F.</w:t>
      </w:r>
      <w:r>
        <w:tab/>
        <w:t>Exemption from section 82 of Act</w:t>
      </w:r>
      <w:r>
        <w:tab/>
      </w:r>
      <w:r>
        <w:fldChar w:fldCharType="begin"/>
      </w:r>
      <w:r>
        <w:instrText xml:space="preserve"> PAGEREF _Toc153787088 \h </w:instrText>
      </w:r>
      <w:r>
        <w:fldChar w:fldCharType="separate"/>
      </w:r>
      <w:r>
        <w:t>16</w:t>
      </w:r>
      <w:r>
        <w:fldChar w:fldCharType="end"/>
      </w:r>
    </w:p>
    <w:p>
      <w:pPr>
        <w:pStyle w:val="TOC8"/>
        <w:rPr>
          <w:rFonts w:asciiTheme="minorHAnsi" w:eastAsiaTheme="minorEastAsia" w:hAnsiTheme="minorHAnsi" w:cstheme="minorBidi"/>
          <w:szCs w:val="22"/>
        </w:rPr>
      </w:pPr>
      <w:r>
        <w:t>7FA.</w:t>
      </w:r>
      <w:r>
        <w:tab/>
        <w:t>Modified application of Act s. 85 for Housing Authority</w:t>
      </w:r>
      <w:r>
        <w:tab/>
      </w:r>
      <w:r>
        <w:fldChar w:fldCharType="begin"/>
      </w:r>
      <w:r>
        <w:instrText xml:space="preserve"> PAGEREF _Toc153787089 \h </w:instrText>
      </w:r>
      <w:r>
        <w:fldChar w:fldCharType="separate"/>
      </w:r>
      <w:r>
        <w:t>16</w:t>
      </w:r>
      <w:r>
        <w:fldChar w:fldCharType="end"/>
      </w:r>
    </w:p>
    <w:p>
      <w:pPr>
        <w:pStyle w:val="TOC8"/>
        <w:rPr>
          <w:rFonts w:asciiTheme="minorHAnsi" w:eastAsiaTheme="minorEastAsia" w:hAnsiTheme="minorHAnsi" w:cstheme="minorBidi"/>
          <w:szCs w:val="22"/>
        </w:rPr>
      </w:pPr>
      <w:r>
        <w:t>7G.</w:t>
      </w:r>
      <w:r>
        <w:tab/>
        <w:t>Modified application of section 93 of Act for Housing Authority</w:t>
      </w:r>
      <w:r>
        <w:tab/>
      </w:r>
      <w:r>
        <w:fldChar w:fldCharType="begin"/>
      </w:r>
      <w:r>
        <w:instrText xml:space="preserve"> PAGEREF _Toc153787090 \h </w:instrText>
      </w:r>
      <w:r>
        <w:fldChar w:fldCharType="separate"/>
      </w:r>
      <w:r>
        <w:t>17</w:t>
      </w:r>
      <w:r>
        <w:fldChar w:fldCharType="end"/>
      </w:r>
    </w:p>
    <w:p>
      <w:pPr>
        <w:pStyle w:val="TOC8"/>
        <w:rPr>
          <w:rFonts w:asciiTheme="minorHAnsi" w:eastAsiaTheme="minorEastAsia" w:hAnsiTheme="minorHAnsi" w:cstheme="minorBidi"/>
          <w:szCs w:val="22"/>
        </w:rPr>
      </w:pPr>
      <w:r>
        <w:t>7H.</w:t>
      </w:r>
      <w:r>
        <w:tab/>
        <w:t>Modified application of Schedule 1 clauses 5A and 5 of Act</w:t>
      </w:r>
      <w:r>
        <w:tab/>
      </w:r>
      <w:r>
        <w:fldChar w:fldCharType="begin"/>
      </w:r>
      <w:r>
        <w:instrText xml:space="preserve"> PAGEREF _Toc153787091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Act</w:t>
      </w:r>
      <w:r>
        <w:tab/>
      </w:r>
      <w:r>
        <w:fldChar w:fldCharType="begin"/>
      </w:r>
      <w:r>
        <w:instrText xml:space="preserve"> PAGEREF _Toc153787093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_Toc153787094 \h </w:instrText>
      </w:r>
      <w:r>
        <w:fldChar w:fldCharType="separate"/>
      </w:r>
      <w:r>
        <w:t>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Act</w:t>
      </w:r>
      <w:r>
        <w:tab/>
      </w:r>
      <w:r>
        <w:fldChar w:fldCharType="begin"/>
      </w:r>
      <w:r>
        <w:instrText xml:space="preserve"> PAGEREF _Toc153787095 \h </w:instrText>
      </w:r>
      <w:r>
        <w:fldChar w:fldCharType="separate"/>
      </w:r>
      <w:r>
        <w:t>22</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Act</w:t>
      </w:r>
      <w:r>
        <w:tab/>
      </w:r>
      <w:r>
        <w:fldChar w:fldCharType="begin"/>
      </w:r>
      <w:r>
        <w:instrText xml:space="preserve"> PAGEREF _Toc153787096 \h </w:instrText>
      </w:r>
      <w:r>
        <w:fldChar w:fldCharType="separate"/>
      </w:r>
      <w:r>
        <w:t>22</w:t>
      </w:r>
      <w:r>
        <w:fldChar w:fldCharType="end"/>
      </w:r>
    </w:p>
    <w:p>
      <w:pPr>
        <w:pStyle w:val="TOC8"/>
        <w:rPr>
          <w:rFonts w:asciiTheme="minorHAnsi" w:eastAsiaTheme="minorEastAsia" w:hAnsiTheme="minorHAnsi" w:cstheme="minorBidi"/>
          <w:szCs w:val="22"/>
        </w:rPr>
      </w:pPr>
      <w:r>
        <w:t>10AB.</w:t>
      </w:r>
      <w:r>
        <w:tab/>
        <w:t>Information to be given to tenant for section 27B of Act</w:t>
      </w:r>
      <w:r>
        <w:tab/>
      </w:r>
      <w:r>
        <w:fldChar w:fldCharType="begin"/>
      </w:r>
      <w:r>
        <w:instrText xml:space="preserve"> PAGEREF _Toc153787097 \h </w:instrText>
      </w:r>
      <w:r>
        <w:fldChar w:fldCharType="separate"/>
      </w:r>
      <w:r>
        <w:t>23</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Act</w:t>
      </w:r>
      <w:r>
        <w:tab/>
      </w:r>
      <w:r>
        <w:fldChar w:fldCharType="begin"/>
      </w:r>
      <w:r>
        <w:instrText xml:space="preserve"> PAGEREF _Toc153787098 \h </w:instrText>
      </w:r>
      <w:r>
        <w:fldChar w:fldCharType="separate"/>
      </w:r>
      <w:r>
        <w:t>23</w:t>
      </w:r>
      <w:r>
        <w:fldChar w:fldCharType="end"/>
      </w:r>
    </w:p>
    <w:p>
      <w:pPr>
        <w:pStyle w:val="TOC8"/>
        <w:rPr>
          <w:rFonts w:asciiTheme="minorHAnsi" w:eastAsiaTheme="minorEastAsia" w:hAnsiTheme="minorHAnsi" w:cstheme="minorBidi"/>
          <w:szCs w:val="22"/>
        </w:rPr>
      </w:pPr>
      <w:r>
        <w:t>10AD.</w:t>
      </w:r>
      <w:r>
        <w:tab/>
        <w:t>Amount prescribed for section 27(2)(a) of Act</w:t>
      </w:r>
      <w:r>
        <w:tab/>
      </w:r>
      <w:r>
        <w:fldChar w:fldCharType="begin"/>
      </w:r>
      <w:r>
        <w:instrText xml:space="preserve"> PAGEREF _Toc153787099 \h </w:instrText>
      </w:r>
      <w:r>
        <w:fldChar w:fldCharType="separate"/>
      </w:r>
      <w:r>
        <w:t>23</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Act</w:t>
      </w:r>
      <w:r>
        <w:tab/>
      </w:r>
      <w:r>
        <w:fldChar w:fldCharType="begin"/>
      </w:r>
      <w:r>
        <w:instrText xml:space="preserve"> PAGEREF _Toc153787100 \h </w:instrText>
      </w:r>
      <w:r>
        <w:fldChar w:fldCharType="separate"/>
      </w:r>
      <w:r>
        <w:t>24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Act</w:t>
      </w:r>
      <w:r>
        <w:tab/>
      </w:r>
      <w:r>
        <w:fldChar w:fldCharType="begin"/>
      </w:r>
      <w:r>
        <w:instrText xml:space="preserve"> PAGEREF _Toc153787101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12A.</w:t>
      </w:r>
      <w:r>
        <w:tab/>
        <w:t>Essential services prescribed for section 43(1) of Act</w:t>
      </w:r>
      <w:r>
        <w:tab/>
      </w:r>
      <w:r>
        <w:fldChar w:fldCharType="begin"/>
      </w:r>
      <w:r>
        <w:instrText xml:space="preserve"> PAGEREF _Toc153787102 \h </w:instrText>
      </w:r>
      <w:r>
        <w:fldChar w:fldCharType="separate"/>
      </w:r>
      <w:r>
        <w:t>24</w:t>
      </w:r>
      <w:r>
        <w:fldChar w:fldCharType="end"/>
      </w:r>
    </w:p>
    <w:p>
      <w:pPr>
        <w:pStyle w:val="TOC8"/>
        <w:rPr>
          <w:rFonts w:asciiTheme="minorHAnsi" w:eastAsiaTheme="minorEastAsia" w:hAnsiTheme="minorHAnsi" w:cstheme="minorBidi"/>
          <w:szCs w:val="22"/>
        </w:rPr>
      </w:pPr>
      <w:r>
        <w:t>12B.</w:t>
      </w:r>
      <w:r>
        <w:tab/>
        <w:t>Means to secure residential premises prescribed for s. 45(1)(a) of Act</w:t>
      </w:r>
      <w:r>
        <w:tab/>
      </w:r>
      <w:r>
        <w:fldChar w:fldCharType="begin"/>
      </w:r>
      <w:r>
        <w:instrText xml:space="preserve"> PAGEREF _Toc153787103 \h </w:instrText>
      </w:r>
      <w:r>
        <w:fldChar w:fldCharType="separate"/>
      </w:r>
      <w:r>
        <w:t>25</w:t>
      </w:r>
      <w:r>
        <w:fldChar w:fldCharType="end"/>
      </w:r>
    </w:p>
    <w:p>
      <w:pPr>
        <w:pStyle w:val="TOC8"/>
        <w:rPr>
          <w:rFonts w:asciiTheme="minorHAnsi" w:eastAsiaTheme="minorEastAsia" w:hAnsiTheme="minorHAnsi" w:cstheme="minorBidi"/>
          <w:szCs w:val="22"/>
        </w:rPr>
      </w:pPr>
      <w:r>
        <w:t>12BA.</w:t>
      </w:r>
      <w:r>
        <w:tab/>
        <w:t>Prescribed alterations for s. 47(4) of Act</w:t>
      </w:r>
      <w:r>
        <w:tab/>
      </w:r>
      <w:r>
        <w:fldChar w:fldCharType="begin"/>
      </w:r>
      <w:r>
        <w:instrText xml:space="preserve"> PAGEREF _Toc153787104 \h </w:instrText>
      </w:r>
      <w:r>
        <w:fldChar w:fldCharType="separate"/>
      </w:r>
      <w:r>
        <w:t>26</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Act</w:t>
      </w:r>
      <w:r>
        <w:tab/>
      </w:r>
      <w:r>
        <w:fldChar w:fldCharType="begin"/>
      </w:r>
      <w:r>
        <w:instrText xml:space="preserve"> PAGEREF _Toc153787105 \h </w:instrText>
      </w:r>
      <w:r>
        <w:fldChar w:fldCharType="separate"/>
      </w:r>
      <w:r>
        <w:t>27</w:t>
      </w:r>
      <w:r>
        <w:fldChar w:fldCharType="end"/>
      </w:r>
    </w:p>
    <w:p>
      <w:pPr>
        <w:pStyle w:val="TOC8"/>
        <w:rPr>
          <w:rFonts w:asciiTheme="minorHAnsi" w:eastAsiaTheme="minorEastAsia" w:hAnsiTheme="minorHAnsi" w:cstheme="minorBidi"/>
          <w:szCs w:val="22"/>
        </w:rPr>
      </w:pPr>
      <w:r>
        <w:t>12CA.</w:t>
      </w:r>
      <w:r>
        <w:tab/>
        <w:t>Prescribed person for s. 71AB(2)(d)(vi) of Act</w:t>
      </w:r>
      <w:r>
        <w:tab/>
      </w:r>
      <w:r>
        <w:fldChar w:fldCharType="begin"/>
      </w:r>
      <w:r>
        <w:instrText xml:space="preserve"> PAGEREF _Toc153787106 \h </w:instrText>
      </w:r>
      <w:r>
        <w:fldChar w:fldCharType="separate"/>
      </w:r>
      <w:r>
        <w:t>28</w:t>
      </w:r>
      <w:r>
        <w:fldChar w:fldCharType="end"/>
      </w:r>
    </w:p>
    <w:p>
      <w:pPr>
        <w:pStyle w:val="TOC8"/>
        <w:rPr>
          <w:rFonts w:asciiTheme="minorHAnsi" w:eastAsiaTheme="minorEastAsia" w:hAnsiTheme="minorHAnsi" w:cstheme="minorBidi"/>
          <w:szCs w:val="22"/>
        </w:rPr>
      </w:pPr>
      <w:r>
        <w:t>12D.</w:t>
      </w:r>
      <w:r>
        <w:tab/>
        <w:t>Manner prescribed for purposes of section 79(3)(b) of Act</w:t>
      </w:r>
      <w:r>
        <w:tab/>
      </w:r>
      <w:r>
        <w:fldChar w:fldCharType="begin"/>
      </w:r>
      <w:r>
        <w:instrText xml:space="preserve"> PAGEREF _Toc153787107 \h </w:instrText>
      </w:r>
      <w:r>
        <w:fldChar w:fldCharType="separate"/>
      </w:r>
      <w:r>
        <w:t>28</w:t>
      </w:r>
      <w:r>
        <w:fldChar w:fldCharType="end"/>
      </w:r>
    </w:p>
    <w:p>
      <w:pPr>
        <w:pStyle w:val="TOC8"/>
        <w:rPr>
          <w:rFonts w:asciiTheme="minorHAnsi" w:eastAsiaTheme="minorEastAsia" w:hAnsiTheme="minorHAnsi" w:cstheme="minorBidi"/>
          <w:szCs w:val="22"/>
        </w:rPr>
      </w:pPr>
      <w:r>
        <w:t>12E.</w:t>
      </w:r>
      <w:r>
        <w:tab/>
        <w:t>Information prescribed for section 79(10) of Act</w:t>
      </w:r>
      <w:r>
        <w:tab/>
      </w:r>
      <w:r>
        <w:fldChar w:fldCharType="begin"/>
      </w:r>
      <w:r>
        <w:instrText xml:space="preserve"> PAGEREF _Toc153787108 \h </w:instrText>
      </w:r>
      <w:r>
        <w:fldChar w:fldCharType="separate"/>
      </w:r>
      <w:r>
        <w:t>28</w:t>
      </w:r>
      <w:r>
        <w:fldChar w:fldCharType="end"/>
      </w:r>
    </w:p>
    <w:p>
      <w:pPr>
        <w:pStyle w:val="TOC8"/>
        <w:rPr>
          <w:rFonts w:asciiTheme="minorHAnsi" w:eastAsiaTheme="minorEastAsia" w:hAnsiTheme="minorHAnsi" w:cstheme="minorBidi"/>
          <w:szCs w:val="22"/>
        </w:rPr>
      </w:pPr>
      <w:r>
        <w:t>12.</w:t>
      </w:r>
      <w:r>
        <w:tab/>
        <w:t>Manner prescribed for purposes of section 85(3)(c) of Act</w:t>
      </w:r>
      <w:r>
        <w:tab/>
      </w:r>
      <w:r>
        <w:fldChar w:fldCharType="begin"/>
      </w:r>
      <w:r>
        <w:instrText xml:space="preserve"> PAGEREF _Toc153787109 \h </w:instrText>
      </w:r>
      <w:r>
        <w:fldChar w:fldCharType="separate"/>
      </w:r>
      <w:r>
        <w:t>29</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_Toc153787110 \h </w:instrText>
      </w:r>
      <w:r>
        <w:fldChar w:fldCharType="separate"/>
      </w:r>
      <w:r>
        <w:t>29</w:t>
      </w:r>
      <w:r>
        <w:fldChar w:fldCharType="end"/>
      </w:r>
    </w:p>
    <w:p>
      <w:pPr>
        <w:pStyle w:val="TOC8"/>
        <w:rPr>
          <w:rFonts w:asciiTheme="minorHAnsi" w:eastAsiaTheme="minorEastAsia" w:hAnsiTheme="minorHAnsi" w:cstheme="minorBidi"/>
          <w:szCs w:val="22"/>
        </w:rPr>
      </w:pPr>
      <w:r>
        <w:t>14.</w:t>
      </w:r>
      <w:r>
        <w:tab/>
        <w:t>Matters prescribed for section 94 of Act</w:t>
      </w:r>
      <w:r>
        <w:tab/>
      </w:r>
      <w:r>
        <w:fldChar w:fldCharType="begin"/>
      </w:r>
      <w:r>
        <w:instrText xml:space="preserve"> PAGEREF _Toc153787111 \h </w:instrText>
      </w:r>
      <w:r>
        <w:fldChar w:fldCharType="separate"/>
      </w:r>
      <w:r>
        <w:t>29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_Toc153787112 \h </w:instrText>
      </w:r>
      <w:r>
        <w:fldChar w:fldCharType="separate"/>
      </w:r>
      <w:r>
        <w:t>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_Toc153787113 \h </w:instrText>
      </w:r>
      <w:r>
        <w:fldChar w:fldCharType="separate"/>
      </w:r>
      <w:r>
        <w:t>32</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_Toc153787114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_Toc153787119 \h </w:instrText>
      </w:r>
      <w:r>
        <w:fldChar w:fldCharType="separate"/>
      </w:r>
      <w:r>
        <w:t>123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_Toc153787120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400"/>
        <w:rPr>
          <w:snapToGrid w:val="0"/>
        </w:rPr>
      </w:pPr>
      <w:r>
        <w:rPr>
          <w:snapToGrid w:val="0"/>
        </w:rPr>
        <w:lastRenderedPageBreak/>
        <w:t>Residential Tenancies Act 1987</w:t>
      </w:r>
    </w:p>
    <w:p>
      <w:pPr>
        <w:pStyle w:val="NameofActReg"/>
        <w:spacing w:after="480"/>
      </w:pPr>
      <w:r>
        <w:t>Residential Tenancies Regulations 1989</w:t>
      </w:r>
    </w:p>
    <w:p>
      <w:pPr>
        <w:pStyle w:val="Heading2"/>
        <w:pageBreakBefore w:val="0"/>
      </w:pPr>
      <w:bookmarkStart w:id="3" w:name="_Toc153532074"/>
      <w:bookmarkStart w:id="4" w:name="_Toc153534199"/>
      <w:bookmarkStart w:id="5" w:name="_Toc15378706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spacing w:before="100"/>
      </w:pPr>
      <w:r>
        <w:tab/>
        <w:t>[Heading inserted: Gazette 3 May 2013 p. 1737.]</w:t>
      </w:r>
    </w:p>
    <w:p>
      <w:pPr>
        <w:pStyle w:val="Heading5"/>
        <w:rPr>
          <w:snapToGrid w:val="0"/>
        </w:rPr>
      </w:pPr>
      <w:bookmarkStart w:id="6" w:name="_Toc153787061"/>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w:t>
      </w:r>
    </w:p>
    <w:p>
      <w:pPr>
        <w:pStyle w:val="Heading5"/>
        <w:rPr>
          <w:snapToGrid w:val="0"/>
        </w:rPr>
      </w:pPr>
      <w:bookmarkStart w:id="7" w:name="_Toc15378706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p>
    <w:p>
      <w:pPr>
        <w:pStyle w:val="Ednotesection"/>
      </w:pPr>
      <w:r>
        <w:t>[</w:t>
      </w:r>
      <w:r>
        <w:rPr>
          <w:b/>
        </w:rPr>
        <w:t>2A.</w:t>
      </w:r>
      <w:r>
        <w:rPr>
          <w:b/>
        </w:rPr>
        <w:tab/>
      </w:r>
      <w:r>
        <w:t>Deleted: Gazette 3 May 2013 p. 1738.]</w:t>
      </w:r>
    </w:p>
    <w:p>
      <w:pPr>
        <w:pStyle w:val="Heading5"/>
      </w:pPr>
      <w:bookmarkStart w:id="8" w:name="_Toc153787063"/>
      <w:r>
        <w:rPr>
          <w:rStyle w:val="CharSectno"/>
        </w:rPr>
        <w:t>3A</w:t>
      </w:r>
      <w:r>
        <w:t>.</w:t>
      </w:r>
      <w:r>
        <w:tab/>
        <w:t>Terms used</w:t>
      </w:r>
      <w:bookmarkEnd w:id="8"/>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9" w:name="_Toc153532078"/>
      <w:bookmarkStart w:id="10" w:name="_Toc153534203"/>
      <w:bookmarkStart w:id="11" w:name="_Toc153787064"/>
      <w:r>
        <w:rPr>
          <w:rStyle w:val="CharPartNo"/>
        </w:rPr>
        <w:lastRenderedPageBreak/>
        <w:t>Part 2</w:t>
      </w:r>
      <w:r>
        <w:rPr>
          <w:rStyle w:val="CharDivNo"/>
        </w:rPr>
        <w:t> </w:t>
      </w:r>
      <w:r>
        <w:t>—</w:t>
      </w:r>
      <w:r>
        <w:rPr>
          <w:rStyle w:val="CharDivText"/>
        </w:rPr>
        <w:t> </w:t>
      </w:r>
      <w:r>
        <w:rPr>
          <w:rStyle w:val="CharPartText"/>
        </w:rPr>
        <w:t>Application of Act, modification of application</w:t>
      </w:r>
      <w:bookmarkEnd w:id="9"/>
      <w:bookmarkEnd w:id="10"/>
      <w:bookmarkEnd w:id="11"/>
    </w:p>
    <w:p>
      <w:pPr>
        <w:pStyle w:val="Footnoteheading"/>
      </w:pPr>
      <w:r>
        <w:tab/>
        <w:t>[Heading inserted: Gazette 21 Mar 2014 p. 731.]</w:t>
      </w:r>
    </w:p>
    <w:p>
      <w:pPr>
        <w:pStyle w:val="Heading5"/>
        <w:spacing w:before="200"/>
        <w:rPr>
          <w:snapToGrid w:val="0"/>
        </w:rPr>
      </w:pPr>
      <w:bookmarkStart w:id="12" w:name="_Toc153787065"/>
      <w:r>
        <w:rPr>
          <w:rStyle w:val="CharSectno"/>
        </w:rPr>
        <w:t>3</w:t>
      </w:r>
      <w:r>
        <w:rPr>
          <w:snapToGrid w:val="0"/>
        </w:rPr>
        <w:t>.</w:t>
      </w:r>
      <w:r>
        <w:rPr>
          <w:snapToGrid w:val="0"/>
        </w:rPr>
        <w:tab/>
        <w:t>Exemption for retirement villages</w:t>
      </w:r>
      <w:bookmarkEnd w:id="12"/>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13" w:name="_Toc153787066"/>
      <w:r>
        <w:rPr>
          <w:rStyle w:val="CharSectno"/>
        </w:rPr>
        <w:t>4</w:t>
      </w:r>
      <w:r>
        <w:rPr>
          <w:snapToGrid w:val="0"/>
        </w:rPr>
        <w:t>.</w:t>
      </w:r>
      <w:r>
        <w:rPr>
          <w:snapToGrid w:val="0"/>
        </w:rPr>
        <w:tab/>
        <w:t>Exemption for certain agreements with squatters</w:t>
      </w:r>
      <w:bookmarkEnd w:id="13"/>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lastRenderedPageBreak/>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14" w:name="_Toc153787067"/>
      <w:r>
        <w:rPr>
          <w:rStyle w:val="CharSectno"/>
        </w:rPr>
        <w:t>5</w:t>
      </w:r>
      <w:r>
        <w:rPr>
          <w:snapToGrid w:val="0"/>
        </w:rPr>
        <w:t>.</w:t>
      </w:r>
      <w:r>
        <w:rPr>
          <w:snapToGrid w:val="0"/>
        </w:rPr>
        <w:tab/>
        <w:t xml:space="preserve">Exemption for certain agreements under </w:t>
      </w:r>
      <w:r>
        <w:rPr>
          <w:i/>
          <w:snapToGrid w:val="0"/>
        </w:rPr>
        <w:t>Land Act 1933</w:t>
      </w:r>
      <w:bookmarkEnd w:id="14"/>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1</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1</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1</w:t>
      </w:r>
      <w:r>
        <w:rPr>
          <w:snapToGrid w:val="0"/>
        </w:rPr>
        <w:t xml:space="preserve"> is a prescribed agreement for the purposes of section 5(2)(g) of the Act.</w:t>
      </w:r>
    </w:p>
    <w:p>
      <w:pPr>
        <w:pStyle w:val="Heading5"/>
      </w:pPr>
      <w:bookmarkStart w:id="15" w:name="_Toc153787068"/>
      <w:r>
        <w:rPr>
          <w:rStyle w:val="CharSectno"/>
        </w:rPr>
        <w:t>5AAA</w:t>
      </w:r>
      <w:r>
        <w:t>.</w:t>
      </w:r>
      <w:r>
        <w:tab/>
        <w:t>Application of Act to certain accommodation at St Thomas More College</w:t>
      </w:r>
      <w:bookmarkEnd w:id="15"/>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lastRenderedPageBreak/>
        <w:tab/>
        <w:t>[Regulation 5AAA inserted: Gazette 21 Mar 2014 p. 731.]</w:t>
      </w:r>
    </w:p>
    <w:p>
      <w:pPr>
        <w:pStyle w:val="Heading5"/>
      </w:pPr>
      <w:bookmarkStart w:id="16" w:name="_Toc153787069"/>
      <w:r>
        <w:rPr>
          <w:rStyle w:val="CharSectno"/>
        </w:rPr>
        <w:t>5AA</w:t>
      </w:r>
      <w:r>
        <w:t>.</w:t>
      </w:r>
      <w:r>
        <w:tab/>
        <w:t>Modified application of section 22(2) of Act</w:t>
      </w:r>
      <w:bookmarkEnd w:id="16"/>
    </w:p>
    <w:p>
      <w:pPr>
        <w:pStyle w:val="Subsection"/>
      </w:pPr>
      <w:r>
        <w:tab/>
      </w:r>
      <w:r>
        <w:tab/>
        <w:t>Under section 6(a) of the Act it is provided that section 22(2) of the Act shall apply to a residential tenancy agreement the subject of proceedings as if it were modified by inserting after paragraph (a)(i):</w:t>
      </w:r>
    </w:p>
    <w:p>
      <w:pPr>
        <w:pStyle w:val="Indenti"/>
      </w:pPr>
      <w:r>
        <w:tab/>
        <w:t>(ia)</w:t>
      </w:r>
      <w:r>
        <w:tab/>
        <w:t xml:space="preserve">a person who is an employee of, or acting on behalf of, the property manager mentioned in subparagraph (i) and who is registered as a sales representative under the </w:t>
      </w:r>
      <w:r>
        <w:rPr>
          <w:i/>
        </w:rPr>
        <w:t>Real Estate and Business Agents Act 1978</w:t>
      </w:r>
      <w:r>
        <w:t>; or</w:t>
      </w:r>
    </w:p>
    <w:p>
      <w:pPr>
        <w:pStyle w:val="Footnotesection"/>
      </w:pPr>
      <w:r>
        <w:tab/>
        <w:t>[Regulation 5AA inserted: Gazette 3 May 2013 p. 1738-9; amended: Gazette 24 Dec 2019 p. 4419.]</w:t>
      </w:r>
    </w:p>
    <w:p>
      <w:pPr>
        <w:pStyle w:val="Heading5"/>
      </w:pPr>
      <w:bookmarkStart w:id="17" w:name="_Toc153787070"/>
      <w:r>
        <w:rPr>
          <w:rStyle w:val="CharSectno"/>
        </w:rPr>
        <w:t>5AB</w:t>
      </w:r>
      <w:r>
        <w:t>.</w:t>
      </w:r>
      <w:r>
        <w:tab/>
        <w:t>Exemptions from section 27A of Act — residential agreements not required to be in prescribed form</w:t>
      </w:r>
      <w:bookmarkEnd w:id="17"/>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lastRenderedPageBreak/>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18" w:name="_Toc153525902"/>
      <w:bookmarkStart w:id="19" w:name="_Toc153526076"/>
      <w:bookmarkStart w:id="20" w:name="_Toc153787071"/>
      <w:bookmarkStart w:id="21" w:name="_Hlk153532956"/>
      <w:r>
        <w:rPr>
          <w:rStyle w:val="CharSectno"/>
        </w:rPr>
        <w:t>5ABA</w:t>
      </w:r>
      <w:r>
        <w:t>.</w:t>
      </w:r>
      <w:r>
        <w:tab/>
        <w:t>Modified application of Act s. 27A — lessor may enter into agreement amended to reflect lawful terms</w:t>
      </w:r>
      <w:bookmarkEnd w:id="18"/>
      <w:bookmarkEnd w:id="19"/>
      <w:bookmarkEnd w:id="20"/>
    </w:p>
    <w:p>
      <w:pPr>
        <w:pStyle w:val="Subsection"/>
      </w:pPr>
      <w:r>
        <w:tab/>
      </w:r>
      <w:r>
        <w:tab/>
        <w:t xml:space="preserve">Under section 6(a) of the Act it is provided that section 27A of the Act applies to any written residential tenancy agreement as if it were modified by: </w:t>
      </w:r>
    </w:p>
    <w:p>
      <w:pPr>
        <w:pStyle w:val="Indenta"/>
        <w:spacing w:before="60"/>
      </w:pPr>
      <w:r>
        <w:tab/>
        <w:t>(a)</w:t>
      </w:r>
      <w:r>
        <w:tab/>
        <w:t>deleting “A lessor” and inserting:</w:t>
      </w:r>
    </w:p>
    <w:p>
      <w:pPr>
        <w:pStyle w:val="BlankOpen"/>
      </w:pPr>
    </w:p>
    <w:p>
      <w:pPr>
        <w:pStyle w:val="zMiscellaneousBody"/>
        <w:tabs>
          <w:tab w:val="left" w:pos="1701"/>
          <w:tab w:val="left" w:pos="2268"/>
        </w:tabs>
        <w:ind w:left="2977" w:hanging="1984"/>
      </w:pPr>
      <w:r>
        <w:tab/>
        <w:t>(1)</w:t>
      </w:r>
      <w:r>
        <w:tab/>
        <w:t>A lessor</w:t>
      </w:r>
    </w:p>
    <w:p>
      <w:pPr>
        <w:pStyle w:val="BlankClose"/>
      </w:pPr>
    </w:p>
    <w:p>
      <w:pPr>
        <w:pStyle w:val="Indenta"/>
        <w:spacing w:before="60"/>
      </w:pPr>
      <w:r>
        <w:tab/>
        <w:t>(b)</w:t>
      </w:r>
      <w:r>
        <w:tab/>
        <w:t xml:space="preserve">inserting at the end of section 27A: </w:t>
      </w:r>
    </w:p>
    <w:p>
      <w:pPr>
        <w:pStyle w:val="BlankOpen"/>
      </w:pPr>
    </w:p>
    <w:p>
      <w:pPr>
        <w:pStyle w:val="zMiscellaneousBody"/>
        <w:tabs>
          <w:tab w:val="left" w:pos="1701"/>
          <w:tab w:val="left" w:pos="2608"/>
        </w:tabs>
        <w:ind w:left="2268" w:hanging="1275"/>
      </w:pPr>
      <w:r>
        <w:tab/>
        <w:t>(2)</w:t>
      </w:r>
      <w:r>
        <w:tab/>
        <w:t xml:space="preserve">However, the lessor does not commit an offence against subsection (1) if the written residential tenancy agreement has been amended only to the extent necessary to — </w:t>
      </w:r>
    </w:p>
    <w:p>
      <w:pPr>
        <w:pStyle w:val="zMiscellaneousBody"/>
        <w:tabs>
          <w:tab w:val="left" w:pos="1701"/>
          <w:tab w:val="left" w:pos="2552"/>
          <w:tab w:val="left" w:pos="2977"/>
        </w:tabs>
        <w:ind w:left="2977" w:hanging="709"/>
      </w:pPr>
      <w:r>
        <w:tab/>
        <w:t>(a)</w:t>
      </w:r>
      <w:r>
        <w:tab/>
        <w:t xml:space="preserve">reflect the terms that lawfully apply to the agreement; or </w:t>
      </w:r>
    </w:p>
    <w:p>
      <w:pPr>
        <w:pStyle w:val="zMiscellaneousBody"/>
        <w:tabs>
          <w:tab w:val="left" w:pos="1701"/>
          <w:tab w:val="left" w:pos="2552"/>
          <w:tab w:val="left" w:pos="2977"/>
        </w:tabs>
        <w:ind w:left="2977" w:hanging="709"/>
      </w:pPr>
      <w:r>
        <w:tab/>
        <w:t>(b)</w:t>
      </w:r>
      <w:r>
        <w:tab/>
        <w:t>make incidental changes because the agreement has been amended under paragraph (a).</w:t>
      </w:r>
    </w:p>
    <w:p>
      <w:pPr>
        <w:pStyle w:val="BlankClose"/>
      </w:pPr>
    </w:p>
    <w:bookmarkEnd w:id="21"/>
    <w:p>
      <w:pPr>
        <w:pStyle w:val="Footnotesection"/>
        <w:ind w:left="890" w:hanging="890"/>
      </w:pPr>
      <w:r>
        <w:tab/>
        <w:t>[Regulation 5ABA inserted: SL 2023/206 r. 4.]</w:t>
      </w:r>
    </w:p>
    <w:p>
      <w:pPr>
        <w:pStyle w:val="Heading5"/>
      </w:pPr>
      <w:bookmarkStart w:id="22" w:name="_Toc153787072"/>
      <w:r>
        <w:rPr>
          <w:rStyle w:val="CharSectno"/>
        </w:rPr>
        <w:lastRenderedPageBreak/>
        <w:t>5AC</w:t>
      </w:r>
      <w:r>
        <w:t>.</w:t>
      </w:r>
      <w:r>
        <w:tab/>
        <w:t>Exemption from section 27B of Act if residential tenancy agreement extended or renewed</w:t>
      </w:r>
      <w:bookmarkEnd w:id="22"/>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23" w:name="_Toc153787073"/>
      <w:r>
        <w:rPr>
          <w:rStyle w:val="CharSectno"/>
        </w:rPr>
        <w:t>5AD</w:t>
      </w:r>
      <w:r>
        <w:t>.</w:t>
      </w:r>
      <w:r>
        <w:tab/>
        <w:t>Modified application of section 27C(4) of Act for Housing Authority</w:t>
      </w:r>
      <w:bookmarkEnd w:id="23"/>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lastRenderedPageBreak/>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24" w:name="_Toc153787074"/>
      <w:r>
        <w:rPr>
          <w:rStyle w:val="CharSectno"/>
        </w:rPr>
        <w:t>5A</w:t>
      </w:r>
      <w:r>
        <w:rPr>
          <w:snapToGrid w:val="0"/>
        </w:rPr>
        <w:t>.</w:t>
      </w:r>
      <w:r>
        <w:rPr>
          <w:snapToGrid w:val="0"/>
        </w:rPr>
        <w:tab/>
        <w:t>Exemption of Housing Authority from sections 29(4)(b) and 33 of Act</w:t>
      </w:r>
      <w:bookmarkEnd w:id="24"/>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25" w:name="_Toc153787075"/>
      <w:r>
        <w:rPr>
          <w:rStyle w:val="CharSectno"/>
        </w:rPr>
        <w:lastRenderedPageBreak/>
        <w:t>5BA</w:t>
      </w:r>
      <w:r>
        <w:t>.</w:t>
      </w:r>
      <w:r>
        <w:tab/>
        <w:t>Exemptions from section 29(8) of Act</w:t>
      </w:r>
      <w:bookmarkEnd w:id="25"/>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26" w:name="_Toc153787076"/>
      <w:r>
        <w:rPr>
          <w:rStyle w:val="CharSectno"/>
        </w:rPr>
        <w:t>5B</w:t>
      </w:r>
      <w:r>
        <w:rPr>
          <w:snapToGrid w:val="0"/>
        </w:rPr>
        <w:t>.</w:t>
      </w:r>
      <w:r>
        <w:rPr>
          <w:snapToGrid w:val="0"/>
        </w:rPr>
        <w:tab/>
        <w:t>Exemptions from section 30(1) of Act</w:t>
      </w:r>
      <w:bookmarkEnd w:id="26"/>
      <w:r>
        <w:rPr>
          <w:snapToGrid w:val="0"/>
        </w:rPr>
        <w:t xml:space="preserve"> </w:t>
      </w:r>
    </w:p>
    <w:p>
      <w:pPr>
        <w:pStyle w:val="Subsection"/>
        <w:keepNext/>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keepNext/>
      </w:pPr>
      <w:r>
        <w:lastRenderedPageBreak/>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“Butler’s Cottage”, Government House, 7</w:t>
            </w:r>
            <w:r>
              <w:rPr>
                <w:snapToGrid w:val="0"/>
              </w:rPr>
              <w:noBreakHyphen/>
              <w:t>21 St. George’s Terrace, Perth</w:t>
            </w:r>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lastRenderedPageBreak/>
              <w:t xml:space="preserve">The department of the Public Service principally assisting in the administration of the </w:t>
            </w:r>
            <w:r>
              <w:rPr>
                <w:i/>
                <w:iCs/>
              </w:rPr>
              <w:t>Agriculture Act 1988</w:t>
            </w:r>
            <w:r>
              <w:rPr>
                <w:iCs/>
                <w:vertAlign w:val="superscript"/>
              </w:rPr>
              <w:t> 2</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keepNext/>
              <w:keepLines/>
            </w:pPr>
            <w:r>
              <w:t>The Housing Authority</w:t>
            </w:r>
          </w:p>
        </w:tc>
      </w:tr>
      <w:tr>
        <w:trPr>
          <w:cantSplit/>
        </w:trPr>
        <w:tc>
          <w:tcPr>
            <w:tcW w:w="5953" w:type="dxa"/>
          </w:tcPr>
          <w:p>
            <w:pPr>
              <w:pStyle w:val="Table"/>
              <w:keepNext/>
              <w:keepLines/>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207"/>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spacing w:before="240"/>
      </w:pPr>
      <w:bookmarkStart w:id="27" w:name="_Toc153787077"/>
      <w:r>
        <w:rPr>
          <w:rStyle w:val="CharSectno"/>
        </w:rPr>
        <w:t>5CA</w:t>
      </w:r>
      <w:r>
        <w:t>.</w:t>
      </w:r>
      <w:r>
        <w:tab/>
        <w:t>Modified application of section 30(2)(a) of Act</w:t>
      </w:r>
      <w:bookmarkEnd w:id="27"/>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lastRenderedPageBreak/>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28" w:name="_Toc153787078"/>
      <w:r>
        <w:rPr>
          <w:rStyle w:val="CharSectno"/>
        </w:rPr>
        <w:t>5C</w:t>
      </w:r>
      <w:r>
        <w:t>.</w:t>
      </w:r>
      <w:r>
        <w:tab/>
        <w:t>Exemption from section 33 of Act for employment</w:t>
      </w:r>
      <w:r>
        <w:noBreakHyphen/>
        <w:t>linked residential tenancy agreements</w:t>
      </w:r>
      <w:bookmarkEnd w:id="28"/>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29" w:name="_Toc153787079"/>
      <w:r>
        <w:rPr>
          <w:rStyle w:val="CharSectno"/>
        </w:rPr>
        <w:t>5D</w:t>
      </w:r>
      <w:r>
        <w:t>.</w:t>
      </w:r>
      <w:r>
        <w:tab/>
        <w:t xml:space="preserve">Exemption for certain agreements under </w:t>
      </w:r>
      <w:r>
        <w:rPr>
          <w:i/>
        </w:rPr>
        <w:t>Land Administration Act 1997</w:t>
      </w:r>
      <w:bookmarkEnd w:id="29"/>
    </w:p>
    <w:p>
      <w:pPr>
        <w:pStyle w:val="Subsection"/>
        <w:spacing w:before="150"/>
      </w:pPr>
      <w:r>
        <w:tab/>
        <w:t>(1)</w:t>
      </w:r>
      <w:r>
        <w:tab/>
        <w:t>The Minister for Lands in the exercise of a specified power is prescribed for the purposes of section 5(2)(f) of the Act.</w:t>
      </w:r>
    </w:p>
    <w:p>
      <w:pPr>
        <w:pStyle w:val="Subsection"/>
        <w:keepNext/>
        <w:spacing w:before="150"/>
      </w:pPr>
      <w:r>
        <w:lastRenderedPageBreak/>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83 or 85, or under Part 6A or 7, of the </w:t>
      </w:r>
      <w:r>
        <w:rPr>
          <w:i/>
        </w:rPr>
        <w:t>Land Administration Act 1997</w:t>
      </w:r>
      <w:r>
        <w:t>.</w:t>
      </w:r>
    </w:p>
    <w:p>
      <w:pPr>
        <w:pStyle w:val="Footnotesection"/>
        <w:spacing w:before="80"/>
        <w:ind w:left="890" w:hanging="890"/>
      </w:pPr>
      <w:r>
        <w:tab/>
        <w:t>[Regulation 5D inserted: Gazette 19 Feb 1999 p. 554; amended: SL 2023/126 r. 4.]</w:t>
      </w:r>
    </w:p>
    <w:p>
      <w:pPr>
        <w:pStyle w:val="Ednotesection"/>
        <w:spacing w:before="200"/>
      </w:pPr>
      <w:r>
        <w:t>[</w:t>
      </w:r>
      <w:r>
        <w:rPr>
          <w:b/>
        </w:rPr>
        <w:t>5E.</w:t>
      </w:r>
      <w:r>
        <w:rPr>
          <w:b/>
        </w:rPr>
        <w:tab/>
      </w:r>
      <w:r>
        <w:t>Deleted: Gazette 3 May 2013 p. 1745.]</w:t>
      </w:r>
    </w:p>
    <w:p>
      <w:pPr>
        <w:pStyle w:val="Heading5"/>
        <w:spacing w:before="200"/>
      </w:pPr>
      <w:bookmarkStart w:id="30" w:name="_Toc153787080"/>
      <w:r>
        <w:rPr>
          <w:rStyle w:val="CharSectno"/>
        </w:rPr>
        <w:t>6</w:t>
      </w:r>
      <w:r>
        <w:t>.</w:t>
      </w:r>
      <w:r>
        <w:tab/>
        <w:t>Modified application of section 43(3) of Act when Housing Authority is lessor of premises outside metropolitan region</w:t>
      </w:r>
      <w:bookmarkEnd w:id="30"/>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31" w:name="_Toc153787081"/>
      <w:r>
        <w:rPr>
          <w:rStyle w:val="CharSectno"/>
        </w:rPr>
        <w:t>6A</w:t>
      </w:r>
      <w:r>
        <w:t>.</w:t>
      </w:r>
      <w:r>
        <w:tab/>
        <w:t>Modified application of s. 71AD(2) of Act when Housing Authority is lessor of premises</w:t>
      </w:r>
      <w:bookmarkEnd w:id="31"/>
    </w:p>
    <w:p>
      <w:pPr>
        <w:pStyle w:val="Subsection"/>
      </w:pPr>
      <w:r>
        <w:tab/>
        <w:t>(1)</w:t>
      </w:r>
      <w:r>
        <w:tab/>
        <w:t>This regulation applies to a residential tenancy agreement under which the Housing Authority is the lessor.</w:t>
      </w:r>
    </w:p>
    <w:p>
      <w:pPr>
        <w:pStyle w:val="Subsection"/>
        <w:keepNext/>
      </w:pPr>
      <w:r>
        <w:tab/>
        <w:t>(2)</w:t>
      </w:r>
      <w:r>
        <w:tab/>
        <w:t xml:space="preserve">Under section 6(a) of the Act it is provided that section 71AD(2) of the Act applies to a residential tenancy </w:t>
      </w:r>
      <w:r>
        <w:lastRenderedPageBreak/>
        <w:t>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pPr>
      <w:bookmarkStart w:id="32" w:name="_Toc153525904"/>
      <w:bookmarkStart w:id="33" w:name="_Toc153526078"/>
      <w:bookmarkStart w:id="34" w:name="_Toc153787082"/>
      <w:r>
        <w:rPr>
          <w:rStyle w:val="CharSectno"/>
        </w:rPr>
        <w:t>6B</w:t>
      </w:r>
      <w:r>
        <w:t>.</w:t>
      </w:r>
      <w:r>
        <w:tab/>
        <w:t>Exemption from Act s. 45(2)(b) if Housing Authority is lessor</w:t>
      </w:r>
      <w:bookmarkEnd w:id="32"/>
      <w:bookmarkEnd w:id="33"/>
      <w:bookmarkEnd w:id="34"/>
    </w:p>
    <w:p>
      <w:pPr>
        <w:pStyle w:val="Subsection"/>
      </w:pPr>
      <w:r>
        <w:tab/>
      </w:r>
      <w:r>
        <w:tab/>
        <w:t>Under section 6(a) of the Act it is provided that section 45(2)(b) of the Act does not apply to a residential tenancy agreement if the Housing Authority is the lessor.</w:t>
      </w:r>
    </w:p>
    <w:p>
      <w:pPr>
        <w:pStyle w:val="Footnotesection"/>
      </w:pPr>
      <w:r>
        <w:tab/>
        <w:t>[Regulation 6B inserted: SL 2023/206 r. 5.]</w:t>
      </w:r>
    </w:p>
    <w:p>
      <w:pPr>
        <w:pStyle w:val="Heading5"/>
        <w:spacing w:before="280"/>
      </w:pPr>
      <w:bookmarkStart w:id="35" w:name="_Toc153787083"/>
      <w:r>
        <w:rPr>
          <w:rStyle w:val="CharSectno"/>
        </w:rPr>
        <w:t>7A</w:t>
      </w:r>
      <w:r>
        <w:t>.</w:t>
      </w:r>
      <w:r>
        <w:tab/>
        <w:t>Modified application of s. 45(1) of Act</w:t>
      </w:r>
      <w:bookmarkEnd w:id="35"/>
    </w:p>
    <w:p>
      <w:pPr>
        <w:pStyle w:val="Subsection"/>
        <w:keepNext/>
        <w:spacing w:before="200"/>
      </w:pPr>
      <w:r>
        <w:tab/>
        <w:t>(1)</w:t>
      </w:r>
      <w:r>
        <w:tab/>
        <w:t xml:space="preserve">In this regulation — </w:t>
      </w:r>
    </w:p>
    <w:p>
      <w:pPr>
        <w:pStyle w:val="Defstart"/>
      </w:pPr>
      <w:r>
        <w:tab/>
      </w:r>
      <w:r>
        <w:rPr>
          <w:rStyle w:val="CharDefText"/>
        </w:rPr>
        <w:t>rural land</w:t>
      </w:r>
      <w:r>
        <w:t xml:space="preserve"> means land zoned for agricultural or rural use under — </w:t>
      </w:r>
    </w:p>
    <w:p>
      <w:pPr>
        <w:pStyle w:val="Defpara"/>
      </w:pPr>
      <w:r>
        <w:tab/>
        <w:t>(a)</w:t>
      </w:r>
      <w:r>
        <w:tab/>
        <w:t xml:space="preserve">a local planning scheme made under the </w:t>
      </w:r>
      <w:r>
        <w:rPr>
          <w:i/>
        </w:rPr>
        <w:t>Planning and Development Act 2005</w:t>
      </w:r>
      <w:r>
        <w:t>; or</w:t>
      </w:r>
    </w:p>
    <w:p>
      <w:pPr>
        <w:pStyle w:val="Defpara"/>
      </w:pPr>
      <w:r>
        <w:tab/>
        <w:t>(b)</w:t>
      </w:r>
      <w:r>
        <w:tab/>
        <w:t xml:space="preserve">the Swan Valley Planning Scheme in force under the </w:t>
      </w:r>
      <w:r>
        <w:rPr>
          <w:i/>
        </w:rPr>
        <w:t>Swan Valley Planning Act 2020</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lastRenderedPageBreak/>
        <w:tab/>
        <w:t>(3)</w:t>
      </w:r>
      <w:r>
        <w:tab/>
        <w:t>Subregulation (4) applies if a residential tenancy agreement is for residential premises that —</w:t>
      </w:r>
    </w:p>
    <w:p>
      <w:pPr>
        <w:pStyle w:val="Indenta"/>
        <w:spacing w:before="60"/>
      </w:pPr>
      <w:r>
        <w:tab/>
        <w:t>(a)</w:t>
      </w:r>
      <w:r>
        <w:tab/>
        <w:t xml:space="preserve">are the subject of an entry in the State Register of Heritage Places maintained under the </w:t>
      </w:r>
      <w:r>
        <w:rPr>
          <w:i/>
        </w:rPr>
        <w:t>Heritage Act 2018</w:t>
      </w:r>
      <w:r>
        <w:t xml:space="preserve"> section 35(1);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 xml:space="preserve">secure as are </w:t>
      </w:r>
      <w:r>
        <w:t>prescribed; and”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 SL 2021/130 r. 7; SL 2023/206 r. 6.]</w:t>
      </w:r>
    </w:p>
    <w:p>
      <w:pPr>
        <w:pStyle w:val="Heading5"/>
        <w:spacing w:before="180"/>
      </w:pPr>
      <w:bookmarkStart w:id="36" w:name="_Toc153787084"/>
      <w:r>
        <w:rPr>
          <w:rStyle w:val="CharSectno"/>
        </w:rPr>
        <w:t>7B</w:t>
      </w:r>
      <w:r>
        <w:t>.</w:t>
      </w:r>
      <w:r>
        <w:tab/>
        <w:t>Modified application of section 47(1)(b) of Act for Housing Authority</w:t>
      </w:r>
      <w:bookmarkEnd w:id="36"/>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37" w:name="_Toc153787085"/>
      <w:r>
        <w:rPr>
          <w:rStyle w:val="CharSectno"/>
        </w:rPr>
        <w:t>7C</w:t>
      </w:r>
      <w:r>
        <w:t>.</w:t>
      </w:r>
      <w:r>
        <w:tab/>
        <w:t>Modified application of s. 60(1) of Act</w:t>
      </w:r>
      <w:bookmarkEnd w:id="37"/>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lastRenderedPageBreak/>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38" w:name="_Toc153787086"/>
      <w:r>
        <w:rPr>
          <w:rStyle w:val="CharSectno"/>
        </w:rPr>
        <w:t>7D</w:t>
      </w:r>
      <w:r>
        <w:t>.</w:t>
      </w:r>
      <w:r>
        <w:tab/>
        <w:t>Modified application of section 70A of Act for Foyer Oxford</w:t>
      </w:r>
      <w:bookmarkEnd w:id="38"/>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39" w:name="_Toc153787087"/>
      <w:r>
        <w:rPr>
          <w:rStyle w:val="CharSectno"/>
        </w:rPr>
        <w:lastRenderedPageBreak/>
        <w:t>7E</w:t>
      </w:r>
      <w:r>
        <w:t>.</w:t>
      </w:r>
      <w:r>
        <w:tab/>
        <w:t>Modified application of section 72 of Act</w:t>
      </w:r>
      <w:bookmarkEnd w:id="39"/>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40" w:name="_Toc153787088"/>
      <w:r>
        <w:rPr>
          <w:rStyle w:val="CharSectno"/>
        </w:rPr>
        <w:t>7F</w:t>
      </w:r>
      <w:r>
        <w:t>.</w:t>
      </w:r>
      <w:r>
        <w:tab/>
        <w:t>Exemption from section 82 of Act</w:t>
      </w:r>
      <w:bookmarkEnd w:id="40"/>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41" w:name="_Toc153525907"/>
      <w:bookmarkStart w:id="42" w:name="_Toc153526081"/>
      <w:bookmarkStart w:id="43" w:name="_Toc153787089"/>
      <w:r>
        <w:rPr>
          <w:rStyle w:val="CharSectno"/>
        </w:rPr>
        <w:t>7FA</w:t>
      </w:r>
      <w:r>
        <w:t>.</w:t>
      </w:r>
      <w:r>
        <w:tab/>
        <w:t>Modified application of Act s. 85 for Housing Authority</w:t>
      </w:r>
      <w:bookmarkEnd w:id="41"/>
      <w:bookmarkEnd w:id="42"/>
      <w:bookmarkEnd w:id="43"/>
    </w:p>
    <w:p>
      <w:pPr>
        <w:pStyle w:val="Subsection"/>
      </w:pPr>
      <w:r>
        <w:tab/>
        <w:t>(1)</w:t>
      </w:r>
      <w:r>
        <w:tab/>
        <w:t>This regulation applies if the Housing Authority is the lessor of residential premises.</w:t>
      </w:r>
    </w:p>
    <w:p>
      <w:pPr>
        <w:pStyle w:val="Subsection"/>
      </w:pPr>
      <w:r>
        <w:lastRenderedPageBreak/>
        <w:tab/>
        <w:t>(2)</w:t>
      </w:r>
      <w:r>
        <w:tab/>
        <w:t xml:space="preserve">Under section 6(b) of the Act it is provided that section 85(1) of the Act applies to the premises as if it were modified by inserting after paragraph (b): </w:t>
      </w:r>
    </w:p>
    <w:p>
      <w:pPr>
        <w:pStyle w:val="BlankOpen"/>
      </w:pPr>
    </w:p>
    <w:p>
      <w:pPr>
        <w:pStyle w:val="zMiscellaneousBody"/>
        <w:tabs>
          <w:tab w:val="left" w:pos="1134"/>
          <w:tab w:val="left" w:pos="1843"/>
        </w:tabs>
        <w:ind w:left="1843" w:hanging="850"/>
      </w:pPr>
      <w:r>
        <w:tab/>
        <w:t>(ba)</w:t>
      </w:r>
      <w:r>
        <w:tab/>
        <w:t>if the Housing Authority gives the notice or document in relation to premises of which the Authority is the lessor — be given by leaving it at that premises; or</w:t>
      </w:r>
    </w:p>
    <w:p>
      <w:pPr>
        <w:pStyle w:val="BlankClose"/>
      </w:pPr>
    </w:p>
    <w:p>
      <w:pPr>
        <w:pStyle w:val="Footnotesection"/>
        <w:keepLines w:val="0"/>
        <w:ind w:left="890" w:hanging="890"/>
      </w:pPr>
      <w:r>
        <w:tab/>
        <w:t>[Regulation 7FA inserted: SL 2023/206 r. 7.]</w:t>
      </w:r>
    </w:p>
    <w:p>
      <w:pPr>
        <w:pStyle w:val="Heading5"/>
      </w:pPr>
      <w:bookmarkStart w:id="44" w:name="_Toc153787090"/>
      <w:r>
        <w:rPr>
          <w:rStyle w:val="CharSectno"/>
        </w:rPr>
        <w:t>7G</w:t>
      </w:r>
      <w:r>
        <w:t>.</w:t>
      </w:r>
      <w:r>
        <w:tab/>
        <w:t>Modified application of section 93 of Act for Housing Authority</w:t>
      </w:r>
      <w:bookmarkEnd w:id="44"/>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45" w:name="_Toc153787091"/>
      <w:r>
        <w:rPr>
          <w:rStyle w:val="CharSectno"/>
        </w:rPr>
        <w:t>7H</w:t>
      </w:r>
      <w:r>
        <w:t>.</w:t>
      </w:r>
      <w:r>
        <w:tab/>
        <w:t>Modified application of Schedule 1 clauses 5A and 5 of Act</w:t>
      </w:r>
      <w:bookmarkEnd w:id="45"/>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 xml:space="preserve">otherwise, using the Bonds Online eTransactions system administered by the bond administrator and available on </w:t>
      </w:r>
      <w:r>
        <w:lastRenderedPageBreak/>
        <w:t>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keepNext/>
      </w:pPr>
      <w:r>
        <w:tab/>
        <w:t>(a)</w:t>
      </w:r>
      <w:r>
        <w:tab/>
        <w:t>in subclause (1)(a) before “</w:t>
      </w:r>
      <w:r>
        <w:rPr>
          <w:sz w:val="22"/>
          <w:szCs w:val="22"/>
        </w:rPr>
        <w:t>an application</w:t>
      </w:r>
      <w:r>
        <w:t>” by inserting:</w:t>
      </w:r>
    </w:p>
    <w:p>
      <w:pPr>
        <w:pStyle w:val="BlankOpen"/>
      </w:pPr>
    </w:p>
    <w:p>
      <w:pPr>
        <w:pStyle w:val="Indenta"/>
        <w:keepNext/>
      </w:pPr>
      <w:r>
        <w:tab/>
      </w:r>
      <w:r>
        <w:tab/>
      </w:r>
      <w:r>
        <w:rPr>
          <w:sz w:val="22"/>
          <w:szCs w:val="22"/>
        </w:rPr>
        <w:t>if subclause (1A) applies,</w:t>
      </w:r>
    </w:p>
    <w:p>
      <w:pPr>
        <w:pStyle w:val="BlankClose"/>
      </w:pPr>
    </w:p>
    <w:p>
      <w:pPr>
        <w:pStyle w:val="Indenta"/>
      </w:pPr>
      <w:r>
        <w:lastRenderedPageBreak/>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lastRenderedPageBreak/>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46" w:name="_Toc153532103"/>
      <w:bookmarkStart w:id="47" w:name="_Toc153534231"/>
      <w:bookmarkStart w:id="48" w:name="_Toc153787092"/>
      <w:r>
        <w:rPr>
          <w:rStyle w:val="CharPartNo"/>
        </w:rPr>
        <w:lastRenderedPageBreak/>
        <w:t>Part 3</w:t>
      </w:r>
      <w:r>
        <w:rPr>
          <w:rStyle w:val="CharDivNo"/>
        </w:rPr>
        <w:t> </w:t>
      </w:r>
      <w:r>
        <w:t>—</w:t>
      </w:r>
      <w:r>
        <w:rPr>
          <w:rStyle w:val="CharDivText"/>
        </w:rPr>
        <w:t> </w:t>
      </w:r>
      <w:r>
        <w:rPr>
          <w:rStyle w:val="CharPartText"/>
        </w:rPr>
        <w:t>Other matters</w:t>
      </w:r>
      <w:bookmarkEnd w:id="46"/>
      <w:bookmarkEnd w:id="47"/>
      <w:bookmarkEnd w:id="48"/>
    </w:p>
    <w:p>
      <w:pPr>
        <w:pStyle w:val="Footnoteheading"/>
      </w:pPr>
      <w:r>
        <w:tab/>
        <w:t>[Heading inserted: Gazette 3 May 2013 p. 1749.]</w:t>
      </w:r>
    </w:p>
    <w:p>
      <w:pPr>
        <w:pStyle w:val="Heading5"/>
        <w:rPr>
          <w:snapToGrid w:val="0"/>
        </w:rPr>
      </w:pPr>
      <w:bookmarkStart w:id="49" w:name="_Toc153787093"/>
      <w:r>
        <w:rPr>
          <w:rStyle w:val="CharSectno"/>
        </w:rPr>
        <w:t>7</w:t>
      </w:r>
      <w:r>
        <w:rPr>
          <w:snapToGrid w:val="0"/>
        </w:rPr>
        <w:t>.</w:t>
      </w:r>
      <w:r>
        <w:rPr>
          <w:snapToGrid w:val="0"/>
        </w:rPr>
        <w:tab/>
        <w:t>Applications prescribed for the purposes of section 13A(2)(a) of Act</w:t>
      </w:r>
      <w:bookmarkEnd w:id="49"/>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lastRenderedPageBreak/>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50" w:name="_Toc153787094"/>
      <w:r>
        <w:rPr>
          <w:rStyle w:val="CharSectno"/>
        </w:rPr>
        <w:t>9</w:t>
      </w:r>
      <w:r>
        <w:rPr>
          <w:snapToGrid w:val="0"/>
        </w:rPr>
        <w:t>.</w:t>
      </w:r>
      <w:r>
        <w:rPr>
          <w:snapToGrid w:val="0"/>
        </w:rPr>
        <w:tab/>
        <w:t>Determination of nearest Magistrates Court</w:t>
      </w:r>
      <w:bookmarkEnd w:id="50"/>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51" w:name="_Toc153787095"/>
      <w:r>
        <w:rPr>
          <w:rStyle w:val="CharSectno"/>
        </w:rPr>
        <w:t>10</w:t>
      </w:r>
      <w:r>
        <w:rPr>
          <w:snapToGrid w:val="0"/>
        </w:rPr>
        <w:t>.</w:t>
      </w:r>
      <w:r>
        <w:rPr>
          <w:snapToGrid w:val="0"/>
        </w:rPr>
        <w:tab/>
        <w:t>Scale of costs for section 24 of Act</w:t>
      </w:r>
      <w:bookmarkEnd w:id="51"/>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made under the </w:t>
      </w:r>
      <w:r>
        <w:rPr>
          <w:i/>
        </w:rPr>
        <w:t>Legal Profession Uniform Law Application Act 2022</w:t>
      </w:r>
      <w:r>
        <w:t xml:space="preserve"> section 133.</w:t>
      </w:r>
    </w:p>
    <w:p>
      <w:pPr>
        <w:pStyle w:val="Footnotesection"/>
      </w:pPr>
      <w:r>
        <w:tab/>
        <w:t>[Regulation 10 amended: Gazette 19 Apr 2005 p. 1298; 29 Apr 2005 p. 1773; SL 2022/115 r. 12.]</w:t>
      </w:r>
    </w:p>
    <w:p>
      <w:pPr>
        <w:pStyle w:val="Heading5"/>
      </w:pPr>
      <w:bookmarkStart w:id="52" w:name="_Toc153787096"/>
      <w:r>
        <w:rPr>
          <w:rStyle w:val="CharSectno"/>
        </w:rPr>
        <w:t>10AA</w:t>
      </w:r>
      <w:r>
        <w:t>.</w:t>
      </w:r>
      <w:r>
        <w:tab/>
        <w:t>Form of written residential tenancy agreement for section 27A of Act</w:t>
      </w:r>
      <w:bookmarkEnd w:id="52"/>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53" w:name="_Toc153787097"/>
      <w:r>
        <w:rPr>
          <w:rStyle w:val="CharSectno"/>
        </w:rPr>
        <w:lastRenderedPageBreak/>
        <w:t>10AB</w:t>
      </w:r>
      <w:r>
        <w:t>.</w:t>
      </w:r>
      <w:r>
        <w:tab/>
        <w:t>Information to be given to tenant for section 27B of Act</w:t>
      </w:r>
      <w:bookmarkEnd w:id="53"/>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54" w:name="_Toc153787098"/>
      <w:r>
        <w:rPr>
          <w:rStyle w:val="CharSectno"/>
        </w:rPr>
        <w:t>10AC</w:t>
      </w:r>
      <w:r>
        <w:t>.</w:t>
      </w:r>
      <w:r>
        <w:tab/>
        <w:t>Information to be included in property condition report for section 27C(6) of Act</w:t>
      </w:r>
      <w:bookmarkEnd w:id="54"/>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55" w:name="_Toc153787099"/>
      <w:r>
        <w:rPr>
          <w:rStyle w:val="CharSectno"/>
        </w:rPr>
        <w:t>10AD</w:t>
      </w:r>
      <w:r>
        <w:t>.</w:t>
      </w:r>
      <w:r>
        <w:tab/>
        <w:t>Amount prescribed for section 27(2)(a) of Act</w:t>
      </w:r>
      <w:bookmarkEnd w:id="55"/>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lastRenderedPageBreak/>
        <w:tab/>
        <w:t xml:space="preserve">[Regulation 10AD inserted: Gazette 3 May 2013 p. 1751.] </w:t>
      </w:r>
    </w:p>
    <w:p>
      <w:pPr>
        <w:pStyle w:val="Heading5"/>
        <w:spacing w:before="180"/>
        <w:rPr>
          <w:snapToGrid w:val="0"/>
        </w:rPr>
      </w:pPr>
      <w:bookmarkStart w:id="56" w:name="_Toc153787100"/>
      <w:r>
        <w:rPr>
          <w:rStyle w:val="CharSectno"/>
        </w:rPr>
        <w:t>10A</w:t>
      </w:r>
      <w:r>
        <w:rPr>
          <w:snapToGrid w:val="0"/>
        </w:rPr>
        <w:t>.</w:t>
      </w:r>
      <w:r>
        <w:rPr>
          <w:snapToGrid w:val="0"/>
        </w:rPr>
        <w:tab/>
        <w:t>Amount prescribed for section 29(1)(b)(ii) of Act</w:t>
      </w:r>
      <w:bookmarkEnd w:id="56"/>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57" w:name="_Toc153787101"/>
      <w:r>
        <w:rPr>
          <w:rStyle w:val="CharSectno"/>
        </w:rPr>
        <w:t>11</w:t>
      </w:r>
      <w:r>
        <w:rPr>
          <w:snapToGrid w:val="0"/>
        </w:rPr>
        <w:t>.</w:t>
      </w:r>
      <w:r>
        <w:rPr>
          <w:snapToGrid w:val="0"/>
        </w:rPr>
        <w:tab/>
        <w:t>Amount prescribed for section 29(2) of Act</w:t>
      </w:r>
      <w:bookmarkEnd w:id="57"/>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58" w:name="_Toc153787102"/>
      <w:r>
        <w:rPr>
          <w:rStyle w:val="CharSectno"/>
        </w:rPr>
        <w:t>12A</w:t>
      </w:r>
      <w:r>
        <w:t>.</w:t>
      </w:r>
      <w:r>
        <w:tab/>
        <w:t>Essential services prescribed for section 43(1) of Act</w:t>
      </w:r>
      <w:bookmarkEnd w:id="58"/>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59" w:name="_Toc153787103"/>
      <w:r>
        <w:rPr>
          <w:rStyle w:val="CharSectno"/>
        </w:rPr>
        <w:lastRenderedPageBreak/>
        <w:t>12B</w:t>
      </w:r>
      <w:r>
        <w:t>.</w:t>
      </w:r>
      <w:r>
        <w:tab/>
        <w:t>Means to secure residential premises prescribed for s. 45(1)(a) of Act</w:t>
      </w:r>
      <w:bookmarkEnd w:id="59"/>
    </w:p>
    <w:p>
      <w:pPr>
        <w:pStyle w:val="Subsection"/>
        <w:keepNext/>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w:t>
      </w:r>
      <w:r>
        <w:lastRenderedPageBreak/>
        <w:t xml:space="preserve">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the following residential premises — </w:t>
      </w:r>
    </w:p>
    <w:p>
      <w:pPr>
        <w:pStyle w:val="Indenta"/>
      </w:pPr>
      <w:r>
        <w:tab/>
        <w:t>(a)</w:t>
      </w:r>
      <w:r>
        <w:tab/>
        <w:t xml:space="preserve">if the strata company relating to the premises provides and maintains adequate lighting, outside of daylight hours, to the main entry to the premises — residential premises to which the provisions of the </w:t>
      </w:r>
      <w:r>
        <w:rPr>
          <w:i/>
        </w:rPr>
        <w:t>Strata Titles Act 1985</w:t>
      </w:r>
      <w:r>
        <w:t xml:space="preserve"> apply; </w:t>
      </w:r>
    </w:p>
    <w:p>
      <w:pPr>
        <w:pStyle w:val="Indenta"/>
      </w:pPr>
      <w:r>
        <w:tab/>
        <w:t>(b)</w:t>
      </w:r>
      <w:r>
        <w:tab/>
        <w:t xml:space="preserve">if the community corporation for the community titles scheme relevant to the premises provides and maintains adequate lighting, outside of daylight hours, to the main entry to the premises — residential premises to which the provisions of the </w:t>
      </w:r>
      <w:r>
        <w:rPr>
          <w:i/>
        </w:rPr>
        <w:t>Community Titles Act 2018</w:t>
      </w:r>
      <w:r>
        <w:t xml:space="preserve"> apply.</w:t>
      </w:r>
    </w:p>
    <w:p>
      <w:pPr>
        <w:pStyle w:val="Footnotesection"/>
        <w:spacing w:before="100"/>
      </w:pPr>
      <w:r>
        <w:tab/>
        <w:t xml:space="preserve">[Regulation 12B inserted: Gazette 3 May 2013 p. 1752-4; amended: Gazette 9 Apr 2019 p. 1044; SL 2021/71 r. 14.] </w:t>
      </w:r>
    </w:p>
    <w:p>
      <w:pPr>
        <w:pStyle w:val="Heading5"/>
      </w:pPr>
      <w:bookmarkStart w:id="60" w:name="_Toc153787104"/>
      <w:r>
        <w:rPr>
          <w:rStyle w:val="CharSectno"/>
        </w:rPr>
        <w:t>12BA</w:t>
      </w:r>
      <w:r>
        <w:t>.</w:t>
      </w:r>
      <w:r>
        <w:tab/>
        <w:t>Prescribed alterations for s. 47(4) of Act</w:t>
      </w:r>
      <w:bookmarkEnd w:id="60"/>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lastRenderedPageBreak/>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keepNext/>
      </w:pPr>
      <w:r>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61" w:name="_Toc153787105"/>
      <w:r>
        <w:rPr>
          <w:rStyle w:val="CharSectno"/>
        </w:rPr>
        <w:t>12C</w:t>
      </w:r>
      <w:r>
        <w:t>.</w:t>
      </w:r>
      <w:r>
        <w:tab/>
        <w:t>Social housing tenancy agreement for the purposes of section 71A of Act</w:t>
      </w:r>
      <w:bookmarkEnd w:id="61"/>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62" w:name="_Toc153787106"/>
      <w:r>
        <w:rPr>
          <w:rStyle w:val="CharSectno"/>
        </w:rPr>
        <w:lastRenderedPageBreak/>
        <w:t>12CA</w:t>
      </w:r>
      <w:r>
        <w:t>.</w:t>
      </w:r>
      <w:r>
        <w:tab/>
        <w:t>Prescribed person for s. 71AB(2)(d)(vi) of Act</w:t>
      </w:r>
      <w:bookmarkEnd w:id="62"/>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63" w:name="_Toc153787107"/>
      <w:r>
        <w:rPr>
          <w:rStyle w:val="CharSectno"/>
        </w:rPr>
        <w:t>12D</w:t>
      </w:r>
      <w:r>
        <w:t>.</w:t>
      </w:r>
      <w:r>
        <w:tab/>
        <w:t>Manner prescribed for purposes of section 79(3)(b) of Act</w:t>
      </w:r>
      <w:bookmarkEnd w:id="63"/>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64" w:name="_Toc153787108"/>
      <w:r>
        <w:rPr>
          <w:rStyle w:val="CharSectno"/>
        </w:rPr>
        <w:t>12E</w:t>
      </w:r>
      <w:r>
        <w:t>.</w:t>
      </w:r>
      <w:r>
        <w:tab/>
        <w:t>Information prescribed for section 79(10) of Act</w:t>
      </w:r>
      <w:bookmarkEnd w:id="64"/>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lastRenderedPageBreak/>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65" w:name="_Toc153787109"/>
      <w:r>
        <w:rPr>
          <w:rStyle w:val="CharSectno"/>
        </w:rPr>
        <w:t>12</w:t>
      </w:r>
      <w:r>
        <w:t>.</w:t>
      </w:r>
      <w:r>
        <w:tab/>
        <w:t>Manner prescribed for purposes of section 85(3)(c) of Act</w:t>
      </w:r>
      <w:bookmarkEnd w:id="65"/>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66" w:name="_Toc153787110"/>
      <w:r>
        <w:rPr>
          <w:rStyle w:val="CharSectno"/>
        </w:rPr>
        <w:t>13</w:t>
      </w:r>
      <w:r>
        <w:t>.</w:t>
      </w:r>
      <w:r>
        <w:tab/>
        <w:t>Infringement notices</w:t>
      </w:r>
      <w:bookmarkEnd w:id="66"/>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67" w:name="_Toc153787111"/>
      <w:r>
        <w:rPr>
          <w:rStyle w:val="CharSectno"/>
        </w:rPr>
        <w:t>14</w:t>
      </w:r>
      <w:r>
        <w:t>.</w:t>
      </w:r>
      <w:r>
        <w:tab/>
        <w:t>Matters prescribed for section 94 of Act</w:t>
      </w:r>
      <w:bookmarkEnd w:id="67"/>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lastRenderedPageBreak/>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68" w:name="_Toc153787112"/>
      <w:r>
        <w:rPr>
          <w:rStyle w:val="CharSectno"/>
        </w:rPr>
        <w:t>15</w:t>
      </w:r>
      <w:r>
        <w:rPr>
          <w:snapToGrid w:val="0"/>
        </w:rPr>
        <w:t>.</w:t>
      </w:r>
      <w:r>
        <w:rPr>
          <w:snapToGrid w:val="0"/>
        </w:rPr>
        <w:tab/>
        <w:t>Disposal of unclaimed security bonds</w:t>
      </w:r>
      <w:bookmarkEnd w:id="68"/>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3</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lastRenderedPageBreak/>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keepLines/>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4</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69" w:name="_Toc153787113"/>
      <w:r>
        <w:rPr>
          <w:rStyle w:val="CharSectno"/>
        </w:rPr>
        <w:lastRenderedPageBreak/>
        <w:t>17</w:t>
      </w:r>
      <w:r>
        <w:rPr>
          <w:snapToGrid w:val="0"/>
        </w:rPr>
        <w:t>.</w:t>
      </w:r>
      <w:r>
        <w:rPr>
          <w:snapToGrid w:val="0"/>
        </w:rPr>
        <w:tab/>
        <w:t>Fees prescribed</w:t>
      </w:r>
      <w:bookmarkEnd w:id="69"/>
      <w:r>
        <w:rPr>
          <w:snapToGrid w:val="0"/>
        </w:rPr>
        <w:t xml:space="preserve"> </w:t>
      </w:r>
    </w:p>
    <w:p>
      <w:pPr>
        <w:pStyle w:val="Subsection"/>
        <w:keepNext/>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70" w:name="_Toc153787114"/>
      <w:r>
        <w:rPr>
          <w:rStyle w:val="CharSectno"/>
        </w:rPr>
        <w:t>18</w:t>
      </w:r>
      <w:r>
        <w:t>.</w:t>
      </w:r>
      <w:r>
        <w:tab/>
        <w:t>Forms</w:t>
      </w:r>
      <w:bookmarkEnd w:id="70"/>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71" w:name="_Toc153532126"/>
      <w:bookmarkStart w:id="72" w:name="_Toc153534254"/>
      <w:bookmarkStart w:id="73" w:name="_Toc153787115"/>
      <w:r>
        <w:rPr>
          <w:rStyle w:val="CharSchNo"/>
        </w:rPr>
        <w:lastRenderedPageBreak/>
        <w:t>Schedule 3</w:t>
      </w:r>
      <w:bookmarkEnd w:id="71"/>
      <w:bookmarkEnd w:id="72"/>
      <w:bookmarkEnd w:id="73"/>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20.50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71.50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19.10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0.65</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4.20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3.20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0.75</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3.20</w:t>
            </w:r>
          </w:p>
        </w:tc>
      </w:tr>
    </w:tbl>
    <w:p>
      <w:pPr>
        <w:pStyle w:val="yFootnotesection"/>
      </w:pPr>
      <w:r>
        <w:tab/>
        <w:t>[Schedule 3 amended: Gazette 29 Apr 2005 p. 1774</w:t>
      </w:r>
      <w:r>
        <w:noBreakHyphen/>
        <w:t>5; 29 Dec 2015 p. 5171; 3 Jun 2016 p. 1771; 23 Jun 2017 p. 3251; 8 Dec 2017 p. 5843; 25 Jun 2018 p. 2352; 18 Jun 2019 p. 2112.]</w:t>
      </w:r>
    </w:p>
    <w:p>
      <w:pPr>
        <w:pStyle w:val="yScheduleHeading"/>
        <w:rPr>
          <w:rStyle w:val="CharSchNo"/>
        </w:r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75" w:name="_Toc153532127"/>
      <w:bookmarkStart w:id="76" w:name="_Toc153534255"/>
      <w:bookmarkStart w:id="77" w:name="_Toc153787116"/>
      <w:r>
        <w:rPr>
          <w:rStyle w:val="CharSchNo"/>
        </w:rPr>
        <w:lastRenderedPageBreak/>
        <w:t>Schedule 4</w:t>
      </w:r>
      <w:r>
        <w:rPr>
          <w:rStyle w:val="CharSDivNo"/>
        </w:rPr>
        <w:t> </w:t>
      </w:r>
      <w:r>
        <w:t>—</w:t>
      </w:r>
      <w:r>
        <w:rPr>
          <w:rStyle w:val="CharSDivText"/>
        </w:rPr>
        <w:t> </w:t>
      </w:r>
      <w:r>
        <w:rPr>
          <w:rStyle w:val="CharSchText"/>
        </w:rPr>
        <w:t>Forms</w:t>
      </w:r>
      <w:bookmarkEnd w:id="75"/>
      <w:bookmarkEnd w:id="76"/>
      <w:bookmarkEnd w:id="77"/>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lastRenderedPageBreak/>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lastRenderedPageBreak/>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lastRenderedPageBreak/>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rPr>
        <w:t>STRATA TITLES SCHEME BY</w:t>
      </w:r>
      <w:r>
        <w:rPr>
          <w:b/>
        </w:rPr>
        <w:noBreakHyphen/>
        <w:t>LAWS</w:t>
      </w:r>
    </w:p>
    <w:p>
      <w:pPr>
        <w:pStyle w:val="yMiscellaneousBody"/>
      </w:pPr>
      <w:r>
        <w:rPr>
          <w:szCs w:val="22"/>
        </w:rPr>
        <w:t>Strata titles scheme by</w:t>
      </w:r>
      <w:r>
        <w:rPr>
          <w:szCs w:val="22"/>
        </w:rPr>
        <w:noBreakHyphen/>
        <w:t>laws</w:t>
      </w:r>
      <w:r>
        <w:t xml:space="preserve"> ARE/ARE NOT* (</w:t>
      </w:r>
      <w:r>
        <w:rPr>
          <w:i/>
        </w:rPr>
        <w:t>* delete as appropriate</w:t>
      </w:r>
      <w:r>
        <w:t>) applicable to the residential premises.  A copy of the by</w:t>
      </w:r>
      <w:r>
        <w:noBreakHyphen/>
        <w:t>laws is attached:</w:t>
      </w:r>
      <w:r>
        <w:br/>
        <w:t xml:space="preserve">Yes </w:t>
      </w:r>
      <w:r>
        <w:sym w:font="Wingdings" w:char="F06F"/>
      </w:r>
      <w:r>
        <w:t xml:space="preserve">/No </w:t>
      </w:r>
      <w:r>
        <w:sym w:font="Wingdings" w:char="F06F"/>
      </w:r>
    </w:p>
    <w:p>
      <w:pPr>
        <w:pStyle w:val="yMiscellaneousBody"/>
        <w:keepNext/>
        <w:rPr>
          <w:b/>
        </w:rPr>
      </w:pPr>
      <w:r>
        <w:rPr>
          <w:b/>
        </w:rPr>
        <w:lastRenderedPageBreak/>
        <w:t>SCHEME BY</w:t>
      </w:r>
      <w:r>
        <w:rPr>
          <w:b/>
        </w:rPr>
        <w:noBreakHyphen/>
        <w:t>LAWS FOR A COMMUNITY TITLES SCHEME</w:t>
      </w:r>
    </w:p>
    <w:p>
      <w:pPr>
        <w:pStyle w:val="yMiscellaneousBody"/>
      </w:pPr>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 xml:space="preserve">Community Titles Act 2018 </w:t>
      </w:r>
      <w:r>
        <w:t>section 3(1).</w:t>
      </w:r>
    </w:p>
    <w:p>
      <w:pPr>
        <w:pStyle w:val="yMiscellaneousBody"/>
      </w:pPr>
      <w:r>
        <w:t>Scheme by</w:t>
      </w:r>
      <w:r>
        <w:noBreakHyphen/>
        <w:t>laws for a community titles scheme ARE/ARE NOT* (* </w:t>
      </w:r>
      <w:r>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p>
    <w:p>
      <w:pPr>
        <w:pStyle w:val="yMiscellaneousBody"/>
      </w:pPr>
      <w:r>
        <w:t>If scheme by</w:t>
      </w:r>
      <w:r>
        <w:noBreakHyphen/>
        <w:t>laws for a community titles scheme are applicable to the residential premises, and the premises is in a tier 2 scheme or a tier 3 scheme, the scheme by</w:t>
      </w:r>
      <w:r>
        <w:noBreakHyphen/>
        <w:t>laws to be attached must include the scheme by</w:t>
      </w:r>
      <w:r>
        <w:noBreakHyphen/>
        <w:t>laws for a community titles scheme to which that tier 2 scheme or tier 3 scheme belongs.</w:t>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lastRenderedPageBreak/>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lastRenderedPageBreak/>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w:t>
      </w:r>
      <w:r>
        <w:lastRenderedPageBreak/>
        <w:t xml:space="preserve">supply or sewerage services under the </w:t>
      </w:r>
      <w:r>
        <w:rPr>
          <w:i/>
        </w:rPr>
        <w:t>Water Agencies (Powers) Act 1984</w:t>
      </w:r>
      <w:r>
        <w:t xml:space="preserve"> (other than a charge for water consumed).</w:t>
      </w:r>
    </w:p>
    <w:p>
      <w:pPr>
        <w:pStyle w:val="yMiscellaneousBody"/>
        <w:keepNext/>
        <w:ind w:left="567" w:hanging="567"/>
      </w:pPr>
      <w:r>
        <w:t>9A.</w:t>
      </w:r>
      <w:r>
        <w:tab/>
        <w:t>The lessor is responsible for any of the following contributions in respect of the premises:</w:t>
      </w:r>
    </w:p>
    <w:p>
      <w:pPr>
        <w:pStyle w:val="yMiscellaneousBody"/>
        <w:tabs>
          <w:tab w:val="left" w:pos="567"/>
          <w:tab w:val="left" w:pos="1276"/>
        </w:tabs>
        <w:ind w:left="1276" w:hanging="1276"/>
      </w:pPr>
      <w:r>
        <w:tab/>
        <w:t>9A.1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9A.2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lastRenderedPageBreak/>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lastRenderedPageBreak/>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w:t>
      </w:r>
      <w:r>
        <w:lastRenderedPageBreak/>
        <w:t>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lastRenderedPageBreak/>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caps/>
        </w:rPr>
      </w:pPr>
      <w:r>
        <w:rPr>
          <w:b/>
          <w:caps/>
        </w:rPr>
        <w:lastRenderedPageBreak/>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lastRenderedPageBreak/>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lastRenderedPageBreak/>
        <w:tab/>
        <w:t>33B.4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keepNext/>
        <w:rPr>
          <w:b/>
        </w:rPr>
      </w:pPr>
      <w:r>
        <w:rPr>
          <w:b/>
        </w:rPr>
        <w:lastRenderedPageBreak/>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 xml:space="preserve">by either the lessor or the tenant by giving written notice of termination to the other party.  The notice may be given at any </w:t>
      </w:r>
      <w:r>
        <w:lastRenderedPageBreak/>
        <w:t>time.  The lessor must give at least 60 days notice and the tenant must give at least 21 days notice.</w:t>
      </w:r>
    </w:p>
    <w:p>
      <w:pPr>
        <w:pStyle w:val="yMiscellaneousBody"/>
      </w:pPr>
      <w:r>
        <w:rPr>
          <w:b/>
          <w:caps/>
        </w:rPr>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 xml:space="preserve">It is an offence for any person to obtain possession of the residential premises without an order of the Magistrates Court if the tenant does not willingly move out (a termination notice issued </w:t>
      </w:r>
      <w:r>
        <w:lastRenderedPageBreak/>
        <w:t>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lastRenderedPageBreak/>
        <w:tab/>
        <w:t>50.3</w:t>
      </w:r>
      <w:r>
        <w:tab/>
        <w:t>the person owes the lessor a debt that is greater than the security bond or a court has made an order terminating the tenancy agreement.</w:t>
      </w:r>
    </w:p>
    <w:p>
      <w:pPr>
        <w:pStyle w:val="MiscellaneousBody"/>
        <w:keepNext/>
      </w:pPr>
      <w:r>
        <w:rPr>
          <w:b/>
          <w:bCs/>
        </w:rPr>
        <w:t>NOTICES</w:t>
      </w:r>
    </w:p>
    <w:p>
      <w:pPr>
        <w:pStyle w:val="yMiscellaneousBody"/>
        <w:keepNext/>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 xml:space="preserve">The tenant should generally approach the lessor or property manager to solve any problem before approaching the Department of Commerce.  </w:t>
      </w:r>
      <w:r>
        <w:lastRenderedPageBreak/>
        <w:t>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lastRenderedPageBreak/>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 31 Dec 2019 p. 4642; SL 2021/71 r. 15.]</w:t>
      </w:r>
    </w:p>
    <w:p>
      <w:pPr>
        <w:pStyle w:val="yMiscellaneousBody"/>
        <w:pageBreakBefore/>
        <w:spacing w:before="0"/>
        <w:jc w:val="center"/>
        <w:rPr>
          <w:b/>
        </w:rPr>
      </w:pPr>
      <w:r>
        <w:rPr>
          <w:b/>
        </w:rPr>
        <w:lastRenderedPageBreak/>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lastRenderedPageBreak/>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lastRenderedPageBreak/>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lastRenderedPageBreak/>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rPr>
        <w:t>STRATA TITLES SCHEME BY</w:t>
      </w:r>
      <w:r>
        <w:rPr>
          <w:b/>
        </w:rPr>
        <w:noBreakHyphen/>
        <w:t>LAWS</w:t>
      </w:r>
    </w:p>
    <w:p>
      <w:pPr>
        <w:pStyle w:val="yMiscellaneousBody"/>
        <w:keepNext/>
        <w:widowControl w:val="0"/>
      </w:pPr>
      <w:r>
        <w:rPr>
          <w:szCs w:val="22"/>
        </w:rPr>
        <w:t>Strata titles scheme by</w:t>
      </w:r>
      <w:r>
        <w:rPr>
          <w:szCs w:val="22"/>
        </w:rPr>
        <w:noBreakHyphen/>
        <w:t>laws</w:t>
      </w:r>
      <w:r>
        <w:t xml:space="preserve"> ARE/ARE NOT* (* </w:t>
      </w:r>
      <w:r>
        <w:rPr>
          <w:i/>
        </w:rPr>
        <w:t>delete as appropriate</w:t>
      </w:r>
      <w:r>
        <w:t>) applicable to the residential premises.  A copy of the by</w:t>
      </w:r>
      <w:r>
        <w:noBreakHyphen/>
        <w:t xml:space="preserve">laws is attached.  </w:t>
      </w:r>
      <w:r>
        <w:br/>
        <w:t xml:space="preserve">Yes </w:t>
      </w:r>
      <w:r>
        <w:sym w:font="Wingdings" w:char="F06F"/>
      </w:r>
      <w:r>
        <w:t xml:space="preserve">/No </w:t>
      </w:r>
      <w:r>
        <w:sym w:font="Wingdings" w:char="F06F"/>
      </w:r>
    </w:p>
    <w:p>
      <w:pPr>
        <w:pStyle w:val="yMiscellaneousBody"/>
        <w:rPr>
          <w:b/>
        </w:rPr>
      </w:pPr>
      <w:r>
        <w:rPr>
          <w:b/>
        </w:rPr>
        <w:t>SCHEME BY</w:t>
      </w:r>
      <w:r>
        <w:rPr>
          <w:b/>
        </w:rPr>
        <w:noBreakHyphen/>
        <w:t>LAWS FOR A COMMUNITY TITLES SCHEME</w:t>
      </w:r>
    </w:p>
    <w:p>
      <w:pPr>
        <w:pStyle w:val="yMiscellaneousBody"/>
      </w:pPr>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Community Titles Act 2018</w:t>
      </w:r>
      <w:r>
        <w:t xml:space="preserve"> section 3(1).</w:t>
      </w:r>
    </w:p>
    <w:p>
      <w:pPr>
        <w:pStyle w:val="yMiscellaneousBody"/>
      </w:pPr>
      <w:r>
        <w:t>Scheme by</w:t>
      </w:r>
      <w:r>
        <w:noBreakHyphen/>
        <w:t>laws for a community titles scheme ARE/ARE NOT* (* </w:t>
      </w:r>
      <w:r>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p>
    <w:p>
      <w:pPr>
        <w:pStyle w:val="yMiscellaneousBody"/>
      </w:pPr>
      <w:r>
        <w:t>If scheme by</w:t>
      </w:r>
      <w:r>
        <w:noBreakHyphen/>
        <w:t xml:space="preserve">laws for a community titles scheme are applicable to the residential premises, and the premises is in a tier 2 scheme or a tier 3 scheme, </w:t>
      </w:r>
      <w:r>
        <w:lastRenderedPageBreak/>
        <w:t>the scheme by</w:t>
      </w:r>
      <w:r>
        <w:noBreakHyphen/>
        <w:t>laws to be attached must include the scheme by</w:t>
      </w:r>
      <w:r>
        <w:noBreakHyphen/>
        <w:t>laws for a community titles scheme to which that tier 2 scheme or tier 3 scheme belongs.</w:t>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lastRenderedPageBreak/>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lastRenderedPageBreak/>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 xml:space="preserve">A tenancy agreement cannot contain a provision for a penalty, damages or extra payment if the tenant fails to keep the agreement or breaches any law.  If an agreement allows a reduced rent or a rebate, a refund or other </w:t>
      </w:r>
      <w:r>
        <w:lastRenderedPageBreak/>
        <w:t>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w:t>
      </w:r>
    </w:p>
    <w:p>
      <w:pPr>
        <w:pStyle w:val="yMiscellaneousBody"/>
        <w:ind w:left="567" w:hanging="567"/>
      </w:pPr>
      <w:r>
        <w:t>11A.</w:t>
      </w:r>
      <w:r>
        <w:tab/>
        <w:t>The lessor is responsible for any of the following contributions in respect of the premises:</w:t>
      </w:r>
    </w:p>
    <w:p>
      <w:pPr>
        <w:pStyle w:val="yMiscellaneousBody"/>
        <w:tabs>
          <w:tab w:val="left" w:pos="567"/>
          <w:tab w:val="left" w:pos="1276"/>
        </w:tabs>
        <w:ind w:left="1276" w:hanging="1276"/>
      </w:pPr>
      <w:r>
        <w:tab/>
        <w:t>11A.1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11A.2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 xml:space="preserve">The tenant must not be required to pay a charge in relation to a public utility service provided to the premises unless the charge is calculated by </w:t>
      </w:r>
      <w:r>
        <w:lastRenderedPageBreak/>
        <w:t>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lastRenderedPageBreak/>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keepNext/>
        <w:tabs>
          <w:tab w:val="left" w:pos="567"/>
        </w:tabs>
        <w:ind w:left="567" w:hanging="567"/>
      </w:pPr>
      <w:r>
        <w:lastRenderedPageBreak/>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 xml:space="preserve">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w:t>
      </w:r>
      <w:r>
        <w:lastRenderedPageBreak/>
        <w:t>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lastRenderedPageBreak/>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lastRenderedPageBreak/>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lastRenderedPageBreak/>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lastRenderedPageBreak/>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lastRenderedPageBreak/>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 xml:space="preserve">section 60(1)(bc) if a family violence order is in force against a tenant to protect another tenant or if the court is satisfied that the </w:t>
      </w:r>
      <w:r>
        <w:lastRenderedPageBreak/>
        <w:t>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w:t>
      </w:r>
      <w:r>
        <w:lastRenderedPageBreak/>
        <w:t>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t>
      </w:r>
      <w:hyperlink r:id="rId27" w:history="1">
        <w:r>
          <w:t>www.commerce.wa.gov.au/ConsumerProtection</w:t>
        </w:r>
      </w:hyperlink>
      <w:r>
        <w:t>&gt;.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w:t>
      </w:r>
      <w:r>
        <w:lastRenderedPageBreak/>
        <w:t>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lastRenderedPageBreak/>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lastRenderedPageBreak/>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 31 Dec 2019 p. 4642</w:t>
      </w:r>
      <w:r>
        <w:noBreakHyphen/>
        <w:t>3; SL 2021/71 r. 16.]</w:t>
      </w:r>
    </w:p>
    <w:p>
      <w:pPr>
        <w:pStyle w:val="yMiscellaneousBody"/>
        <w:pageBreakBefore/>
        <w:spacing w:before="0"/>
        <w:jc w:val="center"/>
        <w:rPr>
          <w:b/>
        </w:rPr>
      </w:pPr>
      <w:r>
        <w:rPr>
          <w:b/>
        </w:rPr>
        <w:lastRenderedPageBreak/>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xml:space="preserve">) when the bond is lodged with the Bond Administrator at the Department of Commerce.  If you </w:t>
      </w:r>
      <w:r>
        <w:lastRenderedPageBreak/>
        <w:t>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xml:space="preserve">, contact your lessor or property manager immediately </w:t>
      </w:r>
      <w:r>
        <w:lastRenderedPageBreak/>
        <w:t>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lastRenderedPageBreak/>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lastRenderedPageBreak/>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xml:space="preserve">) when the bond is lodged </w:t>
      </w:r>
      <w:r>
        <w:lastRenderedPageBreak/>
        <w:t>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xml:space="preserve">, contact your lessor or property manager immediately </w:t>
      </w:r>
      <w:r>
        <w:lastRenderedPageBreak/>
        <w:t>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lastRenderedPageBreak/>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lastRenderedPageBreak/>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w:t>
      </w:r>
      <w:r>
        <w:lastRenderedPageBreak/>
        <w:t xml:space="preserve">or any written law under which a rate, tax or charge is imposed for water supply or sewerage services under the </w:t>
      </w:r>
      <w:r>
        <w:rPr>
          <w:i/>
        </w:rPr>
        <w:t>Water Agencies (Powers) Act 1984</w:t>
      </w:r>
      <w:r>
        <w:t xml:space="preserve"> (other than a charge for water consumed).</w:t>
      </w:r>
    </w:p>
    <w:p>
      <w:pPr>
        <w:pStyle w:val="yMiscellaneousBody"/>
        <w:keepNext/>
        <w:ind w:left="567" w:hanging="567"/>
      </w:pPr>
      <w:r>
        <w:t>8A.</w:t>
      </w:r>
      <w:r>
        <w:tab/>
        <w:t>The lessor is responsible for any of the following contributions in respect of the premises:</w:t>
      </w:r>
    </w:p>
    <w:p>
      <w:pPr>
        <w:pStyle w:val="yMiscellaneousBody"/>
        <w:tabs>
          <w:tab w:val="left" w:pos="567"/>
          <w:tab w:val="left" w:pos="1276"/>
        </w:tabs>
        <w:ind w:left="1276" w:hanging="1276"/>
      </w:pPr>
      <w:r>
        <w:tab/>
        <w:t>8A.1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8A.2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keepNext/>
        <w:ind w:left="567" w:hanging="567"/>
      </w:pPr>
      <w:r>
        <w:lastRenderedPageBreak/>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lastRenderedPageBreak/>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w:t>
      </w:r>
      <w:r>
        <w:lastRenderedPageBreak/>
        <w:t>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lastRenderedPageBreak/>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 xml:space="preserve">If it would unduly inconvenience the tenant for the lessor or property manager to enter the premises as specified in a notice of an intention to </w:t>
      </w:r>
      <w:r>
        <w:lastRenderedPageBreak/>
        <w:t>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lastRenderedPageBreak/>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lastRenderedPageBreak/>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tab/>
        <w:t>32B.4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lastRenderedPageBreak/>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lastRenderedPageBreak/>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ind w:left="567" w:hanging="567"/>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lastRenderedPageBreak/>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lastRenderedPageBreak/>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lastRenderedPageBreak/>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 31 Dec 2019 p. 4643; SL 2021/71 r. 17.]</w:t>
      </w:r>
    </w:p>
    <w:p>
      <w:pPr>
        <w:pStyle w:val="yMiscellaneousBody"/>
        <w:pageBreakBefore/>
        <w:spacing w:before="0"/>
        <w:jc w:val="center"/>
        <w:rPr>
          <w:b/>
        </w:rPr>
      </w:pPr>
      <w:r>
        <w:rPr>
          <w:b/>
        </w:rPr>
        <w:lastRenderedPageBreak/>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lastRenderedPageBreak/>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lastRenderedPageBreak/>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lastRenderedPageBreak/>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lastRenderedPageBreak/>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lastRenderedPageBreak/>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lastRenderedPageBreak/>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keepNext/>
        <w:spacing w:before="140"/>
        <w:rPr>
          <w:szCs w:val="22"/>
        </w:rPr>
      </w:pPr>
    </w:p>
    <w:p>
      <w:pPr>
        <w:pStyle w:val="yMiscellaneousBody"/>
        <w:keepNext/>
        <w:spacing w:before="0"/>
        <w:rPr>
          <w:szCs w:val="22"/>
        </w:rPr>
      </w:pPr>
      <w:r>
        <w:t>..........................................................</w:t>
      </w:r>
      <w:r>
        <w:br/>
      </w:r>
      <w:r>
        <w:rPr>
          <w:szCs w:val="22"/>
        </w:rPr>
        <w:t>Tenant’s signature</w:t>
      </w:r>
    </w:p>
    <w:p>
      <w:pPr>
        <w:pStyle w:val="yMiscellaneousBody"/>
        <w:keepNext/>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lastRenderedPageBreak/>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lastRenderedPageBreak/>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yTable"/>
        <w:pageBreakBefore/>
        <w:tabs>
          <w:tab w:val="right" w:leader="dot" w:pos="7088"/>
        </w:tabs>
        <w:spacing w:before="160"/>
        <w:jc w:val="center"/>
        <w:rPr>
          <w:b/>
        </w:rPr>
      </w:pPr>
      <w:r>
        <w:rPr>
          <w:b/>
        </w:rPr>
        <w:lastRenderedPageBreak/>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lastRenderedPageBreak/>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lastRenderedPageBreak/>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lastRenderedPageBreak/>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lastRenderedPageBreak/>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lastRenderedPageBreak/>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lastRenderedPageBreak/>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cantSplit/>
        </w:trPr>
        <w:tc>
          <w:tcPr>
            <w:tcW w:w="1276" w:type="dxa"/>
            <w:tcBorders>
              <w:bottom w:val="nil"/>
            </w:tcBorders>
          </w:tcPr>
          <w:p>
            <w:pPr>
              <w:pStyle w:val="yTable"/>
              <w:spacing w:before="0"/>
              <w:ind w:right="-108"/>
              <w:rPr>
                <w:b/>
                <w:sz w:val="20"/>
              </w:rPr>
            </w:pPr>
            <w:r>
              <w:rPr>
                <w:b/>
                <w:sz w:val="20"/>
              </w:rPr>
              <w:t xml:space="preserve">Notice to alleged offender </w:t>
            </w:r>
          </w:p>
        </w:tc>
        <w:tc>
          <w:tcPr>
            <w:tcW w:w="5670"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219 St George’s Terrace,  Perth  WA</w:t>
            </w:r>
          </w:p>
          <w:p>
            <w:pPr>
              <w:pStyle w:val="yTable"/>
              <w:tabs>
                <w:tab w:val="left" w:pos="974"/>
                <w:tab w:val="left" w:pos="4145"/>
              </w:tabs>
              <w:spacing w:before="40"/>
              <w:rPr>
                <w:sz w:val="20"/>
              </w:rPr>
            </w:pPr>
          </w:p>
        </w:tc>
      </w:tr>
      <w:tr>
        <w:trPr>
          <w:cantSplit/>
        </w:trPr>
        <w:tc>
          <w:tcPr>
            <w:tcW w:w="1276" w:type="dxa"/>
            <w:tcBorders>
              <w:top w:val="nil"/>
              <w:bottom w:val="nil"/>
            </w:tcBorders>
          </w:tcPr>
          <w:p>
            <w:pPr>
              <w:pStyle w:val="yTable"/>
              <w:spacing w:before="0"/>
              <w:ind w:right="-108"/>
              <w:rPr>
                <w:b/>
                <w:sz w:val="20"/>
              </w:rPr>
            </w:pPr>
          </w:p>
        </w:tc>
        <w:tc>
          <w:tcPr>
            <w:tcW w:w="5670" w:type="dxa"/>
            <w:gridSpan w:val="2"/>
            <w:tcBorders>
              <w:top w:val="nil"/>
              <w:bottom w:val="nil"/>
            </w:tcBorders>
          </w:tcPr>
          <w:p>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276" w:type="dxa"/>
            <w:tcBorders>
              <w:top w:val="nil"/>
              <w:bottom w:val="nil"/>
            </w:tcBorders>
          </w:tcPr>
          <w:p>
            <w:pPr>
              <w:pStyle w:val="yTable"/>
              <w:keepNext/>
              <w:spacing w:before="0"/>
              <w:ind w:right="-108"/>
              <w:rPr>
                <w:b/>
                <w:sz w:val="20"/>
              </w:rPr>
            </w:pPr>
          </w:p>
        </w:tc>
        <w:tc>
          <w:tcPr>
            <w:tcW w:w="5670" w:type="dxa"/>
            <w:gridSpan w:val="2"/>
            <w:tcBorders>
              <w:top w:val="nil"/>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 SL 2020/163 r. 48.]</w:t>
      </w:r>
    </w:p>
    <w:p>
      <w:pPr>
        <w:pStyle w:val="yMiscellaneousHeading"/>
        <w:pageBreakBefore/>
        <w:spacing w:before="0" w:after="60"/>
        <w:rPr>
          <w:b/>
        </w:rPr>
      </w:pPr>
      <w:r>
        <w:rPr>
          <w:b/>
        </w:rPr>
        <w:lastRenderedPageBreak/>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yScheduleHeading"/>
      </w:pPr>
      <w:bookmarkStart w:id="78" w:name="_Toc153532128"/>
      <w:bookmarkStart w:id="79" w:name="_Toc153534256"/>
      <w:bookmarkStart w:id="80" w:name="_Toc153787117"/>
      <w:r>
        <w:rPr>
          <w:rStyle w:val="CharSchNo"/>
        </w:rPr>
        <w:lastRenderedPageBreak/>
        <w:t>Schedule 5</w:t>
      </w:r>
      <w:r>
        <w:rPr>
          <w:rStyle w:val="CharSDivNo"/>
        </w:rPr>
        <w:t> </w:t>
      </w:r>
      <w:r>
        <w:t>—</w:t>
      </w:r>
      <w:r>
        <w:rPr>
          <w:rStyle w:val="CharSDivText"/>
        </w:rPr>
        <w:t> </w:t>
      </w:r>
      <w:r>
        <w:rPr>
          <w:rStyle w:val="CharSchText"/>
        </w:rPr>
        <w:t>Prescribed offences and modified penalties</w:t>
      </w:r>
      <w:bookmarkEnd w:id="78"/>
      <w:bookmarkEnd w:id="79"/>
      <w:bookmarkEnd w:id="80"/>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lastRenderedPageBreak/>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lastRenderedPageBreak/>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Next/>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lastRenderedPageBreak/>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81" w:name="_Toc153532129"/>
      <w:bookmarkStart w:id="82" w:name="_Toc153534257"/>
      <w:bookmarkStart w:id="83" w:name="_Toc153787118"/>
      <w:r>
        <w:lastRenderedPageBreak/>
        <w:t>Notes</w:t>
      </w:r>
      <w:bookmarkEnd w:id="81"/>
      <w:bookmarkEnd w:id="82"/>
      <w:bookmarkEnd w:id="83"/>
    </w:p>
    <w:p>
      <w:pPr>
        <w:pStyle w:val="nStatement"/>
      </w:pPr>
      <w:r>
        <w:t xml:space="preserve">This is a compilation of the </w:t>
      </w:r>
      <w:r>
        <w:rPr>
          <w:i/>
          <w:noProof/>
        </w:rPr>
        <w:t>Residential Tenancies Regulations 1989</w:t>
      </w:r>
      <w:r>
        <w:t xml:space="preserve"> and includes amendments made by other written laws. For provisions that have come into operation, and for information about any reprints, see the compilation table.</w:t>
      </w:r>
    </w:p>
    <w:p>
      <w:pPr>
        <w:pStyle w:val="nHeading3"/>
      </w:pPr>
      <w:bookmarkStart w:id="84" w:name="_Toc153787119"/>
      <w:r>
        <w:t>Compilation table</w:t>
      </w:r>
      <w:bookmarkEnd w:id="8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lastRenderedPageBreak/>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rPr>
                <w:snapToGrid w:val="0"/>
              </w:rPr>
            </w:pPr>
            <w:r>
              <w:rPr>
                <w:b/>
              </w:rPr>
              <w:lastRenderedPageBreak/>
              <w:t xml:space="preserve">Reprint 4: The </w:t>
            </w:r>
            <w:r>
              <w:rPr>
                <w:b/>
                <w:i/>
              </w:rPr>
              <w:t>Residential Tenancies Regulations 1989</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pPr>
            <w:r>
              <w:rPr>
                <w:i/>
              </w:rPr>
              <w:t>Commerce Regulations Amendment (Family Violence) Regulations 2019</w:t>
            </w:r>
            <w:r>
              <w:t xml:space="preserve"> Pt. 2</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spacing w:after="40"/>
            </w:pPr>
            <w:r>
              <w:rPr>
                <w:i/>
              </w:rPr>
              <w:t xml:space="preserve">Consumer Protection Regulations Amendment Regulations 2019 </w:t>
            </w:r>
            <w:r>
              <w:t>Pt. 5</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xml:space="preserve"> 24 Dec 2019 p. 4415)</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4</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Commerce Regulations Amendment (Infringement Notices) Regulations 2020</w:t>
            </w:r>
            <w:r>
              <w:t xml:space="preserve"> Pt. 24</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8" w:type="dxa"/>
            <w:tcBorders>
              <w:top w:val="nil"/>
              <w:bottom w:val="nil"/>
            </w:tcBorders>
          </w:tcPr>
          <w:p>
            <w:pPr>
              <w:pStyle w:val="nTable"/>
              <w:spacing w:after="40"/>
              <w:rPr>
                <w:i/>
              </w:rPr>
            </w:pPr>
            <w:r>
              <w:rPr>
                <w:i/>
              </w:rPr>
              <w:t xml:space="preserve">Commerce Regulations Amendment (Community Titles) Regulations 2021 </w:t>
            </w:r>
            <w:r>
              <w:t>Pt. 6</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8" w:type="dxa"/>
            <w:tcBorders>
              <w:top w:val="nil"/>
              <w:bottom w:val="nil"/>
            </w:tcBorders>
          </w:tcPr>
          <w:p>
            <w:pPr>
              <w:pStyle w:val="nTable"/>
              <w:spacing w:after="40"/>
              <w:rPr>
                <w:i/>
              </w:rPr>
            </w:pPr>
            <w:r>
              <w:rPr>
                <w:i/>
              </w:rPr>
              <w:t>Commerce Regulations Amendment (Swan Valley Planning Scheme) Regulations 2021</w:t>
            </w:r>
            <w:r>
              <w:t xml:space="preserve"> Pt. 3</w:t>
            </w:r>
          </w:p>
        </w:tc>
        <w:tc>
          <w:tcPr>
            <w:tcW w:w="1276" w:type="dxa"/>
            <w:tcBorders>
              <w:top w:val="nil"/>
              <w:bottom w:val="nil"/>
            </w:tcBorders>
          </w:tcPr>
          <w:p>
            <w:pPr>
              <w:pStyle w:val="nTable"/>
              <w:spacing w:after="40"/>
            </w:pPr>
            <w:r>
              <w:t>SL 2021/130 16 Jul 2021</w:t>
            </w:r>
          </w:p>
        </w:tc>
        <w:tc>
          <w:tcPr>
            <w:tcW w:w="2693" w:type="dxa"/>
            <w:tcBorders>
              <w:top w:val="nil"/>
              <w:bottom w:val="nil"/>
            </w:tcBorders>
          </w:tcPr>
          <w:p>
            <w:pPr>
              <w:pStyle w:val="nTable"/>
              <w:spacing w:after="40"/>
            </w:pPr>
            <w:r>
              <w:t>1 Aug 2021 (see r. 2(b) and SL 2021/124 cl. 2)</w:t>
            </w:r>
          </w:p>
        </w:tc>
      </w:tr>
      <w:tr>
        <w:trPr>
          <w:cantSplit/>
        </w:trPr>
        <w:tc>
          <w:tcPr>
            <w:tcW w:w="3118" w:type="dxa"/>
            <w:tcBorders>
              <w:top w:val="nil"/>
              <w:bottom w:val="nil"/>
            </w:tcBorders>
          </w:tcPr>
          <w:p>
            <w:pPr>
              <w:pStyle w:val="nTable"/>
              <w:spacing w:after="40"/>
              <w:rPr>
                <w:i/>
              </w:rPr>
            </w:pPr>
            <w:r>
              <w:rPr>
                <w:i/>
              </w:rPr>
              <w:t xml:space="preserve">Commerce Regulations Amendment (Legal Profession) Regulations 2022 </w:t>
            </w:r>
            <w:r>
              <w:t>Pt. 6</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rPr>
          <w:cantSplit/>
        </w:trPr>
        <w:tc>
          <w:tcPr>
            <w:tcW w:w="3118" w:type="dxa"/>
            <w:tcBorders>
              <w:top w:val="nil"/>
              <w:bottom w:val="nil"/>
            </w:tcBorders>
          </w:tcPr>
          <w:p>
            <w:pPr>
              <w:pStyle w:val="nTable"/>
              <w:spacing w:after="40"/>
              <w:rPr>
                <w:i/>
              </w:rPr>
            </w:pPr>
            <w:r>
              <w:rPr>
                <w:i/>
              </w:rPr>
              <w:t>Residential Tenancies Amendment Regulations 2023</w:t>
            </w:r>
          </w:p>
        </w:tc>
        <w:tc>
          <w:tcPr>
            <w:tcW w:w="1276" w:type="dxa"/>
            <w:tcBorders>
              <w:top w:val="nil"/>
              <w:bottom w:val="nil"/>
            </w:tcBorders>
          </w:tcPr>
          <w:p>
            <w:pPr>
              <w:pStyle w:val="nTable"/>
              <w:spacing w:after="40"/>
            </w:pPr>
            <w:r>
              <w:t>SL 2023/126</w:t>
            </w:r>
            <w:r>
              <w:br/>
              <w:t>9 Aug 2023</w:t>
            </w:r>
          </w:p>
        </w:tc>
        <w:tc>
          <w:tcPr>
            <w:tcW w:w="2693" w:type="dxa"/>
            <w:tcBorders>
              <w:top w:val="nil"/>
              <w:bottom w:val="nil"/>
            </w:tcBorders>
          </w:tcPr>
          <w:p>
            <w:pPr>
              <w:pStyle w:val="nTable"/>
              <w:spacing w:after="40"/>
            </w:pPr>
            <w:r>
              <w:t>r. 1 and 2: 9 Aug 2023 (see r. 2(a));</w:t>
            </w:r>
            <w:r>
              <w:br/>
              <w:t>Regulations other than r. 1 and 2: 10 Aug 2023 (see r. 2(b) and SL 2023/132 cl. 2)</w:t>
            </w:r>
          </w:p>
        </w:tc>
      </w:tr>
      <w:tr>
        <w:trPr>
          <w:cantSplit/>
        </w:trPr>
        <w:tc>
          <w:tcPr>
            <w:tcW w:w="3118" w:type="dxa"/>
            <w:tcBorders>
              <w:top w:val="nil"/>
              <w:bottom w:val="single" w:sz="4" w:space="0" w:color="auto"/>
            </w:tcBorders>
          </w:tcPr>
          <w:p>
            <w:pPr>
              <w:pStyle w:val="nTable"/>
              <w:spacing w:after="40"/>
              <w:rPr>
                <w:i/>
              </w:rPr>
            </w:pPr>
            <w:r>
              <w:rPr>
                <w:i/>
              </w:rPr>
              <w:lastRenderedPageBreak/>
              <w:t>Residential Tenancies Amendment Regulations (No. 2) 2023</w:t>
            </w:r>
          </w:p>
        </w:tc>
        <w:tc>
          <w:tcPr>
            <w:tcW w:w="1276" w:type="dxa"/>
            <w:tcBorders>
              <w:top w:val="nil"/>
              <w:bottom w:val="single" w:sz="4" w:space="0" w:color="auto"/>
            </w:tcBorders>
          </w:tcPr>
          <w:p>
            <w:pPr>
              <w:pStyle w:val="nTable"/>
              <w:spacing w:after="40"/>
            </w:pPr>
            <w:r>
              <w:t>SL 2023/206 20 Dec 2023</w:t>
            </w:r>
          </w:p>
        </w:tc>
        <w:tc>
          <w:tcPr>
            <w:tcW w:w="2693" w:type="dxa"/>
            <w:tcBorders>
              <w:top w:val="nil"/>
              <w:bottom w:val="single" w:sz="4" w:space="0" w:color="auto"/>
            </w:tcBorders>
          </w:tcPr>
          <w:p>
            <w:pPr>
              <w:pStyle w:val="nTable"/>
              <w:spacing w:after="40"/>
            </w:pPr>
            <w:r>
              <w:t>r. 1 and 2: 20 Dec 2023 (see r. 2(a));</w:t>
            </w:r>
            <w:r>
              <w:br/>
              <w:t>Regulations other than r. 1 and 2: 21 Dec 2023 (see r. 2(b))</w:t>
            </w:r>
          </w:p>
        </w:tc>
      </w:tr>
    </w:tbl>
    <w:p>
      <w:pPr>
        <w:pStyle w:val="nHeading3"/>
      </w:pPr>
      <w:bookmarkStart w:id="85" w:name="_Toc153787120"/>
      <w:r>
        <w:t>Other notes</w:t>
      </w:r>
      <w:bookmarkEnd w:id="85"/>
    </w:p>
    <w:p>
      <w:pPr>
        <w:pStyle w:val="nNote"/>
        <w:keepNext/>
        <w:spacing w:before="160"/>
      </w:pPr>
      <w:r>
        <w:rPr>
          <w:vertAlign w:val="superscript"/>
        </w:rPr>
        <w:t>1</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Note"/>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Note"/>
        <w:spacing w:before="160"/>
      </w:pPr>
      <w:r>
        <w:rPr>
          <w:vertAlign w:val="superscript"/>
        </w:rPr>
        <w:t>3</w:t>
      </w:r>
      <w:r>
        <w:tab/>
        <w:t xml:space="preserve">The </w:t>
      </w:r>
      <w:r>
        <w:rPr>
          <w:i/>
        </w:rPr>
        <w:t>Residential Tenancies Act 1987</w:t>
      </w:r>
      <w:r>
        <w:t xml:space="preserve"> Sch. 1 cl. 7 was deleted by the </w:t>
      </w:r>
      <w:r>
        <w:rPr>
          <w:i/>
        </w:rPr>
        <w:t>Residential Tenancies Amendment Act 2011</w:t>
      </w:r>
      <w:r>
        <w:t xml:space="preserve"> s. 87(16).</w:t>
      </w:r>
    </w:p>
    <w:p>
      <w:pPr>
        <w:pStyle w:val="nNote"/>
        <w:spacing w:before="160"/>
      </w:pPr>
      <w:r>
        <w:rPr>
          <w:vertAlign w:val="superscript"/>
        </w:rPr>
        <w:t>4</w:t>
      </w:r>
      <w:r>
        <w:tab/>
        <w:t>Now called the Consolidated Account.</w:t>
      </w:r>
    </w:p>
    <w:p>
      <w:pPr>
        <w:sectPr>
          <w:headerReference w:type="even" r:id="rId33"/>
          <w:headerReference w:type="default" r:id="rId34"/>
          <w:pgSz w:w="11907" w:h="16840" w:code="9"/>
          <w:pgMar w:top="2376" w:right="2404" w:bottom="3544" w:left="2404" w:header="720" w:footer="3544" w:gutter="0"/>
          <w:cols w:space="720"/>
          <w:noEndnote/>
          <w:docGrid w:linePitch="326"/>
        </w:sectPr>
      </w:pPr>
    </w:p>
    <w:p>
      <w:pPr>
        <w:pStyle w:val="nHeading2"/>
        <w:rPr>
          <w:sz w:val="28"/>
        </w:rPr>
      </w:pPr>
      <w:bookmarkStart w:id="87" w:name="_Toc153532132"/>
      <w:bookmarkStart w:id="88" w:name="_Toc153534260"/>
      <w:bookmarkStart w:id="89" w:name="_Toc153787121"/>
      <w:r>
        <w:rPr>
          <w:sz w:val="28"/>
        </w:rPr>
        <w:lastRenderedPageBreak/>
        <w:t>Defined terms</w:t>
      </w:r>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5039-2008</w:t>
      </w:r>
      <w:r>
        <w:tab/>
        <w:t>12B(1)</w:t>
      </w:r>
    </w:p>
    <w:p>
      <w:pPr>
        <w:pStyle w:val="DefinedTerms"/>
      </w:pPr>
      <w:r>
        <w:t>belongs</w:t>
      </w:r>
      <w:r>
        <w:tab/>
        <w:t>Sch. 4</w:t>
      </w:r>
    </w:p>
    <w:p>
      <w:pPr>
        <w:pStyle w:val="DefinedTerms"/>
      </w:pPr>
      <w:r>
        <w:t>bond holder</w:t>
      </w:r>
      <w:r>
        <w:tab/>
        <w:t>15(7)</w:t>
      </w:r>
    </w:p>
    <w:p>
      <w:pPr>
        <w:pStyle w:val="DefinedTerms"/>
      </w:pPr>
      <w:r>
        <w:t>commencement day</w:t>
      </w:r>
      <w:r>
        <w:tab/>
        <w:t>5A(1A)</w:t>
      </w:r>
    </w:p>
    <w:p>
      <w:pPr>
        <w:pStyle w:val="DefinedTerms"/>
      </w:pPr>
      <w:r>
        <w:t>community titles scheme</w:t>
      </w:r>
      <w:r>
        <w:tab/>
        <w:t>Sch. 4</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scheme by-laws</w:t>
      </w:r>
      <w:r>
        <w:tab/>
        <w:t>Sch. 4</w:t>
      </w:r>
    </w:p>
    <w:p>
      <w:pPr>
        <w:pStyle w:val="DefinedTerms"/>
      </w:pPr>
      <w:r>
        <w:t>security bond</w:t>
      </w:r>
      <w:r>
        <w:tab/>
        <w:t>15(7)</w:t>
      </w:r>
    </w:p>
    <w:p>
      <w:pPr>
        <w:pStyle w:val="DefinedTerms"/>
      </w:pPr>
      <w:r>
        <w:t>specified power</w:t>
      </w:r>
      <w:r>
        <w:tab/>
        <w:t>5(2), 5D(2)</w:t>
      </w:r>
    </w:p>
    <w:p>
      <w:pPr>
        <w:pStyle w:val="DefinedTerms"/>
      </w:pPr>
      <w:r>
        <w:t>St Thomas More College</w:t>
      </w:r>
      <w:r>
        <w:tab/>
        <w:t>5AAA(1)</w:t>
      </w:r>
    </w:p>
    <w:p>
      <w:pPr>
        <w:pStyle w:val="DefinedTerms"/>
      </w:pPr>
      <w:r>
        <w:t>tier 2 scheme</w:t>
      </w:r>
      <w:r>
        <w:tab/>
        <w:t>Sch. 4</w:t>
      </w:r>
    </w:p>
    <w:p>
      <w:pPr>
        <w:pStyle w:val="DefinedTerms"/>
      </w:pPr>
      <w:r>
        <w:t>tier 3 scheme</w:t>
      </w:r>
      <w:r>
        <w:tab/>
        <w:t>Sch. 4</w:t>
      </w:r>
    </w:p>
    <w:p>
      <w:pPr>
        <w:pStyle w:val="DefinedTerms"/>
      </w:pPr>
      <w:r>
        <w:t>Unclaimed Security Bond Account</w:t>
      </w:r>
      <w:r>
        <w:tab/>
        <w:t>15(7)</w:t>
      </w:r>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05-s0-00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05-s0-00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05-s0-00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05-s0-00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05-s0-00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05-s0-00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74" w:name="Schedule"/>
    <w:bookmarkEnd w:id="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5112341"/>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 w:name="WAFER_20191223125241" w:val="RemoveTocBookmarks,RemoveUnusedBookmarks,RemoveLanguageTags,ResetPageSize,RunningHeaders,UpdateStyles,UsedStyles"/>
    <w:docVar w:name="WAFER_20191223125241_GUID" w:val="b9834416-308a-4f36-b45d-a5a5694ef3ff"/>
    <w:docVar w:name="WAFER_202002111018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6_GUID" w:val="8144b305-c8c6-4034-b349-392e1ac50951"/>
    <w:docVar w:name="WAFER_202004171400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0043_GUID" w:val="33246072-22a5-437a-a482-808dc3c013dc"/>
    <w:docVar w:name="WAFER_20200420093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511_GUID" w:val="9d1e80c4-38a2-4beb-b86f-47007e53cdf1"/>
    <w:docVar w:name="WAFER_202009221414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422_GUID" w:val="d6c20f9c-e393-4a62-a8c3-794bcba991f9"/>
    <w:docVar w:name="WAFER_202106151112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1225_GUID" w:val="8adce3c3-ae3a-49f4-8b1e-21229b885735"/>
    <w:docVar w:name="WAFER_202106211550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5030_GUID" w:val="ebf97013-df36-446b-92af-604d28fa6ebe"/>
    <w:docVar w:name="WAFER_20210726153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3608_GUID" w:val="16fcf3e8-9925-40b2-bd71-82e6dc9087b4"/>
    <w:docVar w:name="WAFER_2022020410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05107_GUID" w:val="4e058de2-a8ba-4161-8453-da481bb97640"/>
    <w:docVar w:name="WAFER_202206280834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083436_GUID" w:val="931237d5-d371-4c98-8eec-9091f24feea8"/>
    <w:docVar w:name="WAFER_202206281006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0631_GUID" w:val="ca9aed81-1d13-46bd-b099-cd42df505fb4"/>
    <w:docVar w:name="WAFER_202308041331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4133144_GUID" w:val="4b55af0d-9e63-4d2b-80d8-df0412114823"/>
    <w:docVar w:name="WAFER_202312151123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112312_GUID" w:val="a99639cb-66d6-4ec7-9348-2b3645d0e20c"/>
    <w:docVar w:name="WAFER_202312151123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215112341_GUID" w:val="5e2500f9-7710-4982-b317-8fddf7e397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1D35678C-144A-4D8C-A8FD-8846189D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commerce.wa.gov.au/ConsumerProtection" TargetMode="Externa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8AA2-FB91-4AC5-9FD9-DC181D28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32077</Words>
  <Characters>160390</Characters>
  <Application>Microsoft Office Word</Application>
  <DocSecurity>0</DocSecurity>
  <Lines>4860</Lines>
  <Paragraphs>2600</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189867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1989 - 05-s0-00</dc:title>
  <dc:subject/>
  <dc:creator/>
  <cp:keywords/>
  <dc:description/>
  <cp:lastModifiedBy>Master Repository Process</cp:lastModifiedBy>
  <cp:revision>4</cp:revision>
  <cp:lastPrinted>2016-12-22T08:06:00Z</cp:lastPrinted>
  <dcterms:created xsi:type="dcterms:W3CDTF">2023-12-19T06:47:00Z</dcterms:created>
  <dcterms:modified xsi:type="dcterms:W3CDTF">2023-12-19T06:47:00Z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AsAtDate">
    <vt:lpwstr>21 Dec 2023</vt:lpwstr>
  </property>
  <property fmtid="{D5CDD505-2E9C-101B-9397-08002B2CF9AE}" pid="8" name="Suffix">
    <vt:lpwstr>05-s0-00</vt:lpwstr>
  </property>
  <property fmtid="{D5CDD505-2E9C-101B-9397-08002B2CF9AE}" pid="9" name="Official">
    <vt:lpwstr/>
  </property>
  <property fmtid="{D5CDD505-2E9C-101B-9397-08002B2CF9AE}" pid="10" name="CommencementDate">
    <vt:lpwstr>20231221</vt:lpwstr>
  </property>
  <property fmtid="{D5CDD505-2E9C-101B-9397-08002B2CF9AE}" pid="11" name="CommencementYear">
    <vt:lpwstr>2023</vt:lpwstr>
  </property>
</Properties>
</file>