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Personal Property Securities (Commonwealth Laws)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_Toc153781887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_Toc153781888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_Toc153781890 \h </w:instrText>
      </w:r>
      <w:r>
        <w:fldChar w:fldCharType="separate"/>
      </w:r>
      <w:r>
        <w:t>3</w:t>
      </w:r>
      <w:r>
        <w:fldChar w:fldCharType="end"/>
      </w:r>
    </w:p>
    <w:p>
      <w:pPr>
        <w:pStyle w:val="TOC8"/>
        <w:rPr>
          <w:rFonts w:asciiTheme="minorHAnsi" w:eastAsiaTheme="minorEastAsia" w:hAnsiTheme="minorHAnsi" w:cstheme="minorBidi"/>
          <w:szCs w:val="22"/>
        </w:rPr>
      </w:pPr>
      <w:r>
        <w:t>4.</w:t>
      </w:r>
      <w:r>
        <w:tab/>
        <w:t>Term used: referred PPS matters</w:t>
      </w:r>
      <w:r>
        <w:tab/>
      </w:r>
      <w:r>
        <w:fldChar w:fldCharType="begin"/>
      </w:r>
      <w:r>
        <w:instrText xml:space="preserve"> PAGEREF _Toc153781891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security interest</w:t>
      </w:r>
      <w:r>
        <w:tab/>
      </w:r>
      <w:r>
        <w:fldChar w:fldCharType="begin"/>
      </w:r>
      <w:r>
        <w:instrText xml:space="preserve"> PAGEREF _Toc153781892 \h </w:instrText>
      </w:r>
      <w:r>
        <w:fldChar w:fldCharType="separate"/>
      </w:r>
      <w:r>
        <w:t>7</w:t>
      </w:r>
      <w:r>
        <w:fldChar w:fldCharType="end"/>
      </w:r>
    </w:p>
    <w:p>
      <w:pPr>
        <w:pStyle w:val="TOC8"/>
        <w:rPr>
          <w:rFonts w:asciiTheme="minorHAnsi" w:eastAsiaTheme="minorEastAsia" w:hAnsiTheme="minorHAnsi" w:cstheme="minorBidi"/>
          <w:szCs w:val="22"/>
        </w:rPr>
      </w:pPr>
      <w:r>
        <w:t>6.</w:t>
      </w:r>
      <w:r>
        <w:tab/>
        <w:t>Adoption of Commonwealth PPS Act</w:t>
      </w:r>
      <w:r>
        <w:tab/>
      </w:r>
      <w:r>
        <w:fldChar w:fldCharType="begin"/>
      </w:r>
      <w:r>
        <w:instrText xml:space="preserve"> PAGEREF _Toc153781893 \h </w:instrText>
      </w:r>
      <w:r>
        <w:fldChar w:fldCharType="separate"/>
      </w:r>
      <w:r>
        <w:t>8</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_Toc153781894 \h </w:instrText>
      </w:r>
      <w:r>
        <w:fldChar w:fldCharType="separate"/>
      </w:r>
      <w:r>
        <w:t>8</w:t>
      </w:r>
      <w:r>
        <w:fldChar w:fldCharType="end"/>
      </w:r>
    </w:p>
    <w:p>
      <w:pPr>
        <w:pStyle w:val="TOC8"/>
        <w:rPr>
          <w:rFonts w:asciiTheme="minorHAnsi" w:eastAsiaTheme="minorEastAsia" w:hAnsiTheme="minorHAnsi" w:cstheme="minorBidi"/>
          <w:szCs w:val="22"/>
        </w:rPr>
      </w:pPr>
      <w:r>
        <w:t>8.</w:t>
      </w:r>
      <w:r>
        <w:tab/>
        <w:t>References of matters</w:t>
      </w:r>
      <w:r>
        <w:tab/>
      </w:r>
      <w:r>
        <w:fldChar w:fldCharType="begin"/>
      </w:r>
      <w:r>
        <w:instrText xml:space="preserve"> PAGEREF _Toc153781895 \h </w:instrText>
      </w:r>
      <w:r>
        <w:fldChar w:fldCharType="separate"/>
      </w:r>
      <w:r>
        <w:t>9</w:t>
      </w:r>
      <w:r>
        <w:fldChar w:fldCharType="end"/>
      </w:r>
    </w:p>
    <w:p>
      <w:pPr>
        <w:pStyle w:val="TOC8"/>
        <w:rPr>
          <w:rFonts w:asciiTheme="minorHAnsi" w:eastAsiaTheme="minorEastAsia" w:hAnsiTheme="minorHAnsi" w:cstheme="minorBidi"/>
          <w:szCs w:val="22"/>
        </w:rPr>
      </w:pPr>
      <w:r>
        <w:t>9.</w:t>
      </w:r>
      <w:r>
        <w:tab/>
        <w:t>Termination of references</w:t>
      </w:r>
      <w:r>
        <w:tab/>
      </w:r>
      <w:r>
        <w:fldChar w:fldCharType="begin"/>
      </w:r>
      <w:r>
        <w:instrText xml:space="preserve"> PAGEREF _Toc153781896 \h </w:instrText>
      </w:r>
      <w:r>
        <w:fldChar w:fldCharType="separate"/>
      </w:r>
      <w:r>
        <w:t>9</w:t>
      </w:r>
      <w:r>
        <w:fldChar w:fldCharType="end"/>
      </w:r>
    </w:p>
    <w:p>
      <w:pPr>
        <w:pStyle w:val="TOC8"/>
        <w:rPr>
          <w:rFonts w:asciiTheme="minorHAnsi" w:eastAsiaTheme="minorEastAsia" w:hAnsiTheme="minorHAnsi" w:cstheme="minorBidi"/>
          <w:szCs w:val="22"/>
        </w:rPr>
      </w:pPr>
      <w:r>
        <w:t>10.</w:t>
      </w:r>
      <w:r>
        <w:tab/>
        <w:t>Amendment of Commonwealth law</w:t>
      </w:r>
      <w:r>
        <w:tab/>
      </w:r>
      <w:r>
        <w:fldChar w:fldCharType="begin"/>
      </w:r>
      <w:r>
        <w:instrText xml:space="preserve"> PAGEREF _Toc153781897 \h </w:instrText>
      </w:r>
      <w:r>
        <w:fldChar w:fldCharType="separate"/>
      </w:r>
      <w:r>
        <w:t>10</w:t>
      </w:r>
      <w:r>
        <w:fldChar w:fldCharType="end"/>
      </w:r>
    </w:p>
    <w:p>
      <w:pPr>
        <w:pStyle w:val="TOC8"/>
        <w:rPr>
          <w:rFonts w:asciiTheme="minorHAnsi" w:eastAsiaTheme="minorEastAsia" w:hAnsiTheme="minorHAnsi" w:cstheme="minorBidi"/>
          <w:szCs w:val="22"/>
        </w:rPr>
      </w:pPr>
      <w:r>
        <w:t>11.</w:t>
      </w:r>
      <w:r>
        <w:tab/>
        <w:t>Effect of termination of amendment references before termination of adoption of Commonwealth PPS Act</w:t>
      </w:r>
      <w:r>
        <w:tab/>
      </w:r>
      <w:r>
        <w:fldChar w:fldCharType="begin"/>
      </w:r>
      <w:r>
        <w:instrText xml:space="preserve"> PAGEREF _Toc153781898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provisions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_Toc153781900 \h </w:instrText>
      </w:r>
      <w:r>
        <w:fldChar w:fldCharType="separate"/>
      </w:r>
      <w:r>
        <w:t>13</w:t>
      </w:r>
      <w:r>
        <w:fldChar w:fldCharType="end"/>
      </w:r>
    </w:p>
    <w:p>
      <w:pPr>
        <w:pStyle w:val="TOC8"/>
        <w:rPr>
          <w:rFonts w:asciiTheme="minorHAnsi" w:eastAsiaTheme="minorEastAsia" w:hAnsiTheme="minorHAnsi" w:cstheme="minorBidi"/>
          <w:szCs w:val="22"/>
        </w:rPr>
      </w:pPr>
      <w:r>
        <w:t>13.</w:t>
      </w:r>
      <w:r>
        <w:tab/>
        <w:t>Provision of information to the Commonwealth</w:t>
      </w:r>
      <w:r>
        <w:tab/>
      </w:r>
      <w:r>
        <w:fldChar w:fldCharType="begin"/>
      </w:r>
      <w:r>
        <w:instrText xml:space="preserve"> PAGEREF _Toc153781901 \h </w:instrText>
      </w:r>
      <w:r>
        <w:fldChar w:fldCharType="separate"/>
      </w:r>
      <w:r>
        <w:t>14</w:t>
      </w:r>
      <w:r>
        <w:fldChar w:fldCharType="end"/>
      </w:r>
    </w:p>
    <w:p>
      <w:pPr>
        <w:pStyle w:val="TOC8"/>
        <w:rPr>
          <w:rFonts w:asciiTheme="minorHAnsi" w:eastAsiaTheme="minorEastAsia" w:hAnsiTheme="minorHAnsi" w:cstheme="minorBidi"/>
          <w:szCs w:val="22"/>
        </w:rPr>
      </w:pPr>
      <w:r>
        <w:t>14.</w:t>
      </w:r>
      <w:r>
        <w:tab/>
        <w:t>Compensation not payable in respect of PPS transitional matters</w:t>
      </w:r>
      <w:r>
        <w:tab/>
      </w:r>
      <w:r>
        <w:fldChar w:fldCharType="begin"/>
      </w:r>
      <w:r>
        <w:instrText xml:space="preserve"> PAGEREF _Toc153781902 \h </w:instrText>
      </w:r>
      <w:r>
        <w:fldChar w:fldCharType="separate"/>
      </w:r>
      <w:r>
        <w:t>14</w:t>
      </w:r>
      <w:r>
        <w:fldChar w:fldCharType="end"/>
      </w:r>
    </w:p>
    <w:p>
      <w:pPr>
        <w:pStyle w:val="TOC8"/>
        <w:rPr>
          <w:rFonts w:asciiTheme="minorHAnsi" w:eastAsiaTheme="minorEastAsia" w:hAnsiTheme="minorHAnsi" w:cstheme="minorBidi"/>
          <w:szCs w:val="22"/>
        </w:rPr>
      </w:pPr>
      <w:r>
        <w:t>15.</w:t>
      </w:r>
      <w:r>
        <w:tab/>
        <w:t>Implied power to make declaration that licence etc. not personal property</w:t>
      </w:r>
      <w:r>
        <w:tab/>
      </w:r>
      <w:r>
        <w:fldChar w:fldCharType="begin"/>
      </w:r>
      <w:r>
        <w:instrText xml:space="preserve"> PAGEREF _Toc153781903 \h </w:instrText>
      </w:r>
      <w:r>
        <w:fldChar w:fldCharType="separate"/>
      </w:r>
      <w:r>
        <w:t>15</w:t>
      </w:r>
      <w:r>
        <w:fldChar w:fldCharType="end"/>
      </w:r>
    </w:p>
    <w:p>
      <w:pPr>
        <w:pStyle w:val="TOC8"/>
        <w:rPr>
          <w:rFonts w:asciiTheme="minorHAnsi" w:eastAsiaTheme="minorEastAsia" w:hAnsiTheme="minorHAnsi" w:cstheme="minorBidi"/>
          <w:szCs w:val="22"/>
        </w:rPr>
      </w:pPr>
      <w:r>
        <w:t>16.</w:t>
      </w:r>
      <w:r>
        <w:tab/>
        <w:t>References to charges and fixed and floating charges</w:t>
      </w:r>
      <w:r>
        <w:tab/>
      </w:r>
      <w:r>
        <w:fldChar w:fldCharType="begin"/>
      </w:r>
      <w:r>
        <w:instrText xml:space="preserve"> PAGEREF _Toc153781904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tab/>
        <w:t>Enforcement of and other dealings with PPS security interests restricted in certain circumstances</w:t>
      </w:r>
      <w:r>
        <w:tab/>
      </w:r>
      <w:r>
        <w:fldChar w:fldCharType="begin"/>
      </w:r>
      <w:r>
        <w:instrText xml:space="preserve"> PAGEREF _Toc153781905 \h </w:instrText>
      </w:r>
      <w:r>
        <w:fldChar w:fldCharType="separate"/>
      </w:r>
      <w:r>
        <w:t>16</w:t>
      </w:r>
      <w:r>
        <w:fldChar w:fldCharType="end"/>
      </w:r>
    </w:p>
    <w:p>
      <w:pPr>
        <w:pStyle w:val="TOC8"/>
        <w:rPr>
          <w:rFonts w:asciiTheme="minorHAnsi" w:eastAsiaTheme="minorEastAsia" w:hAnsiTheme="minorHAnsi" w:cstheme="minorBidi"/>
          <w:szCs w:val="22"/>
        </w:rPr>
      </w:pPr>
      <w:r>
        <w:t>18.</w:t>
      </w:r>
      <w:r>
        <w:tab/>
        <w:t>Bills of sale records</w:t>
      </w:r>
      <w:r>
        <w:tab/>
      </w:r>
      <w:r>
        <w:fldChar w:fldCharType="begin"/>
      </w:r>
      <w:r>
        <w:instrText xml:space="preserve"> PAGEREF _Toc153781906 \h </w:instrText>
      </w:r>
      <w:r>
        <w:fldChar w:fldCharType="separate"/>
      </w:r>
      <w:r>
        <w:t>18</w:t>
      </w:r>
      <w:r>
        <w:fldChar w:fldCharType="end"/>
      </w:r>
    </w:p>
    <w:p>
      <w:pPr>
        <w:pStyle w:val="TOC8"/>
        <w:rPr>
          <w:rFonts w:asciiTheme="minorHAnsi" w:eastAsiaTheme="minorEastAsia" w:hAnsiTheme="minorHAnsi" w:cstheme="minorBidi"/>
          <w:szCs w:val="22"/>
        </w:rPr>
      </w:pPr>
      <w:r>
        <w:t>19.</w:t>
      </w:r>
      <w:r>
        <w:tab/>
        <w:t>Regulations for transitional matters</w:t>
      </w:r>
      <w:r>
        <w:tab/>
      </w:r>
      <w:r>
        <w:fldChar w:fldCharType="begin"/>
      </w:r>
      <w:r>
        <w:instrText xml:space="preserve"> PAGEREF _Toc153781907 \h </w:instrText>
      </w:r>
      <w:r>
        <w:fldChar w:fldCharType="separate"/>
      </w:r>
      <w:r>
        <w:t>19</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_Toc153781908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_Toc153781910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_Toc153781911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Personal Property Securities (Commonwealth Laws) Act 2011</w:t>
      </w:r>
    </w:p>
    <w:p>
      <w:pPr>
        <w:pStyle w:val="LongTitle"/>
        <w:suppressLineNumbers/>
        <w:rPr>
          <w:snapToGrid w:val="0"/>
        </w:rPr>
      </w:pPr>
      <w:bookmarkStart w:id="3" w:name="BillCited"/>
      <w:bookmarkEnd w:id="3"/>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20"/>
          <w:headerReference w:type="defaul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3436591"/>
      <w:bookmarkStart w:id="5" w:name="_Toc153528382"/>
      <w:bookmarkStart w:id="6" w:name="_Toc153781858"/>
      <w:bookmarkStart w:id="7" w:name="_Toc15378188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153781887"/>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9" w:name="_Toc153781888"/>
      <w:r>
        <w:rPr>
          <w:rStyle w:val="CharSectno"/>
        </w:rPr>
        <w:t>2</w:t>
      </w:r>
      <w:r>
        <w:rPr>
          <w:snapToGrid w:val="0"/>
        </w:rPr>
        <w:t>.</w:t>
      </w:r>
      <w:r>
        <w:rPr>
          <w:snapToGrid w:val="0"/>
        </w:rPr>
        <w:tab/>
      </w:r>
      <w:r>
        <w:t>Commencement</w:t>
      </w:r>
      <w:bookmarkEnd w:id="9"/>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10" w:name="_Toc153436594"/>
      <w:bookmarkStart w:id="11" w:name="_Toc153528385"/>
      <w:bookmarkStart w:id="12" w:name="_Toc153781861"/>
      <w:bookmarkStart w:id="13" w:name="_Toc153781889"/>
      <w:r>
        <w:rPr>
          <w:rStyle w:val="CharPartNo"/>
        </w:rPr>
        <w:lastRenderedPageBreak/>
        <w:t>Part 2</w:t>
      </w:r>
      <w:r>
        <w:rPr>
          <w:rStyle w:val="CharDivNo"/>
        </w:rPr>
        <w:t> </w:t>
      </w:r>
      <w:r>
        <w:t>—</w:t>
      </w:r>
      <w:r>
        <w:rPr>
          <w:rStyle w:val="CharDivText"/>
        </w:rPr>
        <w:t> </w:t>
      </w:r>
      <w:r>
        <w:rPr>
          <w:rStyle w:val="CharPartText"/>
        </w:rPr>
        <w:t>Adoption and referral</w:t>
      </w:r>
      <w:bookmarkEnd w:id="10"/>
      <w:bookmarkEnd w:id="11"/>
      <w:bookmarkEnd w:id="12"/>
      <w:bookmarkEnd w:id="13"/>
    </w:p>
    <w:p>
      <w:pPr>
        <w:pStyle w:val="Heading5"/>
        <w:rPr>
          <w:snapToGrid w:val="0"/>
        </w:rPr>
      </w:pPr>
      <w:bookmarkStart w:id="14" w:name="_Toc153781890"/>
      <w:r>
        <w:rPr>
          <w:rStyle w:val="CharSectno"/>
        </w:rPr>
        <w:t>3</w:t>
      </w:r>
      <w:r>
        <w:rPr>
          <w:snapToGrid w:val="0"/>
        </w:rPr>
        <w:t>.</w:t>
      </w:r>
      <w:r>
        <w:rPr>
          <w:snapToGrid w:val="0"/>
        </w:rPr>
        <w:tab/>
        <w:t>Terms used</w:t>
      </w:r>
      <w:bookmarkEnd w:id="14"/>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lastRenderedPageBreak/>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lastRenderedPageBreak/>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5" w:name="_Toc153781891"/>
      <w:r>
        <w:rPr>
          <w:rStyle w:val="CharSectno"/>
        </w:rPr>
        <w:t>4</w:t>
      </w:r>
      <w:r>
        <w:t>.</w:t>
      </w:r>
      <w:r>
        <w:tab/>
        <w:t>Term used: referred PPS matters</w:t>
      </w:r>
      <w:bookmarkEnd w:id="15"/>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lastRenderedPageBreak/>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keepNext/>
      </w:pPr>
      <w:r>
        <w:lastRenderedPageBreak/>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6" w:name="_Toc153781892"/>
      <w:r>
        <w:rPr>
          <w:rStyle w:val="CharSectno"/>
        </w:rPr>
        <w:t>5</w:t>
      </w:r>
      <w:r>
        <w:t>.</w:t>
      </w:r>
      <w:r>
        <w:tab/>
        <w:t>Term used: security interest</w:t>
      </w:r>
      <w:bookmarkEnd w:id="16"/>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7" w:name="_Toc153781893"/>
      <w:r>
        <w:rPr>
          <w:rStyle w:val="CharSectno"/>
        </w:rPr>
        <w:lastRenderedPageBreak/>
        <w:t>6</w:t>
      </w:r>
      <w:r>
        <w:t>.</w:t>
      </w:r>
      <w:r>
        <w:tab/>
        <w:t>Adoption of Commonwealth PPS Act</w:t>
      </w:r>
      <w:bookmarkEnd w:id="17"/>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8" w:name="_Toc153781894"/>
      <w:r>
        <w:rPr>
          <w:rStyle w:val="CharSectno"/>
        </w:rPr>
        <w:t>7</w:t>
      </w:r>
      <w:r>
        <w:t>.</w:t>
      </w:r>
      <w:r>
        <w:tab/>
        <w:t>Termination of adoption</w:t>
      </w:r>
      <w:bookmarkEnd w:id="18"/>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9" w:name="_Toc153781895"/>
      <w:r>
        <w:rPr>
          <w:rStyle w:val="CharSectno"/>
        </w:rPr>
        <w:lastRenderedPageBreak/>
        <w:t>8</w:t>
      </w:r>
      <w:r>
        <w:t>.</w:t>
      </w:r>
      <w:r>
        <w:tab/>
        <w:t>References of matters</w:t>
      </w:r>
      <w:bookmarkEnd w:id="19"/>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20" w:name="_Toc153781896"/>
      <w:r>
        <w:rPr>
          <w:rStyle w:val="CharSectno"/>
        </w:rPr>
        <w:t>9</w:t>
      </w:r>
      <w:r>
        <w:t>.</w:t>
      </w:r>
      <w:r>
        <w:tab/>
        <w:t>Termination of references</w:t>
      </w:r>
      <w:bookmarkEnd w:id="20"/>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lastRenderedPageBreak/>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21" w:name="_Toc153781897"/>
      <w:r>
        <w:rPr>
          <w:rStyle w:val="CharSectno"/>
        </w:rPr>
        <w:t>10</w:t>
      </w:r>
      <w:r>
        <w:t>.</w:t>
      </w:r>
      <w:r>
        <w:tab/>
        <w:t>Amendment of Commonwealth law</w:t>
      </w:r>
      <w:bookmarkEnd w:id="21"/>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 xml:space="preserve">the Commonwealth PPS Act may be expressly amended, or have its operation otherwise affected, at any time after the commencement of section 6(1) by provisions of Commonwealth Acts the operation of which is based on </w:t>
      </w:r>
      <w:r>
        <w:lastRenderedPageBreak/>
        <w:t>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22" w:name="_Toc153781898"/>
      <w:r>
        <w:rPr>
          <w:rStyle w:val="CharSectno"/>
        </w:rPr>
        <w:t>11</w:t>
      </w:r>
      <w:r>
        <w:t>.</w:t>
      </w:r>
      <w:r>
        <w:tab/>
        <w:t>Effect of termination of amendment references before termination of adoption of Commonwealth PPS Act</w:t>
      </w:r>
      <w:bookmarkEnd w:id="22"/>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lastRenderedPageBreak/>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23" w:name="_Toc153436604"/>
      <w:bookmarkStart w:id="24" w:name="_Toc153528395"/>
      <w:bookmarkStart w:id="25" w:name="_Toc153781871"/>
      <w:bookmarkStart w:id="26" w:name="_Toc153781899"/>
      <w:r>
        <w:rPr>
          <w:rStyle w:val="CharPartNo"/>
        </w:rPr>
        <w:lastRenderedPageBreak/>
        <w:t>Part 3</w:t>
      </w:r>
      <w:r>
        <w:t> — </w:t>
      </w:r>
      <w:r>
        <w:rPr>
          <w:rStyle w:val="CharPartText"/>
        </w:rPr>
        <w:t>Consequential provisions</w:t>
      </w:r>
      <w:bookmarkEnd w:id="23"/>
      <w:bookmarkEnd w:id="24"/>
      <w:bookmarkEnd w:id="25"/>
      <w:bookmarkEnd w:id="26"/>
    </w:p>
    <w:p>
      <w:pPr>
        <w:pStyle w:val="Heading5"/>
      </w:pPr>
      <w:bookmarkStart w:id="27" w:name="_Toc153781900"/>
      <w:r>
        <w:rPr>
          <w:rStyle w:val="CharSectno"/>
        </w:rPr>
        <w:t>12</w:t>
      </w:r>
      <w:r>
        <w:t>.</w:t>
      </w:r>
      <w:r>
        <w:tab/>
        <w:t>Terms used</w:t>
      </w:r>
      <w:bookmarkEnd w:id="27"/>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28" w:name="_Toc153781901"/>
      <w:r>
        <w:rPr>
          <w:rStyle w:val="CharSectno"/>
        </w:rPr>
        <w:lastRenderedPageBreak/>
        <w:t>13</w:t>
      </w:r>
      <w:r>
        <w:t>.</w:t>
      </w:r>
      <w:r>
        <w:tab/>
        <w:t>Provision of information to the Commonwealth</w:t>
      </w:r>
      <w:bookmarkEnd w:id="28"/>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29" w:name="_Toc153781902"/>
      <w:r>
        <w:rPr>
          <w:rStyle w:val="CharSectno"/>
        </w:rPr>
        <w:t>14</w:t>
      </w:r>
      <w:r>
        <w:t>.</w:t>
      </w:r>
      <w:r>
        <w:tab/>
        <w:t>Compensation not payable in respect of PPS transitional matters</w:t>
      </w:r>
      <w:bookmarkEnd w:id="29"/>
    </w:p>
    <w:p>
      <w:pPr>
        <w:pStyle w:val="Subsection"/>
      </w:pPr>
      <w:r>
        <w:tab/>
        <w:t>(1)</w:t>
      </w:r>
      <w:r>
        <w:tab/>
        <w:t xml:space="preserve">Compensation is not payable by or on behalf of — </w:t>
      </w:r>
    </w:p>
    <w:p>
      <w:pPr>
        <w:pStyle w:val="Indenta"/>
      </w:pPr>
      <w:r>
        <w:lastRenderedPageBreak/>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30" w:name="_Toc153781903"/>
      <w:r>
        <w:rPr>
          <w:rStyle w:val="CharSectno"/>
        </w:rPr>
        <w:t>15</w:t>
      </w:r>
      <w:r>
        <w:t>.</w:t>
      </w:r>
      <w:r>
        <w:tab/>
        <w:t>Implied power to make declaration that licence etc. not personal property</w:t>
      </w:r>
      <w:bookmarkEnd w:id="30"/>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31" w:name="_Toc153781904"/>
      <w:r>
        <w:rPr>
          <w:rStyle w:val="CharSectno"/>
        </w:rPr>
        <w:t>16</w:t>
      </w:r>
      <w:r>
        <w:t>.</w:t>
      </w:r>
      <w:r>
        <w:tab/>
        <w:t>References to charges and fixed and floating charges</w:t>
      </w:r>
      <w:bookmarkEnd w:id="31"/>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 xml:space="preserve">a reference to a charge, a fixed charge or a floating charge, if the charge referred to is a perfected security </w:t>
      </w:r>
      <w:r>
        <w:lastRenderedPageBreak/>
        <w:t>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32" w:name="_Toc153781905"/>
      <w:r>
        <w:rPr>
          <w:rStyle w:val="CharSectno"/>
        </w:rPr>
        <w:t>17</w:t>
      </w:r>
      <w:r>
        <w:t>.</w:t>
      </w:r>
      <w:r>
        <w:tab/>
        <w:t>Enforcement of and other dealings with PPS security interests restricted in certain circumstances</w:t>
      </w:r>
      <w:bookmarkEnd w:id="32"/>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lastRenderedPageBreak/>
        <w:tab/>
        <w:t>(i)</w:t>
      </w:r>
      <w:r>
        <w:tab/>
        <w:t xml:space="preserve">the </w:t>
      </w:r>
      <w:r>
        <w:rPr>
          <w:i/>
        </w:rPr>
        <w:t>Western Australian Marine Act 1982</w:t>
      </w:r>
      <w:r>
        <w:rPr>
          <w:iCs/>
        </w:rPr>
        <w:t xml:space="preserve"> </w:t>
      </w:r>
      <w:r>
        <w:t>sections 61 to 63C;</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lastRenderedPageBreak/>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50; No. 24 of 2023 s. 106.]</w:t>
      </w:r>
    </w:p>
    <w:p>
      <w:pPr>
        <w:pStyle w:val="Heading5"/>
      </w:pPr>
      <w:bookmarkStart w:id="33" w:name="_Toc153781906"/>
      <w:r>
        <w:rPr>
          <w:rStyle w:val="CharSectno"/>
        </w:rPr>
        <w:t>18</w:t>
      </w:r>
      <w:r>
        <w:t>.</w:t>
      </w:r>
      <w:r>
        <w:tab/>
        <w:t>Bills of sale records</w:t>
      </w:r>
      <w:bookmarkEnd w:id="33"/>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lastRenderedPageBreak/>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34" w:name="_Toc153781907"/>
      <w:r>
        <w:rPr>
          <w:rStyle w:val="CharSectno"/>
        </w:rPr>
        <w:t>19</w:t>
      </w:r>
      <w:r>
        <w:t>.</w:t>
      </w:r>
      <w:r>
        <w:tab/>
        <w:t>Regulations for transitional matters</w:t>
      </w:r>
      <w:bookmarkEnd w:id="34"/>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lastRenderedPageBreak/>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35" w:name="_Toc153781908"/>
      <w:r>
        <w:rPr>
          <w:rStyle w:val="CharSectno"/>
        </w:rPr>
        <w:t>20</w:t>
      </w:r>
      <w:r>
        <w:t>.</w:t>
      </w:r>
      <w:r>
        <w:tab/>
        <w:t>Regulations</w:t>
      </w:r>
      <w:bookmarkEnd w:id="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36" w:name="_Toc153436614"/>
      <w:bookmarkStart w:id="37" w:name="_Toc153528405"/>
      <w:bookmarkStart w:id="38" w:name="_Toc153781881"/>
      <w:bookmarkStart w:id="39" w:name="_Toc153781909"/>
      <w:r>
        <w:lastRenderedPageBreak/>
        <w:t>Notes</w:t>
      </w:r>
      <w:bookmarkEnd w:id="36"/>
      <w:bookmarkEnd w:id="37"/>
      <w:bookmarkEnd w:id="38"/>
      <w:bookmarkEnd w:id="39"/>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0" w:name="_Toc153781910"/>
      <w:r>
        <w:t>Compilation table</w:t>
      </w:r>
      <w:bookmarkEnd w:id="40"/>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Pr>
          <w:p>
            <w:pPr>
              <w:pStyle w:val="nTable"/>
              <w:spacing w:after="40"/>
              <w:ind w:right="113"/>
              <w:rPr>
                <w:i/>
              </w:rPr>
            </w:pPr>
            <w:r>
              <w:rPr>
                <w:i/>
              </w:rPr>
              <w:t>Rail Safety National Law (WA) Act 2015</w:t>
            </w:r>
            <w:r>
              <w:t xml:space="preserve"> Pt. 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 xml:space="preserve">2 Nov 2015 (see s. 2(b) and </w:t>
            </w:r>
            <w:r>
              <w:rPr>
                <w:i/>
              </w:rPr>
              <w:t xml:space="preserve">Gazette </w:t>
            </w:r>
            <w:r>
              <w:t>16 Oct 2015 p. 4149)</w:t>
            </w:r>
          </w:p>
        </w:tc>
      </w:tr>
      <w:tr>
        <w:trPr>
          <w:cantSplit/>
        </w:trPr>
        <w:tc>
          <w:tcPr>
            <w:tcW w:w="2269" w:type="dxa"/>
            <w:tcBorders>
              <w:bottom w:val="single" w:sz="4" w:space="0" w:color="auto"/>
            </w:tcBorders>
          </w:tcPr>
          <w:p>
            <w:pPr>
              <w:pStyle w:val="nTable"/>
              <w:spacing w:after="40"/>
              <w:ind w:right="113"/>
              <w:rPr>
                <w:i/>
              </w:rPr>
            </w:pPr>
            <w:r>
              <w:rPr>
                <w:i/>
              </w:rPr>
              <w:t>Marine Safety (Domestic Commercial Vessel National Law Application) Act 2023</w:t>
            </w:r>
            <w:r>
              <w:rPr>
                <w:iCs/>
              </w:rPr>
              <w:t xml:space="preserve"> Pt. 10 Div. 3</w:t>
            </w:r>
          </w:p>
        </w:tc>
        <w:tc>
          <w:tcPr>
            <w:tcW w:w="1134" w:type="dxa"/>
            <w:tcBorders>
              <w:bottom w:val="single" w:sz="4" w:space="0" w:color="auto"/>
            </w:tcBorders>
          </w:tcPr>
          <w:p>
            <w:pPr>
              <w:pStyle w:val="nTable"/>
              <w:spacing w:after="40"/>
            </w:pPr>
            <w:r>
              <w:rPr>
                <w:snapToGrid w:val="0"/>
              </w:rPr>
              <w:t>24 of 2023</w:t>
            </w:r>
          </w:p>
        </w:tc>
        <w:tc>
          <w:tcPr>
            <w:tcW w:w="1134" w:type="dxa"/>
            <w:tcBorders>
              <w:bottom w:val="single" w:sz="4" w:space="0" w:color="auto"/>
            </w:tcBorders>
          </w:tcPr>
          <w:p>
            <w:pPr>
              <w:pStyle w:val="nTable"/>
              <w:spacing w:after="40"/>
            </w:pPr>
            <w:r>
              <w:t>24 Oct 2023</w:t>
            </w:r>
          </w:p>
        </w:tc>
        <w:tc>
          <w:tcPr>
            <w:tcW w:w="2552" w:type="dxa"/>
            <w:tcBorders>
              <w:bottom w:val="single" w:sz="4" w:space="0" w:color="auto"/>
            </w:tcBorders>
          </w:tcPr>
          <w:p>
            <w:pPr>
              <w:pStyle w:val="nTable"/>
              <w:spacing w:after="40"/>
              <w:rPr>
                <w:sz w:val="20"/>
                <w:szCs w:val="22"/>
              </w:rPr>
            </w:pPr>
            <w:r>
              <w:rPr>
                <w:snapToGrid w:val="0"/>
              </w:rPr>
              <w:t>21 Dec 2023 (see s. 2(b) and SL. 2023/203 cl. 2(b))</w:t>
            </w:r>
          </w:p>
        </w:tc>
      </w:tr>
    </w:tbl>
    <w:p>
      <w:pPr>
        <w:pStyle w:val="nHeading3"/>
      </w:pPr>
      <w:bookmarkStart w:id="41" w:name="_Toc153781911"/>
      <w:r>
        <w:t>Uncommenced provisions table</w:t>
      </w:r>
      <w:bookmarkEnd w:id="41"/>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rPr>
            </w:pPr>
            <w:r>
              <w:rPr>
                <w:i/>
              </w:rPr>
              <w:t>Personal Property Securities (Commonwealth Laws) Act 2011</w:t>
            </w:r>
            <w:r>
              <w:t xml:space="preserve"> s. 8(2) and (3)</w:t>
            </w:r>
          </w:p>
        </w:tc>
        <w:tc>
          <w:tcPr>
            <w:tcW w:w="1118" w:type="dxa"/>
            <w:tcBorders>
              <w:bottom w:val="single" w:sz="4" w:space="0" w:color="auto"/>
            </w:tcBorders>
          </w:tcPr>
          <w:p>
            <w:pPr>
              <w:pStyle w:val="nTable"/>
              <w:spacing w:after="40"/>
              <w:rPr>
                <w:snapToGrid w:val="0"/>
              </w:rPr>
            </w:pPr>
            <w:r>
              <w:rPr>
                <w:snapToGrid w:val="0"/>
              </w:rPr>
              <w:t>41 of 2011</w:t>
            </w:r>
          </w:p>
        </w:tc>
        <w:tc>
          <w:tcPr>
            <w:tcW w:w="1134" w:type="dxa"/>
            <w:tcBorders>
              <w:bottom w:val="single" w:sz="4" w:space="0" w:color="auto"/>
            </w:tcBorders>
          </w:tcPr>
          <w:p>
            <w:pPr>
              <w:pStyle w:val="nTable"/>
              <w:spacing w:after="40"/>
              <w:rPr>
                <w:snapToGrid w:val="0"/>
              </w:rPr>
            </w:pPr>
            <w:r>
              <w:t>4 Oct 2011</w:t>
            </w:r>
          </w:p>
        </w:tc>
        <w:tc>
          <w:tcPr>
            <w:tcW w:w="2552" w:type="dxa"/>
            <w:tcBorders>
              <w:bottom w:val="single" w:sz="4" w:space="0" w:color="auto"/>
            </w:tcBorders>
          </w:tcPr>
          <w:p>
            <w:pPr>
              <w:pStyle w:val="nTable"/>
              <w:spacing w:after="40"/>
              <w:rPr>
                <w:snapToGrid w:val="0"/>
              </w:rPr>
            </w:pPr>
            <w:r>
              <w:rPr>
                <w:snapToGrid w:val="0"/>
              </w:rPr>
              <w:t>s. 8(2) and (3): to be proclaimed (see s. 2(1)(d) and 2(2))</w:t>
            </w:r>
          </w:p>
        </w:tc>
      </w:tr>
    </w:tbl>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43" w:name="_Toc153436617"/>
      <w:bookmarkStart w:id="44" w:name="_Toc153528408"/>
      <w:bookmarkStart w:id="45" w:name="_Toc153781884"/>
      <w:bookmarkStart w:id="46" w:name="_Toc153781912"/>
      <w:r>
        <w:rPr>
          <w:sz w:val="28"/>
        </w:rPr>
        <w:lastRenderedPageBreak/>
        <w:t>Defined terms</w:t>
      </w:r>
      <w:bookmarkEnd w:id="43"/>
      <w:bookmarkEnd w:id="44"/>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chattel paper5(4)</w:t>
      </w:r>
    </w:p>
    <w:p>
      <w:pPr>
        <w:pStyle w:val="DefinedTerms"/>
      </w:pPr>
      <w:r>
        <w:t>commencement day</w:t>
      </w:r>
      <w:r>
        <w:tab/>
        <w:t>19(1)</w:t>
      </w:r>
    </w:p>
    <w:p>
      <w:pPr>
        <w:pStyle w:val="DefinedTerms"/>
      </w:pPr>
      <w:r>
        <w:t>Commissioner</w:t>
      </w:r>
      <w:r>
        <w:tab/>
        <w:t>12(1)</w:t>
      </w:r>
    </w:p>
    <w:p>
      <w:pPr>
        <w:pStyle w:val="DefinedTerms"/>
      </w:pPr>
      <w:r>
        <w:t>Commonwealth PPS Act</w:t>
      </w:r>
      <w:r>
        <w:tab/>
        <w:t>3, 12(1)</w:t>
      </w:r>
    </w:p>
    <w:p>
      <w:pPr>
        <w:pStyle w:val="DefinedTerms"/>
      </w:pPr>
      <w:r>
        <w:t>Commonwealth PPS instrument</w:t>
      </w:r>
      <w:r>
        <w:tab/>
        <w:t>3</w:t>
      </w:r>
    </w:p>
    <w:p>
      <w:pPr>
        <w:pStyle w:val="DefinedTerms"/>
      </w:pPr>
      <w:r>
        <w:t>compensation</w:t>
      </w:r>
      <w:r>
        <w:tab/>
        <w:t>12(1)</w:t>
      </w:r>
    </w:p>
    <w:p>
      <w:pPr>
        <w:pStyle w:val="DefinedTerms"/>
      </w:pPr>
      <w:r>
        <w:t>crops</w:t>
      </w:r>
      <w:r>
        <w:tab/>
        <w:t>3</w:t>
      </w:r>
    </w:p>
    <w:p>
      <w:pPr>
        <w:pStyle w:val="DefinedTerms"/>
      </w:pPr>
      <w:r>
        <w:t>excluded State statutory right</w:t>
      </w:r>
      <w:r>
        <w:tab/>
        <w:t>3</w:t>
      </w:r>
    </w:p>
    <w:p>
      <w:pPr>
        <w:pStyle w:val="DefinedTerms"/>
      </w:pPr>
      <w:r>
        <w:t>express amendment</w:t>
      </w:r>
      <w:r>
        <w:tab/>
        <w:t>3</w:t>
      </w:r>
    </w:p>
    <w:p>
      <w:pPr>
        <w:pStyle w:val="DefinedTerms"/>
      </w:pPr>
      <w:r>
        <w:t>fixtures</w:t>
      </w:r>
      <w:r>
        <w:tab/>
        <w:t>3</w:t>
      </w:r>
    </w:p>
    <w:p>
      <w:pPr>
        <w:pStyle w:val="DefinedTerms"/>
      </w:pPr>
      <w:r>
        <w:t>forfeiture</w:t>
      </w:r>
      <w:r>
        <w:tab/>
        <w:t>4(3)</w:t>
      </w:r>
    </w:p>
    <w:p>
      <w:pPr>
        <w:pStyle w:val="DefinedTerms"/>
      </w:pPr>
      <w:r>
        <w:t>Gazettal day</w:t>
      </w:r>
      <w:r>
        <w:tab/>
        <w:t>19(1)</w:t>
      </w:r>
    </w:p>
    <w:p>
      <w:pPr>
        <w:pStyle w:val="DefinedTerms"/>
      </w:pPr>
      <w:r>
        <w:t>general law</w:t>
      </w:r>
      <w:r>
        <w:tab/>
        <w:t>3</w:t>
      </w:r>
    </w:p>
    <w:p>
      <w:pPr>
        <w:pStyle w:val="DefinedTerms"/>
      </w:pPr>
      <w:r>
        <w:t>goods</w:t>
      </w:r>
      <w:r>
        <w:tab/>
        <w:t>3</w:t>
      </w:r>
    </w:p>
    <w:p>
      <w:pPr>
        <w:pStyle w:val="DefinedTerms"/>
      </w:pPr>
      <w:r>
        <w:t>interest</w:t>
      </w:r>
      <w:r>
        <w:tab/>
        <w:t>3</w:t>
      </w:r>
    </w:p>
    <w:p>
      <w:pPr>
        <w:pStyle w:val="DefinedTerms"/>
      </w:pPr>
      <w:r>
        <w:t>land</w:t>
      </w:r>
      <w:r>
        <w:tab/>
        <w:t>3</w:t>
      </w:r>
    </w:p>
    <w:p>
      <w:pPr>
        <w:pStyle w:val="DefinedTerms"/>
      </w:pPr>
      <w:r>
        <w:t>law of the State</w:t>
      </w:r>
      <w:r>
        <w:tab/>
        <w:t>3</w:t>
      </w:r>
    </w:p>
    <w:p>
      <w:pPr>
        <w:pStyle w:val="DefinedTerms"/>
      </w:pPr>
      <w:r>
        <w:t>licence</w:t>
      </w:r>
      <w:r>
        <w:tab/>
        <w:t>3</w:t>
      </w:r>
    </w:p>
    <w:p>
      <w:pPr>
        <w:pStyle w:val="DefinedTerms"/>
      </w:pPr>
      <w:r>
        <w:t>operative day</w:t>
      </w:r>
      <w:r>
        <w:tab/>
        <w:t>19(4)</w:t>
      </w:r>
    </w:p>
    <w:p>
      <w:pPr>
        <w:pStyle w:val="DefinedTerms"/>
      </w:pPr>
      <w:r>
        <w:t>order</w:t>
      </w:r>
      <w:r>
        <w:tab/>
        <w:t>17(1)</w:t>
      </w:r>
    </w:p>
    <w:p>
      <w:pPr>
        <w:pStyle w:val="DefinedTerms"/>
      </w:pPr>
      <w:r>
        <w:t>personal property</w:t>
      </w:r>
      <w:r>
        <w:tab/>
        <w:t>3</w:t>
      </w:r>
    </w:p>
    <w:p>
      <w:pPr>
        <w:pStyle w:val="DefinedTerms"/>
      </w:pPr>
      <w:r>
        <w:t>PPS Register</w:t>
      </w:r>
      <w:r>
        <w:tab/>
        <w:t>12(1)</w:t>
      </w:r>
    </w:p>
    <w:p>
      <w:pPr>
        <w:pStyle w:val="DefinedTerms"/>
      </w:pPr>
      <w:r>
        <w:t>PPS Registrar</w:t>
      </w:r>
      <w:r>
        <w:tab/>
        <w:t>12(1)</w:t>
      </w:r>
    </w:p>
    <w:p>
      <w:pPr>
        <w:pStyle w:val="DefinedTerms"/>
      </w:pPr>
      <w:r>
        <w:t>PPS security interest</w:t>
      </w:r>
      <w:r>
        <w:tab/>
        <w:t>17(1)</w:t>
      </w:r>
    </w:p>
    <w:p>
      <w:pPr>
        <w:pStyle w:val="DefinedTerms"/>
      </w:pPr>
      <w:r>
        <w:t>PPS transitional matter</w:t>
      </w:r>
      <w:r>
        <w:tab/>
        <w:t>12(1)</w:t>
      </w:r>
    </w:p>
    <w:p>
      <w:pPr>
        <w:pStyle w:val="DefinedTerms"/>
      </w:pPr>
      <w:r>
        <w:t>record</w:t>
      </w:r>
      <w:r>
        <w:tab/>
        <w:t>18(1)</w:t>
      </w:r>
    </w:p>
    <w:p>
      <w:pPr>
        <w:pStyle w:val="DefinedTerms"/>
      </w:pPr>
      <w:r>
        <w:t>referred PPS matters</w:t>
      </w:r>
      <w:r>
        <w:tab/>
        <w:t>3, 4(1)</w:t>
      </w:r>
    </w:p>
    <w:p>
      <w:pPr>
        <w:pStyle w:val="DefinedTerms"/>
      </w:pPr>
      <w:r>
        <w:t>register</w:t>
      </w:r>
      <w:r>
        <w:tab/>
        <w:t>3</w:t>
      </w:r>
    </w:p>
    <w:p>
      <w:pPr>
        <w:pStyle w:val="DefinedTerms"/>
      </w:pPr>
      <w:r>
        <w:t>Register Book</w:t>
      </w:r>
      <w:r>
        <w:tab/>
        <w:t>12(1)</w:t>
      </w:r>
    </w:p>
    <w:p>
      <w:pPr>
        <w:pStyle w:val="DefinedTerms"/>
      </w:pPr>
      <w:r>
        <w:t>Registrar</w:t>
      </w:r>
      <w:r>
        <w:tab/>
        <w:t>12(1)</w:t>
      </w:r>
    </w:p>
    <w:p>
      <w:pPr>
        <w:pStyle w:val="DefinedTerms"/>
      </w:pPr>
      <w:r>
        <w:t>Registrar of Co</w:t>
      </w:r>
      <w:r>
        <w:noBreakHyphen/>
        <w:t>operatives</w:t>
      </w:r>
      <w:r>
        <w:tab/>
        <w:t>12(1)</w:t>
      </w:r>
    </w:p>
    <w:p>
      <w:pPr>
        <w:pStyle w:val="DefinedTerms"/>
      </w:pPr>
      <w:r>
        <w:t>relevant State property law</w:t>
      </w:r>
      <w:r>
        <w:tab/>
        <w:t>17(1)</w:t>
      </w:r>
    </w:p>
    <w:p>
      <w:pPr>
        <w:pStyle w:val="DefinedTerms"/>
      </w:pPr>
      <w:r>
        <w:t>relevant version of the Commonwealth PPS Act</w:t>
      </w:r>
      <w:r>
        <w:tab/>
        <w:t>3</w:t>
      </w:r>
    </w:p>
    <w:p>
      <w:pPr>
        <w:pStyle w:val="DefinedTerms"/>
      </w:pPr>
      <w:r>
        <w:t>security interest</w:t>
      </w:r>
      <w:r>
        <w:tab/>
        <w:t>3, 5(1)</w:t>
      </w:r>
    </w:p>
    <w:p>
      <w:pPr>
        <w:pStyle w:val="DefinedTerms"/>
      </w:pPr>
      <w:r>
        <w:t>State statutory right</w:t>
      </w:r>
      <w:r>
        <w:tab/>
        <w:t>3</w:t>
      </w:r>
    </w:p>
    <w:p>
      <w:pPr>
        <w:pStyle w:val="DefinedTerms"/>
      </w:pPr>
      <w:r>
        <w:t>transferable</w:t>
      </w:r>
      <w:r>
        <w:tab/>
        <w:t>3</w:t>
      </w:r>
    </w:p>
    <w:p>
      <w:pPr>
        <w:pStyle w:val="DefinedTerms"/>
      </w:pPr>
      <w:r>
        <w:t>transitional matter</w:t>
      </w:r>
      <w:r>
        <w:tab/>
        <w:t>19(1)</w:t>
      </w:r>
    </w:p>
    <w:p>
      <w:pPr>
        <w:pStyle w:val="DefinedTerms"/>
      </w:pPr>
      <w:r>
        <w:lastRenderedPageBreak/>
        <w:t>transitional regulations</w:t>
      </w:r>
      <w:r>
        <w:tab/>
        <w:t>19(1)</w:t>
      </w:r>
    </w:p>
    <w:p>
      <w:pPr>
        <w:pStyle w:val="DefinedTerms"/>
      </w:pPr>
      <w:r>
        <w:t>water right</w:t>
      </w:r>
      <w:r>
        <w:tab/>
        <w:t>3</w:t>
      </w:r>
    </w:p>
    <w:p>
      <w:pPr>
        <w:pStyle w:val="DefinedTerms"/>
      </w:pPr>
      <w:r>
        <w:t>writing</w:t>
      </w:r>
      <w:r>
        <w:tab/>
        <w:t>5(4)</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6DE389" id="_x0000_t202" coordsize="21600,21600" o:spt="202" path="m,l,21600r21600,l21600,xe">
                <v:stroke joinstyle="miter"/>
                <v:path gradientshapeok="t" o:connecttype="rect"/>
              </v:shapetype>
              <v:shape id="Authority" o:spid="_x0000_s1026" type="#_x0000_t202" style="position:absolute;margin-left:0;margin-top:591pt;width:10pt;height:51pt;z-index:25166080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D10D07B" w14:textId="7D405F62" w:rsidR="00611456" w:rsidRDefault="0061145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C6353">
                        <w:rPr>
                          <w:sz w:val="16"/>
                        </w:rPr>
                        <w:t>2023</w:t>
                      </w:r>
                      <w:r>
                        <w:rPr>
                          <w:sz w:val="16"/>
                        </w:rPr>
                        <w:fldChar w:fldCharType="end"/>
                      </w:r>
                      <w:r>
                        <w:rPr>
                          <w:sz w:val="16"/>
                        </w:rPr>
                        <w:t>.</w:t>
                      </w:r>
                    </w:p>
                    <w:p w14:paraId="791ABF58" w14:textId="77777777" w:rsidR="00611456" w:rsidRDefault="0061145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22B89CF" w14:textId="0A49430D" w:rsidR="00611456" w:rsidRDefault="0061145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C6353">
                        <w:rPr>
                          <w:sz w:val="16"/>
                        </w:rPr>
                        <w:t>2023</w:t>
                      </w:r>
                      <w:r>
                        <w:rPr>
                          <w:sz w:val="16"/>
                        </w:rPr>
                        <w:fldChar w:fldCharType="end"/>
                      </w:r>
                      <w:r>
                        <w:rPr>
                          <w:sz w:val="16"/>
                        </w:rPr>
                        <w:t>.</w:t>
                      </w:r>
                    </w:p>
                    <w:p w14:paraId="2B5280F9" w14:textId="77777777" w:rsidR="00611456" w:rsidRDefault="0061145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085351"/>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 w:name="WAFER_20231023112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35_GUID" w:val="c0538d53-aa1c-4549-b80c-a7fa404af4f2"/>
    <w:docVar w:name="WAFER_20231214085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85351_GUID" w:val="f6feb798-411f-4def-81f8-dfda88486f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5135</Words>
  <Characters>25932</Characters>
  <Application>Microsoft Office Word</Application>
  <DocSecurity>0</DocSecurity>
  <Lines>740</Lines>
  <Paragraphs>408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2011 - 00-f0-00</dc:title>
  <dc:subject/>
  <dc:creator/>
  <cp:keywords/>
  <dc:description/>
  <cp:lastModifiedBy>Master Repository Process</cp:lastModifiedBy>
  <cp:revision>4</cp:revision>
  <cp:lastPrinted>2011-08-19T09:01:00Z</cp:lastPrinted>
  <dcterms:created xsi:type="dcterms:W3CDTF">2023-12-20T01:10:00Z</dcterms:created>
  <dcterms:modified xsi:type="dcterms:W3CDTF">2023-12-20T01:10:00Z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Personal Property Securities (Commonwealth Laws) Act 2011</vt:lpwstr>
  </property>
  <property fmtid="{D5CDD505-2E9C-101B-9397-08002B2CF9AE}" pid="3" name="DocumentType">
    <vt:lpwstr>Act</vt:lpwstr>
  </property>
  <property fmtid="{D5CDD505-2E9C-101B-9397-08002B2CF9AE}" pid="4" name="AsAtDate">
    <vt:lpwstr>21 Dec 2023</vt:lpwstr>
  </property>
  <property fmtid="{D5CDD505-2E9C-101B-9397-08002B2CF9AE}" pid="5" name="Suffix">
    <vt:lpwstr>00-f0-00</vt:lpwstr>
  </property>
  <property fmtid="{D5CDD505-2E9C-101B-9397-08002B2CF9AE}" pid="6" name="Official">
    <vt:lpwstr/>
  </property>
  <property fmtid="{D5CDD505-2E9C-101B-9397-08002B2CF9AE}" pid="7" name="CommencementDate">
    <vt:lpwstr>20231221</vt:lpwstr>
  </property>
  <property fmtid="{D5CDD505-2E9C-101B-9397-08002B2CF9AE}" pid="8" name="CommencementYear">
    <vt:lpwstr>2023</vt:lpwstr>
  </property>
</Properties>
</file>