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_Toc153781189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_Toc153781190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_Toc153781191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_Toc153781194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_Toc153781195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_Toc153781196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_Toc153781197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_Toc153781198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_Toc153781199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_Toc153781200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_Toc153781201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_Toc153781203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_Toc153781204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_Toc153781205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_Toc153781206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_Toc153781207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_Toc153781208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_Toc153781210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_Toc153781211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_Toc153781212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_Toc153781213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_Toc153781214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_Toc153781215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_Toc153781216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_Toc153781217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_Toc153781218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_Toc153781219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_Toc153781220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_Toc153781222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_Toc153781223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Parliamentary Secretaries</w:t>
      </w:r>
      <w:r>
        <w:tab/>
      </w:r>
      <w:r>
        <w:fldChar w:fldCharType="begin"/>
      </w:r>
      <w:r>
        <w:instrText xml:space="preserve"> PAGEREF _Toc153781224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_Toc153781225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_Toc153781226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_Toc153781228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_Toc153781229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_Toc153781230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_Toc153781231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_Toc153781232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_Toc153781233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lastRenderedPageBreak/>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_Toc153781247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_Toc153781248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_Toc153781249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53447990"/>
      <w:bookmarkStart w:id="4" w:name="_Toc153528837"/>
      <w:bookmarkStart w:id="5" w:name="_Toc153781188"/>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15378118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153781190"/>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153781191"/>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153447994"/>
      <w:bookmarkStart w:id="10" w:name="_Toc153528841"/>
      <w:bookmarkStart w:id="11" w:name="_Toc153781192"/>
      <w:r>
        <w:rPr>
          <w:rStyle w:val="CharPartNo"/>
        </w:rPr>
        <w:lastRenderedPageBreak/>
        <w:t>Part I</w:t>
      </w:r>
      <w:r>
        <w:t> — </w:t>
      </w:r>
      <w:r>
        <w:rPr>
          <w:rStyle w:val="CharPartText"/>
        </w:rPr>
        <w:t>Legislature</w:t>
      </w:r>
      <w:bookmarkEnd w:id="9"/>
      <w:bookmarkEnd w:id="10"/>
      <w:bookmarkEnd w:id="11"/>
    </w:p>
    <w:p>
      <w:pPr>
        <w:pStyle w:val="Heading3"/>
      </w:pPr>
      <w:bookmarkStart w:id="12" w:name="_Toc153447995"/>
      <w:bookmarkStart w:id="13" w:name="_Toc153528842"/>
      <w:bookmarkStart w:id="14" w:name="_Toc153781193"/>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pPr>
      <w:bookmarkStart w:id="15" w:name="_Toc153781194"/>
      <w:r>
        <w:rPr>
          <w:rStyle w:val="CharSectno"/>
        </w:rPr>
        <w:t>5</w:t>
      </w:r>
      <w:r>
        <w:t>.</w:t>
      </w:r>
      <w:r>
        <w:tab/>
      </w:r>
      <w:r>
        <w:rPr>
          <w:rStyle w:val="CharSectno"/>
        </w:rPr>
        <w:t>Constitution</w:t>
      </w:r>
      <w:r>
        <w:t xml:space="preserve"> of Legislative Council</w:t>
      </w:r>
      <w:bookmarkEnd w:id="15"/>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153781195"/>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153781196"/>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153781197"/>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153781198"/>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153781199"/>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153781200"/>
      <w:r>
        <w:rPr>
          <w:rStyle w:val="CharSectno"/>
        </w:rPr>
        <w:lastRenderedPageBreak/>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153781201"/>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153448004"/>
      <w:bookmarkStart w:id="24" w:name="_Toc153528851"/>
      <w:bookmarkStart w:id="25" w:name="_Toc153781202"/>
      <w:r>
        <w:rPr>
          <w:rStyle w:val="CharDivNo"/>
        </w:rPr>
        <w:lastRenderedPageBreak/>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pPr>
      <w:bookmarkStart w:id="26" w:name="_Toc153781203"/>
      <w:r>
        <w:rPr>
          <w:rStyle w:val="CharSectno"/>
        </w:rPr>
        <w:t>18</w:t>
      </w:r>
      <w:r>
        <w:t>.</w:t>
      </w:r>
      <w:r>
        <w:tab/>
        <w:t>Constitution of Legislative Assembly</w:t>
      </w:r>
      <w:bookmarkEnd w:id="26"/>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153781204"/>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153781205"/>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153781206"/>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153781207"/>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w:t>
      </w:r>
      <w:r>
        <w:rPr>
          <w:snapToGrid w:val="0"/>
        </w:rPr>
        <w:lastRenderedPageBreak/>
        <w:t>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153781208"/>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153448011"/>
      <w:bookmarkStart w:id="33" w:name="_Toc153528858"/>
      <w:bookmarkStart w:id="34" w:name="_Toc153781209"/>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153781210"/>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153781211"/>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153781212"/>
      <w:r>
        <w:rPr>
          <w:rStyle w:val="CharSectno"/>
        </w:rPr>
        <w:lastRenderedPageBreak/>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153781213"/>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153781214"/>
      <w:r>
        <w:rPr>
          <w:rStyle w:val="CharSectno"/>
        </w:rPr>
        <w:lastRenderedPageBreak/>
        <w:t>36</w:t>
      </w:r>
      <w:r>
        <w:rPr>
          <w:snapToGrid w:val="0"/>
        </w:rPr>
        <w:t>.</w:t>
      </w:r>
      <w:r>
        <w:rPr>
          <w:snapToGrid w:val="0"/>
        </w:rPr>
        <w:tab/>
        <w:t>Certain offices and places must be vacated before member can take seat</w:t>
      </w:r>
      <w:bookmarkEnd w:id="39"/>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lastRenderedPageBreak/>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153781215"/>
      <w:r>
        <w:rPr>
          <w:rStyle w:val="CharSectno"/>
        </w:rPr>
        <w:lastRenderedPageBreak/>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153781216"/>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lastRenderedPageBreak/>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153781217"/>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lastRenderedPageBreak/>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153781218"/>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lastRenderedPageBreak/>
        <w:tab/>
        <w:t>[Section 40 inserted: No. 78 of 1984 s. 12; amended: No. 64 of 2006 s. 10.]</w:t>
      </w:r>
    </w:p>
    <w:p>
      <w:pPr>
        <w:pStyle w:val="Heading5"/>
        <w:rPr>
          <w:snapToGrid w:val="0"/>
        </w:rPr>
      </w:pPr>
      <w:bookmarkStart w:id="44" w:name="_Toc153781219"/>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153781220"/>
      <w:r>
        <w:rPr>
          <w:rStyle w:val="CharSectno"/>
        </w:rPr>
        <w:lastRenderedPageBreak/>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153448023"/>
      <w:bookmarkStart w:id="47" w:name="_Toc153528870"/>
      <w:bookmarkStart w:id="48" w:name="_Toc153781221"/>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153781222"/>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153781223"/>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153781224"/>
      <w:r>
        <w:rPr>
          <w:rStyle w:val="CharSectno"/>
        </w:rPr>
        <w:t>44A</w:t>
      </w:r>
      <w:r>
        <w:rPr>
          <w:snapToGrid w:val="0"/>
        </w:rPr>
        <w:t>.</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153781225"/>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153781226"/>
      <w:r>
        <w:rPr>
          <w:rStyle w:val="CharSectno"/>
        </w:rPr>
        <w:lastRenderedPageBreak/>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4" w:name="_Toc153448029"/>
      <w:bookmarkStart w:id="55" w:name="_Toc153528876"/>
      <w:bookmarkStart w:id="56" w:name="_Toc153781227"/>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153781228"/>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153781229"/>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w:t>
      </w:r>
      <w:r>
        <w:rPr>
          <w:snapToGrid w:val="0"/>
        </w:rPr>
        <w:lastRenderedPageBreak/>
        <w:t>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9" w:name="_Toc153781230"/>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153781231"/>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153781232"/>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lastRenderedPageBreak/>
        <w:tab/>
        <w:t>[Section 51 amended: No. 8 of 2009 s. 37.]</w:t>
      </w:r>
    </w:p>
    <w:p>
      <w:pPr>
        <w:pStyle w:val="Heading5"/>
        <w:rPr>
          <w:snapToGrid w:val="0"/>
        </w:rPr>
      </w:pPr>
      <w:bookmarkStart w:id="62" w:name="_Toc153781233"/>
      <w:r>
        <w:rPr>
          <w:rStyle w:val="CharSectno"/>
        </w:rPr>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63" w:name="_Toc153448036"/>
      <w:bookmarkStart w:id="64" w:name="_Toc153528883"/>
      <w:bookmarkStart w:id="65" w:name="_Toc153781234"/>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153448037"/>
      <w:bookmarkStart w:id="67" w:name="_Toc153528884"/>
      <w:bookmarkStart w:id="68" w:name="_Toc153781235"/>
      <w:r>
        <w:rPr>
          <w:rStyle w:val="CharSchNo"/>
        </w:rPr>
        <w:lastRenderedPageBreak/>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153448038"/>
      <w:bookmarkStart w:id="70" w:name="_Toc153528885"/>
      <w:bookmarkStart w:id="71" w:name="_Toc153781236"/>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153448039"/>
      <w:bookmarkStart w:id="73" w:name="_Toc153528886"/>
      <w:bookmarkStart w:id="74" w:name="_Toc153781237"/>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153448040"/>
      <w:bookmarkStart w:id="76" w:name="_Toc153528887"/>
      <w:bookmarkStart w:id="77" w:name="_Toc153781238"/>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153448041"/>
      <w:bookmarkStart w:id="79" w:name="_Toc153528888"/>
      <w:bookmarkStart w:id="80" w:name="_Toc153781239"/>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153448042"/>
      <w:bookmarkStart w:id="82" w:name="_Toc153528889"/>
      <w:bookmarkStart w:id="83" w:name="_Toc153781240"/>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153448043"/>
      <w:bookmarkStart w:id="85" w:name="_Toc153528890"/>
      <w:bookmarkStart w:id="86" w:name="_Toc153781241"/>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153448044"/>
      <w:bookmarkStart w:id="88" w:name="_Toc153528891"/>
      <w:bookmarkStart w:id="89" w:name="_Toc153781242"/>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Committee established under the </w:t>
      </w:r>
      <w:r>
        <w:rPr>
          <w:i/>
        </w:rPr>
        <w:t>Aboriginal Heritage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lastRenderedPageBreak/>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lastRenderedPageBreak/>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lastRenderedPageBreak/>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lastRenderedPageBreak/>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w:t>
      </w:r>
      <w:r>
        <w:lastRenderedPageBreak/>
        <w:t>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w:t>
      </w:r>
      <w:r>
        <w:lastRenderedPageBreak/>
        <w:t xml:space="preserve">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 xml:space="preserve">No. 19 of 2021 s. 229(2) and (3);No. 24 of 2021 s. 12; No. 27 of 2021 s. 344(2); No. 9 of 2022 s. 424; No. 19 of 2022 s. 20(2); </w:t>
      </w:r>
      <w:r>
        <w:t>No. 23 of 2023 s. 25; No. 24 of 2023 s. 102</w:t>
      </w:r>
      <w:r>
        <w:rPr>
          <w:szCs w:val="22"/>
        </w:rPr>
        <w:t>.</w:t>
      </w:r>
      <w:r>
        <w:t>]</w:t>
      </w:r>
    </w:p>
    <w:p>
      <w:pPr>
        <w:pStyle w:val="yScheduleHeading"/>
      </w:pPr>
      <w:bookmarkStart w:id="90" w:name="_Toc153448045"/>
      <w:bookmarkStart w:id="91" w:name="_Toc153528892"/>
      <w:bookmarkStart w:id="92" w:name="_Toc153781243"/>
      <w:r>
        <w:rPr>
          <w:rStyle w:val="CharSchNo"/>
        </w:rPr>
        <w:lastRenderedPageBreak/>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153448046"/>
      <w:bookmarkStart w:id="94" w:name="_Toc153528893"/>
      <w:bookmarkStart w:id="95" w:name="_Toc153781244"/>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153448047"/>
      <w:bookmarkStart w:id="97" w:name="_Toc153528894"/>
      <w:bookmarkStart w:id="98" w:name="_Toc153781245"/>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153448048"/>
      <w:bookmarkStart w:id="101" w:name="_Toc153528895"/>
      <w:bookmarkStart w:id="102" w:name="_Toc153781246"/>
      <w:r>
        <w:lastRenderedPageBreak/>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153781247"/>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lastRenderedPageBreak/>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lastRenderedPageBreak/>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lastRenderedPageBreak/>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lastRenderedPageBreak/>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lastRenderedPageBreak/>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lastRenderedPageBreak/>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lastRenderedPageBreak/>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lastRenderedPageBreak/>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lastRenderedPageBreak/>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lastRenderedPageBreak/>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lastRenderedPageBreak/>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nil"/>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nil"/>
              <w:right w:val="nil"/>
            </w:tcBorders>
            <w:shd w:val="clear" w:color="auto" w:fill="auto"/>
          </w:tcPr>
          <w:p>
            <w:pPr>
              <w:pStyle w:val="nTable"/>
              <w:spacing w:after="40"/>
            </w:pPr>
            <w:r>
              <w:t>19 of 2022</w:t>
            </w:r>
          </w:p>
        </w:tc>
        <w:tc>
          <w:tcPr>
            <w:tcW w:w="1173" w:type="dxa"/>
            <w:tcBorders>
              <w:top w:val="nil"/>
              <w:left w:val="nil"/>
              <w:bottom w:val="nil"/>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nil"/>
            </w:tcBorders>
            <w:shd w:val="clear" w:color="auto" w:fill="auto"/>
          </w:tcPr>
          <w:p>
            <w:pPr>
              <w:pStyle w:val="nTable"/>
              <w:spacing w:after="40"/>
              <w:rPr>
                <w:snapToGrid w:val="0"/>
              </w:rPr>
            </w:pPr>
            <w:r>
              <w:rPr>
                <w:snapToGrid w:val="0"/>
              </w:rPr>
              <w:t>25 Jun 2022 (see s. 2(b))</w:t>
            </w:r>
          </w:p>
        </w:tc>
      </w:tr>
      <w:tr>
        <w:tc>
          <w:tcPr>
            <w:tcW w:w="2268" w:type="dxa"/>
            <w:tcBorders>
              <w:top w:val="nil"/>
              <w:bottom w:val="nil"/>
              <w:right w:val="nil"/>
            </w:tcBorders>
            <w:shd w:val="clear" w:color="auto" w:fill="auto"/>
          </w:tcPr>
          <w:p>
            <w:pPr>
              <w:pStyle w:val="nTable"/>
              <w:spacing w:after="40"/>
              <w:rPr>
                <w:i/>
              </w:rPr>
            </w:pPr>
            <w:r>
              <w:rPr>
                <w:i/>
              </w:rPr>
              <w:t>Aboriginal Heritage Legislation Amendment and Repeal Act 2023</w:t>
            </w:r>
            <w:r>
              <w:rPr>
                <w:iCs/>
              </w:rPr>
              <w:t xml:space="preserve"> s. 25</w:t>
            </w:r>
          </w:p>
        </w:tc>
        <w:tc>
          <w:tcPr>
            <w:tcW w:w="1186" w:type="dxa"/>
            <w:tcBorders>
              <w:top w:val="nil"/>
              <w:left w:val="nil"/>
              <w:bottom w:val="nil"/>
              <w:right w:val="nil"/>
            </w:tcBorders>
            <w:shd w:val="clear" w:color="auto" w:fill="auto"/>
          </w:tcPr>
          <w:p>
            <w:pPr>
              <w:pStyle w:val="nTable"/>
              <w:spacing w:after="40"/>
            </w:pPr>
            <w:r>
              <w:t>23 of 2023</w:t>
            </w:r>
          </w:p>
        </w:tc>
        <w:tc>
          <w:tcPr>
            <w:tcW w:w="1173" w:type="dxa"/>
            <w:tcBorders>
              <w:top w:val="nil"/>
              <w:left w:val="nil"/>
              <w:bottom w:val="nil"/>
              <w:right w:val="nil"/>
            </w:tcBorders>
            <w:shd w:val="clear" w:color="auto" w:fill="auto"/>
          </w:tcPr>
          <w:p>
            <w:pPr>
              <w:pStyle w:val="nTable"/>
              <w:spacing w:after="40"/>
              <w:rPr>
                <w:snapToGrid w:val="0"/>
              </w:rPr>
            </w:pPr>
            <w:r>
              <w:t>24 Oct 2023</w:t>
            </w:r>
          </w:p>
        </w:tc>
        <w:tc>
          <w:tcPr>
            <w:tcW w:w="2530" w:type="dxa"/>
            <w:tcBorders>
              <w:top w:val="nil"/>
              <w:left w:val="nil"/>
              <w:bottom w:val="nil"/>
            </w:tcBorders>
            <w:shd w:val="clear" w:color="auto" w:fill="auto"/>
          </w:tcPr>
          <w:p>
            <w:pPr>
              <w:pStyle w:val="nTable"/>
              <w:spacing w:after="40"/>
              <w:rPr>
                <w:snapToGrid w:val="0"/>
              </w:rPr>
            </w:pPr>
            <w:r>
              <w:rPr>
                <w:snapToGrid w:val="0"/>
              </w:rPr>
              <w:t>15 Nov 2023 (see s. 2(d) and SL 2023/161 cl. 2)</w:t>
            </w:r>
          </w:p>
        </w:tc>
      </w:tr>
      <w:tr>
        <w:tc>
          <w:tcPr>
            <w:tcW w:w="2268" w:type="dxa"/>
            <w:tcBorders>
              <w:top w:val="nil"/>
              <w:bottom w:val="single" w:sz="4" w:space="0" w:color="auto"/>
              <w:right w:val="nil"/>
            </w:tcBorders>
            <w:shd w:val="clear" w:color="auto" w:fill="auto"/>
          </w:tcPr>
          <w:p>
            <w:pPr>
              <w:pStyle w:val="nTable"/>
              <w:spacing w:after="40"/>
              <w:rPr>
                <w:i/>
              </w:rPr>
            </w:pPr>
            <w:r>
              <w:rPr>
                <w:i/>
              </w:rPr>
              <w:t>Marine Safety (Domestic Commercial Vessel National Law Application) Act 2023</w:t>
            </w:r>
            <w:r>
              <w:rPr>
                <w:iCs/>
              </w:rPr>
              <w:t xml:space="preserve"> Pt. 10 Div. 1</w:t>
            </w:r>
          </w:p>
        </w:tc>
        <w:tc>
          <w:tcPr>
            <w:tcW w:w="1186" w:type="dxa"/>
            <w:tcBorders>
              <w:top w:val="nil"/>
              <w:left w:val="nil"/>
              <w:bottom w:val="single" w:sz="4" w:space="0" w:color="auto"/>
              <w:right w:val="nil"/>
            </w:tcBorders>
            <w:shd w:val="clear" w:color="auto" w:fill="auto"/>
          </w:tcPr>
          <w:p>
            <w:pPr>
              <w:pStyle w:val="nTable"/>
              <w:spacing w:after="40"/>
            </w:pPr>
            <w:r>
              <w:t>24 of 2023</w:t>
            </w:r>
          </w:p>
        </w:tc>
        <w:tc>
          <w:tcPr>
            <w:tcW w:w="1173" w:type="dxa"/>
            <w:tcBorders>
              <w:top w:val="nil"/>
              <w:left w:val="nil"/>
              <w:bottom w:val="single" w:sz="4" w:space="0" w:color="auto"/>
              <w:right w:val="nil"/>
            </w:tcBorders>
            <w:shd w:val="clear" w:color="auto" w:fill="auto"/>
          </w:tcPr>
          <w:p>
            <w:pPr>
              <w:pStyle w:val="nTable"/>
              <w:spacing w:after="40"/>
            </w:pPr>
            <w:r>
              <w:t>24 Oct 2023</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21 Dec 2023 (see s. 2(b) and SL 2023/203 cl. 2(b))</w:t>
            </w:r>
          </w:p>
        </w:tc>
      </w:tr>
    </w:tbl>
    <w:p>
      <w:pPr>
        <w:pStyle w:val="nHeading3"/>
      </w:pPr>
      <w:bookmarkStart w:id="104" w:name="_Toc153781248"/>
      <w:r>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105" w:name="_Toc153781249"/>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lastRenderedPageBreak/>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lastRenderedPageBreak/>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lastRenderedPageBreak/>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lastRenderedPageBreak/>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lastRenderedPageBreak/>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07" w:name="_Toc153448052"/>
      <w:bookmarkStart w:id="108" w:name="_Toc153528899"/>
      <w:bookmarkStart w:id="109" w:name="_Toc153781250"/>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120139"/>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10910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5931_GUID" w:val="09f67b63-8b34-4955-a911-c1f54792397b"/>
    <w:docVar w:name="WAFER_20231214120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120139_GUID" w:val="f7479f4c-ee0d-4813-a44e-e61163367c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85AA-D953-468E-9F07-B22D0355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22473</Words>
  <Characters>100234</Characters>
  <Application>Microsoft Office Word</Application>
  <DocSecurity>0</DocSecurity>
  <Lines>3855</Lines>
  <Paragraphs>2359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1899 - 21-ah0-00</dc:title>
  <dc:subject/>
  <dc:creator/>
  <cp:keywords/>
  <dc:description/>
  <cp:lastModifiedBy>Master Repository Process</cp:lastModifiedBy>
  <cp:revision>4</cp:revision>
  <cp:lastPrinted>2019-12-20T05:02:00Z</cp:lastPrinted>
  <dcterms:created xsi:type="dcterms:W3CDTF">2023-12-20T01:14:00Z</dcterms:created>
  <dcterms:modified xsi:type="dcterms:W3CDTF">2023-12-20T01:14:00Z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21 Dec 2023</vt:lpwstr>
  </property>
  <property fmtid="{D5CDD505-2E9C-101B-9397-08002B2CF9AE}" pid="9" name="Suffix">
    <vt:lpwstr>21-ah0-00</vt:lpwstr>
  </property>
  <property fmtid="{D5CDD505-2E9C-101B-9397-08002B2CF9AE}" pid="10" name="Official">
    <vt:lpwstr/>
  </property>
  <property fmtid="{D5CDD505-2E9C-101B-9397-08002B2CF9AE}" pid="11" name="CommencementDate">
    <vt:lpwstr>20231221</vt:lpwstr>
  </property>
  <property fmtid="{D5CDD505-2E9C-101B-9397-08002B2CF9AE}" pid="12" name="CommencementYear">
    <vt:lpwstr>2023</vt:lpwstr>
  </property>
</Properties>
</file>