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Parliamentary Commissioner Act 1971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Parliamentary Commissioner Act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_Toc153978050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_Toc153978051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_Toc153978052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Term used: authority</w:t>
      </w:r>
      <w:r>
        <w:tab/>
      </w:r>
      <w:r>
        <w:fldChar w:fldCharType="begin"/>
      </w:r>
      <w:r>
        <w:instrText xml:space="preserve"> PAGEREF _Toc153978053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The Parliamentary Commissioner for Administrative Investigations</w:t>
      </w:r>
    </w:p>
    <w:p>
      <w:pPr>
        <w:pStyle w:val="TOC8"/>
        <w:rPr>
          <w:rFonts w:asciiTheme="minorHAnsi" w:eastAsiaTheme="minorEastAsia" w:hAnsiTheme="minorHAnsi" w:cstheme="minorBidi"/>
          <w:szCs w:val="22"/>
        </w:rPr>
      </w:pPr>
      <w:r>
        <w:t>5</w:t>
      </w:r>
      <w:r>
        <w:rPr>
          <w:snapToGrid w:val="0"/>
        </w:rPr>
        <w:t>.</w:t>
      </w:r>
      <w:r>
        <w:rPr>
          <w:snapToGrid w:val="0"/>
        </w:rPr>
        <w:tab/>
        <w:t>Commissioner and Deputy Commissioner, appointment of etc.</w:t>
      </w:r>
      <w:r>
        <w:tab/>
      </w:r>
      <w:r>
        <w:fldChar w:fldCharType="begin"/>
      </w:r>
      <w:r>
        <w:instrText xml:space="preserve"> PAGEREF _Toc153978055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or suspension of Commissioner or Deputy Commissioner</w:t>
      </w:r>
      <w:r>
        <w:tab/>
      </w:r>
      <w:r>
        <w:fldChar w:fldCharType="begin"/>
      </w:r>
      <w:r>
        <w:instrText xml:space="preserve"> PAGEREF _Toc153978056 \h </w:instrText>
      </w:r>
      <w:r>
        <w:fldChar w:fldCharType="separate"/>
      </w:r>
      <w:r>
        <w:t>8</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Deputy Parliamentary Commissioner, functions of</w:t>
      </w:r>
      <w:r>
        <w:tab/>
      </w:r>
      <w:r>
        <w:fldChar w:fldCharType="begin"/>
      </w:r>
      <w:r>
        <w:instrText xml:space="preserve"> PAGEREF _Toc153978057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Acting Parliamentary Commissioner, appointment of etc.</w:t>
      </w:r>
      <w:r>
        <w:tab/>
      </w:r>
      <w:r>
        <w:fldChar w:fldCharType="begin"/>
      </w:r>
      <w:r>
        <w:instrText xml:space="preserve"> PAGEREF _Toc153978058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Oath or affirmation of Commissioner, Deputy Commissioner and Acting Commissioner</w:t>
      </w:r>
      <w:r>
        <w:tab/>
      </w:r>
      <w:r>
        <w:fldChar w:fldCharType="begin"/>
      </w:r>
      <w:r>
        <w:instrText xml:space="preserve"> PAGEREF _Toc153978059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Staff of Commissioner</w:t>
      </w:r>
      <w:r>
        <w:tab/>
      </w:r>
      <w:r>
        <w:fldChar w:fldCharType="begin"/>
      </w:r>
      <w:r>
        <w:instrText xml:space="preserve"> PAGEREF _Toc153978060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provisions as to Commissioner and other officers</w:t>
      </w:r>
      <w:r>
        <w:tab/>
      </w:r>
      <w:r>
        <w:fldChar w:fldCharType="begin"/>
      </w:r>
      <w:r>
        <w:instrText xml:space="preserve"> PAGEREF _Toc153978061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Delegation by Commissioner</w:t>
      </w:r>
      <w:r>
        <w:tab/>
      </w:r>
      <w:r>
        <w:fldChar w:fldCharType="begin"/>
      </w:r>
      <w:r>
        <w:instrText xml:space="preserve"> PAGEREF _Toc153978062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Rules of Parliament</w:t>
      </w:r>
      <w:r>
        <w:tab/>
      </w:r>
      <w:r>
        <w:fldChar w:fldCharType="begin"/>
      </w:r>
      <w:r>
        <w:instrText xml:space="preserve"> PAGEREF _Toc153978063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Jurisdiction and functions of the Commissioner</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Extent of jurisdiction</w:t>
      </w:r>
    </w:p>
    <w:p>
      <w:pPr>
        <w:pStyle w:val="TOC8"/>
        <w:rPr>
          <w:rFonts w:asciiTheme="minorHAnsi" w:eastAsiaTheme="minorEastAsia" w:hAnsiTheme="minorHAnsi" w:cstheme="minorBidi"/>
          <w:szCs w:val="22"/>
        </w:rPr>
      </w:pPr>
      <w:r>
        <w:t>13</w:t>
      </w:r>
      <w:r>
        <w:rPr>
          <w:snapToGrid w:val="0"/>
        </w:rPr>
        <w:t>.</w:t>
      </w:r>
      <w:r>
        <w:rPr>
          <w:snapToGrid w:val="0"/>
        </w:rPr>
        <w:tab/>
        <w:t>Departments and authorities subject to investigation</w:t>
      </w:r>
      <w:r>
        <w:tab/>
      </w:r>
      <w:r>
        <w:fldChar w:fldCharType="begin"/>
      </w:r>
      <w:r>
        <w:instrText xml:space="preserve"> PAGEREF _Toc153978066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Matters subject to investigation</w:t>
      </w:r>
      <w:r>
        <w:tab/>
      </w:r>
      <w:r>
        <w:fldChar w:fldCharType="begin"/>
      </w:r>
      <w:r>
        <w:instrText xml:space="preserve"> PAGEREF _Toc153978067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Initiation of investigations</w:t>
      </w:r>
    </w:p>
    <w:p>
      <w:pPr>
        <w:pStyle w:val="TOC8"/>
        <w:rPr>
          <w:rFonts w:asciiTheme="minorHAnsi" w:eastAsiaTheme="minorEastAsia" w:hAnsiTheme="minorHAnsi" w:cstheme="minorBidi"/>
          <w:szCs w:val="22"/>
        </w:rPr>
      </w:pPr>
      <w:r>
        <w:t>15</w:t>
      </w:r>
      <w:r>
        <w:rPr>
          <w:snapToGrid w:val="0"/>
        </w:rPr>
        <w:t>.</w:t>
      </w:r>
      <w:r>
        <w:rPr>
          <w:snapToGrid w:val="0"/>
        </w:rPr>
        <w:tab/>
        <w:t>Investigations on reference by Parliament</w:t>
      </w:r>
      <w:r>
        <w:tab/>
      </w:r>
      <w:r>
        <w:fldChar w:fldCharType="begin"/>
      </w:r>
      <w:r>
        <w:instrText xml:space="preserve"> PAGEREF _Toc153978069 \h </w:instrText>
      </w:r>
      <w:r>
        <w:fldChar w:fldCharType="separate"/>
      </w:r>
      <w:r>
        <w:t>21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Initiation of investigations</w:t>
      </w:r>
      <w:r>
        <w:tab/>
      </w:r>
      <w:r>
        <w:fldChar w:fldCharType="begin"/>
      </w:r>
      <w:r>
        <w:instrText xml:space="preserve"> PAGEREF _Toc153978070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Complaints to Commissioner</w:t>
      </w:r>
      <w:r>
        <w:tab/>
      </w:r>
      <w:r>
        <w:fldChar w:fldCharType="begin"/>
      </w:r>
      <w:r>
        <w:instrText xml:space="preserve"> PAGEREF _Toc153978071 \h </w:instrText>
      </w:r>
      <w:r>
        <w:fldChar w:fldCharType="separate"/>
      </w:r>
      <w:r>
        <w:t>22</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Complaints by persons in custody</w:t>
      </w:r>
      <w:r>
        <w:tab/>
      </w:r>
      <w:r>
        <w:fldChar w:fldCharType="begin"/>
      </w:r>
      <w:r>
        <w:instrText xml:space="preserve"> PAGEREF _Toc153978072 \h </w:instrText>
      </w:r>
      <w:r>
        <w:fldChar w:fldCharType="separate"/>
      </w:r>
      <w:r>
        <w:t>23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Refusal to investigate complaints</w:t>
      </w:r>
      <w:r>
        <w:tab/>
      </w:r>
      <w:r>
        <w:fldChar w:fldCharType="begin"/>
      </w:r>
      <w:r>
        <w:instrText xml:space="preserve"> PAGEREF _Toc153978073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3A — Deaths of certain children</w:t>
      </w:r>
    </w:p>
    <w:p>
      <w:pPr>
        <w:pStyle w:val="TOC8"/>
        <w:rPr>
          <w:rFonts w:asciiTheme="minorHAnsi" w:eastAsiaTheme="minorEastAsia" w:hAnsiTheme="minorHAnsi" w:cstheme="minorBidi"/>
          <w:szCs w:val="22"/>
        </w:rPr>
      </w:pPr>
      <w:r>
        <w:t>19A.</w:t>
      </w:r>
      <w:r>
        <w:tab/>
        <w:t>Terms used</w:t>
      </w:r>
      <w:r>
        <w:tab/>
      </w:r>
      <w:r>
        <w:fldChar w:fldCharType="begin"/>
      </w:r>
      <w:r>
        <w:instrText xml:space="preserve"> PAGEREF _Toc153978075 \h </w:instrText>
      </w:r>
      <w:r>
        <w:fldChar w:fldCharType="separate"/>
      </w:r>
      <w:r>
        <w:t>25</w:t>
      </w:r>
      <w:r>
        <w:fldChar w:fldCharType="end"/>
      </w:r>
    </w:p>
    <w:p>
      <w:pPr>
        <w:pStyle w:val="TOC8"/>
        <w:rPr>
          <w:rFonts w:asciiTheme="minorHAnsi" w:eastAsiaTheme="minorEastAsia" w:hAnsiTheme="minorHAnsi" w:cstheme="minorBidi"/>
          <w:szCs w:val="22"/>
        </w:rPr>
      </w:pPr>
      <w:r>
        <w:t>19B.</w:t>
      </w:r>
      <w:r>
        <w:tab/>
        <w:t>Functions as to investigable deaths</w:t>
      </w:r>
      <w:r>
        <w:tab/>
      </w:r>
      <w:r>
        <w:fldChar w:fldCharType="begin"/>
      </w:r>
      <w:r>
        <w:instrText xml:space="preserve"> PAGEREF _Toc153978076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3B — Reportable conduct scheme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19C.</w:t>
      </w:r>
      <w:r>
        <w:tab/>
        <w:t>Terms used</w:t>
      </w:r>
      <w:r>
        <w:tab/>
      </w:r>
      <w:r>
        <w:fldChar w:fldCharType="begin"/>
      </w:r>
      <w:r>
        <w:instrText xml:space="preserve"> PAGEREF _Toc153978079 \h </w:instrText>
      </w:r>
      <w:r>
        <w:fldChar w:fldCharType="separate"/>
      </w:r>
      <w:r>
        <w:t>27</w:t>
      </w:r>
      <w:r>
        <w:fldChar w:fldCharType="end"/>
      </w:r>
    </w:p>
    <w:p>
      <w:pPr>
        <w:pStyle w:val="TOC8"/>
        <w:rPr>
          <w:rFonts w:asciiTheme="minorHAnsi" w:eastAsiaTheme="minorEastAsia" w:hAnsiTheme="minorHAnsi" w:cstheme="minorBidi"/>
          <w:szCs w:val="22"/>
        </w:rPr>
      </w:pPr>
      <w:r>
        <w:t>19D.</w:t>
      </w:r>
      <w:r>
        <w:tab/>
        <w:t>Employees of relevant entities</w:t>
      </w:r>
      <w:r>
        <w:tab/>
      </w:r>
      <w:r>
        <w:fldChar w:fldCharType="begin"/>
      </w:r>
      <w:r>
        <w:instrText xml:space="preserve"> PAGEREF _Toc153978080 \h </w:instrText>
      </w:r>
      <w:r>
        <w:fldChar w:fldCharType="separate"/>
      </w:r>
      <w:r>
        <w:t>29</w:t>
      </w:r>
      <w:r>
        <w:fldChar w:fldCharType="end"/>
      </w:r>
    </w:p>
    <w:p>
      <w:pPr>
        <w:pStyle w:val="TOC8"/>
        <w:rPr>
          <w:rFonts w:asciiTheme="minorHAnsi" w:eastAsiaTheme="minorEastAsia" w:hAnsiTheme="minorHAnsi" w:cstheme="minorBidi"/>
          <w:szCs w:val="22"/>
        </w:rPr>
      </w:pPr>
      <w:r>
        <w:t>19E.</w:t>
      </w:r>
      <w:r>
        <w:tab/>
        <w:t>Head of a relevant entity</w:t>
      </w:r>
      <w:r>
        <w:tab/>
      </w:r>
      <w:r>
        <w:fldChar w:fldCharType="begin"/>
      </w:r>
      <w:r>
        <w:instrText xml:space="preserve"> PAGEREF _Toc153978081 \h </w:instrText>
      </w:r>
      <w:r>
        <w:fldChar w:fldCharType="separate"/>
      </w:r>
      <w:r>
        <w:t>31</w:t>
      </w:r>
      <w:r>
        <w:fldChar w:fldCharType="end"/>
      </w:r>
    </w:p>
    <w:p>
      <w:pPr>
        <w:pStyle w:val="TOC8"/>
        <w:rPr>
          <w:rFonts w:asciiTheme="minorHAnsi" w:eastAsiaTheme="minorEastAsia" w:hAnsiTheme="minorHAnsi" w:cstheme="minorBidi"/>
          <w:szCs w:val="22"/>
        </w:rPr>
      </w:pPr>
      <w:r>
        <w:t>19F.</w:t>
      </w:r>
      <w:r>
        <w:tab/>
        <w:t>Reportable allegation</w:t>
      </w:r>
      <w:r>
        <w:tab/>
      </w:r>
      <w:r>
        <w:fldChar w:fldCharType="begin"/>
      </w:r>
      <w:r>
        <w:instrText xml:space="preserve"> PAGEREF _Toc153978082 \h </w:instrText>
      </w:r>
      <w:r>
        <w:fldChar w:fldCharType="separate"/>
      </w:r>
      <w:r>
        <w:t>32</w:t>
      </w:r>
      <w:r>
        <w:fldChar w:fldCharType="end"/>
      </w:r>
    </w:p>
    <w:p>
      <w:pPr>
        <w:pStyle w:val="TOC8"/>
        <w:rPr>
          <w:rFonts w:asciiTheme="minorHAnsi" w:eastAsiaTheme="minorEastAsia" w:hAnsiTheme="minorHAnsi" w:cstheme="minorBidi"/>
          <w:szCs w:val="22"/>
        </w:rPr>
      </w:pPr>
      <w:r>
        <w:t>19G.</w:t>
      </w:r>
      <w:r>
        <w:tab/>
        <w:t>Reportable conduct</w:t>
      </w:r>
      <w:r>
        <w:tab/>
      </w:r>
      <w:r>
        <w:fldChar w:fldCharType="begin"/>
      </w:r>
      <w:r>
        <w:instrText xml:space="preserve"> PAGEREF _Toc153978083 \h </w:instrText>
      </w:r>
      <w:r>
        <w:fldChar w:fldCharType="separate"/>
      </w:r>
      <w:r>
        <w:t>32</w:t>
      </w:r>
      <w:r>
        <w:fldChar w:fldCharType="end"/>
      </w:r>
    </w:p>
    <w:p>
      <w:pPr>
        <w:pStyle w:val="TOC8"/>
        <w:rPr>
          <w:rFonts w:asciiTheme="minorHAnsi" w:eastAsiaTheme="minorEastAsia" w:hAnsiTheme="minorHAnsi" w:cstheme="minorBidi"/>
          <w:szCs w:val="22"/>
        </w:rPr>
      </w:pPr>
      <w:r>
        <w:t>19H.</w:t>
      </w:r>
      <w:r>
        <w:tab/>
        <w:t>Reportable conviction</w:t>
      </w:r>
      <w:r>
        <w:tab/>
      </w:r>
      <w:r>
        <w:fldChar w:fldCharType="begin"/>
      </w:r>
      <w:r>
        <w:instrText xml:space="preserve"> PAGEREF _Toc153978084 \h </w:instrText>
      </w:r>
      <w:r>
        <w:fldChar w:fldCharType="separate"/>
      </w:r>
      <w:r>
        <w:t>33</w:t>
      </w:r>
      <w:r>
        <w:fldChar w:fldCharType="end"/>
      </w:r>
    </w:p>
    <w:p>
      <w:pPr>
        <w:pStyle w:val="TOC8"/>
        <w:rPr>
          <w:rFonts w:asciiTheme="minorHAnsi" w:eastAsiaTheme="minorEastAsia" w:hAnsiTheme="minorHAnsi" w:cstheme="minorBidi"/>
          <w:szCs w:val="22"/>
        </w:rPr>
      </w:pPr>
      <w:r>
        <w:t>19I.</w:t>
      </w:r>
      <w:r>
        <w:tab/>
        <w:t>Entities to which reportable conduct scheme applies</w:t>
      </w:r>
      <w:r>
        <w:tab/>
      </w:r>
      <w:r>
        <w:fldChar w:fldCharType="begin"/>
      </w:r>
      <w:r>
        <w:instrText xml:space="preserve"> PAGEREF _Toc153978085 \h </w:instrText>
      </w:r>
      <w:r>
        <w:fldChar w:fldCharType="separate"/>
      </w:r>
      <w:r>
        <w:t>34</w:t>
      </w:r>
      <w:r>
        <w:fldChar w:fldCharType="end"/>
      </w:r>
    </w:p>
    <w:p>
      <w:pPr>
        <w:pStyle w:val="TOC8"/>
        <w:rPr>
          <w:rFonts w:asciiTheme="minorHAnsi" w:eastAsiaTheme="minorEastAsia" w:hAnsiTheme="minorHAnsi" w:cstheme="minorBidi"/>
          <w:szCs w:val="22"/>
        </w:rPr>
      </w:pPr>
      <w:r>
        <w:t>19J.</w:t>
      </w:r>
      <w:r>
        <w:tab/>
        <w:t>Object and principles</w:t>
      </w:r>
      <w:r>
        <w:tab/>
      </w:r>
      <w:r>
        <w:fldChar w:fldCharType="begin"/>
      </w:r>
      <w:r>
        <w:instrText xml:space="preserve"> PAGEREF _Toc153978086 \h </w:instrText>
      </w:r>
      <w:r>
        <w:fldChar w:fldCharType="separate"/>
      </w:r>
      <w:r>
        <w:t>35</w:t>
      </w:r>
      <w:r>
        <w:fldChar w:fldCharType="end"/>
      </w:r>
    </w:p>
    <w:p>
      <w:pPr>
        <w:pStyle w:val="TOC8"/>
        <w:rPr>
          <w:rFonts w:asciiTheme="minorHAnsi" w:eastAsiaTheme="minorEastAsia" w:hAnsiTheme="minorHAnsi" w:cstheme="minorBidi"/>
          <w:szCs w:val="22"/>
        </w:rPr>
      </w:pPr>
      <w:r>
        <w:t>19K.</w:t>
      </w:r>
      <w:r>
        <w:tab/>
        <w:t>Paramount consideration</w:t>
      </w:r>
      <w:r>
        <w:tab/>
      </w:r>
      <w:r>
        <w:fldChar w:fldCharType="begin"/>
      </w:r>
      <w:r>
        <w:instrText xml:space="preserve"> PAGEREF _Toc153978087 \h </w:instrText>
      </w:r>
      <w:r>
        <w:fldChar w:fldCharType="separate"/>
      </w:r>
      <w:r>
        <w:t>36</w:t>
      </w:r>
      <w:r>
        <w:fldChar w:fldCharType="end"/>
      </w:r>
    </w:p>
    <w:p>
      <w:pPr>
        <w:pStyle w:val="TOC8"/>
        <w:rPr>
          <w:rFonts w:asciiTheme="minorHAnsi" w:eastAsiaTheme="minorEastAsia" w:hAnsiTheme="minorHAnsi" w:cstheme="minorBidi"/>
          <w:szCs w:val="22"/>
        </w:rPr>
      </w:pPr>
      <w:r>
        <w:t>19L.</w:t>
      </w:r>
      <w:r>
        <w:tab/>
        <w:t>Certain provisions not applicable if entity is agent of Crown</w:t>
      </w:r>
      <w:r>
        <w:tab/>
      </w:r>
      <w:r>
        <w:fldChar w:fldCharType="begin"/>
      </w:r>
      <w:r>
        <w:instrText xml:space="preserve"> PAGEREF _Toc153978088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Role of Commissioner</w:t>
      </w:r>
    </w:p>
    <w:p>
      <w:pPr>
        <w:pStyle w:val="TOC8"/>
        <w:rPr>
          <w:rFonts w:asciiTheme="minorHAnsi" w:eastAsiaTheme="minorEastAsia" w:hAnsiTheme="minorHAnsi" w:cstheme="minorBidi"/>
          <w:szCs w:val="22"/>
        </w:rPr>
      </w:pPr>
      <w:r>
        <w:t>19M.</w:t>
      </w:r>
      <w:r>
        <w:tab/>
        <w:t>Functions of Commissioner in relation to scheme</w:t>
      </w:r>
      <w:r>
        <w:tab/>
      </w:r>
      <w:r>
        <w:fldChar w:fldCharType="begin"/>
      </w:r>
      <w:r>
        <w:instrText xml:space="preserve"> PAGEREF _Toc153978090 \h </w:instrText>
      </w:r>
      <w:r>
        <w:fldChar w:fldCharType="separate"/>
      </w:r>
      <w:r>
        <w:t>36</w:t>
      </w:r>
      <w:r>
        <w:fldChar w:fldCharType="end"/>
      </w:r>
    </w:p>
    <w:p>
      <w:pPr>
        <w:pStyle w:val="TOC8"/>
        <w:rPr>
          <w:rFonts w:asciiTheme="minorHAnsi" w:eastAsiaTheme="minorEastAsia" w:hAnsiTheme="minorHAnsi" w:cstheme="minorBidi"/>
          <w:szCs w:val="22"/>
        </w:rPr>
      </w:pPr>
      <w:r>
        <w:t>19N.</w:t>
      </w:r>
      <w:r>
        <w:tab/>
        <w:t>Commissioner may exempt conduct</w:t>
      </w:r>
      <w:r>
        <w:tab/>
      </w:r>
      <w:r>
        <w:fldChar w:fldCharType="begin"/>
      </w:r>
      <w:r>
        <w:instrText xml:space="preserve"> PAGEREF _Toc153978091 \h </w:instrText>
      </w:r>
      <w:r>
        <w:fldChar w:fldCharType="separate"/>
      </w:r>
      <w:r>
        <w:t>37</w:t>
      </w:r>
      <w:r>
        <w:fldChar w:fldCharType="end"/>
      </w:r>
    </w:p>
    <w:p>
      <w:pPr>
        <w:pStyle w:val="TOC8"/>
        <w:rPr>
          <w:rFonts w:asciiTheme="minorHAnsi" w:eastAsiaTheme="minorEastAsia" w:hAnsiTheme="minorHAnsi" w:cstheme="minorBidi"/>
          <w:szCs w:val="22"/>
        </w:rPr>
      </w:pPr>
      <w:r>
        <w:t>19O.</w:t>
      </w:r>
      <w:r>
        <w:tab/>
        <w:t>Commissioner may exempt entities</w:t>
      </w:r>
      <w:r>
        <w:tab/>
      </w:r>
      <w:r>
        <w:fldChar w:fldCharType="begin"/>
      </w:r>
      <w:r>
        <w:instrText xml:space="preserve"> PAGEREF _Toc153978092 \h </w:instrText>
      </w:r>
      <w:r>
        <w:fldChar w:fldCharType="separate"/>
      </w:r>
      <w:r>
        <w:t>38</w:t>
      </w:r>
      <w:r>
        <w:fldChar w:fldCharType="end"/>
      </w:r>
    </w:p>
    <w:p>
      <w:pPr>
        <w:pStyle w:val="TOC8"/>
        <w:rPr>
          <w:rFonts w:asciiTheme="minorHAnsi" w:eastAsiaTheme="minorEastAsia" w:hAnsiTheme="minorHAnsi" w:cstheme="minorBidi"/>
          <w:szCs w:val="22"/>
        </w:rPr>
      </w:pPr>
      <w:r>
        <w:t>19P.</w:t>
      </w:r>
      <w:r>
        <w:tab/>
        <w:t>Commissioner may exempt investigations</w:t>
      </w:r>
      <w:r>
        <w:tab/>
      </w:r>
      <w:r>
        <w:fldChar w:fldCharType="begin"/>
      </w:r>
      <w:r>
        <w:instrText xml:space="preserve"> PAGEREF _Toc153978093 \h </w:instrText>
      </w:r>
      <w:r>
        <w:fldChar w:fldCharType="separate"/>
      </w:r>
      <w:r>
        <w:t>38</w:t>
      </w:r>
      <w:r>
        <w:fldChar w:fldCharType="end"/>
      </w:r>
    </w:p>
    <w:p>
      <w:pPr>
        <w:pStyle w:val="TOC8"/>
        <w:rPr>
          <w:rFonts w:asciiTheme="minorHAnsi" w:eastAsiaTheme="minorEastAsia" w:hAnsiTheme="minorHAnsi" w:cstheme="minorBidi"/>
          <w:szCs w:val="22"/>
        </w:rPr>
      </w:pPr>
      <w:r>
        <w:t>19Q.</w:t>
      </w:r>
      <w:r>
        <w:tab/>
        <w:t>Commissioner may approve head of relevant entity in certain circumstances</w:t>
      </w:r>
      <w:r>
        <w:tab/>
      </w:r>
      <w:r>
        <w:fldChar w:fldCharType="begin"/>
      </w:r>
      <w:r>
        <w:instrText xml:space="preserve"> PAGEREF _Toc153978094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Systems to deal with reportable conduct</w:t>
      </w:r>
    </w:p>
    <w:p>
      <w:pPr>
        <w:pStyle w:val="TOC8"/>
        <w:rPr>
          <w:rFonts w:asciiTheme="minorHAnsi" w:eastAsiaTheme="minorEastAsia" w:hAnsiTheme="minorHAnsi" w:cstheme="minorBidi"/>
          <w:szCs w:val="22"/>
        </w:rPr>
      </w:pPr>
      <w:r>
        <w:t>19R.</w:t>
      </w:r>
      <w:r>
        <w:tab/>
        <w:t>Head of relevant entity must ensure systems in place</w:t>
      </w:r>
      <w:r>
        <w:tab/>
      </w:r>
      <w:r>
        <w:fldChar w:fldCharType="begin"/>
      </w:r>
      <w:r>
        <w:instrText xml:space="preserve"> PAGEREF _Toc153978096 \h </w:instrText>
      </w:r>
      <w:r>
        <w:fldChar w:fldCharType="separate"/>
      </w:r>
      <w:r>
        <w:t>40</w:t>
      </w:r>
      <w:r>
        <w:fldChar w:fldCharType="end"/>
      </w:r>
    </w:p>
    <w:p>
      <w:pPr>
        <w:pStyle w:val="TOC8"/>
        <w:rPr>
          <w:rFonts w:asciiTheme="minorHAnsi" w:eastAsiaTheme="minorEastAsia" w:hAnsiTheme="minorHAnsi" w:cstheme="minorBidi"/>
          <w:szCs w:val="22"/>
        </w:rPr>
      </w:pPr>
      <w:r>
        <w:t>19S.</w:t>
      </w:r>
      <w:r>
        <w:tab/>
        <w:t>Commissioner may require information about systems</w:t>
      </w:r>
      <w:r>
        <w:tab/>
      </w:r>
      <w:r>
        <w:fldChar w:fldCharType="begin"/>
      </w:r>
      <w:r>
        <w:instrText xml:space="preserve"> PAGEREF _Toc153978097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Notice, investigation and reporting</w:t>
      </w:r>
    </w:p>
    <w:p>
      <w:pPr>
        <w:pStyle w:val="TOC8"/>
        <w:rPr>
          <w:rFonts w:asciiTheme="minorHAnsi" w:eastAsiaTheme="minorEastAsia" w:hAnsiTheme="minorHAnsi" w:cstheme="minorBidi"/>
          <w:szCs w:val="22"/>
        </w:rPr>
      </w:pPr>
      <w:r>
        <w:t>19T.</w:t>
      </w:r>
      <w:r>
        <w:tab/>
        <w:t>Report of reportable allegation or reportable conviction</w:t>
      </w:r>
      <w:r>
        <w:tab/>
      </w:r>
      <w:r>
        <w:fldChar w:fldCharType="begin"/>
      </w:r>
      <w:r>
        <w:instrText xml:space="preserve"> PAGEREF _Toc153978099 \h </w:instrText>
      </w:r>
      <w:r>
        <w:fldChar w:fldCharType="separate"/>
      </w:r>
      <w:r>
        <w:t>41</w:t>
      </w:r>
      <w:r>
        <w:fldChar w:fldCharType="end"/>
      </w:r>
    </w:p>
    <w:p>
      <w:pPr>
        <w:pStyle w:val="TOC8"/>
        <w:rPr>
          <w:rFonts w:asciiTheme="minorHAnsi" w:eastAsiaTheme="minorEastAsia" w:hAnsiTheme="minorHAnsi" w:cstheme="minorBidi"/>
          <w:szCs w:val="22"/>
        </w:rPr>
      </w:pPr>
      <w:r>
        <w:t>19U.</w:t>
      </w:r>
      <w:r>
        <w:tab/>
        <w:t>Head of relevant entity must notify Commissioner</w:t>
      </w:r>
      <w:r>
        <w:tab/>
      </w:r>
      <w:r>
        <w:fldChar w:fldCharType="begin"/>
      </w:r>
      <w:r>
        <w:instrText xml:space="preserve"> PAGEREF _Toc153978100 \h </w:instrText>
      </w:r>
      <w:r>
        <w:fldChar w:fldCharType="separate"/>
      </w:r>
      <w:r>
        <w:t>42</w:t>
      </w:r>
      <w:r>
        <w:fldChar w:fldCharType="end"/>
      </w:r>
    </w:p>
    <w:p>
      <w:pPr>
        <w:pStyle w:val="TOC8"/>
        <w:rPr>
          <w:rFonts w:asciiTheme="minorHAnsi" w:eastAsiaTheme="minorEastAsia" w:hAnsiTheme="minorHAnsi" w:cstheme="minorBidi"/>
          <w:szCs w:val="22"/>
        </w:rPr>
      </w:pPr>
      <w:r>
        <w:t>19V.</w:t>
      </w:r>
      <w:r>
        <w:tab/>
        <w:t>Information may be disclosed to Commissioner or head of entity</w:t>
      </w:r>
      <w:r>
        <w:tab/>
      </w:r>
      <w:r>
        <w:fldChar w:fldCharType="begin"/>
      </w:r>
      <w:r>
        <w:instrText xml:space="preserve"> PAGEREF _Toc153978101 \h </w:instrText>
      </w:r>
      <w:r>
        <w:fldChar w:fldCharType="separate"/>
      </w:r>
      <w:r>
        <w:t>44</w:t>
      </w:r>
      <w:r>
        <w:fldChar w:fldCharType="end"/>
      </w:r>
    </w:p>
    <w:p>
      <w:pPr>
        <w:pStyle w:val="TOC8"/>
        <w:rPr>
          <w:rFonts w:asciiTheme="minorHAnsi" w:eastAsiaTheme="minorEastAsia" w:hAnsiTheme="minorHAnsi" w:cstheme="minorBidi"/>
          <w:szCs w:val="22"/>
        </w:rPr>
      </w:pPr>
      <w:r>
        <w:t>19W.</w:t>
      </w:r>
      <w:r>
        <w:tab/>
        <w:t>Head of relevant entity must respond to reportable allegation or reportable conviction</w:t>
      </w:r>
      <w:r>
        <w:tab/>
      </w:r>
      <w:r>
        <w:fldChar w:fldCharType="begin"/>
      </w:r>
      <w:r>
        <w:instrText xml:space="preserve"> PAGEREF _Toc153978102 \h </w:instrText>
      </w:r>
      <w:r>
        <w:fldChar w:fldCharType="separate"/>
      </w:r>
      <w:r>
        <w:t>45</w:t>
      </w:r>
      <w:r>
        <w:fldChar w:fldCharType="end"/>
      </w:r>
    </w:p>
    <w:p>
      <w:pPr>
        <w:pStyle w:val="TOC8"/>
        <w:rPr>
          <w:rFonts w:asciiTheme="minorHAnsi" w:eastAsiaTheme="minorEastAsia" w:hAnsiTheme="minorHAnsi" w:cstheme="minorBidi"/>
          <w:szCs w:val="22"/>
        </w:rPr>
      </w:pPr>
      <w:r>
        <w:t>19X.</w:t>
      </w:r>
      <w:r>
        <w:tab/>
        <w:t>Informing employee of certain matters and giving employee opportunity to make submissions</w:t>
      </w:r>
      <w:r>
        <w:tab/>
      </w:r>
      <w:r>
        <w:fldChar w:fldCharType="begin"/>
      </w:r>
      <w:r>
        <w:instrText xml:space="preserve"> PAGEREF _Toc153978103 \h </w:instrText>
      </w:r>
      <w:r>
        <w:fldChar w:fldCharType="separate"/>
      </w:r>
      <w:r>
        <w:t>47</w:t>
      </w:r>
      <w:r>
        <w:fldChar w:fldCharType="end"/>
      </w:r>
    </w:p>
    <w:p>
      <w:pPr>
        <w:pStyle w:val="TOC8"/>
        <w:rPr>
          <w:rFonts w:asciiTheme="minorHAnsi" w:eastAsiaTheme="minorEastAsia" w:hAnsiTheme="minorHAnsi" w:cstheme="minorBidi"/>
          <w:szCs w:val="22"/>
        </w:rPr>
      </w:pPr>
      <w:r>
        <w:t>19Y.</w:t>
      </w:r>
      <w:r>
        <w:tab/>
        <w:t>Commissioner must be notified of matters affecting investigation</w:t>
      </w:r>
      <w:r>
        <w:tab/>
      </w:r>
      <w:r>
        <w:fldChar w:fldCharType="begin"/>
      </w:r>
      <w:r>
        <w:instrText xml:space="preserve"> PAGEREF _Toc153978104 \h </w:instrText>
      </w:r>
      <w:r>
        <w:fldChar w:fldCharType="separate"/>
      </w:r>
      <w:r>
        <w:t>48</w:t>
      </w:r>
      <w:r>
        <w:fldChar w:fldCharType="end"/>
      </w:r>
    </w:p>
    <w:p>
      <w:pPr>
        <w:pStyle w:val="TOC8"/>
        <w:rPr>
          <w:rFonts w:asciiTheme="minorHAnsi" w:eastAsiaTheme="minorEastAsia" w:hAnsiTheme="minorHAnsi" w:cstheme="minorBidi"/>
          <w:szCs w:val="22"/>
        </w:rPr>
      </w:pPr>
      <w:r>
        <w:t>19Z.</w:t>
      </w:r>
      <w:r>
        <w:tab/>
        <w:t>Head of relevant entity must report outcome of investigation to Commissioner</w:t>
      </w:r>
      <w:r>
        <w:tab/>
      </w:r>
      <w:r>
        <w:fldChar w:fldCharType="begin"/>
      </w:r>
      <w:r>
        <w:instrText xml:space="preserve"> PAGEREF _Toc153978105 \h </w:instrText>
      </w:r>
      <w:r>
        <w:fldChar w:fldCharType="separate"/>
      </w:r>
      <w:r>
        <w:t>49</w:t>
      </w:r>
      <w:r>
        <w:fldChar w:fldCharType="end"/>
      </w:r>
    </w:p>
    <w:p>
      <w:pPr>
        <w:pStyle w:val="TOC8"/>
        <w:rPr>
          <w:rFonts w:asciiTheme="minorHAnsi" w:eastAsiaTheme="minorEastAsia" w:hAnsiTheme="minorHAnsi" w:cstheme="minorBidi"/>
          <w:szCs w:val="22"/>
        </w:rPr>
      </w:pPr>
      <w:r>
        <w:t>19ZA.</w:t>
      </w:r>
      <w:r>
        <w:tab/>
        <w:t>Head of relevant entity must report outcome of investigation to employee if employee informed of investigation</w:t>
      </w:r>
      <w:r>
        <w:tab/>
      </w:r>
      <w:r>
        <w:fldChar w:fldCharType="begin"/>
      </w:r>
      <w:r>
        <w:instrText xml:space="preserve"> PAGEREF _Toc153978106 \h </w:instrText>
      </w:r>
      <w:r>
        <w:fldChar w:fldCharType="separate"/>
      </w:r>
      <w:r>
        <w:t>50</w:t>
      </w:r>
      <w:r>
        <w:fldChar w:fldCharType="end"/>
      </w:r>
    </w:p>
    <w:p>
      <w:pPr>
        <w:pStyle w:val="TOC8"/>
        <w:rPr>
          <w:rFonts w:asciiTheme="minorHAnsi" w:eastAsiaTheme="minorEastAsia" w:hAnsiTheme="minorHAnsi" w:cstheme="minorBidi"/>
          <w:szCs w:val="22"/>
        </w:rPr>
      </w:pPr>
      <w:r>
        <w:t>19ZB.</w:t>
      </w:r>
      <w:r>
        <w:tab/>
        <w:t>Commissioner may conduct own investigation</w:t>
      </w:r>
      <w:r>
        <w:tab/>
      </w:r>
      <w:r>
        <w:fldChar w:fldCharType="begin"/>
      </w:r>
      <w:r>
        <w:instrText xml:space="preserve"> PAGEREF _Toc153978107 \h </w:instrText>
      </w:r>
      <w:r>
        <w:fldChar w:fldCharType="separate"/>
      </w:r>
      <w:r>
        <w:t>51</w:t>
      </w:r>
      <w:r>
        <w:fldChar w:fldCharType="end"/>
      </w:r>
    </w:p>
    <w:p>
      <w:pPr>
        <w:pStyle w:val="TOC8"/>
        <w:rPr>
          <w:rFonts w:asciiTheme="minorHAnsi" w:eastAsiaTheme="minorEastAsia" w:hAnsiTheme="minorHAnsi" w:cstheme="minorBidi"/>
          <w:szCs w:val="22"/>
        </w:rPr>
      </w:pPr>
      <w:r>
        <w:t>19ZC.</w:t>
      </w:r>
      <w:r>
        <w:tab/>
        <w:t>Notice to head of relevant entity of Commissioner’s investigation</w:t>
      </w:r>
      <w:r>
        <w:tab/>
      </w:r>
      <w:r>
        <w:fldChar w:fldCharType="begin"/>
      </w:r>
      <w:r>
        <w:instrText xml:space="preserve"> PAGEREF _Toc153978108 \h </w:instrText>
      </w:r>
      <w:r>
        <w:fldChar w:fldCharType="separate"/>
      </w:r>
      <w:r>
        <w:t>53</w:t>
      </w:r>
      <w:r>
        <w:fldChar w:fldCharType="end"/>
      </w:r>
    </w:p>
    <w:p>
      <w:pPr>
        <w:pStyle w:val="TOC8"/>
        <w:rPr>
          <w:rFonts w:asciiTheme="minorHAnsi" w:eastAsiaTheme="minorEastAsia" w:hAnsiTheme="minorHAnsi" w:cstheme="minorBidi"/>
          <w:szCs w:val="22"/>
        </w:rPr>
      </w:pPr>
      <w:r>
        <w:t>19ZD.</w:t>
      </w:r>
      <w:r>
        <w:tab/>
        <w:t>Provisions relating to investigation under section 19ZB(1)(a)</w:t>
      </w:r>
      <w:r>
        <w:tab/>
      </w:r>
      <w:r>
        <w:fldChar w:fldCharType="begin"/>
      </w:r>
      <w:r>
        <w:instrText xml:space="preserve"> PAGEREF _Toc153978109 \h </w:instrText>
      </w:r>
      <w:r>
        <w:fldChar w:fldCharType="separate"/>
      </w:r>
      <w:r>
        <w:t>53</w:t>
      </w:r>
      <w:r>
        <w:fldChar w:fldCharType="end"/>
      </w:r>
    </w:p>
    <w:p>
      <w:pPr>
        <w:pStyle w:val="TOC8"/>
        <w:rPr>
          <w:rFonts w:asciiTheme="minorHAnsi" w:eastAsiaTheme="minorEastAsia" w:hAnsiTheme="minorHAnsi" w:cstheme="minorBidi"/>
          <w:szCs w:val="22"/>
        </w:rPr>
      </w:pPr>
      <w:r>
        <w:t>19ZE.</w:t>
      </w:r>
      <w:r>
        <w:tab/>
        <w:t>Provision relating to investigation under section 19ZB(1)(b) or (c)</w:t>
      </w:r>
      <w:r>
        <w:tab/>
      </w:r>
      <w:r>
        <w:fldChar w:fldCharType="begin"/>
      </w:r>
      <w:r>
        <w:instrText xml:space="preserve"> PAGEREF _Toc153978110 \h </w:instrText>
      </w:r>
      <w:r>
        <w:fldChar w:fldCharType="separate"/>
      </w:r>
      <w:r>
        <w:t>55</w:t>
      </w:r>
      <w:r>
        <w:fldChar w:fldCharType="end"/>
      </w:r>
    </w:p>
    <w:p>
      <w:pPr>
        <w:pStyle w:val="TOC8"/>
        <w:rPr>
          <w:rFonts w:asciiTheme="minorHAnsi" w:eastAsiaTheme="minorEastAsia" w:hAnsiTheme="minorHAnsi" w:cstheme="minorBidi"/>
          <w:szCs w:val="22"/>
        </w:rPr>
      </w:pPr>
      <w:r>
        <w:t>19ZF.</w:t>
      </w:r>
      <w:r>
        <w:tab/>
        <w:t>Application to State Administrative Tribunal for review</w:t>
      </w:r>
      <w:r>
        <w:tab/>
      </w:r>
      <w:r>
        <w:fldChar w:fldCharType="begin"/>
      </w:r>
      <w:r>
        <w:instrText xml:space="preserve"> PAGEREF _Toc153978111 \h </w:instrText>
      </w:r>
      <w:r>
        <w:fldChar w:fldCharType="separate"/>
      </w:r>
      <w:r>
        <w:t>55</w:t>
      </w:r>
      <w:r>
        <w:fldChar w:fldCharType="end"/>
      </w:r>
    </w:p>
    <w:p>
      <w:pPr>
        <w:pStyle w:val="TOC8"/>
        <w:rPr>
          <w:rFonts w:asciiTheme="minorHAnsi" w:eastAsiaTheme="minorEastAsia" w:hAnsiTheme="minorHAnsi" w:cstheme="minorBidi"/>
          <w:szCs w:val="22"/>
        </w:rPr>
      </w:pPr>
      <w:r>
        <w:t>19ZG.</w:t>
      </w:r>
      <w:r>
        <w:tab/>
        <w:t>Concurrent investigations or proceedings</w:t>
      </w:r>
      <w:r>
        <w:tab/>
      </w:r>
      <w:r>
        <w:fldChar w:fldCharType="begin"/>
      </w:r>
      <w:r>
        <w:instrText xml:space="preserve"> PAGEREF _Toc153978112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5 — Disclosure of information</w:t>
      </w:r>
    </w:p>
    <w:p>
      <w:pPr>
        <w:pStyle w:val="TOC8"/>
        <w:rPr>
          <w:rFonts w:asciiTheme="minorHAnsi" w:eastAsiaTheme="minorEastAsia" w:hAnsiTheme="minorHAnsi" w:cstheme="minorBidi"/>
          <w:szCs w:val="22"/>
        </w:rPr>
      </w:pPr>
      <w:r>
        <w:t>19ZH.</w:t>
      </w:r>
      <w:r>
        <w:tab/>
        <w:t>Disclosure of information to child, parent, guardian or other person with parental responsibility</w:t>
      </w:r>
      <w:r>
        <w:tab/>
      </w:r>
      <w:r>
        <w:fldChar w:fldCharType="begin"/>
      </w:r>
      <w:r>
        <w:instrText xml:space="preserve"> PAGEREF _Toc153978114 \h </w:instrText>
      </w:r>
      <w:r>
        <w:fldChar w:fldCharType="separate"/>
      </w:r>
      <w:r>
        <w:t>58</w:t>
      </w:r>
      <w:r>
        <w:fldChar w:fldCharType="end"/>
      </w:r>
    </w:p>
    <w:p>
      <w:pPr>
        <w:pStyle w:val="TOC8"/>
        <w:rPr>
          <w:rFonts w:asciiTheme="minorHAnsi" w:eastAsiaTheme="minorEastAsia" w:hAnsiTheme="minorHAnsi" w:cstheme="minorBidi"/>
          <w:szCs w:val="22"/>
        </w:rPr>
      </w:pPr>
      <w:r>
        <w:t>19ZI.</w:t>
      </w:r>
      <w:r>
        <w:tab/>
        <w:t>Commissioner may request information about reportable convictions</w:t>
      </w:r>
      <w:r>
        <w:tab/>
      </w:r>
      <w:r>
        <w:fldChar w:fldCharType="begin"/>
      </w:r>
      <w:r>
        <w:instrText xml:space="preserve"> PAGEREF _Toc153978115 \h </w:instrText>
      </w:r>
      <w:r>
        <w:fldChar w:fldCharType="separate"/>
      </w:r>
      <w:r>
        <w:t>59</w:t>
      </w:r>
      <w:r>
        <w:fldChar w:fldCharType="end"/>
      </w:r>
    </w:p>
    <w:p>
      <w:pPr>
        <w:pStyle w:val="TOC8"/>
        <w:rPr>
          <w:rFonts w:asciiTheme="minorHAnsi" w:eastAsiaTheme="minorEastAsia" w:hAnsiTheme="minorHAnsi" w:cstheme="minorBidi"/>
          <w:szCs w:val="22"/>
        </w:rPr>
      </w:pPr>
      <w:r>
        <w:t>19ZJ.</w:t>
      </w:r>
      <w:r>
        <w:tab/>
        <w:t>Prohibition on publishing certain information</w:t>
      </w:r>
      <w:r>
        <w:tab/>
      </w:r>
      <w:r>
        <w:fldChar w:fldCharType="begin"/>
      </w:r>
      <w:r>
        <w:instrText xml:space="preserve"> PAGEREF _Toc153978116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 xml:space="preserve">Subdivision 6 — Review of amendments made by </w:t>
      </w:r>
      <w:r>
        <w:rPr>
          <w:i/>
        </w:rPr>
        <w:t>Parliamentary Commissioner Amendment (Reportable Conduct) Act 2022</w:t>
      </w:r>
    </w:p>
    <w:p>
      <w:pPr>
        <w:pStyle w:val="TOC8"/>
        <w:rPr>
          <w:rFonts w:asciiTheme="minorHAnsi" w:eastAsiaTheme="minorEastAsia" w:hAnsiTheme="minorHAnsi" w:cstheme="minorBidi"/>
          <w:szCs w:val="22"/>
        </w:rPr>
      </w:pPr>
      <w:r>
        <w:t>19ZK.</w:t>
      </w:r>
      <w:r>
        <w:tab/>
        <w:t xml:space="preserve">Review of amendments made by </w:t>
      </w:r>
      <w:r>
        <w:rPr>
          <w:i/>
        </w:rPr>
        <w:t>Parliamentary Commissioner Amendment (Reportable Conduct) Act 2022</w:t>
      </w:r>
      <w:r>
        <w:tab/>
      </w:r>
      <w:r>
        <w:fldChar w:fldCharType="begin"/>
      </w:r>
      <w:r>
        <w:instrText xml:space="preserve"> PAGEREF _Toc153978118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Conduct of investigations</w:t>
      </w:r>
    </w:p>
    <w:p>
      <w:pPr>
        <w:pStyle w:val="TOC8"/>
        <w:rPr>
          <w:rFonts w:asciiTheme="minorHAnsi" w:eastAsiaTheme="minorEastAsia" w:hAnsiTheme="minorHAnsi" w:cstheme="minorBidi"/>
          <w:szCs w:val="22"/>
        </w:rPr>
      </w:pPr>
      <w:r>
        <w:t>19</w:t>
      </w:r>
      <w:r>
        <w:rPr>
          <w:snapToGrid w:val="0"/>
        </w:rPr>
        <w:t>.</w:t>
      </w:r>
      <w:r>
        <w:rPr>
          <w:snapToGrid w:val="0"/>
        </w:rPr>
        <w:tab/>
        <w:t>Proceedings on investigations</w:t>
      </w:r>
      <w:r>
        <w:tab/>
      </w:r>
      <w:r>
        <w:fldChar w:fldCharType="begin"/>
      </w:r>
      <w:r>
        <w:instrText xml:space="preserve"> PAGEREF _Toc153978120 \h </w:instrText>
      </w:r>
      <w:r>
        <w:fldChar w:fldCharType="separate"/>
      </w:r>
      <w:r>
        <w:t>61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r>
        <w:tab/>
      </w:r>
      <w:r>
        <w:fldChar w:fldCharType="begin"/>
      </w:r>
      <w:r>
        <w:instrText xml:space="preserve"> PAGEREF _Toc153978121 \h </w:instrText>
      </w:r>
      <w:r>
        <w:fldChar w:fldCharType="separate"/>
      </w:r>
      <w:r>
        <w:t>64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to enter premises</w:t>
      </w:r>
      <w:r>
        <w:tab/>
      </w:r>
      <w:r>
        <w:fldChar w:fldCharType="begin"/>
      </w:r>
      <w:r>
        <w:instrText xml:space="preserve"> PAGEREF _Toc153978122 \h </w:instrText>
      </w:r>
      <w:r>
        <w:fldChar w:fldCharType="separate"/>
      </w:r>
      <w:r>
        <w:t>65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Protection for proceedings in Cabinet</w:t>
      </w:r>
      <w:r>
        <w:tab/>
      </w:r>
      <w:r>
        <w:fldChar w:fldCharType="begin"/>
      </w:r>
      <w:r>
        <w:instrText xml:space="preserve"> PAGEREF _Toc153978123 \h </w:instrText>
      </w:r>
      <w:r>
        <w:fldChar w:fldCharType="separate"/>
      </w:r>
      <w:r>
        <w:t>65</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r>
      <w:r>
        <w:t>Consultation other than in relation to reportable conduct scheme</w:t>
      </w:r>
      <w:r>
        <w:tab/>
      </w:r>
      <w:r>
        <w:fldChar w:fldCharType="begin"/>
      </w:r>
      <w:r>
        <w:instrText xml:space="preserve"> PAGEREF _Toc153978124 \h </w:instrText>
      </w:r>
      <w:r>
        <w:fldChar w:fldCharType="separate"/>
      </w:r>
      <w:r>
        <w:t>66</w:t>
      </w:r>
      <w:r>
        <w:fldChar w:fldCharType="end"/>
      </w:r>
    </w:p>
    <w:p>
      <w:pPr>
        <w:pStyle w:val="TOC8"/>
        <w:rPr>
          <w:rFonts w:asciiTheme="minorHAnsi" w:eastAsiaTheme="minorEastAsia" w:hAnsiTheme="minorHAnsi" w:cstheme="minorBidi"/>
          <w:szCs w:val="22"/>
        </w:rPr>
      </w:pPr>
      <w:r>
        <w:t>22AA</w:t>
      </w:r>
      <w:r>
        <w:rPr>
          <w:snapToGrid w:val="0"/>
        </w:rPr>
        <w:t>.</w:t>
      </w:r>
      <w:r>
        <w:rPr>
          <w:snapToGrid w:val="0"/>
        </w:rPr>
        <w:tab/>
        <w:t>Consultation in relation to reportable conduct scheme</w:t>
      </w:r>
      <w:r>
        <w:tab/>
      </w:r>
      <w:r>
        <w:fldChar w:fldCharType="begin"/>
      </w:r>
      <w:r>
        <w:instrText xml:space="preserve"> PAGEREF _Toc153978125 \h </w:instrText>
      </w:r>
      <w:r>
        <w:fldChar w:fldCharType="separate"/>
      </w:r>
      <w:r>
        <w:t>66</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r>
      <w:r>
        <w:t>Disclosure of certain information other than in relation to reportable conduct scheme</w:t>
      </w:r>
      <w:r>
        <w:tab/>
      </w:r>
      <w:r>
        <w:fldChar w:fldCharType="begin"/>
      </w:r>
      <w:r>
        <w:instrText xml:space="preserve"> PAGEREF _Toc153978126 \h </w:instrText>
      </w:r>
      <w:r>
        <w:fldChar w:fldCharType="separate"/>
      </w:r>
      <w:r>
        <w:t>68</w:t>
      </w:r>
      <w:r>
        <w:fldChar w:fldCharType="end"/>
      </w:r>
    </w:p>
    <w:p>
      <w:pPr>
        <w:pStyle w:val="TOC8"/>
        <w:rPr>
          <w:rFonts w:asciiTheme="minorHAnsi" w:eastAsiaTheme="minorEastAsia" w:hAnsiTheme="minorHAnsi" w:cstheme="minorBidi"/>
          <w:szCs w:val="22"/>
        </w:rPr>
      </w:pPr>
      <w:r>
        <w:t>22C</w:t>
      </w:r>
      <w:r>
        <w:rPr>
          <w:snapToGrid w:val="0"/>
        </w:rPr>
        <w:t>.</w:t>
      </w:r>
      <w:r>
        <w:rPr>
          <w:snapToGrid w:val="0"/>
        </w:rPr>
        <w:tab/>
        <w:t>Disclosure of certain information in relation to reportable conduct scheme</w:t>
      </w:r>
      <w:r>
        <w:tab/>
      </w:r>
      <w:r>
        <w:fldChar w:fldCharType="begin"/>
      </w:r>
      <w:r>
        <w:instrText xml:space="preserve"> PAGEREF _Toc153978127 \h </w:instrText>
      </w:r>
      <w:r>
        <w:fldChar w:fldCharType="separate"/>
      </w:r>
      <w:r>
        <w:t>70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Secrecy</w:t>
      </w:r>
      <w:r>
        <w:tab/>
      </w:r>
      <w:r>
        <w:fldChar w:fldCharType="begin"/>
      </w:r>
      <w:r>
        <w:instrText xml:space="preserve"> PAGEREF _Toc153978128 \h </w:instrText>
      </w:r>
      <w:r>
        <w:fldChar w:fldCharType="separate"/>
      </w:r>
      <w:r>
        <w:t>72</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r>
      <w:r>
        <w:t>Certain documents sent to or by Commissioner not admissible</w:t>
      </w:r>
      <w:r>
        <w:tab/>
      </w:r>
      <w:r>
        <w:fldChar w:fldCharType="begin"/>
      </w:r>
      <w:r>
        <w:instrText xml:space="preserve"> PAGEREF _Toc153978129 \h </w:instrText>
      </w:r>
      <w:r>
        <w:fldChar w:fldCharType="separate"/>
      </w:r>
      <w:r>
        <w:t>74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Obstruction</w:t>
      </w:r>
      <w:r>
        <w:tab/>
      </w:r>
      <w:r>
        <w:fldChar w:fldCharType="begin"/>
      </w:r>
      <w:r>
        <w:instrText xml:space="preserve"> PAGEREF _Toc153978130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Action on investigations</w:t>
      </w:r>
    </w:p>
    <w:p>
      <w:pPr>
        <w:pStyle w:val="TOC8"/>
        <w:rPr>
          <w:rFonts w:asciiTheme="minorHAnsi" w:eastAsiaTheme="minorEastAsia" w:hAnsiTheme="minorHAnsi" w:cstheme="minorBidi"/>
          <w:szCs w:val="22"/>
        </w:rPr>
      </w:pPr>
      <w:r>
        <w:t>25</w:t>
      </w:r>
      <w:r>
        <w:rPr>
          <w:snapToGrid w:val="0"/>
        </w:rPr>
        <w:t>.</w:t>
      </w:r>
      <w:r>
        <w:rPr>
          <w:snapToGrid w:val="0"/>
        </w:rPr>
        <w:tab/>
        <w:t>Procedure on completion of investigation</w:t>
      </w:r>
      <w:r>
        <w:tab/>
      </w:r>
      <w:r>
        <w:fldChar w:fldCharType="begin"/>
      </w:r>
      <w:r>
        <w:instrText xml:space="preserve"> PAGEREF _Toc153978132 \h </w:instrText>
      </w:r>
      <w:r>
        <w:fldChar w:fldCharType="separate"/>
      </w:r>
      <w:r>
        <w:t>75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Information to complainant on investigation</w:t>
      </w:r>
      <w:r>
        <w:tab/>
      </w:r>
      <w:r>
        <w:fldChar w:fldCharType="begin"/>
      </w:r>
      <w:r>
        <w:instrText xml:space="preserve"> PAGEREF _Toc153978133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Annual and other reports of the Commissioner</w:t>
      </w:r>
    </w:p>
    <w:p>
      <w:pPr>
        <w:pStyle w:val="TOC8"/>
        <w:rPr>
          <w:rFonts w:asciiTheme="minorHAnsi" w:eastAsiaTheme="minorEastAsia" w:hAnsiTheme="minorHAnsi" w:cstheme="minorBidi"/>
          <w:szCs w:val="22"/>
        </w:rPr>
      </w:pPr>
      <w:r>
        <w:t>27</w:t>
      </w:r>
      <w:r>
        <w:rPr>
          <w:snapToGrid w:val="0"/>
        </w:rPr>
        <w:t>.</w:t>
      </w:r>
      <w:r>
        <w:rPr>
          <w:snapToGrid w:val="0"/>
        </w:rPr>
        <w:tab/>
        <w:t>Commissioner may report to Parliament</w:t>
      </w:r>
      <w:r>
        <w:tab/>
      </w:r>
      <w:r>
        <w:fldChar w:fldCharType="begin"/>
      </w:r>
      <w:r>
        <w:instrText xml:space="preserve"> PAGEREF _Toc153978135 \h </w:instrText>
      </w:r>
      <w:r>
        <w:fldChar w:fldCharType="separate"/>
      </w:r>
      <w:r>
        <w:t>78</w:t>
      </w:r>
      <w:r>
        <w:fldChar w:fldCharType="end"/>
      </w:r>
    </w:p>
    <w:p>
      <w:pPr>
        <w:pStyle w:val="TOC8"/>
        <w:rPr>
          <w:rFonts w:asciiTheme="minorHAnsi" w:eastAsiaTheme="minorEastAsia" w:hAnsiTheme="minorHAnsi" w:cstheme="minorBidi"/>
          <w:szCs w:val="22"/>
        </w:rPr>
      </w:pPr>
      <w:r>
        <w:t>28.</w:t>
      </w:r>
      <w:r>
        <w:tab/>
        <w:t>Annual report to include report on reportable conduct scheme</w:t>
      </w:r>
      <w:r>
        <w:tab/>
      </w:r>
      <w:r>
        <w:fldChar w:fldCharType="begin"/>
      </w:r>
      <w:r>
        <w:instrText xml:space="preserve"> PAGEREF _Toc153978136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29</w:t>
      </w:r>
      <w:r>
        <w:rPr>
          <w:snapToGrid w:val="0"/>
        </w:rPr>
        <w:t>.</w:t>
      </w:r>
      <w:r>
        <w:rPr>
          <w:snapToGrid w:val="0"/>
        </w:rPr>
        <w:tab/>
        <w:t>Supreme Court may determine jurisdictional questions</w:t>
      </w:r>
      <w:r>
        <w:tab/>
      </w:r>
      <w:r>
        <w:fldChar w:fldCharType="begin"/>
      </w:r>
      <w:r>
        <w:instrText xml:space="preserve"> PAGEREF _Toc153978138 \h </w:instrText>
      </w:r>
      <w:r>
        <w:fldChar w:fldCharType="separate"/>
      </w:r>
      <w:r>
        <w:t>80</w:t>
      </w:r>
      <w:r>
        <w:fldChar w:fldCharType="end"/>
      </w:r>
    </w:p>
    <w:p>
      <w:pPr>
        <w:pStyle w:val="TOC8"/>
        <w:rPr>
          <w:rFonts w:asciiTheme="minorHAnsi" w:eastAsiaTheme="minorEastAsia" w:hAnsiTheme="minorHAnsi" w:cstheme="minorBidi"/>
          <w:szCs w:val="22"/>
        </w:rPr>
      </w:pPr>
      <w:r>
        <w:t>29A.</w:t>
      </w:r>
      <w:r>
        <w:rPr>
          <w:snapToGrid w:val="0"/>
        </w:rPr>
        <w:tab/>
        <w:t>Delegation by Commissioner of Police</w:t>
      </w:r>
      <w:r>
        <w:tab/>
      </w:r>
      <w:r>
        <w:fldChar w:fldCharType="begin"/>
      </w:r>
      <w:r>
        <w:instrText xml:space="preserve"> PAGEREF _Toc153978139 \h </w:instrText>
      </w:r>
      <w:r>
        <w:fldChar w:fldCharType="separate"/>
      </w:r>
      <w:r>
        <w:t>80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Protection of Commissioner and officers</w:t>
      </w:r>
      <w:r>
        <w:tab/>
      </w:r>
      <w:r>
        <w:fldChar w:fldCharType="begin"/>
      </w:r>
      <w:r>
        <w:instrText xml:space="preserve"> PAGEREF _Toc153978140 \h </w:instrText>
      </w:r>
      <w:r>
        <w:fldChar w:fldCharType="separate"/>
      </w:r>
      <w:r>
        <w:t>81</w:t>
      </w:r>
      <w:r>
        <w:fldChar w:fldCharType="end"/>
      </w:r>
    </w:p>
    <w:p>
      <w:pPr>
        <w:pStyle w:val="TOC8"/>
        <w:rPr>
          <w:rFonts w:asciiTheme="minorHAnsi" w:eastAsiaTheme="minorEastAsia" w:hAnsiTheme="minorHAnsi" w:cstheme="minorBidi"/>
          <w:szCs w:val="22"/>
        </w:rPr>
      </w:pPr>
      <w:r>
        <w:lastRenderedPageBreak/>
        <w:t>30A</w:t>
      </w:r>
      <w:r>
        <w:rPr>
          <w:snapToGrid w:val="0"/>
        </w:rPr>
        <w:t>.</w:t>
      </w:r>
      <w:r>
        <w:rPr>
          <w:snapToGrid w:val="0"/>
        </w:rPr>
        <w:tab/>
        <w:t>Protection of complainants etc.</w:t>
      </w:r>
      <w:r>
        <w:tab/>
      </w:r>
      <w:r>
        <w:fldChar w:fldCharType="begin"/>
      </w:r>
      <w:r>
        <w:instrText xml:space="preserve"> PAGEREF _Toc153978141 \h </w:instrText>
      </w:r>
      <w:r>
        <w:fldChar w:fldCharType="separate"/>
      </w:r>
      <w:r>
        <w:t>82</w:t>
      </w:r>
      <w:r>
        <w:fldChar w:fldCharType="end"/>
      </w:r>
    </w:p>
    <w:p>
      <w:pPr>
        <w:pStyle w:val="TOC8"/>
        <w:rPr>
          <w:rFonts w:asciiTheme="minorHAnsi" w:eastAsiaTheme="minorEastAsia" w:hAnsiTheme="minorHAnsi" w:cstheme="minorBidi"/>
          <w:szCs w:val="22"/>
        </w:rPr>
      </w:pPr>
      <w:r>
        <w:t>30AA</w:t>
      </w:r>
      <w:r>
        <w:rPr>
          <w:snapToGrid w:val="0"/>
        </w:rPr>
        <w:t>.</w:t>
      </w:r>
      <w:r>
        <w:rPr>
          <w:snapToGrid w:val="0"/>
        </w:rPr>
        <w:tab/>
        <w:t>Protection from liability for giving information</w:t>
      </w:r>
      <w:r>
        <w:t xml:space="preserve">: </w:t>
      </w:r>
      <w:r>
        <w:rPr>
          <w:snapToGrid w:val="0"/>
        </w:rPr>
        <w:t>reportable conduct scheme</w:t>
      </w:r>
      <w:r>
        <w:tab/>
      </w:r>
      <w:r>
        <w:fldChar w:fldCharType="begin"/>
      </w:r>
      <w:r>
        <w:instrText xml:space="preserve"> PAGEREF _Toc153978142 \h </w:instrText>
      </w:r>
      <w:r>
        <w:fldChar w:fldCharType="separate"/>
      </w:r>
      <w:r>
        <w:t>82</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Victimisation</w:t>
      </w:r>
      <w:r>
        <w:tab/>
      </w:r>
      <w:r>
        <w:fldChar w:fldCharType="begin"/>
      </w:r>
      <w:r>
        <w:instrText xml:space="preserve"> PAGEREF _Toc153978143 \h </w:instrText>
      </w:r>
      <w:r>
        <w:fldChar w:fldCharType="separate"/>
      </w:r>
      <w:r>
        <w:t>83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General penalty</w:t>
      </w:r>
      <w:r>
        <w:tab/>
      </w:r>
      <w:r>
        <w:fldChar w:fldCharType="begin"/>
      </w:r>
      <w:r>
        <w:instrText xml:space="preserve"> PAGEREF _Toc153978144 \h </w:instrText>
      </w:r>
      <w:r>
        <w:fldChar w:fldCharType="separate"/>
      </w:r>
      <w:r>
        <w:t>85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Expenses of Act</w:t>
      </w:r>
      <w:r>
        <w:tab/>
      </w:r>
      <w:r>
        <w:fldChar w:fldCharType="begin"/>
      </w:r>
      <w:r>
        <w:instrText xml:space="preserve"> PAGEREF _Toc153978145 \h </w:instrText>
      </w:r>
      <w:r>
        <w:fldChar w:fldCharType="separate"/>
      </w:r>
      <w:r>
        <w:t>85</w:t>
      </w:r>
      <w:r>
        <w:fldChar w:fldCharType="end"/>
      </w:r>
    </w:p>
    <w:p>
      <w:pPr>
        <w:pStyle w:val="TOC8"/>
        <w:rPr>
          <w:rFonts w:asciiTheme="minorHAnsi" w:eastAsiaTheme="minorEastAsia" w:hAnsiTheme="minorHAnsi" w:cstheme="minorBidi"/>
          <w:szCs w:val="22"/>
        </w:rPr>
      </w:pPr>
      <w:r>
        <w:t>33.</w:t>
      </w:r>
      <w:r>
        <w:tab/>
        <w:t>Regulations</w:t>
      </w:r>
      <w:r>
        <w:tab/>
      </w:r>
      <w:r>
        <w:fldChar w:fldCharType="begin"/>
      </w:r>
      <w:r>
        <w:instrText xml:space="preserve"> PAGEREF _Toc153978146 \h </w:instrText>
      </w:r>
      <w:r>
        <w:fldChar w:fldCharType="separate"/>
      </w:r>
      <w:r>
        <w:t>85</w:t>
      </w:r>
      <w:r>
        <w:fldChar w:fldCharType="end"/>
      </w:r>
    </w:p>
    <w:p>
      <w:pPr>
        <w:pStyle w:val="TOC8"/>
        <w:rPr>
          <w:rFonts w:asciiTheme="minorHAnsi" w:eastAsiaTheme="minorEastAsia" w:hAnsiTheme="minorHAnsi" w:cstheme="minorBidi"/>
          <w:szCs w:val="22"/>
        </w:rPr>
      </w:pPr>
      <w:r>
        <w:t>34.</w:t>
      </w:r>
      <w:r>
        <w:tab/>
        <w:t>Energy and water ombudsman schemes</w:t>
      </w:r>
      <w:r>
        <w:tab/>
      </w:r>
      <w:r>
        <w:fldChar w:fldCharType="begin"/>
      </w:r>
      <w:r>
        <w:instrText xml:space="preserve"> PAGEREF _Toc153978147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Schedule 1 — Departments and authorities, and extent, to which this Act does not apply</w:t>
      </w:r>
    </w:p>
    <w:p>
      <w:pPr>
        <w:pStyle w:val="TOC2"/>
        <w:tabs>
          <w:tab w:val="right" w:leader="dot" w:pos="7077"/>
        </w:tabs>
        <w:rPr>
          <w:rFonts w:asciiTheme="minorHAnsi" w:eastAsiaTheme="minorEastAsia" w:hAnsiTheme="minorHAnsi" w:cstheme="minorBidi"/>
          <w:b w:val="0"/>
          <w:sz w:val="22"/>
          <w:szCs w:val="22"/>
        </w:rPr>
      </w:pPr>
      <w:r>
        <w:t>Schedule 2 — Relevant entities to which this Act applies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_Toc153978151 \h </w:instrText>
      </w:r>
      <w:r>
        <w:fldChar w:fldCharType="separate"/>
      </w:r>
      <w:r>
        <w:t>93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_Toc153978152 \h </w:instrText>
      </w:r>
      <w:r>
        <w:fldChar w:fldCharType="separate"/>
      </w:r>
      <w:r>
        <w:t>102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_Toc153978153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960"/>
      </w:pPr>
      <w:r>
        <w:t>Parliamentary Commissioner Act 1971</w:t>
      </w:r>
    </w:p>
    <w:p>
      <w:pPr>
        <w:pStyle w:val="LongTitle"/>
        <w:rPr>
          <w:snapToGrid w:val="0"/>
        </w:rPr>
      </w:pPr>
      <w:r>
        <w:rPr>
          <w:snapToGrid w:val="0"/>
        </w:rPr>
        <w:t>An Act to provide for the appointment of a Parliamentary Commissioner for Administrative Investigations with functions relating to the investigation of administrative action taken by or on behalf of certain departments and authorities, to the deaths of certain children and to the reportable conduct scheme and for incidental purposes.</w:t>
      </w:r>
    </w:p>
    <w:p>
      <w:pPr>
        <w:pStyle w:val="Footnotelongtitle"/>
      </w:pPr>
      <w:r>
        <w:tab/>
        <w:t>[Long title amended: No. 78 of 1996 s. 4; No. 78 of 2003 s. 72(1); No. 10 of 2009 s. 4; No. 25 of 2022 s. 4.]</w:t>
      </w:r>
    </w:p>
    <w:p>
      <w:pPr>
        <w:pStyle w:val="Heading2"/>
      </w:pPr>
      <w:bookmarkStart w:id="3" w:name="_Toc153964994"/>
      <w:bookmarkStart w:id="4" w:name="_Toc153968652"/>
      <w:bookmarkStart w:id="5" w:name="_Toc153978049"/>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53978050"/>
      <w:r>
        <w:rPr>
          <w:rStyle w:val="CharSectno"/>
        </w:rPr>
        <w:t>1</w:t>
      </w:r>
      <w:r>
        <w:rPr>
          <w:snapToGrid w:val="0"/>
        </w:rPr>
        <w:t>.</w:t>
      </w:r>
      <w:r>
        <w:rPr>
          <w:snapToGrid w:val="0"/>
        </w:rPr>
        <w:tab/>
        <w:t>Short title</w:t>
      </w:r>
      <w:bookmarkEnd w:id="6"/>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w:t>
      </w:r>
    </w:p>
    <w:p>
      <w:pPr>
        <w:pStyle w:val="Heading5"/>
        <w:rPr>
          <w:snapToGrid w:val="0"/>
        </w:rPr>
      </w:pPr>
      <w:bookmarkStart w:id="7" w:name="_Toc153978051"/>
      <w:r>
        <w:rPr>
          <w:rStyle w:val="CharSectno"/>
        </w:rPr>
        <w:t>2</w:t>
      </w:r>
      <w:r>
        <w:rPr>
          <w:snapToGrid w:val="0"/>
        </w:rPr>
        <w:t>.</w:t>
      </w:r>
      <w:r>
        <w:rPr>
          <w:snapToGrid w:val="0"/>
        </w:rPr>
        <w:tab/>
        <w:t>Commencement</w:t>
      </w:r>
      <w:bookmarkEnd w:id="7"/>
    </w:p>
    <w:p>
      <w:pPr>
        <w:pStyle w:val="Subsection"/>
        <w:spacing w:before="140"/>
        <w:rPr>
          <w:snapToGrid w:val="0"/>
        </w:rPr>
      </w:pPr>
      <w:r>
        <w:rPr>
          <w:snapToGrid w:val="0"/>
        </w:rPr>
        <w:tab/>
      </w:r>
      <w:r>
        <w:rPr>
          <w:snapToGrid w:val="0"/>
        </w:rPr>
        <w:tab/>
        <w:t>This Act shall come into operation on a date to be fixed by Proclamation.</w:t>
      </w:r>
    </w:p>
    <w:p>
      <w:pPr>
        <w:pStyle w:val="Ednotesection"/>
      </w:pPr>
      <w:r>
        <w:t>[</w:t>
      </w:r>
      <w:r>
        <w:rPr>
          <w:b/>
        </w:rPr>
        <w:t>3.</w:t>
      </w:r>
      <w:r>
        <w:tab/>
        <w:t>Deleted: No. 10 of 1998 s. 76.]</w:t>
      </w:r>
    </w:p>
    <w:p>
      <w:pPr>
        <w:pStyle w:val="Heading5"/>
        <w:rPr>
          <w:snapToGrid w:val="0"/>
        </w:rPr>
      </w:pPr>
      <w:bookmarkStart w:id="8" w:name="_Toc153978052"/>
      <w:r>
        <w:rPr>
          <w:rStyle w:val="CharSectno"/>
        </w:rPr>
        <w:t>4</w:t>
      </w:r>
      <w:r>
        <w:rPr>
          <w:snapToGrid w:val="0"/>
        </w:rPr>
        <w:t>.</w:t>
      </w:r>
      <w:r>
        <w:rPr>
          <w:snapToGrid w:val="0"/>
        </w:rPr>
        <w:tab/>
        <w:t>Terms used</w:t>
      </w:r>
      <w:bookmarkEnd w:id="8"/>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pPr>
      <w:r>
        <w:tab/>
      </w:r>
      <w:r>
        <w:rPr>
          <w:rStyle w:val="CharDefText"/>
        </w:rPr>
        <w:t>CCS Act</w:t>
      </w:r>
      <w:r>
        <w:t xml:space="preserve"> means the </w:t>
      </w:r>
      <w:r>
        <w:rPr>
          <w:i/>
        </w:rPr>
        <w:t>Children and Community Services Act 2004</w:t>
      </w:r>
      <w:r>
        <w:rPr>
          <w:iCs/>
        </w:rPr>
        <w:t>;</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spacing w:before="70"/>
      </w:pPr>
      <w:r>
        <w:lastRenderedPageBreak/>
        <w:tab/>
      </w:r>
      <w:r>
        <w:rPr>
          <w:rStyle w:val="CharDefText"/>
        </w:rPr>
        <w:t>Corruption and Crime Commission</w:t>
      </w:r>
      <w:r>
        <w:t xml:space="preserve"> has the meaning given to </w:t>
      </w:r>
      <w:r>
        <w:rPr>
          <w:b/>
          <w:bCs/>
          <w:i/>
          <w:iCs/>
        </w:rPr>
        <w:t>Commission</w:t>
      </w:r>
      <w:r>
        <w:t xml:space="preserve"> under the </w:t>
      </w:r>
      <w:r>
        <w:rPr>
          <w:i/>
        </w:rPr>
        <w:t>Corruption, Crime and Misconduct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head</w:t>
      </w:r>
      <w:r>
        <w:t>, of a relevant entity, has the meaning given in section 19E;</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tab/>
      </w:r>
      <w:r>
        <w:rPr>
          <w:rStyle w:val="CharDefText"/>
        </w:rPr>
        <w:t>investigator</w:t>
      </w:r>
      <w:r>
        <w:t>, conducting an investigation under Part III Division 3B, means a person or body conducting the investigation under that Division on behalf of the head of a relevant entity for the purposes of the reportable conduct scheme;</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w:t>
      </w:r>
      <w:r>
        <w:rPr>
          <w:b/>
          <w:bCs/>
          <w:i/>
          <w:iCs/>
        </w:rPr>
        <w:t>officer of the Commission</w:t>
      </w:r>
      <w:r>
        <w:t xml:space="preserve"> under the </w:t>
      </w:r>
      <w:r>
        <w:rPr>
          <w:i/>
        </w:rPr>
        <w:t>Corruption, Crime and Misconduct Act 2003</w:t>
      </w:r>
      <w:r>
        <w:t>;</w:t>
      </w:r>
    </w:p>
    <w:p>
      <w:pPr>
        <w:pStyle w:val="Defstart"/>
      </w:pPr>
      <w:r>
        <w:tab/>
      </w:r>
      <w:r>
        <w:rPr>
          <w:rStyle w:val="CharDefText"/>
        </w:rPr>
        <w:t>officer of the Parliamentary Inspector of the Corruption and Crime Commission</w:t>
      </w:r>
      <w:r>
        <w:t xml:space="preserve"> has the meaning given to </w:t>
      </w:r>
      <w:r>
        <w:rPr>
          <w:b/>
          <w:bCs/>
          <w:i/>
          <w:iCs/>
        </w:rPr>
        <w:t>officer of the Parliamentary Inspector</w:t>
      </w:r>
      <w:r>
        <w:t xml:space="preserve"> under the </w:t>
      </w:r>
      <w:r>
        <w:rPr>
          <w:i/>
        </w:rPr>
        <w:t>Corruption, Crime and Misconduct Act 2003</w:t>
      </w:r>
      <w:r>
        <w:t>;</w:t>
      </w:r>
    </w:p>
    <w:p>
      <w:pPr>
        <w:pStyle w:val="Defstart"/>
      </w:pPr>
      <w:r>
        <w:tab/>
      </w:r>
      <w:r>
        <w:rPr>
          <w:rStyle w:val="CharDefText"/>
        </w:rPr>
        <w:t>Parliamentary Inspector of the Corruption and Crime Commission</w:t>
      </w:r>
      <w:r>
        <w:t xml:space="preserve"> has the meaning given to </w:t>
      </w:r>
      <w:r>
        <w:rPr>
          <w:b/>
          <w:bCs/>
          <w:i/>
          <w:iCs/>
        </w:rPr>
        <w:t>Parliamentary Inspector</w:t>
      </w:r>
      <w:r>
        <w:t xml:space="preserve"> under the </w:t>
      </w:r>
      <w:r>
        <w:rPr>
          <w:i/>
        </w:rPr>
        <w:t>Corruption, Crime and Misconduct Act 2003</w:t>
      </w:r>
      <w:r>
        <w:t>;</w:t>
      </w:r>
    </w:p>
    <w:p>
      <w:pPr>
        <w:pStyle w:val="Defstart"/>
      </w:pPr>
      <w:r>
        <w:rPr>
          <w:b/>
        </w:rPr>
        <w:tab/>
      </w:r>
      <w:r>
        <w:rPr>
          <w:rStyle w:val="CharDefText"/>
        </w:rPr>
        <w:t>person aggrieved</w:t>
      </w:r>
      <w:r>
        <w:t xml:space="preserve">, in relation to a complaint under this Act, means the person who appears from the complaint to be the </w:t>
      </w:r>
      <w:r>
        <w:lastRenderedPageBreak/>
        <w:t>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 and</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relevant entity</w:t>
      </w:r>
      <w:r>
        <w:t xml:space="preserve"> means an entity to which the reportable conduct scheme applies under section 19I;</w:t>
      </w:r>
    </w:p>
    <w:p>
      <w:pPr>
        <w:pStyle w:val="Defstart"/>
      </w:pPr>
      <w:r>
        <w:tab/>
      </w:r>
      <w:r>
        <w:rPr>
          <w:rStyle w:val="CharDefText"/>
        </w:rPr>
        <w:t>religious body</w:t>
      </w:r>
      <w:r>
        <w:t xml:space="preserve"> means a body established or operated for a religious purpose that operates under the auspices of 1 or more religious denominations or faiths;</w:t>
      </w:r>
    </w:p>
    <w:p>
      <w:pPr>
        <w:pStyle w:val="Defstart"/>
      </w:pPr>
      <w:r>
        <w:tab/>
      </w:r>
      <w:r>
        <w:rPr>
          <w:rStyle w:val="CharDefText"/>
        </w:rPr>
        <w:t>reportable allegation</w:t>
      </w:r>
      <w:r>
        <w:t xml:space="preserve"> has the meaning given in section 19F;</w:t>
      </w:r>
    </w:p>
    <w:p>
      <w:pPr>
        <w:pStyle w:val="Defstart"/>
      </w:pPr>
      <w:r>
        <w:tab/>
      </w:r>
      <w:r>
        <w:rPr>
          <w:rStyle w:val="CharDefText"/>
        </w:rPr>
        <w:t>reportable conduct</w:t>
      </w:r>
      <w:r>
        <w:t xml:space="preserve"> has the meaning given in section 19G;</w:t>
      </w:r>
    </w:p>
    <w:p>
      <w:pPr>
        <w:pStyle w:val="Defstart"/>
      </w:pPr>
      <w:r>
        <w:tab/>
      </w:r>
      <w:r>
        <w:rPr>
          <w:rStyle w:val="CharDefText"/>
        </w:rPr>
        <w:t>reportable conduct scheme</w:t>
      </w:r>
      <w:r>
        <w:t xml:space="preserve"> means the scheme established under Part III Division 3B;</w:t>
      </w:r>
    </w:p>
    <w:p>
      <w:pPr>
        <w:pStyle w:val="Defstart"/>
      </w:pPr>
      <w:r>
        <w:tab/>
      </w:r>
      <w:r>
        <w:rPr>
          <w:rStyle w:val="CharDefText"/>
        </w:rPr>
        <w:t>reportable conviction</w:t>
      </w:r>
      <w:r>
        <w:t xml:space="preserve"> has the meaning given in section 19H;</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lastRenderedPageBreak/>
        <w:tab/>
        <w:t>(b)</w:t>
      </w:r>
      <w:r>
        <w:tab/>
        <w:t xml:space="preserve">in relation to action taken by a contractor or subcontractor,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w:t>
      </w:r>
      <w:r>
        <w:rPr>
          <w:i/>
        </w:rPr>
        <w:t>1999</w:t>
      </w:r>
      <w:r>
        <w:t xml:space="preserve">, the </w:t>
      </w:r>
      <w:r>
        <w:rPr>
          <w:i/>
        </w:rPr>
        <w:t>Declared Places (Mentally Impaired Accused) Act 2015</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No. 13 of 1982 s. 2; No. 73 of 1994 s. 4; No. 78 of 1996 s. 5 and 21; No. 43 of 1999 s. 20; No. 47 of 1999 s. 23; No. 74 of 2003 s. 91(2); No. 75 of 2003 s. 56(1); No. 78 of 2003 s. 72; No. 10 of 2009 s. 5; No. 35 of 2014 s. 36(2); No. 4 of 2015 s. 87(2); No. 25 of 2022 s. 5.]</w:t>
      </w:r>
    </w:p>
    <w:p>
      <w:pPr>
        <w:pStyle w:val="Heading5"/>
        <w:rPr>
          <w:snapToGrid w:val="0"/>
        </w:rPr>
      </w:pPr>
      <w:bookmarkStart w:id="9" w:name="_Toc153978053"/>
      <w:r>
        <w:rPr>
          <w:rStyle w:val="CharSectno"/>
        </w:rPr>
        <w:t>4A</w:t>
      </w:r>
      <w:r>
        <w:rPr>
          <w:snapToGrid w:val="0"/>
        </w:rPr>
        <w:t>.</w:t>
      </w:r>
      <w:r>
        <w:rPr>
          <w:snapToGrid w:val="0"/>
        </w:rPr>
        <w:tab/>
        <w:t>Term used: authority</w:t>
      </w:r>
      <w:bookmarkEnd w:id="9"/>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tab/>
        <w:t>(a)</w:t>
      </w:r>
      <w:r>
        <w:tab/>
        <w:t>a local government, regional local government or regional subsidiary;</w:t>
      </w:r>
    </w:p>
    <w:p>
      <w:pPr>
        <w:pStyle w:val="Indenta"/>
        <w:rPr>
          <w:snapToGrid w:val="0"/>
        </w:rPr>
      </w:pPr>
      <w:r>
        <w:rPr>
          <w:snapToGrid w:val="0"/>
        </w:rPr>
        <w:tab/>
        <w:t>(b)</w:t>
      </w:r>
      <w:r>
        <w:rPr>
          <w:snapToGrid w:val="0"/>
        </w:rPr>
        <w:tab/>
        <w:t>the Police Force of Western Australia;</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 xml:space="preserve">a corporation or association over which control can be exercised by the State, by a Minister, by a department to </w:t>
      </w:r>
      <w:r>
        <w:rPr>
          <w:snapToGrid w:val="0"/>
        </w:rPr>
        <w:lastRenderedPageBreak/>
        <w:t>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No. 78 of 1996 s. 6; amended: No. 47 of 1999 s. 24; No. 26 of 2016 s. 78.]</w:t>
      </w:r>
    </w:p>
    <w:p>
      <w:pPr>
        <w:pStyle w:val="Heading2"/>
      </w:pPr>
      <w:bookmarkStart w:id="10" w:name="_Toc153964999"/>
      <w:bookmarkStart w:id="11" w:name="_Toc153968657"/>
      <w:bookmarkStart w:id="12" w:name="_Toc153978054"/>
      <w:r>
        <w:rPr>
          <w:rStyle w:val="CharPartNo"/>
        </w:rPr>
        <w:lastRenderedPageBreak/>
        <w:t>Part II</w:t>
      </w:r>
      <w:r>
        <w:rPr>
          <w:rStyle w:val="CharDivNo"/>
        </w:rPr>
        <w:t> </w:t>
      </w:r>
      <w:r>
        <w:t>—</w:t>
      </w:r>
      <w:r>
        <w:rPr>
          <w:rStyle w:val="CharDivText"/>
        </w:rPr>
        <w:t> </w:t>
      </w:r>
      <w:r>
        <w:rPr>
          <w:rStyle w:val="CharPartText"/>
        </w:rPr>
        <w:t>The Parliamentary Commissioner for Administrative Investigations</w:t>
      </w:r>
      <w:bookmarkEnd w:id="10"/>
      <w:bookmarkEnd w:id="11"/>
      <w:bookmarkEnd w:id="12"/>
    </w:p>
    <w:p>
      <w:pPr>
        <w:pStyle w:val="Heading5"/>
        <w:rPr>
          <w:snapToGrid w:val="0"/>
        </w:rPr>
      </w:pPr>
      <w:bookmarkStart w:id="13" w:name="_Toc153978055"/>
      <w:r>
        <w:rPr>
          <w:rStyle w:val="CharSectno"/>
        </w:rPr>
        <w:t>5</w:t>
      </w:r>
      <w:r>
        <w:rPr>
          <w:snapToGrid w:val="0"/>
        </w:rPr>
        <w:t>.</w:t>
      </w:r>
      <w:r>
        <w:rPr>
          <w:snapToGrid w:val="0"/>
        </w:rPr>
        <w:tab/>
        <w:t>Commissioner and Deputy Commissioner, appointment of etc.</w:t>
      </w:r>
      <w:bookmarkEnd w:id="13"/>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 xml:space="preserve">The salary payable to the holder of the office of Commissioner or Deputy Commissioner under this section shall be charged to </w:t>
      </w:r>
      <w:r>
        <w:rPr>
          <w:snapToGrid w:val="0"/>
        </w:rPr>
        <w:lastRenderedPageBreak/>
        <w:t>the Consolidated Account which, to the necessary extent, is hereby appropriated accordingly.</w:t>
      </w:r>
    </w:p>
    <w:p>
      <w:pPr>
        <w:pStyle w:val="Subsection"/>
        <w:spacing w:before="120"/>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spacing w:before="120"/>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spacing w:before="120"/>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spacing w:before="120"/>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spacing w:before="80"/>
        <w:ind w:left="890" w:hanging="890"/>
      </w:pPr>
      <w:r>
        <w:tab/>
        <w:t>[Section 5 amended: No. 13 of 1982 s. 3; No. 6 of 1993 s. 11; No. 49 of 1996 s. 64; No. 78 of 1996 s. 7; No. 10 of 1998 s. 57(1); No. 77 of 2006 s. 4.]</w:t>
      </w:r>
    </w:p>
    <w:p>
      <w:pPr>
        <w:pStyle w:val="Heading5"/>
        <w:spacing w:before="180"/>
        <w:rPr>
          <w:snapToGrid w:val="0"/>
        </w:rPr>
      </w:pPr>
      <w:bookmarkStart w:id="14" w:name="_Toc153978056"/>
      <w:r>
        <w:rPr>
          <w:rStyle w:val="CharSectno"/>
        </w:rPr>
        <w:t>6</w:t>
      </w:r>
      <w:r>
        <w:rPr>
          <w:snapToGrid w:val="0"/>
        </w:rPr>
        <w:t>.</w:t>
      </w:r>
      <w:r>
        <w:rPr>
          <w:snapToGrid w:val="0"/>
        </w:rPr>
        <w:tab/>
        <w:t>Removal or suspension of Commissioner or Deputy Commissioner</w:t>
      </w:r>
      <w:bookmarkEnd w:id="14"/>
    </w:p>
    <w:p>
      <w:pPr>
        <w:pStyle w:val="Subsection"/>
        <w:spacing w:before="120"/>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spacing w:before="120"/>
        <w:rPr>
          <w:snapToGrid w:val="0"/>
        </w:rPr>
      </w:pPr>
      <w:r>
        <w:rPr>
          <w:snapToGrid w:val="0"/>
        </w:rPr>
        <w:lastRenderedPageBreak/>
        <w:tab/>
        <w:t>(2)</w:t>
      </w:r>
      <w:r>
        <w:rPr>
          <w:snapToGrid w:val="0"/>
        </w:rPr>
        <w:tab/>
        <w:t>Where the Governor is satisfied that the Commissioner or Deputy Commissioner —</w:t>
      </w:r>
    </w:p>
    <w:p>
      <w:pPr>
        <w:pStyle w:val="Indenta"/>
        <w:spacing w:before="60"/>
        <w:rPr>
          <w:snapToGrid w:val="0"/>
        </w:rPr>
      </w:pPr>
      <w:r>
        <w:rPr>
          <w:snapToGrid w:val="0"/>
        </w:rPr>
        <w:tab/>
        <w:t>(a)</w:t>
      </w:r>
      <w:r>
        <w:rPr>
          <w:snapToGrid w:val="0"/>
        </w:rPr>
        <w:tab/>
        <w:t>is incapable of properly performing the duties of his office; or</w:t>
      </w:r>
    </w:p>
    <w:p>
      <w:pPr>
        <w:pStyle w:val="Indenta"/>
        <w:spacing w:before="60"/>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No. 13 of 1982 s. 4; No. 18 of 2009 s. 62.]</w:t>
      </w:r>
    </w:p>
    <w:p>
      <w:pPr>
        <w:pStyle w:val="Heading5"/>
        <w:rPr>
          <w:snapToGrid w:val="0"/>
        </w:rPr>
      </w:pPr>
      <w:bookmarkStart w:id="15" w:name="_Toc153978057"/>
      <w:r>
        <w:rPr>
          <w:rStyle w:val="CharSectno"/>
        </w:rPr>
        <w:t>6A</w:t>
      </w:r>
      <w:r>
        <w:rPr>
          <w:snapToGrid w:val="0"/>
        </w:rPr>
        <w:t>.</w:t>
      </w:r>
      <w:r>
        <w:rPr>
          <w:snapToGrid w:val="0"/>
        </w:rPr>
        <w:tab/>
        <w:t>Deputy Parliamentary Commissioner, functions of</w:t>
      </w:r>
      <w:bookmarkEnd w:id="15"/>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 or</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lastRenderedPageBreak/>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No. 13 of 1982 s. 5.]</w:t>
      </w:r>
    </w:p>
    <w:p>
      <w:pPr>
        <w:pStyle w:val="Heading5"/>
        <w:rPr>
          <w:snapToGrid w:val="0"/>
        </w:rPr>
      </w:pPr>
      <w:bookmarkStart w:id="16" w:name="_Toc153978058"/>
      <w:r>
        <w:rPr>
          <w:rStyle w:val="CharSectno"/>
        </w:rPr>
        <w:t>7</w:t>
      </w:r>
      <w:r>
        <w:rPr>
          <w:snapToGrid w:val="0"/>
        </w:rPr>
        <w:t>.</w:t>
      </w:r>
      <w:r>
        <w:rPr>
          <w:snapToGrid w:val="0"/>
        </w:rPr>
        <w:tab/>
        <w:t>Acting Parliamentary Commissioner, appointment of etc.</w:t>
      </w:r>
      <w:bookmarkEnd w:id="16"/>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No. 13 of 1982 s. 6.]</w:t>
      </w:r>
    </w:p>
    <w:p>
      <w:pPr>
        <w:pStyle w:val="Heading5"/>
        <w:rPr>
          <w:snapToGrid w:val="0"/>
        </w:rPr>
      </w:pPr>
      <w:bookmarkStart w:id="17" w:name="_Toc153978059"/>
      <w:r>
        <w:rPr>
          <w:rStyle w:val="CharSectno"/>
        </w:rPr>
        <w:t>8</w:t>
      </w:r>
      <w:r>
        <w:rPr>
          <w:snapToGrid w:val="0"/>
        </w:rPr>
        <w:t>.</w:t>
      </w:r>
      <w:r>
        <w:rPr>
          <w:snapToGrid w:val="0"/>
        </w:rPr>
        <w:tab/>
        <w:t>Oath or affirmation of Commissioner, Deputy Commissioner and Acting Commissioner</w:t>
      </w:r>
      <w:bookmarkEnd w:id="17"/>
    </w:p>
    <w:p>
      <w:pPr>
        <w:pStyle w:val="Subsection"/>
        <w:rPr>
          <w:snapToGrid w:val="0"/>
        </w:rPr>
      </w:pPr>
      <w:r>
        <w:rPr>
          <w:snapToGrid w:val="0"/>
        </w:rPr>
        <w:tab/>
        <w:t>(1)</w:t>
      </w:r>
      <w:r>
        <w:rPr>
          <w:snapToGrid w:val="0"/>
        </w:rPr>
        <w:tab/>
        <w:t xml:space="preserve">Before entering upon the exercise of the duties of their respective offices the Commissioner, the Deputy Commissioner </w:t>
      </w:r>
      <w:r>
        <w:rPr>
          <w:snapToGrid w:val="0"/>
        </w:rPr>
        <w:lastRenderedPageBreak/>
        <w:t>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No. 68 of 1976 s. 2; No. 13 of 1982 s. 7.]</w:t>
      </w:r>
    </w:p>
    <w:p>
      <w:pPr>
        <w:pStyle w:val="Heading5"/>
        <w:rPr>
          <w:snapToGrid w:val="0"/>
        </w:rPr>
      </w:pPr>
      <w:bookmarkStart w:id="18" w:name="_Toc153978060"/>
      <w:r>
        <w:rPr>
          <w:rStyle w:val="CharSectno"/>
        </w:rPr>
        <w:t>9</w:t>
      </w:r>
      <w:r>
        <w:rPr>
          <w:snapToGrid w:val="0"/>
        </w:rPr>
        <w:t>.</w:t>
      </w:r>
      <w:r>
        <w:rPr>
          <w:snapToGrid w:val="0"/>
        </w:rPr>
        <w:tab/>
        <w:t>Staff of Commissioner</w:t>
      </w:r>
      <w:bookmarkEnd w:id="18"/>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lastRenderedPageBreak/>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r>
        <w:t>.</w:t>
      </w:r>
    </w:p>
    <w:p>
      <w:pPr>
        <w:pStyle w:val="Footnotesection"/>
        <w:spacing w:before="100"/>
        <w:ind w:left="890" w:hanging="890"/>
      </w:pPr>
      <w:r>
        <w:tab/>
        <w:t>[Section 9 amended: No. 74 of 2003 s. 91(3), (4), (6), (8) and (9); No. 10 of 2009 s. 6.]</w:t>
      </w:r>
    </w:p>
    <w:p>
      <w:pPr>
        <w:pStyle w:val="Heading5"/>
        <w:spacing w:before="200"/>
        <w:rPr>
          <w:snapToGrid w:val="0"/>
        </w:rPr>
      </w:pPr>
      <w:bookmarkStart w:id="19" w:name="_Toc153978061"/>
      <w:r>
        <w:rPr>
          <w:rStyle w:val="CharSectno"/>
        </w:rPr>
        <w:t>10</w:t>
      </w:r>
      <w:r>
        <w:rPr>
          <w:snapToGrid w:val="0"/>
        </w:rPr>
        <w:t>.</w:t>
      </w:r>
      <w:r>
        <w:rPr>
          <w:snapToGrid w:val="0"/>
        </w:rPr>
        <w:tab/>
        <w:t>Other provisions as to Commissioner and other officers</w:t>
      </w:r>
      <w:bookmarkEnd w:id="19"/>
    </w:p>
    <w:p>
      <w:pPr>
        <w:pStyle w:val="Subsection"/>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vertAlign w:val="superscript"/>
        </w:rPr>
        <w:t> 1</w:t>
      </w:r>
      <w:r>
        <w:rPr>
          <w:snapToGrid w:val="0"/>
        </w:rPr>
        <w:t>, be deemed to be an employee within the meaning of that Act.</w:t>
      </w:r>
    </w:p>
    <w:p>
      <w:pPr>
        <w:pStyle w:val="Subsection"/>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rPr>
          <w:snapToGrid w:val="0"/>
        </w:rPr>
      </w:pPr>
      <w:r>
        <w:rPr>
          <w:snapToGrid w:val="0"/>
        </w:rPr>
        <w:tab/>
        <w:t>(4)</w:t>
      </w:r>
      <w:r>
        <w:rPr>
          <w:snapToGrid w:val="0"/>
        </w:rPr>
        <w:tab/>
        <w:t xml:space="preserve">When a person ceases to hold the office of Commissioner, Deputy Commissioner or Acting Commissioner or to be an officer of the Commissioner and becomes a public service </w:t>
      </w:r>
      <w:r>
        <w:rPr>
          <w:snapToGrid w:val="0"/>
        </w:rPr>
        <w:lastRenderedPageBreak/>
        <w:t>officer his service in that office or as an officer of the Commissioner shall be regarded as service in the Public Service for the purposes of determining his rights as a public service officer.</w:t>
      </w:r>
    </w:p>
    <w:p>
      <w:pPr>
        <w:pStyle w:val="Subsection"/>
        <w:keepNext/>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No. 68 of 1976 s. 3; No. 13 of 1982 s. 8; No. 32 of 1994 s. 19; No. 78 of 1996 s. 8; No. 74 of 2003 s. 91(10) and (11).]</w:t>
      </w:r>
    </w:p>
    <w:p>
      <w:pPr>
        <w:pStyle w:val="Heading5"/>
        <w:rPr>
          <w:snapToGrid w:val="0"/>
        </w:rPr>
      </w:pPr>
      <w:bookmarkStart w:id="20" w:name="_Toc153978062"/>
      <w:r>
        <w:rPr>
          <w:rStyle w:val="CharSectno"/>
        </w:rPr>
        <w:t>11</w:t>
      </w:r>
      <w:r>
        <w:rPr>
          <w:snapToGrid w:val="0"/>
        </w:rPr>
        <w:t>.</w:t>
      </w:r>
      <w:r>
        <w:rPr>
          <w:snapToGrid w:val="0"/>
        </w:rPr>
        <w:tab/>
        <w:t>Delegation by Commissioner</w:t>
      </w:r>
      <w:bookmarkEnd w:id="20"/>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lastRenderedPageBreak/>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No. 124 of 1984 s. 3; No. 74 of 2003 s. 91(12).]</w:t>
      </w:r>
    </w:p>
    <w:p>
      <w:pPr>
        <w:pStyle w:val="Heading5"/>
        <w:spacing w:before="200"/>
        <w:rPr>
          <w:snapToGrid w:val="0"/>
        </w:rPr>
      </w:pPr>
      <w:bookmarkStart w:id="21" w:name="_Toc153978063"/>
      <w:r>
        <w:rPr>
          <w:rStyle w:val="CharSectno"/>
        </w:rPr>
        <w:t>12</w:t>
      </w:r>
      <w:r>
        <w:rPr>
          <w:snapToGrid w:val="0"/>
        </w:rPr>
        <w:t>.</w:t>
      </w:r>
      <w:r>
        <w:rPr>
          <w:snapToGrid w:val="0"/>
        </w:rPr>
        <w:tab/>
        <w:t>Rules of Parliament</w:t>
      </w:r>
      <w:bookmarkEnd w:id="21"/>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lastRenderedPageBreak/>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No. 78 of 1996 s. 9.]</w:t>
      </w:r>
    </w:p>
    <w:p>
      <w:pPr>
        <w:pStyle w:val="Heading2"/>
      </w:pPr>
      <w:bookmarkStart w:id="22" w:name="_Toc153965009"/>
      <w:bookmarkStart w:id="23" w:name="_Toc153968667"/>
      <w:bookmarkStart w:id="24" w:name="_Toc153978064"/>
      <w:r>
        <w:rPr>
          <w:rStyle w:val="CharPartNo"/>
        </w:rPr>
        <w:lastRenderedPageBreak/>
        <w:t>Part III</w:t>
      </w:r>
      <w:r>
        <w:t> — </w:t>
      </w:r>
      <w:r>
        <w:rPr>
          <w:rStyle w:val="CharPartText"/>
        </w:rPr>
        <w:t>Jurisdiction and functions of the Commissioner</w:t>
      </w:r>
      <w:bookmarkEnd w:id="22"/>
      <w:bookmarkEnd w:id="23"/>
      <w:bookmarkEnd w:id="24"/>
    </w:p>
    <w:p>
      <w:pPr>
        <w:pStyle w:val="Heading3"/>
      </w:pPr>
      <w:bookmarkStart w:id="25" w:name="_Toc153965010"/>
      <w:bookmarkStart w:id="26" w:name="_Toc153968668"/>
      <w:bookmarkStart w:id="27" w:name="_Toc153978065"/>
      <w:r>
        <w:rPr>
          <w:rStyle w:val="CharDivNo"/>
        </w:rPr>
        <w:t>Division 1</w:t>
      </w:r>
      <w:r>
        <w:rPr>
          <w:snapToGrid w:val="0"/>
        </w:rPr>
        <w:t> — </w:t>
      </w:r>
      <w:r>
        <w:rPr>
          <w:rStyle w:val="CharDivText"/>
        </w:rPr>
        <w:t>Extent of jurisdiction</w:t>
      </w:r>
      <w:bookmarkEnd w:id="25"/>
      <w:bookmarkEnd w:id="26"/>
      <w:bookmarkEnd w:id="27"/>
    </w:p>
    <w:p>
      <w:pPr>
        <w:pStyle w:val="Heading5"/>
        <w:rPr>
          <w:snapToGrid w:val="0"/>
        </w:rPr>
      </w:pPr>
      <w:bookmarkStart w:id="28" w:name="_Toc153978066"/>
      <w:r>
        <w:rPr>
          <w:rStyle w:val="CharSectno"/>
        </w:rPr>
        <w:t>13</w:t>
      </w:r>
      <w:r>
        <w:rPr>
          <w:snapToGrid w:val="0"/>
        </w:rPr>
        <w:t>.</w:t>
      </w:r>
      <w:r>
        <w:rPr>
          <w:snapToGrid w:val="0"/>
        </w:rPr>
        <w:tab/>
        <w:t>Departments and authorities subject to investigation</w:t>
      </w:r>
      <w:bookmarkEnd w:id="28"/>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 or</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 or</w:t>
      </w:r>
    </w:p>
    <w:p>
      <w:pPr>
        <w:pStyle w:val="Indenta"/>
        <w:rPr>
          <w:snapToGrid w:val="0"/>
        </w:rPr>
      </w:pPr>
      <w:r>
        <w:rPr>
          <w:snapToGrid w:val="0"/>
        </w:rPr>
        <w:tab/>
        <w:t>(c)</w:t>
      </w:r>
      <w:r>
        <w:rPr>
          <w:snapToGrid w:val="0"/>
        </w:rPr>
        <w:tab/>
        <w:t>the Clerk or the Deputy Clerk of either House of Parliament; or</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 or</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 or</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 or</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 xml:space="preserve">Magistrates Court </w:t>
      </w:r>
      <w:r>
        <w:rPr>
          <w:i/>
          <w:snapToGrid w:val="0"/>
        </w:rPr>
        <w:lastRenderedPageBreak/>
        <w:t>Act 2004</w:t>
      </w:r>
      <w:r>
        <w:rPr>
          <w:snapToGrid w:val="0"/>
        </w:rPr>
        <w:t>, or a justice of the peace when constituting that Court; or</w:t>
      </w:r>
    </w:p>
    <w:p>
      <w:pPr>
        <w:pStyle w:val="Indenta"/>
        <w:spacing w:before="70"/>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 or</w:t>
      </w:r>
    </w:p>
    <w:p>
      <w:pPr>
        <w:pStyle w:val="Indenta"/>
        <w:spacing w:before="70"/>
        <w:rPr>
          <w:snapToGrid w:val="0"/>
        </w:rPr>
      </w:pPr>
      <w:r>
        <w:rPr>
          <w:snapToGrid w:val="0"/>
        </w:rPr>
        <w:tab/>
        <w:t>(h)</w:t>
      </w:r>
      <w:r>
        <w:rPr>
          <w:snapToGrid w:val="0"/>
        </w:rPr>
        <w:tab/>
        <w:t>the Liquor Licensing Court</w:t>
      </w:r>
      <w:r>
        <w:rPr>
          <w:snapToGrid w:val="0"/>
          <w:vertAlign w:val="superscript"/>
        </w:rPr>
        <w:t> 2</w:t>
      </w:r>
      <w:r>
        <w:rPr>
          <w:snapToGrid w:val="0"/>
        </w:rPr>
        <w:t>, the judge or an acting judge of that Court or any person acting in the office, or performing the functions of, the registrar of that Court; or</w:t>
      </w:r>
    </w:p>
    <w:p>
      <w:pPr>
        <w:pStyle w:val="Indenta"/>
        <w:spacing w:before="70"/>
        <w:rPr>
          <w:snapToGrid w:val="0"/>
        </w:rPr>
      </w:pPr>
      <w:r>
        <w:rPr>
          <w:snapToGrid w:val="0"/>
        </w:rPr>
        <w:tab/>
        <w:t>(i)</w:t>
      </w:r>
      <w:r>
        <w:rPr>
          <w:snapToGrid w:val="0"/>
        </w:rPr>
        <w:tab/>
        <w:t>any other court of law; or</w:t>
      </w:r>
    </w:p>
    <w:p>
      <w:pPr>
        <w:pStyle w:val="Indenta"/>
        <w:spacing w:before="70"/>
        <w:rPr>
          <w:snapToGrid w:val="0"/>
        </w:rPr>
      </w:pPr>
      <w:r>
        <w:rPr>
          <w:snapToGrid w:val="0"/>
        </w:rPr>
        <w:tab/>
        <w:t>(j)</w:t>
      </w:r>
      <w:r>
        <w:rPr>
          <w:snapToGrid w:val="0"/>
        </w:rPr>
        <w:tab/>
        <w:t>a commissioner of any court; or</w:t>
      </w:r>
    </w:p>
    <w:p>
      <w:pPr>
        <w:pStyle w:val="Ednotepara"/>
        <w:spacing w:before="70"/>
        <w:ind w:left="1610" w:hanging="1610"/>
      </w:pPr>
      <w:r>
        <w:tab/>
        <w:t>[(k)</w:t>
      </w:r>
      <w:r>
        <w:tab/>
        <w:t>deleted]</w:t>
      </w:r>
    </w:p>
    <w:p>
      <w:pPr>
        <w:pStyle w:val="Indenta"/>
        <w:spacing w:before="70"/>
      </w:pPr>
      <w:r>
        <w:tab/>
        <w:t>(ka)</w:t>
      </w:r>
      <w:r>
        <w:tab/>
        <w:t>the State Administrative Tribunal, a judicial or non</w:t>
      </w:r>
      <w:r>
        <w:noBreakHyphen/>
        <w:t>judicial member of that Tribunal or any person acting in the office, or performing the functions, of the executive officer of that Tribunal; or</w:t>
      </w:r>
    </w:p>
    <w:p>
      <w:pPr>
        <w:pStyle w:val="Indenta"/>
        <w:spacing w:before="70"/>
        <w:rPr>
          <w:snapToGrid w:val="0"/>
        </w:rPr>
      </w:pPr>
      <w:r>
        <w:rPr>
          <w:snapToGrid w:val="0"/>
        </w:rPr>
        <w:tab/>
        <w:t>(l)</w:t>
      </w:r>
      <w:r>
        <w:rPr>
          <w:snapToGrid w:val="0"/>
        </w:rPr>
        <w:tab/>
        <w:t>a coroner; or</w:t>
      </w:r>
    </w:p>
    <w:p>
      <w:pPr>
        <w:pStyle w:val="Indenta"/>
        <w:spacing w:before="70"/>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spacing w:before="70"/>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70"/>
        <w:rPr>
          <w:snapToGrid w:val="0"/>
        </w:rPr>
      </w:pPr>
      <w:r>
        <w:rPr>
          <w:snapToGrid w:val="0"/>
        </w:rPr>
        <w:tab/>
        <w:t>(a)</w:t>
      </w:r>
      <w:r>
        <w:rPr>
          <w:snapToGrid w:val="0"/>
        </w:rPr>
        <w:tab/>
        <w:t>references to a department or authority shall be construed as including references to each of the members, officers, and employees thereof; and</w:t>
      </w:r>
    </w:p>
    <w:p>
      <w:pPr>
        <w:pStyle w:val="Indenta"/>
        <w:keepNext/>
        <w:spacing w:before="70"/>
      </w:pPr>
      <w:r>
        <w:lastRenderedPageBreak/>
        <w:tab/>
        <w:t>(b)</w:t>
      </w:r>
      <w:r>
        <w:tab/>
        <w:t>references to an officer of an authority shall be construed —</w:t>
      </w:r>
    </w:p>
    <w:p>
      <w:pPr>
        <w:pStyle w:val="Indenti"/>
        <w:spacing w:before="70"/>
      </w:pPr>
      <w:r>
        <w:tab/>
        <w:t>(i)</w:t>
      </w:r>
      <w:r>
        <w:tab/>
        <w:t>as including references to an officer appointed by, or a person employed or engaged to work in, that authority under any enactment; and</w:t>
      </w:r>
    </w:p>
    <w:p>
      <w:pPr>
        <w:pStyle w:val="Indenti"/>
      </w:pPr>
      <w:r>
        <w:tab/>
        <w:t>(ii)</w:t>
      </w:r>
      <w:r>
        <w:tab/>
        <w:t>in the case of a contractor or subcontractor, as also including references to an officer of, or a person employed or engaged to work for, the contractor or subcontractor;</w:t>
      </w:r>
    </w:p>
    <w:p>
      <w:pPr>
        <w:pStyle w:val="Indenta"/>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 and</w:t>
      </w:r>
    </w:p>
    <w:p>
      <w:pPr>
        <w:pStyle w:val="Indenta"/>
        <w:rPr>
          <w:snapToGrid w:val="0"/>
        </w:rPr>
      </w:pPr>
      <w:r>
        <w:rPr>
          <w:snapToGrid w:val="0"/>
        </w:rPr>
        <w:tab/>
        <w:t>(b)</w:t>
      </w:r>
      <w:r>
        <w:rPr>
          <w:snapToGrid w:val="0"/>
        </w:rPr>
        <w:tab/>
        <w:t>public service officers employed in the department; and</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lastRenderedPageBreak/>
        <w:tab/>
        <w:t>(ii)</w:t>
      </w:r>
      <w:r>
        <w:rPr>
          <w:snapToGrid w:val="0"/>
        </w:rPr>
        <w:tab/>
        <w:t>officers or persons whose remuneration as such is defrayed in whole or in part out of moneys provided by Parliament.</w:t>
      </w:r>
    </w:p>
    <w:p>
      <w:pPr>
        <w:pStyle w:val="Subsection"/>
        <w:keepLines/>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spacing w:before="100"/>
        <w:ind w:left="890" w:hanging="890"/>
      </w:pPr>
      <w:r>
        <w:tab/>
        <w:t>[Section 13 amended: No. 13 of 1982 s. 9; No. 14 of 1994 s. 19(1); No. 29 of 1996 s. 26; No. 78 of 1996 s. 10 and 21; No. 41 of 1997 s. 34; No. 47 of 1999 s. 25; No. 55 of 2004 s. 1325; No. 59 of 2004 s. 141.]</w:t>
      </w:r>
    </w:p>
    <w:p>
      <w:pPr>
        <w:pStyle w:val="Heading5"/>
        <w:rPr>
          <w:snapToGrid w:val="0"/>
        </w:rPr>
      </w:pPr>
      <w:bookmarkStart w:id="29" w:name="_Toc153978067"/>
      <w:r>
        <w:rPr>
          <w:rStyle w:val="CharSectno"/>
        </w:rPr>
        <w:t>14</w:t>
      </w:r>
      <w:r>
        <w:rPr>
          <w:snapToGrid w:val="0"/>
        </w:rPr>
        <w:t>.</w:t>
      </w:r>
      <w:r>
        <w:rPr>
          <w:snapToGrid w:val="0"/>
        </w:rPr>
        <w:tab/>
        <w:t>Matters subject to investigation</w:t>
      </w:r>
      <w:bookmarkEnd w:id="29"/>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spacing w:before="60"/>
        <w:rPr>
          <w:snapToGrid w:val="0"/>
        </w:rPr>
      </w:pPr>
      <w:r>
        <w:rPr>
          <w:snapToGrid w:val="0"/>
        </w:rPr>
        <w:tab/>
        <w:t>(a)</w:t>
      </w:r>
      <w:r>
        <w:rPr>
          <w:snapToGrid w:val="0"/>
        </w:rPr>
        <w:tab/>
        <w:t>a failure or refusal to perform any act; and</w:t>
      </w:r>
    </w:p>
    <w:p>
      <w:pPr>
        <w:pStyle w:val="Indenta"/>
        <w:spacing w:before="60"/>
        <w:rPr>
          <w:snapToGrid w:val="0"/>
        </w:rPr>
      </w:pPr>
      <w:r>
        <w:rPr>
          <w:snapToGrid w:val="0"/>
        </w:rPr>
        <w:tab/>
        <w:t>(b)</w:t>
      </w:r>
      <w:r>
        <w:rPr>
          <w:snapToGrid w:val="0"/>
        </w:rPr>
        <w:tab/>
        <w:t>the formulation of any proposal or intention; and</w:t>
      </w:r>
    </w:p>
    <w:p>
      <w:pPr>
        <w:pStyle w:val="Indenta"/>
        <w:spacing w:before="60"/>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lastRenderedPageBreak/>
        <w:tab/>
        <w:t>(4)</w:t>
      </w:r>
      <w:r>
        <w:rPr>
          <w:snapToGrid w:val="0"/>
        </w:rPr>
        <w:tab/>
        <w:t>Subject to subsection (5), the Commissioner shall not conduct an investigation under this Act in respect of any of the following matters, that is to say —</w:t>
      </w:r>
    </w:p>
    <w:p>
      <w:pPr>
        <w:pStyle w:val="Indenta"/>
        <w:spacing w:before="60"/>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spacing w:before="60"/>
        <w:rPr>
          <w:snapToGrid w:val="0"/>
        </w:rPr>
      </w:pPr>
      <w:r>
        <w:rPr>
          <w:snapToGrid w:val="0"/>
        </w:rPr>
        <w:tab/>
        <w:t>(b)</w:t>
      </w:r>
      <w:r>
        <w:rPr>
          <w:snapToGrid w:val="0"/>
        </w:rPr>
        <w:tab/>
        <w:t>any action in respect of which the person aggrieved has or had a remedy by way of proceedings in any court of law.</w:t>
      </w:r>
    </w:p>
    <w:p>
      <w:pPr>
        <w:pStyle w:val="Subsection"/>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No. 68 of 1976 s. 4; No. 124 of 1984 s. 4; No. 78 of 1996 s. 21; No. 78 of 2003 s. 72(1).]</w:t>
      </w:r>
    </w:p>
    <w:p>
      <w:pPr>
        <w:pStyle w:val="Heading3"/>
        <w:spacing w:before="300"/>
      </w:pPr>
      <w:bookmarkStart w:id="30" w:name="_Toc153965013"/>
      <w:bookmarkStart w:id="31" w:name="_Toc153968671"/>
      <w:bookmarkStart w:id="32" w:name="_Toc153978068"/>
      <w:r>
        <w:rPr>
          <w:rStyle w:val="CharDivNo"/>
        </w:rPr>
        <w:lastRenderedPageBreak/>
        <w:t>Division 2</w:t>
      </w:r>
      <w:r>
        <w:rPr>
          <w:snapToGrid w:val="0"/>
        </w:rPr>
        <w:t> — </w:t>
      </w:r>
      <w:r>
        <w:rPr>
          <w:rStyle w:val="CharDivText"/>
        </w:rPr>
        <w:t>Initiation of investigations</w:t>
      </w:r>
      <w:bookmarkEnd w:id="30"/>
      <w:bookmarkEnd w:id="31"/>
      <w:bookmarkEnd w:id="32"/>
    </w:p>
    <w:p>
      <w:pPr>
        <w:pStyle w:val="Heading5"/>
        <w:rPr>
          <w:snapToGrid w:val="0"/>
        </w:rPr>
      </w:pPr>
      <w:bookmarkStart w:id="33" w:name="_Toc153978069"/>
      <w:r>
        <w:rPr>
          <w:rStyle w:val="CharSectno"/>
        </w:rPr>
        <w:t>15</w:t>
      </w:r>
      <w:r>
        <w:rPr>
          <w:snapToGrid w:val="0"/>
        </w:rPr>
        <w:t>.</w:t>
      </w:r>
      <w:r>
        <w:rPr>
          <w:snapToGrid w:val="0"/>
        </w:rPr>
        <w:tab/>
        <w:t>Investigations on reference by Parliament</w:t>
      </w:r>
      <w:bookmarkEnd w:id="33"/>
    </w:p>
    <w:p>
      <w:pPr>
        <w:pStyle w:val="Subsection"/>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spacing w:before="180"/>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spacing w:before="60"/>
        <w:rPr>
          <w:snapToGrid w:val="0"/>
        </w:rPr>
      </w:pPr>
      <w:r>
        <w:rPr>
          <w:snapToGrid w:val="0"/>
        </w:rPr>
        <w:tab/>
        <w:t>(a)</w:t>
      </w:r>
      <w:r>
        <w:rPr>
          <w:snapToGrid w:val="0"/>
        </w:rPr>
        <w:tab/>
        <w:t>by a joint committee of both Houses of Parliament — to the President of the Legislative Council and the Speaker of the Legislative Assembly; or</w:t>
      </w:r>
    </w:p>
    <w:p>
      <w:pPr>
        <w:pStyle w:val="Indenta"/>
        <w:spacing w:before="60"/>
        <w:rPr>
          <w:snapToGrid w:val="0"/>
        </w:rPr>
      </w:pPr>
      <w:r>
        <w:rPr>
          <w:snapToGrid w:val="0"/>
        </w:rPr>
        <w:tab/>
        <w:t>(b)</w:t>
      </w:r>
      <w:r>
        <w:rPr>
          <w:snapToGrid w:val="0"/>
        </w:rPr>
        <w:tab/>
        <w:t>by the Legislative Council, or a committee thereof — to the President of the Legislative Council; or</w:t>
      </w:r>
    </w:p>
    <w:p>
      <w:pPr>
        <w:pStyle w:val="Indenta"/>
        <w:spacing w:before="60"/>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No. 68 of 1976 s. 5.]</w:t>
      </w:r>
    </w:p>
    <w:p>
      <w:pPr>
        <w:pStyle w:val="Heading5"/>
        <w:rPr>
          <w:snapToGrid w:val="0"/>
        </w:rPr>
      </w:pPr>
      <w:bookmarkStart w:id="34" w:name="_Toc153978070"/>
      <w:r>
        <w:rPr>
          <w:rStyle w:val="CharSectno"/>
        </w:rPr>
        <w:t>16</w:t>
      </w:r>
      <w:r>
        <w:rPr>
          <w:snapToGrid w:val="0"/>
        </w:rPr>
        <w:t>.</w:t>
      </w:r>
      <w:r>
        <w:rPr>
          <w:snapToGrid w:val="0"/>
        </w:rPr>
        <w:tab/>
        <w:t>Initiation of investigations</w:t>
      </w:r>
      <w:bookmarkEnd w:id="34"/>
    </w:p>
    <w:p>
      <w:pPr>
        <w:pStyle w:val="Subsection"/>
        <w:rPr>
          <w:snapToGrid w:val="0"/>
        </w:rPr>
      </w:pPr>
      <w:r>
        <w:rPr>
          <w:snapToGrid w:val="0"/>
        </w:rPr>
        <w:tab/>
        <w:t>(1)</w:t>
      </w:r>
      <w:r>
        <w:rPr>
          <w:snapToGrid w:val="0"/>
        </w:rPr>
        <w:tab/>
        <w:t xml:space="preserve">Without prejudice to the provisions of section 15 any investigation that the Commissioner is authorised to conduct </w:t>
      </w:r>
      <w:r>
        <w:rPr>
          <w:snapToGrid w:val="0"/>
        </w:rPr>
        <w:lastRenderedPageBreak/>
        <w:t>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35" w:name="_Toc153978071"/>
      <w:r>
        <w:rPr>
          <w:rStyle w:val="CharSectno"/>
        </w:rPr>
        <w:t>17</w:t>
      </w:r>
      <w:r>
        <w:rPr>
          <w:snapToGrid w:val="0"/>
        </w:rPr>
        <w:t>.</w:t>
      </w:r>
      <w:r>
        <w:rPr>
          <w:snapToGrid w:val="0"/>
        </w:rPr>
        <w:tab/>
        <w:t>Complaints to Commissioner</w:t>
      </w:r>
      <w:bookmarkEnd w:id="35"/>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No. 124 of 1984 s. 5; No. 78 of 1996 s. 11.]</w:t>
      </w:r>
    </w:p>
    <w:p>
      <w:pPr>
        <w:pStyle w:val="Heading5"/>
        <w:rPr>
          <w:snapToGrid w:val="0"/>
        </w:rPr>
      </w:pPr>
      <w:bookmarkStart w:id="36" w:name="_Toc153978072"/>
      <w:r>
        <w:rPr>
          <w:rStyle w:val="CharSectno"/>
        </w:rPr>
        <w:lastRenderedPageBreak/>
        <w:t>17A</w:t>
      </w:r>
      <w:r>
        <w:rPr>
          <w:snapToGrid w:val="0"/>
        </w:rPr>
        <w:t>.</w:t>
      </w:r>
      <w:r>
        <w:rPr>
          <w:snapToGrid w:val="0"/>
        </w:rPr>
        <w:tab/>
        <w:t>Complaints by persons in custody</w:t>
      </w:r>
      <w:bookmarkEnd w:id="36"/>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lastRenderedPageBreak/>
        <w:tab/>
        <w:t>(4)</w:t>
      </w:r>
      <w:r>
        <w:tab/>
        <w:t xml:space="preserve">In subsection (3) the </w:t>
      </w:r>
      <w:r>
        <w:rPr>
          <w:rStyle w:val="CharDefText"/>
        </w:rPr>
        <w:t>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xml:space="preserve">, the CEO as defined in the </w:t>
      </w:r>
      <w:r>
        <w:rPr>
          <w:i/>
        </w:rPr>
        <w:t>Declared Places (Mentally Impaired Accused) Act 2015</w:t>
      </w:r>
      <w:r>
        <w:t xml:space="preserve"> section 3, the CEO as defined in the </w:t>
      </w:r>
      <w:r>
        <w:rPr>
          <w:i/>
        </w:rPr>
        <w:t>Health Legislation Administration Act 1984</w:t>
      </w:r>
      <w:r>
        <w:t xml:space="preserve"> section 3 and the chief executive officer within the meaning of the </w:t>
      </w:r>
      <w:r>
        <w:rPr>
          <w:i/>
        </w:rPr>
        <w:t>Young Offenders Act 1994</w:t>
      </w:r>
      <w:r>
        <w:t>.</w:t>
      </w:r>
    </w:p>
    <w:p>
      <w:pPr>
        <w:pStyle w:val="Subsection"/>
        <w:keepNext/>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spacing w:before="140"/>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spacing w:before="140"/>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No. 124 of 1984 s. 6; amended: No. 47 of 1987 s. 26; No. 113 of 1987 s. 31; No. 78 of 1996 s. 12; No. 47 of 1999 s. 26; No. 25 of 2014 s. 75; No. 4 of 2015 s. 87(3).]</w:t>
      </w:r>
    </w:p>
    <w:p>
      <w:pPr>
        <w:pStyle w:val="Heading5"/>
        <w:rPr>
          <w:snapToGrid w:val="0"/>
        </w:rPr>
      </w:pPr>
      <w:bookmarkStart w:id="37" w:name="_Toc153978073"/>
      <w:r>
        <w:rPr>
          <w:rStyle w:val="CharSectno"/>
        </w:rPr>
        <w:t>18</w:t>
      </w:r>
      <w:r>
        <w:rPr>
          <w:snapToGrid w:val="0"/>
        </w:rPr>
        <w:t>.</w:t>
      </w:r>
      <w:r>
        <w:rPr>
          <w:snapToGrid w:val="0"/>
        </w:rPr>
        <w:tab/>
        <w:t>Refusal to investigate complaints</w:t>
      </w:r>
      <w:bookmarkEnd w:id="37"/>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60"/>
        <w:rPr>
          <w:snapToGrid w:val="0"/>
        </w:rPr>
      </w:pPr>
      <w:r>
        <w:rPr>
          <w:snapToGrid w:val="0"/>
        </w:rPr>
        <w:lastRenderedPageBreak/>
        <w:tab/>
        <w:t>(a)</w:t>
      </w:r>
      <w:r>
        <w:rPr>
          <w:snapToGrid w:val="0"/>
        </w:rPr>
        <w:tab/>
        <w:t>the matter raised in the complaint is trivial; or</w:t>
      </w:r>
    </w:p>
    <w:p>
      <w:pPr>
        <w:pStyle w:val="Indenta"/>
        <w:spacing w:before="60"/>
        <w:rPr>
          <w:snapToGrid w:val="0"/>
        </w:rPr>
      </w:pPr>
      <w:r>
        <w:rPr>
          <w:snapToGrid w:val="0"/>
        </w:rPr>
        <w:tab/>
        <w:t>(b)</w:t>
      </w:r>
      <w:r>
        <w:rPr>
          <w:snapToGrid w:val="0"/>
        </w:rPr>
        <w:tab/>
        <w:t>the complaint is frivolous or vexatious or is not made in good faith; or</w:t>
      </w:r>
    </w:p>
    <w:p>
      <w:pPr>
        <w:pStyle w:val="Indenta"/>
        <w:spacing w:before="60"/>
        <w:rPr>
          <w:snapToGrid w:val="0"/>
        </w:rPr>
      </w:pPr>
      <w:r>
        <w:rPr>
          <w:snapToGrid w:val="0"/>
        </w:rPr>
        <w:tab/>
        <w:t>(c)</w:t>
      </w:r>
      <w:r>
        <w:rPr>
          <w:snapToGrid w:val="0"/>
        </w:rPr>
        <w:tab/>
        <w:t>the person aggrieved has not a sufficient personal interest in the matter raised in the complaint; or</w:t>
      </w:r>
    </w:p>
    <w:p>
      <w:pPr>
        <w:pStyle w:val="Indenta"/>
        <w:spacing w:before="6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4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38" w:name="_Toc153965019"/>
      <w:bookmarkStart w:id="39" w:name="_Toc153968677"/>
      <w:bookmarkStart w:id="40" w:name="_Toc153978074"/>
      <w:r>
        <w:rPr>
          <w:rStyle w:val="CharDivNo"/>
        </w:rPr>
        <w:t>Division 3A</w:t>
      </w:r>
      <w:r>
        <w:t> — </w:t>
      </w:r>
      <w:r>
        <w:rPr>
          <w:rStyle w:val="CharDivText"/>
        </w:rPr>
        <w:t>Deaths of certain children</w:t>
      </w:r>
      <w:bookmarkEnd w:id="38"/>
      <w:bookmarkEnd w:id="39"/>
      <w:bookmarkEnd w:id="40"/>
    </w:p>
    <w:p>
      <w:pPr>
        <w:pStyle w:val="Footnoteheading"/>
      </w:pPr>
      <w:r>
        <w:tab/>
        <w:t>[Heading inserted: No. 10 of 2009 s. 7.]</w:t>
      </w:r>
    </w:p>
    <w:p>
      <w:pPr>
        <w:pStyle w:val="Heading5"/>
      </w:pPr>
      <w:bookmarkStart w:id="41" w:name="_Toc153978075"/>
      <w:r>
        <w:rPr>
          <w:rStyle w:val="CharSectno"/>
        </w:rPr>
        <w:t>19A</w:t>
      </w:r>
      <w:r>
        <w:t>.</w:t>
      </w:r>
      <w:r>
        <w:tab/>
        <w:t>Terms used</w:t>
      </w:r>
      <w:bookmarkEnd w:id="41"/>
    </w:p>
    <w:p>
      <w:pPr>
        <w:pStyle w:val="Subsection"/>
      </w:pPr>
      <w:r>
        <w:tab/>
        <w:t>(1)</w:t>
      </w:r>
      <w:r>
        <w:tab/>
        <w:t>In this Division —</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w:t>
      </w:r>
      <w:r>
        <w:rPr>
          <w:iCs/>
        </w:rPr>
        <w:lastRenderedPageBreak/>
        <w:t xml:space="preserve">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keepNext/>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r>
        <w:tab/>
        <w:t>[Section 19A inserted: No. 10 of 2009 s. 7; amended: No. 25 of 2022 s. 6.]</w:t>
      </w:r>
    </w:p>
    <w:p>
      <w:pPr>
        <w:pStyle w:val="Heading5"/>
      </w:pPr>
      <w:bookmarkStart w:id="42" w:name="_Toc153978076"/>
      <w:r>
        <w:rPr>
          <w:rStyle w:val="CharSectno"/>
        </w:rPr>
        <w:t>19B</w:t>
      </w:r>
      <w:r>
        <w:t>.</w:t>
      </w:r>
      <w:r>
        <w:tab/>
        <w:t>Functions as to investigable deaths</w:t>
      </w:r>
      <w:bookmarkEnd w:id="42"/>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lastRenderedPageBreak/>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No. 10 of 2009 s. 7.]</w:t>
      </w:r>
    </w:p>
    <w:p>
      <w:pPr>
        <w:pStyle w:val="Heading3"/>
      </w:pPr>
      <w:bookmarkStart w:id="43" w:name="_Toc153965022"/>
      <w:bookmarkStart w:id="44" w:name="_Toc153968680"/>
      <w:bookmarkStart w:id="45" w:name="_Toc153978077"/>
      <w:r>
        <w:rPr>
          <w:rStyle w:val="CharDivNo"/>
        </w:rPr>
        <w:t>Division 3B</w:t>
      </w:r>
      <w:r>
        <w:t> — </w:t>
      </w:r>
      <w:r>
        <w:rPr>
          <w:rStyle w:val="CharDivText"/>
        </w:rPr>
        <w:t>Reportable conduct scheme</w:t>
      </w:r>
      <w:bookmarkEnd w:id="43"/>
      <w:bookmarkEnd w:id="44"/>
      <w:bookmarkEnd w:id="45"/>
    </w:p>
    <w:p>
      <w:pPr>
        <w:pStyle w:val="Footnoteheading"/>
      </w:pPr>
      <w:r>
        <w:tab/>
        <w:t>[Heading inserted: No. 25 of 2022 s. 7.]</w:t>
      </w:r>
    </w:p>
    <w:p>
      <w:pPr>
        <w:pStyle w:val="Heading4"/>
      </w:pPr>
      <w:bookmarkStart w:id="46" w:name="_Toc153965023"/>
      <w:bookmarkStart w:id="47" w:name="_Toc153968681"/>
      <w:bookmarkStart w:id="48" w:name="_Toc153978078"/>
      <w:r>
        <w:t>Subdivision 1 — Preliminary</w:t>
      </w:r>
      <w:bookmarkEnd w:id="46"/>
      <w:bookmarkEnd w:id="47"/>
      <w:bookmarkEnd w:id="48"/>
    </w:p>
    <w:p>
      <w:pPr>
        <w:pStyle w:val="Footnoteheading"/>
      </w:pPr>
      <w:r>
        <w:tab/>
        <w:t>[Heading inserted: No. 25 of 2022 s. 7.]</w:t>
      </w:r>
    </w:p>
    <w:p>
      <w:pPr>
        <w:pStyle w:val="Heading5"/>
      </w:pPr>
      <w:bookmarkStart w:id="49" w:name="_Toc153978079"/>
      <w:r>
        <w:rPr>
          <w:rStyle w:val="CharSectno"/>
        </w:rPr>
        <w:t>19C</w:t>
      </w:r>
      <w:r>
        <w:t>.</w:t>
      </w:r>
      <w:r>
        <w:tab/>
        <w:t>Terms used</w:t>
      </w:r>
      <w:bookmarkEnd w:id="49"/>
    </w:p>
    <w:p>
      <w:pPr>
        <w:pStyle w:val="Subsection"/>
      </w:pPr>
      <w:r>
        <w:tab/>
      </w:r>
      <w:r>
        <w:tab/>
        <w:t>In this Division —</w:t>
      </w:r>
    </w:p>
    <w:p>
      <w:pPr>
        <w:pStyle w:val="Defstart"/>
      </w:pPr>
      <w:r>
        <w:tab/>
      </w:r>
      <w:r>
        <w:rPr>
          <w:rStyle w:val="CharDefText"/>
        </w:rPr>
        <w:t>child</w:t>
      </w:r>
      <w:r>
        <w:t xml:space="preserve"> means a person who is under 18 years of age;</w:t>
      </w:r>
    </w:p>
    <w:p>
      <w:pPr>
        <w:pStyle w:val="Defstart"/>
      </w:pPr>
      <w:r>
        <w:tab/>
      </w:r>
      <w:r>
        <w:rPr>
          <w:rStyle w:val="CharDefText"/>
        </w:rPr>
        <w:t>commencement day</w:t>
      </w:r>
      <w:r>
        <w:t xml:space="preserve"> means the day on which the </w:t>
      </w:r>
      <w:r>
        <w:rPr>
          <w:i/>
        </w:rPr>
        <w:t xml:space="preserve">Parliamentary Commissioner Amendment (Reportable Conduct) Act 2022 </w:t>
      </w:r>
      <w:r>
        <w:t>section 7 comes into operation;</w:t>
      </w:r>
    </w:p>
    <w:p>
      <w:pPr>
        <w:pStyle w:val="Defstart"/>
      </w:pPr>
      <w:r>
        <w:tab/>
      </w:r>
      <w:r>
        <w:rPr>
          <w:rStyle w:val="CharDefText"/>
        </w:rPr>
        <w:t>employee</w:t>
      </w:r>
      <w:r>
        <w:t>, of a relevant entity, has the meaning given in section 19D;</w:t>
      </w:r>
    </w:p>
    <w:p>
      <w:pPr>
        <w:pStyle w:val="Defstart"/>
        <w:rPr>
          <w:color w:val="000000"/>
          <w:szCs w:val="24"/>
        </w:rPr>
      </w:pPr>
      <w:r>
        <w:tab/>
      </w:r>
      <w:r>
        <w:rPr>
          <w:rStyle w:val="CharDefText"/>
        </w:rPr>
        <w:t>investigation</w:t>
      </w:r>
      <w:r>
        <w:t xml:space="preserve">, of a matter, </w:t>
      </w:r>
      <w:r>
        <w:rPr>
          <w:color w:val="000000"/>
          <w:szCs w:val="24"/>
        </w:rPr>
        <w:t>includes any preliminary or other inquiry into, or examination of, the matter;</w:t>
      </w:r>
    </w:p>
    <w:p>
      <w:pPr>
        <w:pStyle w:val="Defstart"/>
        <w:keepNext/>
      </w:pPr>
      <w:r>
        <w:lastRenderedPageBreak/>
        <w:tab/>
      </w:r>
      <w:r>
        <w:rPr>
          <w:rStyle w:val="CharDefText"/>
        </w:rPr>
        <w:t>investigation information</w:t>
      </w:r>
      <w:r>
        <w:t xml:space="preserve"> means information — </w:t>
      </w:r>
    </w:p>
    <w:p>
      <w:pPr>
        <w:pStyle w:val="Defpara"/>
      </w:pPr>
      <w:r>
        <w:tab/>
        <w:t>(a)</w:t>
      </w:r>
      <w:r>
        <w:tab/>
        <w:t>relating to a reportable allegation or a reportable conviction involving an employee of a relevant entity; or</w:t>
      </w:r>
    </w:p>
    <w:p>
      <w:pPr>
        <w:pStyle w:val="Defpara"/>
      </w:pPr>
      <w:r>
        <w:tab/>
        <w:t>(b)</w:t>
      </w:r>
      <w:r>
        <w:tab/>
        <w:t>obtained as a result of an investigation into a reportable allegation or reportable conviction conducted by the Commissioner or a relevant entity; or</w:t>
      </w:r>
    </w:p>
    <w:p>
      <w:pPr>
        <w:pStyle w:val="Defpara"/>
      </w:pPr>
      <w:r>
        <w:tab/>
        <w:t>(c)</w:t>
      </w:r>
      <w:r>
        <w:tab/>
        <w:t xml:space="preserve">relating to any of the following — </w:t>
      </w:r>
    </w:p>
    <w:p>
      <w:pPr>
        <w:pStyle w:val="Defsubpara"/>
      </w:pPr>
      <w:r>
        <w:tab/>
        <w:t>(i)</w:t>
      </w:r>
      <w:r>
        <w:tab/>
        <w:t>the progress, conduct or findings of an investigation referred to in paragraph (b);</w:t>
      </w:r>
    </w:p>
    <w:p>
      <w:pPr>
        <w:pStyle w:val="Defsubpara"/>
      </w:pPr>
      <w:r>
        <w:tab/>
        <w:t>(ii)</w:t>
      </w:r>
      <w:r>
        <w:tab/>
        <w:t>any disciplinary or other action taken or not taken in relation to an employee of a relevant entity as a result of the findings of an investigation referred to in paragraph (b);</w:t>
      </w:r>
    </w:p>
    <w:p>
      <w:pPr>
        <w:pStyle w:val="Defsubpara"/>
      </w:pPr>
      <w:r>
        <w:tab/>
        <w:t>(iii)</w:t>
      </w:r>
      <w:r>
        <w:tab/>
        <w:t>any action taken, or proposed to be taken, by a relevant entity, as a result of the findings of an investigation referred to in paragraph (b), to improve the identification or prevention of reportable conduct, or the reporting, notification or investigation of reportable allegations and reportable convictions, involving employees of the relevant entity;</w:t>
      </w:r>
    </w:p>
    <w:p>
      <w:pPr>
        <w:pStyle w:val="Defstart"/>
      </w:pPr>
      <w:r>
        <w:tab/>
      </w:r>
      <w:r>
        <w:rPr>
          <w:rStyle w:val="CharDefText"/>
        </w:rPr>
        <w:t>physical assault</w:t>
      </w:r>
      <w:r>
        <w:t xml:space="preserve"> means — </w:t>
      </w:r>
    </w:p>
    <w:p>
      <w:pPr>
        <w:pStyle w:val="Defpara"/>
      </w:pPr>
      <w:r>
        <w:tab/>
        <w:t>(a)</w:t>
      </w:r>
      <w:r>
        <w:tab/>
        <w:t>the intentional or reckless application of physical force without lawful justification or excuse; or</w:t>
      </w:r>
    </w:p>
    <w:p>
      <w:pPr>
        <w:pStyle w:val="Defpara"/>
      </w:pPr>
      <w:r>
        <w:tab/>
        <w:t>(b)</w:t>
      </w:r>
      <w:r>
        <w:tab/>
        <w:t>any act that intentionally or recklessly causes another person to apprehend immediate and unlawful violence;</w:t>
      </w:r>
    </w:p>
    <w:p>
      <w:pPr>
        <w:pStyle w:val="Defstart"/>
      </w:pPr>
      <w:r>
        <w:tab/>
      </w:r>
      <w:r>
        <w:rPr>
          <w:rStyle w:val="CharDefText"/>
        </w:rPr>
        <w:t>sexual misconduct</w:t>
      </w:r>
      <w:r>
        <w:t xml:space="preserve"> — </w:t>
      </w:r>
    </w:p>
    <w:p>
      <w:pPr>
        <w:pStyle w:val="Defpara"/>
      </w:pPr>
      <w:r>
        <w:tab/>
        <w:t>(a)</w:t>
      </w:r>
      <w:r>
        <w:tab/>
        <w:t>includes misconduct against, with or in the presence of, a child that is sexual in nature; but</w:t>
      </w:r>
    </w:p>
    <w:p>
      <w:pPr>
        <w:pStyle w:val="Defpara"/>
      </w:pPr>
      <w:r>
        <w:tab/>
        <w:t>(b)</w:t>
      </w:r>
      <w:r>
        <w:tab/>
        <w:t>does not include a sexual offence;</w:t>
      </w:r>
    </w:p>
    <w:p>
      <w:pPr>
        <w:pStyle w:val="Defstart"/>
      </w:pPr>
      <w:r>
        <w:tab/>
      </w:r>
      <w:r>
        <w:rPr>
          <w:rStyle w:val="CharDefText"/>
        </w:rPr>
        <w:t>sexual offence</w:t>
      </w:r>
      <w:r>
        <w:t xml:space="preserve"> — </w:t>
      </w:r>
    </w:p>
    <w:p>
      <w:pPr>
        <w:pStyle w:val="Defpara"/>
      </w:pPr>
      <w:r>
        <w:tab/>
        <w:t>(a)</w:t>
      </w:r>
      <w:r>
        <w:tab/>
        <w:t xml:space="preserve">means an offence of a sexual nature under a law of this State, another State, a Territory or the Commonwealth, </w:t>
      </w:r>
      <w:r>
        <w:lastRenderedPageBreak/>
        <w:t>committed against, with or in the presence of, a child; and</w:t>
      </w:r>
    </w:p>
    <w:p>
      <w:pPr>
        <w:pStyle w:val="Defpara"/>
      </w:pPr>
      <w:r>
        <w:tab/>
        <w:t>(b)</w:t>
      </w:r>
      <w:r>
        <w:tab/>
        <w:t xml:space="preserve">includes, without limitation — </w:t>
      </w:r>
    </w:p>
    <w:p>
      <w:pPr>
        <w:pStyle w:val="Defsubpara"/>
      </w:pPr>
      <w:r>
        <w:tab/>
        <w:t>(i)</w:t>
      </w:r>
      <w:r>
        <w:tab/>
        <w:t xml:space="preserve">an offence under </w:t>
      </w:r>
      <w:r>
        <w:rPr>
          <w:i/>
          <w:iCs/>
        </w:rPr>
        <w:t>The Criminal Code</w:t>
      </w:r>
      <w:r>
        <w:t xml:space="preserve"> Chapter XXXI committed against, with or in the presence of, a child; and</w:t>
      </w:r>
    </w:p>
    <w:p>
      <w:pPr>
        <w:pStyle w:val="Defsubpara"/>
      </w:pPr>
      <w:r>
        <w:tab/>
        <w:t>(ii)</w:t>
      </w:r>
      <w:r>
        <w:tab/>
        <w:t xml:space="preserve">an offence of a sexual nature under </w:t>
      </w:r>
      <w:r>
        <w:rPr>
          <w:i/>
          <w:iCs/>
        </w:rPr>
        <w:t>The Criminal Code</w:t>
      </w:r>
      <w:r>
        <w:t xml:space="preserve"> Chapter XXV; and</w:t>
      </w:r>
    </w:p>
    <w:p>
      <w:pPr>
        <w:pStyle w:val="Defsubpara"/>
      </w:pPr>
      <w:r>
        <w:tab/>
        <w:t>(iii)</w:t>
      </w:r>
      <w:r>
        <w:tab/>
        <w:t xml:space="preserve">an offence of a sexual nature under any other provision of </w:t>
      </w:r>
      <w:r>
        <w:rPr>
          <w:i/>
          <w:iCs/>
        </w:rPr>
        <w:t>The Criminal Code</w:t>
      </w:r>
      <w:r>
        <w:t xml:space="preserve"> committed against, with or in the presence of, a child; and</w:t>
      </w:r>
    </w:p>
    <w:p>
      <w:pPr>
        <w:pStyle w:val="Defsubpara"/>
      </w:pPr>
      <w:r>
        <w:tab/>
        <w:t>(iv)</w:t>
      </w:r>
      <w:r>
        <w:tab/>
        <w:t>an offence under a law of another State, a Territory or the Commonwealth the elements of which, if they had occurred in this State, would have constituted an offence of a kind referred to in subparagraph (i), (ii) or (iii); and</w:t>
      </w:r>
    </w:p>
    <w:p>
      <w:pPr>
        <w:pStyle w:val="Defsubpara"/>
      </w:pPr>
      <w:r>
        <w:tab/>
        <w:t>(v)</w:t>
      </w:r>
      <w:r>
        <w:tab/>
        <w:t>an offence of attempting, or of conspiracy or incitement, to commit an offence of a kind referred to in subparagraphs (i) to (iv) or paragraph (a); and</w:t>
      </w:r>
    </w:p>
    <w:p>
      <w:pPr>
        <w:pStyle w:val="Defsubpara"/>
      </w:pPr>
      <w:r>
        <w:tab/>
        <w:t>(vi)</w:t>
      </w:r>
      <w:r>
        <w:tab/>
        <w:t>an offence that, at the time it was committed (whether before, on or after commencement day), was an offence of a kind referred to in paragraph (a).</w:t>
      </w:r>
    </w:p>
    <w:p>
      <w:pPr>
        <w:pStyle w:val="Footnotesection"/>
      </w:pPr>
      <w:r>
        <w:tab/>
        <w:t>[Section 19C inserted: No. 25 of 2022 s. 7.]</w:t>
      </w:r>
    </w:p>
    <w:p>
      <w:pPr>
        <w:pStyle w:val="Heading5"/>
      </w:pPr>
      <w:bookmarkStart w:id="50" w:name="_Toc153978080"/>
      <w:r>
        <w:rPr>
          <w:rStyle w:val="CharSectno"/>
        </w:rPr>
        <w:t>19D</w:t>
      </w:r>
      <w:r>
        <w:t>.</w:t>
      </w:r>
      <w:r>
        <w:tab/>
        <w:t>Employees of relevant entities</w:t>
      </w:r>
      <w:bookmarkEnd w:id="50"/>
    </w:p>
    <w:p>
      <w:pPr>
        <w:pStyle w:val="Subsection"/>
      </w:pPr>
      <w:r>
        <w:tab/>
        <w:t>(1)</w:t>
      </w:r>
      <w:r>
        <w:tab/>
        <w:t xml:space="preserve">An </w:t>
      </w:r>
      <w:r>
        <w:rPr>
          <w:rStyle w:val="CharDefText"/>
        </w:rPr>
        <w:t>employee</w:t>
      </w:r>
      <w:r>
        <w:t xml:space="preserve">, of a relevant entity, is an individual who has reached 18 years of age and is — </w:t>
      </w:r>
    </w:p>
    <w:p>
      <w:pPr>
        <w:pStyle w:val="Indenta"/>
      </w:pPr>
      <w:r>
        <w:tab/>
        <w:t>(a)</w:t>
      </w:r>
      <w:r>
        <w:tab/>
        <w:t>an officer or employee of the relevant entity, whether or not the individual’s work is in connection with any work or activities of the entity that relate to children; or</w:t>
      </w:r>
    </w:p>
    <w:p>
      <w:pPr>
        <w:pStyle w:val="Indenta"/>
      </w:pPr>
      <w:r>
        <w:lastRenderedPageBreak/>
        <w:tab/>
        <w:t>(b)</w:t>
      </w:r>
      <w:r>
        <w:tab/>
        <w:t>engaged by the entity to provide services to children, including as a volunteer or contractor; or</w:t>
      </w:r>
    </w:p>
    <w:p>
      <w:pPr>
        <w:pStyle w:val="Indenta"/>
      </w:pPr>
      <w:r>
        <w:tab/>
        <w:t>(c)</w:t>
      </w:r>
      <w:r>
        <w:tab/>
        <w:t>engaged by another person or body to provide services to children on behalf of the entity, including as a volunteer or contractor; or</w:t>
      </w:r>
    </w:p>
    <w:p>
      <w:pPr>
        <w:pStyle w:val="Indenta"/>
      </w:pPr>
      <w:r>
        <w:tab/>
        <w:t>(d)</w:t>
      </w:r>
      <w:r>
        <w:tab/>
        <w:t>engaged by the entity as a carer (as defined in the CCS Act section 3), whether for payment or not; or</w:t>
      </w:r>
    </w:p>
    <w:p>
      <w:pPr>
        <w:pStyle w:val="Indenta"/>
      </w:pPr>
      <w:r>
        <w:tab/>
        <w:t>(e)</w:t>
      </w:r>
      <w:r>
        <w:tab/>
        <w:t>a family day care educator or family day care educator assistant (as those terms are defined in the Education and Care Services National Law (Western Australia) section 5(1)) engaged by or registered with the entity.</w:t>
      </w:r>
    </w:p>
    <w:p>
      <w:pPr>
        <w:pStyle w:val="Subsection"/>
      </w:pPr>
      <w:r>
        <w:tab/>
        <w:t>(2)</w:t>
      </w:r>
      <w:r>
        <w:tab/>
        <w:t xml:space="preserve">For the purposes of subsection (1)(a), if the relevant entity is a religious body, a reference to an officer or employee — </w:t>
      </w:r>
    </w:p>
    <w:p>
      <w:pPr>
        <w:pStyle w:val="Indenta"/>
      </w:pPr>
      <w:r>
        <w:tab/>
        <w:t>(a)</w:t>
      </w:r>
      <w:r>
        <w:tab/>
        <w:t>includes a reference to a minister of religion and a religious leader of the religious body; but</w:t>
      </w:r>
    </w:p>
    <w:p>
      <w:pPr>
        <w:pStyle w:val="Indenta"/>
      </w:pPr>
      <w:r>
        <w:tab/>
        <w:t>(b)</w:t>
      </w:r>
      <w:r>
        <w:tab/>
        <w:t>does not include a reference to a person only because the person participates in worship.</w:t>
      </w:r>
    </w:p>
    <w:p>
      <w:pPr>
        <w:pStyle w:val="Subsection"/>
      </w:pPr>
      <w:r>
        <w:tab/>
        <w:t>(3)</w:t>
      </w:r>
      <w:r>
        <w:tab/>
        <w:t xml:space="preserve">For the purposes of subsection (1)(a), if the relevant entity is the Police Force of Western Australia, a reference to an officer or employee includes a reference to a person appointed under the </w:t>
      </w:r>
      <w:r>
        <w:rPr>
          <w:i/>
          <w:iCs/>
        </w:rPr>
        <w:t xml:space="preserve">Police Act 1892 </w:t>
      </w:r>
      <w:r>
        <w:rPr>
          <w:iCs/>
        </w:rPr>
        <w:t xml:space="preserve">Part I </w:t>
      </w:r>
      <w:r>
        <w:t>as an officer or constable of the Police Force.</w:t>
      </w:r>
    </w:p>
    <w:p>
      <w:pPr>
        <w:pStyle w:val="Subsection"/>
      </w:pPr>
      <w:r>
        <w:tab/>
        <w:t>(4)</w:t>
      </w:r>
      <w:r>
        <w:tab/>
        <w:t xml:space="preserve">For the purposes of subsection (1)(b) and (c), a reference to a contractor includes a reference to the following — </w:t>
      </w:r>
    </w:p>
    <w:p>
      <w:pPr>
        <w:pStyle w:val="Indenta"/>
      </w:pPr>
      <w:r>
        <w:tab/>
        <w:t>(a)</w:t>
      </w:r>
      <w:r>
        <w:tab/>
        <w:t xml:space="preserve">an officer of, or a person employed or engaged to work for, a contractor; </w:t>
      </w:r>
    </w:p>
    <w:p>
      <w:pPr>
        <w:pStyle w:val="Indenta"/>
      </w:pPr>
      <w:r>
        <w:tab/>
        <w:t>(b)</w:t>
      </w:r>
      <w:r>
        <w:tab/>
        <w:t xml:space="preserve">a subcontractor of a contractor; </w:t>
      </w:r>
    </w:p>
    <w:p>
      <w:pPr>
        <w:pStyle w:val="Indenta"/>
      </w:pPr>
      <w:r>
        <w:tab/>
        <w:t>(c)</w:t>
      </w:r>
      <w:r>
        <w:tab/>
        <w:t xml:space="preserve">an officer of, or a person employed or engaged to work for, a subcontractor; </w:t>
      </w:r>
    </w:p>
    <w:p>
      <w:pPr>
        <w:pStyle w:val="Indenta"/>
      </w:pPr>
      <w:r>
        <w:tab/>
        <w:t>(d)</w:t>
      </w:r>
      <w:r>
        <w:tab/>
        <w:t>a volunteer working for a contractor or a subcontractor.</w:t>
      </w:r>
    </w:p>
    <w:p>
      <w:pPr>
        <w:pStyle w:val="Footnotesection"/>
      </w:pPr>
      <w:r>
        <w:tab/>
        <w:t>[Section 19D inserted: No. 25 of 2022 s. 7.]</w:t>
      </w:r>
    </w:p>
    <w:p>
      <w:pPr>
        <w:pStyle w:val="Heading5"/>
      </w:pPr>
      <w:bookmarkStart w:id="51" w:name="_Toc153978081"/>
      <w:r>
        <w:rPr>
          <w:rStyle w:val="CharSectno"/>
        </w:rPr>
        <w:lastRenderedPageBreak/>
        <w:t>19E</w:t>
      </w:r>
      <w:r>
        <w:t>.</w:t>
      </w:r>
      <w:r>
        <w:tab/>
        <w:t>Head of a relevant entity</w:t>
      </w:r>
      <w:bookmarkEnd w:id="51"/>
    </w:p>
    <w:p>
      <w:pPr>
        <w:pStyle w:val="Subsection"/>
      </w:pPr>
      <w:r>
        <w:tab/>
        <w:t>(1)</w:t>
      </w:r>
      <w:r>
        <w:tab/>
        <w:t xml:space="preserve">The </w:t>
      </w:r>
      <w:r>
        <w:rPr>
          <w:rStyle w:val="CharDefText"/>
        </w:rPr>
        <w:t>head</w:t>
      </w:r>
      <w:r>
        <w:t xml:space="preserve"> of a relevant entity that is a department or an organisation, as those terms are defined in the </w:t>
      </w:r>
      <w:r>
        <w:rPr>
          <w:i/>
        </w:rPr>
        <w:t xml:space="preserve">Public Sector Management Act 1994 </w:t>
      </w:r>
      <w:r>
        <w:t xml:space="preserve">section 3(1), is — </w:t>
      </w:r>
    </w:p>
    <w:p>
      <w:pPr>
        <w:pStyle w:val="Indenta"/>
      </w:pPr>
      <w:r>
        <w:tab/>
        <w:t>(a)</w:t>
      </w:r>
      <w:r>
        <w:tab/>
        <w:t xml:space="preserve">the chief executive officer or chief employee of the department or organisation; or </w:t>
      </w:r>
    </w:p>
    <w:p>
      <w:pPr>
        <w:pStyle w:val="Indenta"/>
      </w:pPr>
      <w:r>
        <w:tab/>
        <w:t>(b)</w:t>
      </w:r>
      <w:r>
        <w:tab/>
        <w:t>the delegate of the chief executive officer or the chief employee of the department or organisation.</w:t>
      </w:r>
    </w:p>
    <w:p>
      <w:pPr>
        <w:pStyle w:val="Subsection"/>
      </w:pPr>
      <w:r>
        <w:tab/>
        <w:t>(2)</w:t>
      </w:r>
      <w:r>
        <w:tab/>
        <w:t xml:space="preserve">The </w:t>
      </w:r>
      <w:r>
        <w:rPr>
          <w:rStyle w:val="CharDefText"/>
        </w:rPr>
        <w:t>head</w:t>
      </w:r>
      <w:r>
        <w:t xml:space="preserve"> of a relevant entity that is an authority, other than a department or an organisation referred to in subsection (1) is — </w:t>
      </w:r>
    </w:p>
    <w:p>
      <w:pPr>
        <w:pStyle w:val="Indenta"/>
      </w:pPr>
      <w:r>
        <w:tab/>
        <w:t>(a)</w:t>
      </w:r>
      <w:r>
        <w:tab/>
        <w:t>the chief executive officer of the authority; or</w:t>
      </w:r>
    </w:p>
    <w:p>
      <w:pPr>
        <w:pStyle w:val="Indenta"/>
      </w:pPr>
      <w:r>
        <w:tab/>
        <w:t>(b)</w:t>
      </w:r>
      <w:r>
        <w:tab/>
        <w:t>if there is no chief executive officer — the president, chairperson or other principal or presiding member of the authority, or if the authority is constituted by a single person, that person; or</w:t>
      </w:r>
    </w:p>
    <w:p>
      <w:pPr>
        <w:pStyle w:val="Indenta"/>
      </w:pPr>
      <w:r>
        <w:tab/>
        <w:t>(c)</w:t>
      </w:r>
      <w:r>
        <w:tab/>
        <w:t>the delegate of a person referred to in paragraph (a) or (b).</w:t>
      </w:r>
    </w:p>
    <w:p>
      <w:pPr>
        <w:pStyle w:val="Subsection"/>
      </w:pPr>
      <w:r>
        <w:tab/>
        <w:t>(3)</w:t>
      </w:r>
      <w:r>
        <w:tab/>
        <w:t xml:space="preserve">The </w:t>
      </w:r>
      <w:r>
        <w:rPr>
          <w:rStyle w:val="CharDefText"/>
        </w:rPr>
        <w:t>head</w:t>
      </w:r>
      <w:r>
        <w:t xml:space="preserve"> of a relevant entity that is not a department, organisation or authority referred to in subsection (1) or (2) is — </w:t>
      </w:r>
    </w:p>
    <w:p>
      <w:pPr>
        <w:pStyle w:val="Indenta"/>
      </w:pPr>
      <w:r>
        <w:tab/>
        <w:t>(a)</w:t>
      </w:r>
      <w:r>
        <w:tab/>
        <w:t>the chief executive officer of the relevant entity (however described); or</w:t>
      </w:r>
    </w:p>
    <w:p>
      <w:pPr>
        <w:pStyle w:val="Indenta"/>
      </w:pPr>
      <w:r>
        <w:tab/>
        <w:t>(b)</w:t>
      </w:r>
      <w:r>
        <w:tab/>
        <w:t>if there is no chief executive officer — the principal officer of the relevant entity (however described); or</w:t>
      </w:r>
    </w:p>
    <w:p>
      <w:pPr>
        <w:pStyle w:val="Indenta"/>
      </w:pPr>
      <w:r>
        <w:tab/>
        <w:t>(c)</w:t>
      </w:r>
      <w:r>
        <w:tab/>
        <w:t>if there is no chief executive officer or principal officer of the relevant entity — a person, or the holder of a position, in the relevant entity nominated by the entity and approved by the Commissioner under section 19Q; or</w:t>
      </w:r>
    </w:p>
    <w:p>
      <w:pPr>
        <w:pStyle w:val="Indenta"/>
      </w:pPr>
      <w:r>
        <w:tab/>
        <w:t>(d)</w:t>
      </w:r>
      <w:r>
        <w:tab/>
        <w:t>the delegate of a person referred to in paragraph (a), (b) or (c).</w:t>
      </w:r>
    </w:p>
    <w:p>
      <w:pPr>
        <w:pStyle w:val="Subsection"/>
      </w:pPr>
      <w:r>
        <w:lastRenderedPageBreak/>
        <w:tab/>
        <w:t>(4)</w:t>
      </w:r>
      <w:r>
        <w:tab/>
        <w:t>The regulations may prescribe a person or class of persons to be the head of a relevant entity.</w:t>
      </w:r>
    </w:p>
    <w:p>
      <w:pPr>
        <w:pStyle w:val="Subsection"/>
      </w:pPr>
      <w:r>
        <w:tab/>
        <w:t>(5)</w:t>
      </w:r>
      <w:r>
        <w:tab/>
        <w:t>Regulations referred to in subsection (4) have effect despite subsections (1), (2) and (3).</w:t>
      </w:r>
    </w:p>
    <w:p>
      <w:pPr>
        <w:pStyle w:val="Footnotesection"/>
      </w:pPr>
      <w:r>
        <w:tab/>
        <w:t>[Section 19E inserted: No. 25 of 2022 s. 7.]</w:t>
      </w:r>
    </w:p>
    <w:p>
      <w:pPr>
        <w:pStyle w:val="Heading5"/>
      </w:pPr>
      <w:bookmarkStart w:id="52" w:name="_Toc153978082"/>
      <w:r>
        <w:rPr>
          <w:rStyle w:val="CharSectno"/>
        </w:rPr>
        <w:t>19F</w:t>
      </w:r>
      <w:r>
        <w:t>.</w:t>
      </w:r>
      <w:r>
        <w:tab/>
        <w:t>Reportable allegation</w:t>
      </w:r>
      <w:bookmarkEnd w:id="52"/>
    </w:p>
    <w:p>
      <w:pPr>
        <w:pStyle w:val="Subsection"/>
      </w:pPr>
      <w:r>
        <w:tab/>
        <w:t>(1)</w:t>
      </w:r>
      <w:r>
        <w:tab/>
        <w:t xml:space="preserve">A </w:t>
      </w:r>
      <w:r>
        <w:rPr>
          <w:rStyle w:val="CharDefText"/>
        </w:rPr>
        <w:t>reportable allegation</w:t>
      </w:r>
      <w:r>
        <w:t xml:space="preserve"> is any information that leads a person to form the belief on reasonable grounds that an employee of a relevant entity has engaged in reportable conduct or conduct that may involve reportable conduct, whether or not the conduct is alleged to have occurred in the course of the employee’s employment.</w:t>
      </w:r>
    </w:p>
    <w:p>
      <w:pPr>
        <w:pStyle w:val="Subsection"/>
      </w:pPr>
      <w:r>
        <w:tab/>
        <w:t>(2)</w:t>
      </w:r>
      <w:r>
        <w:tab/>
        <w:t xml:space="preserve">However, a </w:t>
      </w:r>
      <w:r>
        <w:rPr>
          <w:rStyle w:val="CharDefText"/>
        </w:rPr>
        <w:t>reportable allegation</w:t>
      </w:r>
      <w:r>
        <w:t xml:space="preserve"> does not include information relating to a reportable conviction.</w:t>
      </w:r>
    </w:p>
    <w:p>
      <w:pPr>
        <w:pStyle w:val="Footnotesection"/>
      </w:pPr>
      <w:r>
        <w:tab/>
        <w:t>[Section 19F inserted: No. 25 of 2022 s. 7.]</w:t>
      </w:r>
    </w:p>
    <w:p>
      <w:pPr>
        <w:pStyle w:val="Heading5"/>
      </w:pPr>
      <w:bookmarkStart w:id="53" w:name="_Toc153978083"/>
      <w:r>
        <w:rPr>
          <w:rStyle w:val="CharSectno"/>
        </w:rPr>
        <w:t>19G</w:t>
      </w:r>
      <w:r>
        <w:t>.</w:t>
      </w:r>
      <w:r>
        <w:tab/>
        <w:t>Reportable conduct</w:t>
      </w:r>
      <w:bookmarkEnd w:id="53"/>
    </w:p>
    <w:p>
      <w:pPr>
        <w:pStyle w:val="Subsection"/>
      </w:pPr>
      <w:r>
        <w:tab/>
        <w:t>(1)</w:t>
      </w:r>
      <w:r>
        <w:tab/>
      </w:r>
      <w:r>
        <w:rPr>
          <w:rStyle w:val="CharDefText"/>
        </w:rPr>
        <w:t>Reportable conduct</w:t>
      </w:r>
      <w:r>
        <w:t xml:space="preserve"> is the following conduct, whether or not a criminal proceeding in relation to the conduct has been commenced or concluded and whether the conduct occurred before, on or after commencement day — </w:t>
      </w:r>
    </w:p>
    <w:p>
      <w:pPr>
        <w:pStyle w:val="Indenta"/>
      </w:pPr>
      <w:r>
        <w:tab/>
        <w:t>(a)</w:t>
      </w:r>
      <w:r>
        <w:tab/>
        <w:t>a sexual offence;</w:t>
      </w:r>
    </w:p>
    <w:p>
      <w:pPr>
        <w:pStyle w:val="Indenta"/>
      </w:pPr>
      <w:r>
        <w:tab/>
        <w:t>(b)</w:t>
      </w:r>
      <w:r>
        <w:tab/>
        <w:t>sexual misconduct;</w:t>
      </w:r>
    </w:p>
    <w:p>
      <w:pPr>
        <w:pStyle w:val="Indenta"/>
      </w:pPr>
      <w:r>
        <w:tab/>
        <w:t>(c)</w:t>
      </w:r>
      <w:r>
        <w:tab/>
        <w:t>a physical assault committed against, with or in the presence of, a child;</w:t>
      </w:r>
    </w:p>
    <w:p>
      <w:pPr>
        <w:pStyle w:val="Indenta"/>
      </w:pPr>
      <w:r>
        <w:tab/>
        <w:t>(ca)</w:t>
      </w:r>
      <w:r>
        <w:tab/>
        <w:t>significant neglect of a child;</w:t>
      </w:r>
    </w:p>
    <w:p>
      <w:pPr>
        <w:pStyle w:val="Indenta"/>
      </w:pPr>
      <w:r>
        <w:tab/>
        <w:t>(cb)</w:t>
      </w:r>
      <w:r>
        <w:tab/>
        <w:t>any behaviour that causes significant emotional or psychological harm to a child;</w:t>
      </w:r>
    </w:p>
    <w:p>
      <w:pPr>
        <w:pStyle w:val="Indenta"/>
      </w:pPr>
      <w:r>
        <w:tab/>
        <w:t>(d)</w:t>
      </w:r>
      <w:r>
        <w:tab/>
        <w:t>an offence prescribed by the regulations for the purposes of this paragraph.</w:t>
      </w:r>
    </w:p>
    <w:p>
      <w:pPr>
        <w:pStyle w:val="Subsection"/>
      </w:pPr>
      <w:r>
        <w:lastRenderedPageBreak/>
        <w:tab/>
        <w:t>(2)</w:t>
      </w:r>
      <w:r>
        <w:tab/>
        <w:t xml:space="preserve">However, </w:t>
      </w:r>
      <w:r>
        <w:rPr>
          <w:rStyle w:val="CharDefText"/>
        </w:rPr>
        <w:t>reportable conduct</w:t>
      </w:r>
      <w:r>
        <w:t xml:space="preserve"> does not include conduct that is — </w:t>
      </w:r>
    </w:p>
    <w:p>
      <w:pPr>
        <w:pStyle w:val="Indenta"/>
      </w:pPr>
      <w:r>
        <w:tab/>
        <w:t>(a)</w:t>
      </w:r>
      <w:r>
        <w:tab/>
        <w:t>reasonable for the discipline, management or care of a child or of another person in the presence of a child, having regard to —</w:t>
      </w:r>
    </w:p>
    <w:p>
      <w:pPr>
        <w:pStyle w:val="Indenti"/>
      </w:pPr>
      <w:r>
        <w:tab/>
        <w:t>(i)</w:t>
      </w:r>
      <w:r>
        <w:tab/>
        <w:t>the characteristics of the child, including the age, health and developmental stage of the child; and</w:t>
      </w:r>
    </w:p>
    <w:p>
      <w:pPr>
        <w:pStyle w:val="Indenti"/>
      </w:pPr>
      <w:r>
        <w:tab/>
        <w:t xml:space="preserve">(ii) </w:t>
      </w:r>
      <w:r>
        <w:tab/>
        <w:t>any relevant code of conduct or professional standard that at the time applied to the discipline, management or care of the child or the other person;</w:t>
      </w:r>
    </w:p>
    <w:p>
      <w:pPr>
        <w:pStyle w:val="Indenta"/>
      </w:pPr>
      <w:r>
        <w:tab/>
      </w:r>
      <w:r>
        <w:tab/>
        <w:t>or</w:t>
      </w:r>
    </w:p>
    <w:p>
      <w:pPr>
        <w:pStyle w:val="Indenta"/>
      </w:pPr>
      <w:r>
        <w:tab/>
        <w:t>(b)</w:t>
      </w:r>
      <w:r>
        <w:tab/>
        <w:t>trivial or negligible and that has been or will be investigated and recorded as part of another workplace procedure; or</w:t>
      </w:r>
    </w:p>
    <w:p>
      <w:pPr>
        <w:pStyle w:val="Indenta"/>
      </w:pPr>
      <w:r>
        <w:tab/>
        <w:t>(c)</w:t>
      </w:r>
      <w:r>
        <w:tab/>
        <w:t>of a class or kind exempt from being reportable conduct under section 19N(1).</w:t>
      </w:r>
    </w:p>
    <w:p>
      <w:pPr>
        <w:pStyle w:val="Subsection"/>
      </w:pPr>
      <w:r>
        <w:tab/>
        <w:t>(3)</w:t>
      </w:r>
      <w:r>
        <w:tab/>
        <w:t xml:space="preserve">For the purposes of this section, </w:t>
      </w:r>
      <w:r>
        <w:rPr>
          <w:rStyle w:val="CharDefText"/>
        </w:rPr>
        <w:t>conduct</w:t>
      </w:r>
      <w:r>
        <w:t xml:space="preserve"> includes an act or omission.</w:t>
      </w:r>
    </w:p>
    <w:p>
      <w:pPr>
        <w:pStyle w:val="Footnotesection"/>
      </w:pPr>
      <w:r>
        <w:tab/>
        <w:t>[Section 19G inserted: No. 25 of 2022 s. 7; amended: No. 25 of 2022 s. 26.]</w:t>
      </w:r>
    </w:p>
    <w:p>
      <w:pPr>
        <w:pStyle w:val="Heading5"/>
      </w:pPr>
      <w:bookmarkStart w:id="54" w:name="_Toc153978084"/>
      <w:r>
        <w:rPr>
          <w:rStyle w:val="CharSectno"/>
        </w:rPr>
        <w:t>19H</w:t>
      </w:r>
      <w:r>
        <w:t>.</w:t>
      </w:r>
      <w:r>
        <w:tab/>
        <w:t>Reportable conviction</w:t>
      </w:r>
      <w:bookmarkEnd w:id="54"/>
    </w:p>
    <w:p>
      <w:pPr>
        <w:pStyle w:val="Subsection"/>
      </w:pPr>
      <w:r>
        <w:tab/>
        <w:t>(1)</w:t>
      </w:r>
      <w:r>
        <w:tab/>
        <w:t xml:space="preserve">A </w:t>
      </w:r>
      <w:r>
        <w:rPr>
          <w:rStyle w:val="CharDefText"/>
        </w:rPr>
        <w:t>reportable conviction</w:t>
      </w:r>
      <w:r>
        <w:t xml:space="preserve"> is a conviction, whether before, on or after commencement day, for an offence under a law of this State, another State, a Territory or the Commonwealth that is an offence referred to in section 19G(1)(a) or (d).</w:t>
      </w:r>
    </w:p>
    <w:p>
      <w:pPr>
        <w:pStyle w:val="Subsection"/>
      </w:pPr>
      <w:r>
        <w:tab/>
        <w:t>(2)</w:t>
      </w:r>
      <w:r>
        <w:tab/>
        <w:t xml:space="preserve">For the purposes of subsection (1), a </w:t>
      </w:r>
      <w:r>
        <w:rPr>
          <w:rStyle w:val="CharDefText"/>
          <w:rFonts w:eastAsia="Arial Unicode MS"/>
        </w:rPr>
        <w:t>conviction</w:t>
      </w:r>
      <w:r>
        <w:t xml:space="preserve"> for an offence committed by a person is a reference to any of the following — </w:t>
      </w:r>
    </w:p>
    <w:p>
      <w:pPr>
        <w:pStyle w:val="Indenta"/>
      </w:pPr>
      <w:r>
        <w:tab/>
        <w:t>(a)</w:t>
      </w:r>
      <w:r>
        <w:tab/>
        <w:t>a court making a formal finding of guilt in relation to the offence;</w:t>
      </w:r>
    </w:p>
    <w:p>
      <w:pPr>
        <w:pStyle w:val="Indenta"/>
      </w:pPr>
      <w:r>
        <w:lastRenderedPageBreak/>
        <w:tab/>
        <w:t>(b)</w:t>
      </w:r>
      <w:r>
        <w:tab/>
        <w:t>if there has been no formal finding of guilt before conviction — a court convicting the person of the offence;</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The Criminal Code</w:t>
      </w:r>
      <w:r>
        <w:t xml:space="preserve"> section 27 that the person is not guilty of the offence on account of unsoundness of mind or an acquittal following an equivalent finding under a law of another State, a Territory or the Commonwealth.</w:t>
      </w:r>
    </w:p>
    <w:p>
      <w:pPr>
        <w:pStyle w:val="Subsection"/>
        <w:rPr>
          <w:rFonts w:eastAsia="Arial Unicode MS"/>
        </w:rPr>
      </w:pPr>
      <w:r>
        <w:rPr>
          <w:rFonts w:eastAsia="Arial Unicode MS"/>
        </w:rPr>
        <w:tab/>
        <w:t>(3)</w:t>
      </w:r>
      <w:r>
        <w:rPr>
          <w:rFonts w:eastAsia="Arial Unicode MS"/>
        </w:rPr>
        <w:tab/>
        <w:t xml:space="preserve">For the purposes of subsection (1), a reference to a </w:t>
      </w:r>
      <w:r>
        <w:rPr>
          <w:rStyle w:val="CharDefText"/>
          <w:rFonts w:eastAsia="Arial Unicode MS"/>
        </w:rPr>
        <w:t>conviction</w:t>
      </w:r>
      <w:r>
        <w:rPr>
          <w:rFonts w:eastAsia="Arial Unicode MS"/>
        </w:rPr>
        <w:t xml:space="preserve"> includes a reference to a conviction that is a spent conviction.</w:t>
      </w:r>
    </w:p>
    <w:p>
      <w:pPr>
        <w:pStyle w:val="Subsection"/>
      </w:pPr>
      <w:r>
        <w:tab/>
        <w:t>(4)</w:t>
      </w:r>
      <w:r>
        <w:tab/>
        <w:t>For the purposes of subsection (3), an offence becomes spent if, under a law of this State, another State, a Territory or the Commonwealth, the person concerned is permitted not to disclose the fact that the person was convicted or found guilty of the offence.</w:t>
      </w:r>
    </w:p>
    <w:p>
      <w:pPr>
        <w:pStyle w:val="Subsection"/>
      </w:pPr>
      <w:r>
        <w:tab/>
        <w:t>(5)</w:t>
      </w:r>
      <w:r>
        <w:tab/>
        <w:t xml:space="preserve">For the purposes of subsection (1), a reference to a </w:t>
      </w:r>
      <w:r>
        <w:rPr>
          <w:rStyle w:val="CharDefText"/>
        </w:rPr>
        <w:t>conviction</w:t>
      </w:r>
      <w:r>
        <w:t xml:space="preserve"> does not include a reference to a conviction that is subsequently quashed or set aside by a court.</w:t>
      </w:r>
    </w:p>
    <w:p>
      <w:pPr>
        <w:pStyle w:val="Footnotesection"/>
      </w:pPr>
      <w:r>
        <w:tab/>
        <w:t>[Section 19H inserted: No. 25 of 2022 s. 7.]</w:t>
      </w:r>
    </w:p>
    <w:p>
      <w:pPr>
        <w:pStyle w:val="Heading5"/>
      </w:pPr>
      <w:bookmarkStart w:id="55" w:name="_Toc153978085"/>
      <w:r>
        <w:rPr>
          <w:rStyle w:val="CharSectno"/>
        </w:rPr>
        <w:t>19I</w:t>
      </w:r>
      <w:r>
        <w:t>.</w:t>
      </w:r>
      <w:r>
        <w:tab/>
        <w:t>Entities to which reportable conduct scheme applies</w:t>
      </w:r>
      <w:bookmarkEnd w:id="55"/>
    </w:p>
    <w:p>
      <w:pPr>
        <w:pStyle w:val="Subsection"/>
      </w:pPr>
      <w:r>
        <w:tab/>
      </w:r>
      <w:r>
        <w:tab/>
        <w:t xml:space="preserve">The reportable conduct scheme applies to an entity set out in column 2 of Schedule 2 that — </w:t>
      </w:r>
    </w:p>
    <w:p>
      <w:pPr>
        <w:pStyle w:val="Indenta"/>
      </w:pPr>
      <w:r>
        <w:tab/>
        <w:t>(a)</w:t>
      </w:r>
      <w:r>
        <w:tab/>
        <w:t>exercises care, supervision or authority over children as part of its primary functions or otherwise; and</w:t>
      </w:r>
    </w:p>
    <w:p>
      <w:pPr>
        <w:pStyle w:val="Indenta"/>
      </w:pPr>
      <w:r>
        <w:tab/>
        <w:t>(b)</w:t>
      </w:r>
      <w:r>
        <w:tab/>
        <w:t>is not exempt under section 19O(1).</w:t>
      </w:r>
    </w:p>
    <w:p>
      <w:pPr>
        <w:pStyle w:val="Footnotesection"/>
      </w:pPr>
      <w:r>
        <w:tab/>
        <w:t>[Section 19I inserted: No. 25 of 2022 s. 7.]</w:t>
      </w:r>
    </w:p>
    <w:p>
      <w:pPr>
        <w:pStyle w:val="Heading5"/>
      </w:pPr>
      <w:bookmarkStart w:id="56" w:name="_Toc153978086"/>
      <w:r>
        <w:rPr>
          <w:rStyle w:val="CharSectno"/>
        </w:rPr>
        <w:lastRenderedPageBreak/>
        <w:t>19J</w:t>
      </w:r>
      <w:r>
        <w:t>.</w:t>
      </w:r>
      <w:r>
        <w:tab/>
        <w:t>Object and principles</w:t>
      </w:r>
      <w:bookmarkEnd w:id="56"/>
    </w:p>
    <w:p>
      <w:pPr>
        <w:pStyle w:val="Subsection"/>
      </w:pPr>
      <w:r>
        <w:tab/>
        <w:t>(1)</w:t>
      </w:r>
      <w:r>
        <w:tab/>
        <w:t xml:space="preserve">The object of this Division is to protect children from harm by establishing and implementing a scheme for — </w:t>
      </w:r>
    </w:p>
    <w:p>
      <w:pPr>
        <w:pStyle w:val="Indenta"/>
      </w:pPr>
      <w:r>
        <w:tab/>
        <w:t>(a)</w:t>
      </w:r>
      <w:r>
        <w:tab/>
        <w:t>preventing reportable conduct; and</w:t>
      </w:r>
    </w:p>
    <w:p>
      <w:pPr>
        <w:pStyle w:val="Indenta"/>
      </w:pPr>
      <w:r>
        <w:tab/>
        <w:t>(b)</w:t>
      </w:r>
      <w:r>
        <w:tab/>
        <w:t>reporting, notifying and investigating reportable allegations and reportable convictions; and</w:t>
      </w:r>
    </w:p>
    <w:p>
      <w:pPr>
        <w:pStyle w:val="Indenta"/>
      </w:pPr>
      <w:r>
        <w:tab/>
        <w:t>(c)</w:t>
      </w:r>
      <w:r>
        <w:tab/>
        <w:t>taking appropriate action in response to findings of reportable conduct.</w:t>
      </w:r>
    </w:p>
    <w:p>
      <w:pPr>
        <w:pStyle w:val="Subsection"/>
      </w:pPr>
      <w:r>
        <w:tab/>
        <w:t>(2)</w:t>
      </w:r>
      <w:r>
        <w:tab/>
        <w:t xml:space="preserve">The reportable conduct scheme is based on the principles that — </w:t>
      </w:r>
    </w:p>
    <w:p>
      <w:pPr>
        <w:pStyle w:val="Indenta"/>
      </w:pPr>
      <w:r>
        <w:tab/>
        <w:t>(a)</w:t>
      </w:r>
      <w:r>
        <w:tab/>
        <w:t xml:space="preserve">if a child is able to form views on a matter concerning a reportable allegation or reportable conviction and it is appropriate in the circumstances to consult the child — </w:t>
      </w:r>
    </w:p>
    <w:p>
      <w:pPr>
        <w:pStyle w:val="Indenti"/>
      </w:pPr>
      <w:r>
        <w:tab/>
        <w:t>(i)</w:t>
      </w:r>
      <w:r>
        <w:tab/>
        <w:t>the child must be given the opportunity to express the views freely; and</w:t>
      </w:r>
    </w:p>
    <w:p>
      <w:pPr>
        <w:pStyle w:val="Indenti"/>
        <w:keepNext/>
      </w:pPr>
      <w:r>
        <w:tab/>
        <w:t>(ii)</w:t>
      </w:r>
      <w:r>
        <w:tab/>
        <w:t>the views are to be given due weight in the investigation in accordance with the developmental capacity of the child and the circumstances;</w:t>
      </w:r>
    </w:p>
    <w:p>
      <w:pPr>
        <w:pStyle w:val="Indenta"/>
      </w:pPr>
      <w:r>
        <w:tab/>
      </w:r>
      <w:r>
        <w:tab/>
        <w:t>and</w:t>
      </w:r>
    </w:p>
    <w:p>
      <w:pPr>
        <w:pStyle w:val="Indenta"/>
      </w:pPr>
      <w:r>
        <w:tab/>
        <w:t>(b)</w:t>
      </w:r>
      <w:r>
        <w:tab/>
        <w:t>criminal conduct or suspected criminal conduct should be reported to the police; and</w:t>
      </w:r>
    </w:p>
    <w:p>
      <w:pPr>
        <w:pStyle w:val="Indenta"/>
      </w:pPr>
      <w:r>
        <w:tab/>
        <w:t>(c)</w:t>
      </w:r>
      <w:r>
        <w:tab/>
        <w:t>the Commissioner and others involved in the reportable conduct scheme should work in collaboration to ensure a fair process is used in the investigation of reportable allegations and reportable convictions; and</w:t>
      </w:r>
    </w:p>
    <w:p>
      <w:pPr>
        <w:pStyle w:val="Indenta"/>
      </w:pPr>
      <w:r>
        <w:tab/>
        <w:t>(d)</w:t>
      </w:r>
      <w:r>
        <w:tab/>
        <w:t>employees who are the subject of reportable allegations are entitled to be afforded natural justice in investigations into their conduct.</w:t>
      </w:r>
    </w:p>
    <w:p>
      <w:pPr>
        <w:pStyle w:val="Footnotesection"/>
      </w:pPr>
      <w:r>
        <w:tab/>
        <w:t>[Section 19J inserted: No. 25 of 2022 s. 7.]</w:t>
      </w:r>
    </w:p>
    <w:p>
      <w:pPr>
        <w:pStyle w:val="Heading5"/>
      </w:pPr>
      <w:bookmarkStart w:id="57" w:name="_Toc153978087"/>
      <w:r>
        <w:rPr>
          <w:rStyle w:val="CharSectno"/>
        </w:rPr>
        <w:lastRenderedPageBreak/>
        <w:t>19K</w:t>
      </w:r>
      <w:r>
        <w:t>.</w:t>
      </w:r>
      <w:r>
        <w:tab/>
        <w:t>Paramount consideration</w:t>
      </w:r>
      <w:bookmarkEnd w:id="57"/>
    </w:p>
    <w:p>
      <w:pPr>
        <w:pStyle w:val="Subsection"/>
      </w:pPr>
      <w:r>
        <w:tab/>
      </w:r>
      <w:r>
        <w:tab/>
        <w:t>The Commissioner and any other person performing functions under this Division must regard the best interests of children as the paramount consideration.</w:t>
      </w:r>
    </w:p>
    <w:p>
      <w:pPr>
        <w:pStyle w:val="Footnotesection"/>
      </w:pPr>
      <w:r>
        <w:tab/>
        <w:t>[Section 19K inserted: No. 25 of 2022 s. 7.]</w:t>
      </w:r>
    </w:p>
    <w:p>
      <w:pPr>
        <w:pStyle w:val="Heading5"/>
      </w:pPr>
      <w:bookmarkStart w:id="58" w:name="_Toc153978088"/>
      <w:r>
        <w:rPr>
          <w:rStyle w:val="CharSectno"/>
        </w:rPr>
        <w:t>19L</w:t>
      </w:r>
      <w:r>
        <w:t>.</w:t>
      </w:r>
      <w:r>
        <w:tab/>
        <w:t>Certain provisions not applicable if entity is agent of Crown</w:t>
      </w:r>
      <w:bookmarkEnd w:id="58"/>
    </w:p>
    <w:p>
      <w:pPr>
        <w:pStyle w:val="Subsection"/>
      </w:pPr>
      <w:r>
        <w:tab/>
      </w:r>
      <w:r>
        <w:tab/>
        <w:t>Sections 19U(6), 19W(7), 19Z(4) and 19ZC(4) do not apply if the relevant entity is an agent of the Crown.</w:t>
      </w:r>
    </w:p>
    <w:p>
      <w:pPr>
        <w:pStyle w:val="Footnotesection"/>
      </w:pPr>
      <w:r>
        <w:tab/>
        <w:t>[Section 19L inserted: No. 25 of 2022 s. 7.]</w:t>
      </w:r>
    </w:p>
    <w:p>
      <w:pPr>
        <w:pStyle w:val="Heading4"/>
      </w:pPr>
      <w:bookmarkStart w:id="59" w:name="_Toc153965034"/>
      <w:bookmarkStart w:id="60" w:name="_Toc153968692"/>
      <w:bookmarkStart w:id="61" w:name="_Toc153978089"/>
      <w:r>
        <w:t>Subdivision 2 — Role of Commissioner</w:t>
      </w:r>
      <w:bookmarkEnd w:id="59"/>
      <w:bookmarkEnd w:id="60"/>
      <w:bookmarkEnd w:id="61"/>
    </w:p>
    <w:p>
      <w:pPr>
        <w:pStyle w:val="Footnoteheading"/>
      </w:pPr>
      <w:r>
        <w:tab/>
        <w:t>[Heading inserted: No. 25 of 2022 s. 7.]</w:t>
      </w:r>
    </w:p>
    <w:p>
      <w:pPr>
        <w:pStyle w:val="Heading5"/>
      </w:pPr>
      <w:bookmarkStart w:id="62" w:name="_Toc153978090"/>
      <w:r>
        <w:rPr>
          <w:rStyle w:val="CharSectno"/>
        </w:rPr>
        <w:t>19M</w:t>
      </w:r>
      <w:r>
        <w:t>.</w:t>
      </w:r>
      <w:r>
        <w:tab/>
        <w:t>Functions of Commissioner in relation to scheme</w:t>
      </w:r>
      <w:bookmarkEnd w:id="62"/>
    </w:p>
    <w:p>
      <w:pPr>
        <w:pStyle w:val="Subsection"/>
      </w:pPr>
      <w:r>
        <w:tab/>
        <w:t>(1)</w:t>
      </w:r>
      <w:r>
        <w:tab/>
        <w:t xml:space="preserve">The Commissioner has the following functions in relation to the reportable conduct scheme — </w:t>
      </w:r>
    </w:p>
    <w:p>
      <w:pPr>
        <w:pStyle w:val="Indenta"/>
      </w:pPr>
      <w:r>
        <w:tab/>
        <w:t>(a)</w:t>
      </w:r>
      <w:r>
        <w:tab/>
        <w:t>to oversee and monitor the reportable conduct scheme;</w:t>
      </w:r>
    </w:p>
    <w:p>
      <w:pPr>
        <w:pStyle w:val="Indenta"/>
      </w:pPr>
      <w:r>
        <w:tab/>
        <w:t>(b)</w:t>
      </w:r>
      <w:r>
        <w:tab/>
        <w:t>to educate and provide advice to relevant entities in order to assist them to identify and prevent reportable conduct and to notify and investigate reportable allegations and reportable convictions;</w:t>
      </w:r>
    </w:p>
    <w:p>
      <w:pPr>
        <w:pStyle w:val="Indenta"/>
      </w:pPr>
      <w:r>
        <w:tab/>
        <w:t>(c)</w:t>
      </w:r>
      <w:r>
        <w:tab/>
        <w:t>to support relevant entities to make continuous improvement in the identification and prevention of reportable conduct and the reporting, notification and investigation of reportable allegations and reportable convictions;</w:t>
      </w:r>
    </w:p>
    <w:p>
      <w:pPr>
        <w:pStyle w:val="Indenta"/>
      </w:pPr>
      <w:r>
        <w:tab/>
        <w:t>(d)</w:t>
      </w:r>
      <w:r>
        <w:tab/>
        <w:t>to monitor the investigation of reportable allegations and reportable convictions by relevant entities;</w:t>
      </w:r>
    </w:p>
    <w:p>
      <w:pPr>
        <w:pStyle w:val="Indenta"/>
      </w:pPr>
      <w:r>
        <w:tab/>
        <w:t>(e)</w:t>
      </w:r>
      <w:r>
        <w:tab/>
        <w:t>if the Commissioner considers it to be in the public interest to do so — to investigate reportable allegations and reportable convictions;</w:t>
      </w:r>
    </w:p>
    <w:p>
      <w:pPr>
        <w:pStyle w:val="Indenta"/>
      </w:pPr>
      <w:r>
        <w:lastRenderedPageBreak/>
        <w:tab/>
        <w:t>(f)</w:t>
      </w:r>
      <w:r>
        <w:tab/>
        <w:t>if the Commissioner considers it to be in the public interest to do so — to investigate whether reportable allegations or reportable convictions have been appropriately handled or investigated or responded to by the head of a relevant entity;</w:t>
      </w:r>
    </w:p>
    <w:p>
      <w:pPr>
        <w:pStyle w:val="Indenta"/>
      </w:pPr>
      <w:r>
        <w:tab/>
        <w:t>(g)</w:t>
      </w:r>
      <w:r>
        <w:tab/>
        <w:t>to make recommendations to relevant entities in relation to the findings of the investigations referred to in paragraph (e) or (f);</w:t>
      </w:r>
    </w:p>
    <w:p>
      <w:pPr>
        <w:pStyle w:val="Indenta"/>
      </w:pPr>
      <w:r>
        <w:tab/>
        <w:t>(h)</w:t>
      </w:r>
      <w:r>
        <w:tab/>
        <w:t>to monitor the compliance of relevant entities with the reportable conduct scheme and whether appropriate and timely action is taken by a relevant entity;</w:t>
      </w:r>
    </w:p>
    <w:p>
      <w:pPr>
        <w:pStyle w:val="Indenta"/>
      </w:pPr>
      <w:r>
        <w:tab/>
        <w:t>(i)</w:t>
      </w:r>
      <w:r>
        <w:tab/>
        <w:t>to monitor a relevant entity’s systems for preventing, notifying and dealing with reportable conduct;</w:t>
      </w:r>
    </w:p>
    <w:p>
      <w:pPr>
        <w:pStyle w:val="Indenta"/>
      </w:pPr>
      <w:r>
        <w:tab/>
        <w:t>(j)</w:t>
      </w:r>
      <w:r>
        <w:tab/>
        <w:t>to report to Parliament on the reportable conduct scheme;</w:t>
      </w:r>
    </w:p>
    <w:p>
      <w:pPr>
        <w:pStyle w:val="Indenta"/>
      </w:pPr>
      <w:r>
        <w:tab/>
        <w:t>(k)</w:t>
      </w:r>
      <w:r>
        <w:tab/>
        <w:t>to perform any other function conferred on the Commissioner under this Division.</w:t>
      </w:r>
    </w:p>
    <w:p>
      <w:pPr>
        <w:pStyle w:val="Subsection"/>
      </w:pPr>
      <w:r>
        <w:tab/>
        <w:t>(2)</w:t>
      </w:r>
      <w:r>
        <w:tab/>
        <w:t>Without limiting the Commissioner’s investigation powers under this Act, the Commissioner may exercise any power and perform any function the Commissioner has under Divisions 3 and 4 for the purpose of performing the Commissioner’s functions under this Division.</w:t>
      </w:r>
    </w:p>
    <w:p>
      <w:pPr>
        <w:pStyle w:val="Footnotesection"/>
      </w:pPr>
      <w:r>
        <w:tab/>
        <w:t>[Section 19M inserted: No. 25 of 2022 s. 7.]</w:t>
      </w:r>
    </w:p>
    <w:p>
      <w:pPr>
        <w:pStyle w:val="Heading5"/>
      </w:pPr>
      <w:bookmarkStart w:id="63" w:name="_Toc153978091"/>
      <w:r>
        <w:rPr>
          <w:rStyle w:val="CharSectno"/>
        </w:rPr>
        <w:t>19N</w:t>
      </w:r>
      <w:r>
        <w:t>.</w:t>
      </w:r>
      <w:r>
        <w:tab/>
        <w:t>Commissioner may exempt conduct</w:t>
      </w:r>
      <w:bookmarkEnd w:id="63"/>
    </w:p>
    <w:p>
      <w:pPr>
        <w:pStyle w:val="Subsection"/>
      </w:pPr>
      <w:r>
        <w:tab/>
        <w:t>(1)</w:t>
      </w:r>
      <w:r>
        <w:tab/>
        <w:t>The Commissioner may, in accordance with the regulations, exempt a class or kind of conduct of employees of a relevant entity, or a class or kind of relevant entity, from being reportable conduct.</w:t>
      </w:r>
    </w:p>
    <w:p>
      <w:pPr>
        <w:pStyle w:val="Subsection"/>
      </w:pPr>
      <w:r>
        <w:tab/>
        <w:t>(2)</w:t>
      </w:r>
      <w:r>
        <w:tab/>
        <w:t>The Commissioner must publish the details of an exempt class or kind of conduct on the Commissioner’s website.</w:t>
      </w:r>
    </w:p>
    <w:p>
      <w:pPr>
        <w:pStyle w:val="Footnotesection"/>
      </w:pPr>
      <w:r>
        <w:tab/>
        <w:t>[Section 19N inserted: No. 25 of 2022 s. 7.]</w:t>
      </w:r>
    </w:p>
    <w:p>
      <w:pPr>
        <w:pStyle w:val="Heading5"/>
      </w:pPr>
      <w:bookmarkStart w:id="64" w:name="_Toc153978092"/>
      <w:r>
        <w:rPr>
          <w:rStyle w:val="CharSectno"/>
        </w:rPr>
        <w:lastRenderedPageBreak/>
        <w:t>19O</w:t>
      </w:r>
      <w:r>
        <w:t>.</w:t>
      </w:r>
      <w:r>
        <w:tab/>
        <w:t>Commissioner may exempt entities</w:t>
      </w:r>
      <w:bookmarkEnd w:id="64"/>
    </w:p>
    <w:p>
      <w:pPr>
        <w:pStyle w:val="Subsection"/>
      </w:pPr>
      <w:r>
        <w:tab/>
        <w:t>(1)</w:t>
      </w:r>
      <w:r>
        <w:tab/>
        <w:t>The Commissioner may exempt an entity from the reportable conduct scheme.</w:t>
      </w:r>
    </w:p>
    <w:p>
      <w:pPr>
        <w:pStyle w:val="Subsection"/>
      </w:pPr>
      <w:r>
        <w:tab/>
        <w:t>(2)</w:t>
      </w:r>
      <w:r>
        <w:tab/>
        <w:t>The Commissioner must give written notice to an entity of an exemption under subsection (1) that relates to the entity.</w:t>
      </w:r>
    </w:p>
    <w:p>
      <w:pPr>
        <w:pStyle w:val="Subsection"/>
      </w:pPr>
      <w:r>
        <w:tab/>
        <w:t>(3)</w:t>
      </w:r>
      <w:r>
        <w:tab/>
        <w:t>An exemption under subsection (1) continues until the Commissioner gives the entity written notice that the exemption is revoked.</w:t>
      </w:r>
    </w:p>
    <w:p>
      <w:pPr>
        <w:pStyle w:val="Footnotesection"/>
      </w:pPr>
      <w:r>
        <w:tab/>
        <w:t>[Section 19O inserted: No. 25 of 2022 s. 7.]</w:t>
      </w:r>
    </w:p>
    <w:p>
      <w:pPr>
        <w:pStyle w:val="Heading5"/>
      </w:pPr>
      <w:bookmarkStart w:id="65" w:name="_Toc153978093"/>
      <w:r>
        <w:rPr>
          <w:rStyle w:val="CharSectno"/>
        </w:rPr>
        <w:t>19P</w:t>
      </w:r>
      <w:r>
        <w:t>.</w:t>
      </w:r>
      <w:r>
        <w:tab/>
        <w:t>Commissioner may exempt investigations</w:t>
      </w:r>
      <w:bookmarkEnd w:id="65"/>
    </w:p>
    <w:p>
      <w:pPr>
        <w:pStyle w:val="Subsection"/>
      </w:pPr>
      <w:r>
        <w:tab/>
        <w:t>(1)</w:t>
      </w:r>
      <w:r>
        <w:tab/>
        <w:t>The Commissioner may exempt the head of a relevant entity from commencing or continuing an investigation.</w:t>
      </w:r>
    </w:p>
    <w:p>
      <w:pPr>
        <w:pStyle w:val="Subsection"/>
      </w:pPr>
      <w:r>
        <w:tab/>
        <w:t>(2)</w:t>
      </w:r>
      <w:r>
        <w:tab/>
        <w:t>An exemption under subsection (1) may be for a specified period.</w:t>
      </w:r>
    </w:p>
    <w:p>
      <w:pPr>
        <w:pStyle w:val="Subsection"/>
      </w:pPr>
      <w:r>
        <w:tab/>
        <w:t>(3)</w:t>
      </w:r>
      <w:r>
        <w:tab/>
        <w:t xml:space="preserve">Without limiting subsection (1), the Commissioner may exempt the head of the relevant entity if — </w:t>
      </w:r>
    </w:p>
    <w:p>
      <w:pPr>
        <w:pStyle w:val="Indenta"/>
      </w:pPr>
      <w:r>
        <w:tab/>
        <w:t>(a)</w:t>
      </w:r>
      <w:r>
        <w:tab/>
        <w:t>the matter is already being dealt with or investigated by another appropriate person or body; or</w:t>
      </w:r>
    </w:p>
    <w:p>
      <w:pPr>
        <w:pStyle w:val="Indenta"/>
      </w:pPr>
      <w:r>
        <w:tab/>
        <w:t>(b)</w:t>
      </w:r>
      <w:r>
        <w:tab/>
        <w:t>the Commissioner is of the opinion that the report of the matter to the relevant entity under section 19T is frivolous or vexatious or not made in good faith; or</w:t>
      </w:r>
    </w:p>
    <w:p>
      <w:pPr>
        <w:pStyle w:val="Indenta"/>
      </w:pPr>
      <w:r>
        <w:tab/>
        <w:t>(c)</w:t>
      </w:r>
      <w:r>
        <w:tab/>
        <w:t>the head of the relevant entity has made a request for the exemption in a notice under section 19Y.</w:t>
      </w:r>
    </w:p>
    <w:p>
      <w:pPr>
        <w:pStyle w:val="Subsection"/>
      </w:pPr>
      <w:r>
        <w:tab/>
        <w:t>(4)</w:t>
      </w:r>
      <w:r>
        <w:tab/>
        <w:t>The Commissioner must give written notice to the head of the relevant entity of an exemption under subsection (1) that relates to the entity.</w:t>
      </w:r>
    </w:p>
    <w:p>
      <w:pPr>
        <w:pStyle w:val="Subsection"/>
      </w:pPr>
      <w:r>
        <w:tab/>
        <w:t>(5)</w:t>
      </w:r>
      <w:r>
        <w:tab/>
        <w:t xml:space="preserve">An exemption under subsection (1) continues until — </w:t>
      </w:r>
    </w:p>
    <w:p>
      <w:pPr>
        <w:pStyle w:val="Indenta"/>
      </w:pPr>
      <w:r>
        <w:tab/>
        <w:t>(a)</w:t>
      </w:r>
      <w:r>
        <w:tab/>
        <w:t>the Commissioner gives the head of the relevant entity written notice that the exemption is revoked; or</w:t>
      </w:r>
    </w:p>
    <w:p>
      <w:pPr>
        <w:pStyle w:val="Indenta"/>
      </w:pPr>
      <w:r>
        <w:lastRenderedPageBreak/>
        <w:tab/>
        <w:t>(b)</w:t>
      </w:r>
      <w:r>
        <w:tab/>
        <w:t>if the exemption is for a specified period — the end of the specified period.</w:t>
      </w:r>
    </w:p>
    <w:p>
      <w:pPr>
        <w:pStyle w:val="Subsection"/>
      </w:pPr>
      <w:r>
        <w:tab/>
        <w:t>(6)</w:t>
      </w:r>
      <w:r>
        <w:tab/>
        <w:t>The head of the relevant entity is not required to provide a report of an investigation under section 19Z(1) if the investigation is exempt under this section.</w:t>
      </w:r>
    </w:p>
    <w:p>
      <w:pPr>
        <w:pStyle w:val="Footnotesection"/>
      </w:pPr>
      <w:r>
        <w:tab/>
        <w:t>[Section 19P inserted: No. 25 of 2022 s. 7.]</w:t>
      </w:r>
    </w:p>
    <w:p>
      <w:pPr>
        <w:pStyle w:val="Heading5"/>
      </w:pPr>
      <w:bookmarkStart w:id="66" w:name="_Toc153978094"/>
      <w:r>
        <w:rPr>
          <w:rStyle w:val="CharSectno"/>
        </w:rPr>
        <w:t>19Q</w:t>
      </w:r>
      <w:r>
        <w:t>.</w:t>
      </w:r>
      <w:r>
        <w:tab/>
        <w:t>Commissioner may approve head of relevant entity in certain circumstances</w:t>
      </w:r>
      <w:bookmarkEnd w:id="66"/>
    </w:p>
    <w:p>
      <w:pPr>
        <w:pStyle w:val="Subsection"/>
      </w:pPr>
      <w:r>
        <w:tab/>
        <w:t>(1)</w:t>
      </w:r>
      <w:r>
        <w:tab/>
        <w:t xml:space="preserve">This section applies to a relevant entity if — </w:t>
      </w:r>
    </w:p>
    <w:p>
      <w:pPr>
        <w:pStyle w:val="Indenta"/>
      </w:pPr>
      <w:r>
        <w:tab/>
        <w:t>(a)</w:t>
      </w:r>
      <w:r>
        <w:tab/>
        <w:t xml:space="preserve">the entity is not a department or an organisation, as those terms are defined in the </w:t>
      </w:r>
      <w:r>
        <w:rPr>
          <w:i/>
        </w:rPr>
        <w:t xml:space="preserve">Public Sector Management Act 1994 </w:t>
      </w:r>
      <w:r>
        <w:t>section 3(1), or an authority; and</w:t>
      </w:r>
    </w:p>
    <w:p>
      <w:pPr>
        <w:pStyle w:val="Indenta"/>
      </w:pPr>
      <w:r>
        <w:tab/>
        <w:t>(b)</w:t>
      </w:r>
      <w:r>
        <w:tab/>
        <w:t>there is no chief executive officer of the entity (however described) or principal officer of the entity (however described); and</w:t>
      </w:r>
    </w:p>
    <w:p>
      <w:pPr>
        <w:pStyle w:val="Indenta"/>
      </w:pPr>
      <w:r>
        <w:tab/>
        <w:t>(c)</w:t>
      </w:r>
      <w:r>
        <w:tab/>
        <w:t>the regulations do not prescribe a person to be the head of the entity.</w:t>
      </w:r>
    </w:p>
    <w:p>
      <w:pPr>
        <w:pStyle w:val="Subsection"/>
      </w:pPr>
      <w:r>
        <w:tab/>
        <w:t>(2)</w:t>
      </w:r>
      <w:r>
        <w:tab/>
        <w:t>The relevant entity must nominate a person or the holder of a position in the entity to be the head of the entity.</w:t>
      </w:r>
    </w:p>
    <w:p>
      <w:pPr>
        <w:pStyle w:val="Subsection"/>
      </w:pPr>
      <w:r>
        <w:tab/>
        <w:t>(3)</w:t>
      </w:r>
      <w:r>
        <w:tab/>
        <w:t>The nomination must be in writing and given to the Commissioner.</w:t>
      </w:r>
    </w:p>
    <w:p>
      <w:pPr>
        <w:pStyle w:val="Subsection"/>
      </w:pPr>
      <w:r>
        <w:tab/>
        <w:t>(4)</w:t>
      </w:r>
      <w:r>
        <w:tab/>
        <w:t>The Commissioner may, by written notice given to the relevant entity, approve the person or holder of the position in the entity nominated by the entity under subsection (2) to be the head of the entity.</w:t>
      </w:r>
    </w:p>
    <w:p>
      <w:pPr>
        <w:pStyle w:val="Subsection"/>
      </w:pPr>
      <w:r>
        <w:tab/>
        <w:t>(5)</w:t>
      </w:r>
      <w:r>
        <w:tab/>
        <w:t>The Commissioner may, by written notice given to the entity, revoke an approval under subsection (4).</w:t>
      </w:r>
    </w:p>
    <w:p>
      <w:pPr>
        <w:pStyle w:val="Footnotesection"/>
      </w:pPr>
      <w:r>
        <w:tab/>
        <w:t>[Section 19Q inserted: No. 25 of 2022 s. 7.]</w:t>
      </w:r>
    </w:p>
    <w:p>
      <w:pPr>
        <w:pStyle w:val="Heading4"/>
      </w:pPr>
      <w:bookmarkStart w:id="67" w:name="_Toc153965040"/>
      <w:bookmarkStart w:id="68" w:name="_Toc153968698"/>
      <w:bookmarkStart w:id="69" w:name="_Toc153978095"/>
      <w:r>
        <w:lastRenderedPageBreak/>
        <w:t>Subdivision 3 — Systems to deal with reportable conduct</w:t>
      </w:r>
      <w:bookmarkEnd w:id="67"/>
      <w:bookmarkEnd w:id="68"/>
      <w:bookmarkEnd w:id="69"/>
    </w:p>
    <w:p>
      <w:pPr>
        <w:pStyle w:val="Footnoteheading"/>
      </w:pPr>
      <w:r>
        <w:tab/>
        <w:t>[Heading inserted: No. 25 of 2022 s. 7.]</w:t>
      </w:r>
    </w:p>
    <w:p>
      <w:pPr>
        <w:pStyle w:val="Heading5"/>
      </w:pPr>
      <w:bookmarkStart w:id="70" w:name="_Toc153978096"/>
      <w:r>
        <w:rPr>
          <w:rStyle w:val="CharSectno"/>
        </w:rPr>
        <w:t>19R</w:t>
      </w:r>
      <w:r>
        <w:t>.</w:t>
      </w:r>
      <w:r>
        <w:tab/>
        <w:t>Head of relevant entity must ensure systems in place</w:t>
      </w:r>
      <w:bookmarkEnd w:id="70"/>
    </w:p>
    <w:p>
      <w:pPr>
        <w:pStyle w:val="Subsection"/>
      </w:pPr>
      <w:r>
        <w:tab/>
      </w:r>
      <w:r>
        <w:tab/>
        <w:t xml:space="preserve">The head of a relevant entity must ensure that the relevant entity has in place — </w:t>
      </w:r>
    </w:p>
    <w:p>
      <w:pPr>
        <w:pStyle w:val="Indenta"/>
      </w:pPr>
      <w:r>
        <w:tab/>
        <w:t>(a)</w:t>
      </w:r>
      <w:r>
        <w:tab/>
        <w:t>a system for preventing reportable conduct by employees of the relevant entity in the course of their employment; and</w:t>
      </w:r>
    </w:p>
    <w:p>
      <w:pPr>
        <w:pStyle w:val="Indenta"/>
      </w:pPr>
      <w:r>
        <w:tab/>
        <w:t>(b)</w:t>
      </w:r>
      <w:r>
        <w:tab/>
        <w:t>a system for enabling any person, including an employee of the relevant entity, to report to the head of the relevant entity a reportable allegation or reportable conviction involving an employee of the relevant entity; and</w:t>
      </w:r>
    </w:p>
    <w:p>
      <w:pPr>
        <w:pStyle w:val="Indenta"/>
      </w:pPr>
      <w:r>
        <w:tab/>
        <w:t>(c)</w:t>
      </w:r>
      <w:r>
        <w:tab/>
        <w:t>a system for enabling any person, including an employee of the relevant entity, to report to the Commissioner a reportable allegation or reportable conviction involving the head of the relevant entity; and</w:t>
      </w:r>
    </w:p>
    <w:p>
      <w:pPr>
        <w:pStyle w:val="Indenta"/>
      </w:pPr>
      <w:r>
        <w:tab/>
        <w:t>(d)</w:t>
      </w:r>
      <w:r>
        <w:tab/>
        <w:t xml:space="preserve">a system for notifying the Commissioner of a report to the head of the relevant entity of a reportable allegation or reportable conviction involving an employee of the relevant entity; and </w:t>
      </w:r>
    </w:p>
    <w:p>
      <w:pPr>
        <w:pStyle w:val="Indenta"/>
      </w:pPr>
      <w:r>
        <w:tab/>
        <w:t>(e)</w:t>
      </w:r>
      <w:r>
        <w:tab/>
        <w:t>a system for investigating a reportable allegation or reportable conviction relating to an employee of the relevant entity and taking appropriate action in response to a finding of reportable conduct; and</w:t>
      </w:r>
    </w:p>
    <w:p>
      <w:pPr>
        <w:pStyle w:val="Indenta"/>
      </w:pPr>
      <w:r>
        <w:tab/>
        <w:t>(f)</w:t>
      </w:r>
      <w:r>
        <w:tab/>
        <w:t>a system for the receipt, handling and disclosure of investigation information.</w:t>
      </w:r>
    </w:p>
    <w:p>
      <w:pPr>
        <w:pStyle w:val="Footnotesection"/>
      </w:pPr>
      <w:r>
        <w:tab/>
        <w:t>[Section 19R inserted: No. 25 of 2022 s. 7.]</w:t>
      </w:r>
    </w:p>
    <w:p>
      <w:pPr>
        <w:pStyle w:val="Heading5"/>
      </w:pPr>
      <w:bookmarkStart w:id="71" w:name="_Toc153978097"/>
      <w:r>
        <w:rPr>
          <w:rStyle w:val="CharSectno"/>
        </w:rPr>
        <w:lastRenderedPageBreak/>
        <w:t>19S</w:t>
      </w:r>
      <w:r>
        <w:t>.</w:t>
      </w:r>
      <w:r>
        <w:tab/>
        <w:t>Commissioner may require information about systems</w:t>
      </w:r>
      <w:bookmarkEnd w:id="71"/>
    </w:p>
    <w:p>
      <w:pPr>
        <w:pStyle w:val="Subsection"/>
      </w:pPr>
      <w:r>
        <w:tab/>
        <w:t>(1)</w:t>
      </w:r>
      <w:r>
        <w:tab/>
        <w:t>The Commissioner may request the head of a relevant entity to provide to the Commissioner any information about a system referred to in section 19R.</w:t>
      </w:r>
    </w:p>
    <w:p>
      <w:pPr>
        <w:pStyle w:val="Subsection"/>
      </w:pPr>
      <w:r>
        <w:tab/>
        <w:t>(2)</w:t>
      </w:r>
      <w:r>
        <w:tab/>
        <w:t>The head of a relevant entity must comply with a request under subsection (1).</w:t>
      </w:r>
    </w:p>
    <w:p>
      <w:pPr>
        <w:pStyle w:val="Subsection"/>
      </w:pPr>
      <w:r>
        <w:tab/>
        <w:t>(3)</w:t>
      </w:r>
      <w:r>
        <w:tab/>
        <w:t>The Commissioner may make recommendations for action to be taken by the head of a relevant entity in relation to a system referred to in section 19R and may provide the head of the relevant entity with any necessary information relating to the recommendations.</w:t>
      </w:r>
    </w:p>
    <w:p>
      <w:pPr>
        <w:pStyle w:val="Footnotesection"/>
      </w:pPr>
      <w:r>
        <w:tab/>
        <w:t>[Section 19S inserted: No. 25 of 2022 s. 7.]</w:t>
      </w:r>
    </w:p>
    <w:p>
      <w:pPr>
        <w:pStyle w:val="Heading4"/>
      </w:pPr>
      <w:bookmarkStart w:id="72" w:name="_Toc153965043"/>
      <w:bookmarkStart w:id="73" w:name="_Toc153968701"/>
      <w:bookmarkStart w:id="74" w:name="_Toc153978098"/>
      <w:r>
        <w:t>Subdivision 4 — Notice, investigation and reporting</w:t>
      </w:r>
      <w:bookmarkEnd w:id="72"/>
      <w:bookmarkEnd w:id="73"/>
      <w:bookmarkEnd w:id="74"/>
    </w:p>
    <w:p>
      <w:pPr>
        <w:pStyle w:val="Footnoteheading"/>
      </w:pPr>
      <w:r>
        <w:tab/>
        <w:t>[Heading inserted: No. 25 of 2022 s. 7.]</w:t>
      </w:r>
    </w:p>
    <w:p>
      <w:pPr>
        <w:pStyle w:val="Heading5"/>
      </w:pPr>
      <w:bookmarkStart w:id="75" w:name="_Toc153978099"/>
      <w:r>
        <w:rPr>
          <w:rStyle w:val="CharSectno"/>
        </w:rPr>
        <w:t>19T</w:t>
      </w:r>
      <w:r>
        <w:t>.</w:t>
      </w:r>
      <w:r>
        <w:tab/>
        <w:t>Report of reportable allegation or reportable conviction</w:t>
      </w:r>
      <w:bookmarkEnd w:id="75"/>
    </w:p>
    <w:p>
      <w:pPr>
        <w:pStyle w:val="Subsection"/>
      </w:pPr>
      <w:r>
        <w:tab/>
        <w:t>(1)</w:t>
      </w:r>
      <w:r>
        <w:tab/>
        <w:t xml:space="preserve">This section applies if a person becomes aware of — </w:t>
      </w:r>
    </w:p>
    <w:p>
      <w:pPr>
        <w:pStyle w:val="Indenta"/>
      </w:pPr>
      <w:r>
        <w:tab/>
        <w:t>(a)</w:t>
      </w:r>
      <w:r>
        <w:tab/>
        <w:t>information that leads the person to form the belief on reasonable grounds that an employee of a relevant entity has engaged in reportable conduct or conduct that may involve reportable conduct, whether or not the conduct is alleged to have occurred in the course of the employee’s employment; or</w:t>
      </w:r>
    </w:p>
    <w:p>
      <w:pPr>
        <w:pStyle w:val="Indenta"/>
      </w:pPr>
      <w:r>
        <w:tab/>
        <w:t>(b)</w:t>
      </w:r>
      <w:r>
        <w:tab/>
        <w:t>a reportable conviction involving an employee of a relevant entity.</w:t>
      </w:r>
    </w:p>
    <w:p>
      <w:pPr>
        <w:pStyle w:val="Subsection"/>
      </w:pPr>
      <w:r>
        <w:tab/>
        <w:t>(2)</w:t>
      </w:r>
      <w:r>
        <w:tab/>
        <w:t xml:space="preserve">If the person is a relevant employee of the relevant entity, the person must, as soon as practicable — </w:t>
      </w:r>
    </w:p>
    <w:p>
      <w:pPr>
        <w:pStyle w:val="Indenta"/>
      </w:pPr>
      <w:r>
        <w:tab/>
        <w:t>(a)</w:t>
      </w:r>
      <w:r>
        <w:tab/>
        <w:t>report the matter to the head of the relevant entity; or</w:t>
      </w:r>
    </w:p>
    <w:p>
      <w:pPr>
        <w:pStyle w:val="Indenta"/>
      </w:pPr>
      <w:r>
        <w:tab/>
        <w:t>(b)</w:t>
      </w:r>
      <w:r>
        <w:tab/>
        <w:t>if the matter relates to the head of the relevant entity — report the matter to the Commissioner.</w:t>
      </w:r>
    </w:p>
    <w:p>
      <w:pPr>
        <w:pStyle w:val="Subsection"/>
      </w:pPr>
      <w:r>
        <w:lastRenderedPageBreak/>
        <w:tab/>
        <w:t>(3)</w:t>
      </w:r>
      <w:r>
        <w:tab/>
        <w:t xml:space="preserve">If the person is not a relevant employee of the relevant entity, the person may — </w:t>
      </w:r>
    </w:p>
    <w:p>
      <w:pPr>
        <w:pStyle w:val="Indenta"/>
      </w:pPr>
      <w:r>
        <w:tab/>
        <w:t>(a)</w:t>
      </w:r>
      <w:r>
        <w:tab/>
        <w:t>report the matter to the head of the relevant entity; or</w:t>
      </w:r>
    </w:p>
    <w:p>
      <w:pPr>
        <w:pStyle w:val="Indenta"/>
      </w:pPr>
      <w:r>
        <w:tab/>
        <w:t>(b)</w:t>
      </w:r>
      <w:r>
        <w:tab/>
        <w:t>if the matter relates to the head of the relevant entity — report the matter to the Commissioner.</w:t>
      </w:r>
    </w:p>
    <w:p>
      <w:pPr>
        <w:pStyle w:val="Subsection"/>
      </w:pPr>
      <w:r>
        <w:tab/>
        <w:t>(4)</w:t>
      </w:r>
      <w:r>
        <w:tab/>
        <w:t xml:space="preserve">For the purposes of subsections (2) and (3), a person is a </w:t>
      </w:r>
      <w:r>
        <w:rPr>
          <w:rStyle w:val="CharDefText"/>
        </w:rPr>
        <w:t>relevant employee</w:t>
      </w:r>
      <w:r>
        <w:t xml:space="preserve"> of a relevant entity if the person is an employee of the relevant entity under section 19D(1)(a).</w:t>
      </w:r>
    </w:p>
    <w:p>
      <w:pPr>
        <w:pStyle w:val="Subsection"/>
      </w:pPr>
      <w:r>
        <w:tab/>
        <w:t>(5)</w:t>
      </w:r>
      <w:r>
        <w:tab/>
        <w:t>A person who has made a report to the head of the relevant entity under this section may report the matter to the Commissioner if the person is not satisfied with the response of the head of the relevant entity to the report.</w:t>
      </w:r>
    </w:p>
    <w:p>
      <w:pPr>
        <w:pStyle w:val="Footnotesection"/>
      </w:pPr>
      <w:r>
        <w:tab/>
        <w:t>[Section 19T inserted: No. 25 of 2022 s. 7.]</w:t>
      </w:r>
    </w:p>
    <w:p>
      <w:pPr>
        <w:pStyle w:val="Heading5"/>
      </w:pPr>
      <w:bookmarkStart w:id="76" w:name="_Toc153978100"/>
      <w:r>
        <w:rPr>
          <w:rStyle w:val="CharSectno"/>
        </w:rPr>
        <w:t>19U</w:t>
      </w:r>
      <w:r>
        <w:t>.</w:t>
      </w:r>
      <w:r>
        <w:tab/>
        <w:t>Head of relevant entity must notify Commissioner</w:t>
      </w:r>
      <w:bookmarkEnd w:id="76"/>
    </w:p>
    <w:p>
      <w:pPr>
        <w:pStyle w:val="Subsection"/>
      </w:pPr>
      <w:r>
        <w:tab/>
        <w:t>(1)</w:t>
      </w:r>
      <w:r>
        <w:tab/>
        <w:t>This section applies if the head of a relevant entity becomes aware of a reportable allegation or a reportable conviction involving a person who is an employee of the relevant entity.</w:t>
      </w:r>
    </w:p>
    <w:p>
      <w:pPr>
        <w:pStyle w:val="Subsection"/>
      </w:pPr>
      <w:r>
        <w:tab/>
        <w:t>(2)</w:t>
      </w:r>
      <w:r>
        <w:tab/>
        <w:t xml:space="preserve">The head of the relevant entity must give written notice to the Commissioner of the following information within 7 working days after becoming aware of the reportable allegation or reportable conviction — </w:t>
      </w:r>
    </w:p>
    <w:p>
      <w:pPr>
        <w:pStyle w:val="Indenta"/>
      </w:pPr>
      <w:r>
        <w:tab/>
        <w:t>(a)</w:t>
      </w:r>
      <w:r>
        <w:tab/>
        <w:t>details of the reportable allegation or reportable conviction;</w:t>
      </w:r>
    </w:p>
    <w:p>
      <w:pPr>
        <w:pStyle w:val="Indenta"/>
      </w:pPr>
      <w:r>
        <w:tab/>
        <w:t>(b)</w:t>
      </w:r>
      <w:r>
        <w:tab/>
        <w:t>the name (including any former name or alias) of the employee;</w:t>
      </w:r>
    </w:p>
    <w:p>
      <w:pPr>
        <w:pStyle w:val="Indenta"/>
      </w:pPr>
      <w:r>
        <w:tab/>
        <w:t>(c)</w:t>
      </w:r>
      <w:r>
        <w:tab/>
        <w:t>the date of birth of the employee;</w:t>
      </w:r>
    </w:p>
    <w:p>
      <w:pPr>
        <w:pStyle w:val="Indenta"/>
      </w:pPr>
      <w:r>
        <w:tab/>
        <w:t>(d)</w:t>
      </w:r>
      <w:r>
        <w:tab/>
        <w:t xml:space="preserve">the identifying number of any application made by the employee for an assessment notice under the </w:t>
      </w:r>
      <w:r>
        <w:rPr>
          <w:i/>
        </w:rPr>
        <w:t>Working with Children (Criminal Record Checking) Act 2004</w:t>
      </w:r>
      <w:r>
        <w:t xml:space="preserve"> or any current assessment notice issued to the employee under that Act;</w:t>
      </w:r>
    </w:p>
    <w:p>
      <w:pPr>
        <w:pStyle w:val="Indenta"/>
      </w:pPr>
      <w:r>
        <w:lastRenderedPageBreak/>
        <w:tab/>
        <w:t>(e)</w:t>
      </w:r>
      <w:r>
        <w:tab/>
        <w:t>whether the police have been contacted about the reportable allegation or reportable conviction;</w:t>
      </w:r>
    </w:p>
    <w:p>
      <w:pPr>
        <w:pStyle w:val="Indenta"/>
      </w:pPr>
      <w:r>
        <w:tab/>
        <w:t>(f)</w:t>
      </w:r>
      <w:r>
        <w:tab/>
        <w:t>the risk assessment made and the risk management action taken, or proposed to be taken, by the relevant entity;</w:t>
      </w:r>
    </w:p>
    <w:p>
      <w:pPr>
        <w:pStyle w:val="Indenta"/>
      </w:pPr>
      <w:r>
        <w:tab/>
        <w:t>(g)</w:t>
      </w:r>
      <w:r>
        <w:tab/>
        <w:t>the name, address and telephone number of the relevant entity;</w:t>
      </w:r>
    </w:p>
    <w:p>
      <w:pPr>
        <w:pStyle w:val="Indenta"/>
      </w:pPr>
      <w:r>
        <w:tab/>
        <w:t>(h)</w:t>
      </w:r>
      <w:r>
        <w:tab/>
        <w:t>the name of the head of the relevant entity;</w:t>
      </w:r>
    </w:p>
    <w:p>
      <w:pPr>
        <w:pStyle w:val="Indenta"/>
      </w:pPr>
      <w:r>
        <w:tab/>
        <w:t>(i)</w:t>
      </w:r>
      <w:r>
        <w:tab/>
        <w:t>how the head of the relevant entity intends to proceed with the matter;</w:t>
      </w:r>
    </w:p>
    <w:p>
      <w:pPr>
        <w:pStyle w:val="Indenta"/>
      </w:pPr>
      <w:r>
        <w:tab/>
        <w:t>(j)</w:t>
      </w:r>
      <w:r>
        <w:tab/>
        <w:t>any information prescribed by the regulations.</w:t>
      </w:r>
    </w:p>
    <w:p>
      <w:pPr>
        <w:pStyle w:val="Subsection"/>
      </w:pPr>
      <w:r>
        <w:tab/>
        <w:t>(3)</w:t>
      </w:r>
      <w:r>
        <w:tab/>
        <w:t>The head of the relevant entity is only required to provide information under subsection (2)(a), (b), (c), (d), (e) and (j) of which the head of the relevant entity is aware.</w:t>
      </w:r>
    </w:p>
    <w:p>
      <w:pPr>
        <w:pStyle w:val="Subsection"/>
      </w:pPr>
      <w:r>
        <w:tab/>
        <w:t>(4)</w:t>
      </w:r>
      <w:r>
        <w:tab/>
        <w:t xml:space="preserve">The Commissioner, at the request of the head of the relevant entity, may, in writing — </w:t>
      </w:r>
    </w:p>
    <w:p>
      <w:pPr>
        <w:pStyle w:val="Indenta"/>
      </w:pPr>
      <w:r>
        <w:tab/>
        <w:t>(a)</w:t>
      </w:r>
      <w:r>
        <w:tab/>
        <w:t>extend the time for giving a notice under this section; or</w:t>
      </w:r>
    </w:p>
    <w:p>
      <w:pPr>
        <w:pStyle w:val="Indenta"/>
      </w:pPr>
      <w:r>
        <w:tab/>
        <w:t>(b)</w:t>
      </w:r>
      <w:r>
        <w:tab/>
        <w:t>exempt the relevant entity from providing information that the entity would otherwise be required to provide under this section.</w:t>
      </w:r>
    </w:p>
    <w:p>
      <w:pPr>
        <w:pStyle w:val="Subsection"/>
      </w:pPr>
      <w:r>
        <w:tab/>
        <w:t>(5)</w:t>
      </w:r>
      <w:r>
        <w:tab/>
        <w:t>This section does not apply in relation to conduct of employees of a relevant entity that is of a class or kind that is exempt under section 19N(1).</w:t>
      </w:r>
    </w:p>
    <w:p>
      <w:pPr>
        <w:pStyle w:val="Subsection"/>
      </w:pPr>
      <w:r>
        <w:tab/>
        <w:t>(6)</w:t>
      </w:r>
      <w:r>
        <w:tab/>
        <w:t>It is an offence for the head of a relevant entity to fail, without reasonable excuse, to comply with subsection (2).</w:t>
      </w:r>
    </w:p>
    <w:p>
      <w:pPr>
        <w:pStyle w:val="Penstart"/>
        <w:rPr>
          <w:snapToGrid w:val="0"/>
        </w:rPr>
      </w:pPr>
      <w:r>
        <w:tab/>
        <w:t>Penalty for this subsection:</w:t>
      </w:r>
      <w:r>
        <w:rPr>
          <w:snapToGrid w:val="0"/>
        </w:rPr>
        <w:t xml:space="preserve"> a fine of $5 000.</w:t>
      </w:r>
    </w:p>
    <w:p>
      <w:pPr>
        <w:pStyle w:val="Subsection"/>
      </w:pPr>
      <w:r>
        <w:tab/>
        <w:t>(7)</w:t>
      </w:r>
      <w:r>
        <w:tab/>
        <w:t>It is a defence to a charge for an offence against subsection (6) for the person charged to prove that the person honestly and reasonably believed that another person had notified the Commissioner of the reportable allegation or reportable conviction in accordance with subsection (2).</w:t>
      </w:r>
    </w:p>
    <w:p>
      <w:pPr>
        <w:pStyle w:val="Footnotesection"/>
      </w:pPr>
      <w:r>
        <w:lastRenderedPageBreak/>
        <w:tab/>
        <w:t>[Section 19U inserted: No. 25 of 2022 s. 7.]</w:t>
      </w:r>
    </w:p>
    <w:p>
      <w:pPr>
        <w:pStyle w:val="Heading5"/>
      </w:pPr>
      <w:bookmarkStart w:id="77" w:name="_Toc153978101"/>
      <w:r>
        <w:rPr>
          <w:rStyle w:val="CharSectno"/>
        </w:rPr>
        <w:t>19V</w:t>
      </w:r>
      <w:r>
        <w:t>.</w:t>
      </w:r>
      <w:r>
        <w:tab/>
        <w:t>Information may be disclosed to Commissioner or head of entity</w:t>
      </w:r>
      <w:bookmarkEnd w:id="77"/>
    </w:p>
    <w:p>
      <w:pPr>
        <w:pStyle w:val="Subsection"/>
      </w:pPr>
      <w:r>
        <w:tab/>
        <w:t>(1)</w:t>
      </w:r>
      <w:r>
        <w:tab/>
        <w:t xml:space="preserve">The head of a relevant entity may disclose any information to the Commissioner that the head of the relevant entity believes on reasonable grounds — </w:t>
      </w:r>
    </w:p>
    <w:p>
      <w:pPr>
        <w:pStyle w:val="Indenta"/>
      </w:pPr>
      <w:r>
        <w:tab/>
        <w:t>(a)</w:t>
      </w:r>
      <w:r>
        <w:tab/>
        <w:t>reveals reportable conduct involving an employee of the relevant entity; or</w:t>
      </w:r>
    </w:p>
    <w:p>
      <w:pPr>
        <w:pStyle w:val="Indenta"/>
      </w:pPr>
      <w:r>
        <w:tab/>
        <w:t>(b)</w:t>
      </w:r>
      <w:r>
        <w:tab/>
        <w:t>is otherwise relevant to a reportable allegation involving an employee of the relevant entity.</w:t>
      </w:r>
    </w:p>
    <w:p>
      <w:pPr>
        <w:pStyle w:val="Subsection"/>
      </w:pPr>
      <w:r>
        <w:tab/>
        <w:t>(2)</w:t>
      </w:r>
      <w:r>
        <w:tab/>
        <w:t xml:space="preserve">A person may disclose any information to the Commissioner that the person believes on reasonable grounds — </w:t>
      </w:r>
    </w:p>
    <w:p>
      <w:pPr>
        <w:pStyle w:val="Indenta"/>
      </w:pPr>
      <w:r>
        <w:tab/>
        <w:t>(a)</w:t>
      </w:r>
      <w:r>
        <w:tab/>
        <w:t>reveals reportable conduct involving the head of a relevant entity; or</w:t>
      </w:r>
    </w:p>
    <w:p>
      <w:pPr>
        <w:pStyle w:val="Indenta"/>
      </w:pPr>
      <w:r>
        <w:tab/>
        <w:t>(b)</w:t>
      </w:r>
      <w:r>
        <w:tab/>
        <w:t>is otherwise relevant to a reportable allegation involving the head of a relevant entity.</w:t>
      </w:r>
    </w:p>
    <w:p>
      <w:pPr>
        <w:pStyle w:val="Subsection"/>
      </w:pPr>
      <w:r>
        <w:tab/>
        <w:t>(3)</w:t>
      </w:r>
      <w:r>
        <w:tab/>
        <w:t xml:space="preserve">A person who makes a report to the head of a relevant entity under section 19T may disclose any information to the head of the relevant entity that the person believes on reasonable grounds — </w:t>
      </w:r>
    </w:p>
    <w:p>
      <w:pPr>
        <w:pStyle w:val="Indenta"/>
      </w:pPr>
      <w:r>
        <w:tab/>
        <w:t>(a)</w:t>
      </w:r>
      <w:r>
        <w:tab/>
        <w:t>reveals reportable conduct involving an employee of the relevant entity; or</w:t>
      </w:r>
    </w:p>
    <w:p>
      <w:pPr>
        <w:pStyle w:val="Indenta"/>
      </w:pPr>
      <w:r>
        <w:tab/>
        <w:t>(b)</w:t>
      </w:r>
      <w:r>
        <w:tab/>
        <w:t>is otherwise relevant to a reportable allegation involving an employee of the relevant entity.</w:t>
      </w:r>
    </w:p>
    <w:p>
      <w:pPr>
        <w:pStyle w:val="Subsection"/>
        <w:keepNext/>
      </w:pPr>
      <w:r>
        <w:tab/>
        <w:t>(4)</w:t>
      </w:r>
      <w:r>
        <w:tab/>
        <w:t xml:space="preserve">A person who has made a report to the head of the relevant entity under section 19T and is not satisfied with the response of the head of the relevant entity to the report may disclose any information to the Commissioner that the person believes on reasonable grounds — </w:t>
      </w:r>
    </w:p>
    <w:p>
      <w:pPr>
        <w:pStyle w:val="Indenta"/>
      </w:pPr>
      <w:r>
        <w:tab/>
        <w:t>(a)</w:t>
      </w:r>
      <w:r>
        <w:tab/>
        <w:t>reveals reportable conduct involving an employee of the relevant entity; or</w:t>
      </w:r>
    </w:p>
    <w:p>
      <w:pPr>
        <w:pStyle w:val="Indenta"/>
      </w:pPr>
      <w:r>
        <w:lastRenderedPageBreak/>
        <w:tab/>
        <w:t>(b)</w:t>
      </w:r>
      <w:r>
        <w:tab/>
        <w:t>is otherwise relevant to a reportable allegation involving an employee of the relevant entity.</w:t>
      </w:r>
    </w:p>
    <w:p>
      <w:pPr>
        <w:pStyle w:val="Footnotesection"/>
      </w:pPr>
      <w:r>
        <w:tab/>
        <w:t>[Section 19V inserted: No. 25 of 2022 s. 7.]</w:t>
      </w:r>
    </w:p>
    <w:p>
      <w:pPr>
        <w:pStyle w:val="Heading5"/>
      </w:pPr>
      <w:bookmarkStart w:id="78" w:name="_Toc153978102"/>
      <w:r>
        <w:rPr>
          <w:rStyle w:val="CharSectno"/>
        </w:rPr>
        <w:t>19W</w:t>
      </w:r>
      <w:r>
        <w:t>.</w:t>
      </w:r>
      <w:r>
        <w:tab/>
        <w:t>Head of relevant entity must respond to reportable allegation or reportable conviction</w:t>
      </w:r>
      <w:bookmarkEnd w:id="78"/>
    </w:p>
    <w:p>
      <w:pPr>
        <w:pStyle w:val="Subsection"/>
      </w:pPr>
      <w:r>
        <w:tab/>
        <w:t>(1)</w:t>
      </w:r>
      <w:r>
        <w:tab/>
        <w:t xml:space="preserve">As soon as practicable after the head of a relevant entity becomes aware of a reportable allegation or reportable conviction involving an employee of the relevant entity, the head of the relevant entity — </w:t>
      </w:r>
    </w:p>
    <w:p>
      <w:pPr>
        <w:pStyle w:val="Indenta"/>
      </w:pPr>
      <w:r>
        <w:tab/>
        <w:t>(a)</w:t>
      </w:r>
      <w:r>
        <w:tab/>
        <w:t xml:space="preserve">must — </w:t>
      </w:r>
    </w:p>
    <w:p>
      <w:pPr>
        <w:pStyle w:val="Indenti"/>
      </w:pPr>
      <w:r>
        <w:tab/>
        <w:t>(i)</w:t>
      </w:r>
      <w:r>
        <w:tab/>
        <w:t>investigate the reportable allegation or reportable conviction; or</w:t>
      </w:r>
    </w:p>
    <w:p>
      <w:pPr>
        <w:pStyle w:val="Indenti"/>
      </w:pPr>
      <w:r>
        <w:tab/>
        <w:t>(ii)</w:t>
      </w:r>
      <w:r>
        <w:tab/>
        <w:t>arrange for an employee of the relevant entity to investigate the reportable allegation or reportable conviction on behalf of the head of the relevant entity; or</w:t>
      </w:r>
    </w:p>
    <w:p>
      <w:pPr>
        <w:pStyle w:val="Indenti"/>
      </w:pPr>
      <w:r>
        <w:tab/>
        <w:t>(iii)</w:t>
      </w:r>
      <w:r>
        <w:tab/>
        <w:t>engage a person or body as an independent investigator to investigate the reportable allegation or reportable conviction on behalf of the head of the relevant entity;</w:t>
      </w:r>
    </w:p>
    <w:p>
      <w:pPr>
        <w:pStyle w:val="Indenta"/>
      </w:pPr>
      <w:r>
        <w:tab/>
      </w:r>
      <w:r>
        <w:tab/>
        <w:t>and</w:t>
      </w:r>
    </w:p>
    <w:p>
      <w:pPr>
        <w:pStyle w:val="Indenta"/>
      </w:pPr>
      <w:r>
        <w:tab/>
        <w:t>(b)</w:t>
      </w:r>
      <w:r>
        <w:tab/>
        <w:t>must inform the Commissioner of the name and contact details of the person or body, or position or unit in the relevant entity, responsible for conducting the investigation on behalf of the relevant entity.</w:t>
      </w:r>
    </w:p>
    <w:p>
      <w:pPr>
        <w:pStyle w:val="Subsection"/>
      </w:pPr>
      <w:r>
        <w:tab/>
        <w:t>(2)</w:t>
      </w:r>
      <w:r>
        <w:tab/>
        <w:t>The head of a relevant entity must take all reasonable steps to ensure that an investigation under subsection (1) is carried out in a timely way.</w:t>
      </w:r>
    </w:p>
    <w:p>
      <w:pPr>
        <w:pStyle w:val="Subsection"/>
      </w:pPr>
      <w:r>
        <w:tab/>
        <w:t>(3)</w:t>
      </w:r>
      <w:r>
        <w:tab/>
        <w:t xml:space="preserve">As soon as practicable after conducting an investigation in relation to an employee under subsection (1), the head of a relevant entity must either — </w:t>
      </w:r>
    </w:p>
    <w:p>
      <w:pPr>
        <w:pStyle w:val="Indenta"/>
      </w:pPr>
      <w:r>
        <w:lastRenderedPageBreak/>
        <w:tab/>
        <w:t>(a)</w:t>
      </w:r>
      <w:r>
        <w:tab/>
        <w:t>make a finding of reportable conduct in relation to the employee if the head of relevant entity has formed the view, on reasonable grounds, that reportable conduct involving the employee has occurred; or</w:t>
      </w:r>
    </w:p>
    <w:p>
      <w:pPr>
        <w:pStyle w:val="Indenta"/>
      </w:pPr>
      <w:r>
        <w:tab/>
        <w:t>(b)</w:t>
      </w:r>
      <w:r>
        <w:tab/>
        <w:t>make a finding that there are no grounds, or no reasonable grounds, for the head of the relevant entity to form the view that reportable conduct involving the employee has occurred.</w:t>
      </w:r>
    </w:p>
    <w:p>
      <w:pPr>
        <w:pStyle w:val="Subsection"/>
      </w:pPr>
      <w:r>
        <w:tab/>
        <w:t>(4)</w:t>
      </w:r>
      <w:r>
        <w:tab/>
        <w:t xml:space="preserve">As soon as practicable after making a finding of reportable conduct in relation to an employee under this Act, the head of the relevant entity must ensure that — </w:t>
      </w:r>
    </w:p>
    <w:p>
      <w:pPr>
        <w:pStyle w:val="Indenta"/>
      </w:pPr>
      <w:r>
        <w:tab/>
        <w:t>(a)</w:t>
      </w:r>
      <w:r>
        <w:tab/>
        <w:t>appropriate action is taken in relation to the employee in response to the finding; and</w:t>
      </w:r>
    </w:p>
    <w:p>
      <w:pPr>
        <w:pStyle w:val="Indenta"/>
      </w:pPr>
      <w:r>
        <w:tab/>
        <w:t>(b)</w:t>
      </w:r>
      <w:r>
        <w:tab/>
        <w:t>if the head of the relevant entity has formed the view that it is needed, appropriate action is taken to improve the identification or prevention of reportable conduct or the reporting, notification or investigation of reportable allegations and reportable convictions involving employees of the relevant entity.</w:t>
      </w:r>
    </w:p>
    <w:p>
      <w:pPr>
        <w:pStyle w:val="Subsection"/>
      </w:pPr>
      <w:r>
        <w:tab/>
        <w:t>(5)</w:t>
      </w:r>
      <w:r>
        <w:tab/>
        <w:t>The Commissioner may, in writing, request the head of a relevant entity to provide investigation information to the Commissioner.</w:t>
      </w:r>
    </w:p>
    <w:p>
      <w:pPr>
        <w:pStyle w:val="Subsection"/>
      </w:pPr>
      <w:r>
        <w:tab/>
        <w:t>(6)</w:t>
      </w:r>
      <w:r>
        <w:tab/>
        <w:t>The head of a relevant entity must comply with a request under subsection (5).</w:t>
      </w:r>
    </w:p>
    <w:p>
      <w:pPr>
        <w:pStyle w:val="Subsection"/>
        <w:keepNext/>
      </w:pPr>
      <w:r>
        <w:tab/>
        <w:t>(7)</w:t>
      </w:r>
      <w:r>
        <w:tab/>
        <w:t>It is an offence for the head of a relevant entity to fail, without reasonable excuse, to comply with subsection (1) or (6).</w:t>
      </w:r>
    </w:p>
    <w:p>
      <w:pPr>
        <w:pStyle w:val="Penstart"/>
        <w:keepNext/>
        <w:rPr>
          <w:snapToGrid w:val="0"/>
        </w:rPr>
      </w:pPr>
      <w:r>
        <w:tab/>
        <w:t>Penalty for this subsection:</w:t>
      </w:r>
      <w:r>
        <w:rPr>
          <w:snapToGrid w:val="0"/>
        </w:rPr>
        <w:t xml:space="preserve"> a fine of $5 000.</w:t>
      </w:r>
    </w:p>
    <w:p>
      <w:pPr>
        <w:pStyle w:val="Footnotesection"/>
      </w:pPr>
      <w:r>
        <w:tab/>
        <w:t>[Section 19W inserted: No. 25 of 2022 s. 7.]</w:t>
      </w:r>
    </w:p>
    <w:p>
      <w:pPr>
        <w:pStyle w:val="Heading5"/>
      </w:pPr>
      <w:bookmarkStart w:id="79" w:name="_Toc153978103"/>
      <w:r>
        <w:rPr>
          <w:rStyle w:val="CharSectno"/>
        </w:rPr>
        <w:lastRenderedPageBreak/>
        <w:t>19X</w:t>
      </w:r>
      <w:r>
        <w:t>.</w:t>
      </w:r>
      <w:r>
        <w:tab/>
        <w:t>Informing employee of certain matters and giving employee opportunity to make submissions</w:t>
      </w:r>
      <w:bookmarkEnd w:id="79"/>
    </w:p>
    <w:p>
      <w:pPr>
        <w:pStyle w:val="Subsection"/>
      </w:pPr>
      <w:r>
        <w:tab/>
        <w:t>(1)</w:t>
      </w:r>
      <w:r>
        <w:tab/>
        <w:t>This section applies if an employee of a relevant entity is the subject of an investigation under section 19W(1).</w:t>
      </w:r>
    </w:p>
    <w:p>
      <w:pPr>
        <w:pStyle w:val="Subsection"/>
      </w:pPr>
      <w:r>
        <w:tab/>
        <w:t>(2)</w:t>
      </w:r>
      <w:r>
        <w:tab/>
        <w:t xml:space="preserve">Before any adverse finding in relation to the employee is made as a result of the investigation, the head of the relevant entity — </w:t>
      </w:r>
    </w:p>
    <w:p>
      <w:pPr>
        <w:pStyle w:val="Indenta"/>
      </w:pPr>
      <w:r>
        <w:tab/>
        <w:t>(a)</w:t>
      </w:r>
      <w:r>
        <w:tab/>
        <w:t xml:space="preserve">must — </w:t>
      </w:r>
    </w:p>
    <w:p>
      <w:pPr>
        <w:pStyle w:val="Indenti"/>
      </w:pPr>
      <w:r>
        <w:tab/>
        <w:t>(i)</w:t>
      </w:r>
      <w:r>
        <w:tab/>
        <w:t>inform the employee that the employee is the subject of the investigation; and</w:t>
      </w:r>
    </w:p>
    <w:p>
      <w:pPr>
        <w:pStyle w:val="Indenti"/>
      </w:pPr>
      <w:r>
        <w:tab/>
        <w:t>(ii)</w:t>
      </w:r>
      <w:r>
        <w:tab/>
        <w:t>inform the employee of the reportable allegation or reportable conviction being investigated; and</w:t>
      </w:r>
    </w:p>
    <w:p>
      <w:pPr>
        <w:pStyle w:val="Indenti"/>
      </w:pPr>
      <w:r>
        <w:tab/>
        <w:t>(iii)</w:t>
      </w:r>
      <w:r>
        <w:tab/>
        <w:t>give the employee an opportunity to make submissions to the head of the relevant entity setting out the employee’s response in relation to the reportable allegation or reportable conviction being investigated;</w:t>
      </w:r>
    </w:p>
    <w:p>
      <w:pPr>
        <w:pStyle w:val="Indenta"/>
      </w:pPr>
      <w:r>
        <w:tab/>
      </w:r>
      <w:r>
        <w:tab/>
        <w:t>and</w:t>
      </w:r>
    </w:p>
    <w:p>
      <w:pPr>
        <w:pStyle w:val="Indenta"/>
      </w:pPr>
      <w:r>
        <w:tab/>
        <w:t>(b)</w:t>
      </w:r>
      <w:r>
        <w:tab/>
        <w:t xml:space="preserve">must, after complying with paragraph (a) and considering any submissions made by the employee — </w:t>
      </w:r>
    </w:p>
    <w:p>
      <w:pPr>
        <w:pStyle w:val="Indenti"/>
      </w:pPr>
      <w:r>
        <w:tab/>
        <w:t>(i)</w:t>
      </w:r>
      <w:r>
        <w:tab/>
        <w:t>inform the employee of the proposed adverse finding; and</w:t>
      </w:r>
    </w:p>
    <w:p>
      <w:pPr>
        <w:pStyle w:val="Indenti"/>
      </w:pPr>
      <w:r>
        <w:tab/>
        <w:t>(ii)</w:t>
      </w:r>
      <w:r>
        <w:tab/>
        <w:t>give the employee an opportunity to make submissions to the head of the relevant entity setting out the employee’s responses in relation to the proposed adverse finding.</w:t>
      </w:r>
    </w:p>
    <w:p>
      <w:pPr>
        <w:pStyle w:val="Subsection"/>
        <w:keepNext/>
      </w:pPr>
      <w:r>
        <w:tab/>
        <w:t>(3)</w:t>
      </w:r>
      <w:r>
        <w:tab/>
        <w:t xml:space="preserve">Before any disciplinary or other action is taken in relation to the employee as a result of the findings of the investigation, the head of the relevant entity must — </w:t>
      </w:r>
    </w:p>
    <w:p>
      <w:pPr>
        <w:pStyle w:val="Indenta"/>
      </w:pPr>
      <w:r>
        <w:tab/>
        <w:t>(a)</w:t>
      </w:r>
      <w:r>
        <w:tab/>
        <w:t>inform the employee of the action that is proposed to be taken; and</w:t>
      </w:r>
    </w:p>
    <w:p>
      <w:pPr>
        <w:pStyle w:val="Indenta"/>
      </w:pPr>
      <w:r>
        <w:tab/>
        <w:t>(b)</w:t>
      </w:r>
      <w:r>
        <w:tab/>
        <w:t xml:space="preserve">give the employee an opportunity to make submissions to the head of the relevant entity setting out the </w:t>
      </w:r>
      <w:r>
        <w:lastRenderedPageBreak/>
        <w:t>employee’s response in relation to the action that is proposed to be taken.</w:t>
      </w:r>
    </w:p>
    <w:p>
      <w:pPr>
        <w:pStyle w:val="Footnotesection"/>
      </w:pPr>
      <w:r>
        <w:tab/>
        <w:t>[Section 19X inserted: No. 25 of 2022 s. 7.]</w:t>
      </w:r>
    </w:p>
    <w:p>
      <w:pPr>
        <w:pStyle w:val="Heading5"/>
      </w:pPr>
      <w:bookmarkStart w:id="80" w:name="_Toc153978104"/>
      <w:r>
        <w:rPr>
          <w:rStyle w:val="CharSectno"/>
        </w:rPr>
        <w:t>19Y</w:t>
      </w:r>
      <w:r>
        <w:t>.</w:t>
      </w:r>
      <w:r>
        <w:tab/>
        <w:t>Commissioner must be notified of matters affecting investigation</w:t>
      </w:r>
      <w:bookmarkEnd w:id="80"/>
    </w:p>
    <w:p>
      <w:pPr>
        <w:pStyle w:val="Subsection"/>
      </w:pPr>
      <w:r>
        <w:tab/>
        <w:t>(1)</w:t>
      </w:r>
      <w:r>
        <w:tab/>
        <w:t xml:space="preserve">The head of a relevant entity must, as soon as practicable, notify the Commissioner if, in relation to a matter being investigated under section 19W(1), the head of the relevant entity — </w:t>
      </w:r>
    </w:p>
    <w:p>
      <w:pPr>
        <w:pStyle w:val="Indenta"/>
      </w:pPr>
      <w:r>
        <w:tab/>
        <w:t>(a)</w:t>
      </w:r>
      <w:r>
        <w:tab/>
        <w:t xml:space="preserve">forms the view on reasonable grounds that — </w:t>
      </w:r>
    </w:p>
    <w:p>
      <w:pPr>
        <w:pStyle w:val="Indenti"/>
      </w:pPr>
      <w:r>
        <w:tab/>
        <w:t>(i)</w:t>
      </w:r>
      <w:r>
        <w:tab/>
        <w:t>the matter does not constitute reportable conduct; or</w:t>
      </w:r>
    </w:p>
    <w:p>
      <w:pPr>
        <w:pStyle w:val="Indenti"/>
      </w:pPr>
      <w:r>
        <w:tab/>
        <w:t>(ii)</w:t>
      </w:r>
      <w:r>
        <w:tab/>
        <w:t>the report of the matter to the relevant entity under section 19T is frivolous or vexatious or not made in good faith;</w:t>
      </w:r>
    </w:p>
    <w:p>
      <w:pPr>
        <w:pStyle w:val="Indenta"/>
      </w:pPr>
      <w:r>
        <w:tab/>
      </w:r>
      <w:r>
        <w:tab/>
        <w:t>or</w:t>
      </w:r>
    </w:p>
    <w:p>
      <w:pPr>
        <w:pStyle w:val="Indenta"/>
      </w:pPr>
      <w:r>
        <w:tab/>
        <w:t>(b)</w:t>
      </w:r>
      <w:r>
        <w:tab/>
        <w:t>becomes aware that another appropriate person or body is dealing with or investigating the matter; or</w:t>
      </w:r>
    </w:p>
    <w:p>
      <w:pPr>
        <w:pStyle w:val="Indenta"/>
      </w:pPr>
      <w:r>
        <w:tab/>
        <w:t>(c)</w:t>
      </w:r>
      <w:r>
        <w:tab/>
        <w:t>is required by law to comply with the directions of another person or body in relation to the investigation of the matter; or</w:t>
      </w:r>
    </w:p>
    <w:p>
      <w:pPr>
        <w:pStyle w:val="Indenta"/>
      </w:pPr>
      <w:r>
        <w:tab/>
        <w:t>(d)</w:t>
      </w:r>
      <w:r>
        <w:tab/>
        <w:t>is requested or directed by another appropriate person or body to cease, or discontinue for a period, the investigation of the matter.</w:t>
      </w:r>
    </w:p>
    <w:p>
      <w:pPr>
        <w:pStyle w:val="Subsection"/>
        <w:keepNext/>
      </w:pPr>
      <w:r>
        <w:tab/>
        <w:t>(2)</w:t>
      </w:r>
      <w:r>
        <w:tab/>
        <w:t xml:space="preserve">The notice must — </w:t>
      </w:r>
    </w:p>
    <w:p>
      <w:pPr>
        <w:pStyle w:val="Indenta"/>
      </w:pPr>
      <w:r>
        <w:tab/>
        <w:t>(a)</w:t>
      </w:r>
      <w:r>
        <w:tab/>
        <w:t>be given in writing and be in the form approved by the Commissioner (if any); and</w:t>
      </w:r>
    </w:p>
    <w:p>
      <w:pPr>
        <w:pStyle w:val="Indenta"/>
      </w:pPr>
      <w:r>
        <w:tab/>
        <w:t>(b)</w:t>
      </w:r>
      <w:r>
        <w:tab/>
        <w:t>contain the information required by the Commissioner.</w:t>
      </w:r>
    </w:p>
    <w:p>
      <w:pPr>
        <w:pStyle w:val="Subsection"/>
      </w:pPr>
      <w:r>
        <w:tab/>
        <w:t>(3)</w:t>
      </w:r>
      <w:r>
        <w:tab/>
        <w:t>The head of the relevant entity may, in the notice, request the Commissioner to exempt the head of the relevant entity under section 19P(1) from the requirement to continue the investigation.</w:t>
      </w:r>
    </w:p>
    <w:p>
      <w:pPr>
        <w:pStyle w:val="Footnotesection"/>
      </w:pPr>
      <w:r>
        <w:lastRenderedPageBreak/>
        <w:tab/>
        <w:t>[Section 19Y inserted: No. 25 of 2022 s. 7.]</w:t>
      </w:r>
    </w:p>
    <w:p>
      <w:pPr>
        <w:pStyle w:val="Heading5"/>
      </w:pPr>
      <w:bookmarkStart w:id="81" w:name="_Toc153978105"/>
      <w:r>
        <w:rPr>
          <w:rStyle w:val="CharSectno"/>
        </w:rPr>
        <w:t>19Z</w:t>
      </w:r>
      <w:r>
        <w:t>.</w:t>
      </w:r>
      <w:r>
        <w:tab/>
        <w:t>Head of relevant entity must report outcome of investigation to Commissioner</w:t>
      </w:r>
      <w:bookmarkEnd w:id="81"/>
    </w:p>
    <w:p>
      <w:pPr>
        <w:pStyle w:val="Subsection"/>
      </w:pPr>
      <w:r>
        <w:tab/>
        <w:t>(1)</w:t>
      </w:r>
      <w:r>
        <w:tab/>
        <w:t xml:space="preserve">The head of a relevant entity must, as soon as practicable after the end of an investigation under section 19W(1), give the Commissioner — </w:t>
      </w:r>
    </w:p>
    <w:p>
      <w:pPr>
        <w:pStyle w:val="Indenta"/>
      </w:pPr>
      <w:r>
        <w:tab/>
        <w:t>(a)</w:t>
      </w:r>
      <w:r>
        <w:tab/>
        <w:t xml:space="preserve">a written report setting out — </w:t>
      </w:r>
    </w:p>
    <w:p>
      <w:pPr>
        <w:pStyle w:val="Indenti"/>
      </w:pPr>
      <w:r>
        <w:tab/>
        <w:t>(i)</w:t>
      </w:r>
      <w:r>
        <w:tab/>
        <w:t>the findings of the investigation and the reasons for those findings; and</w:t>
      </w:r>
    </w:p>
    <w:p>
      <w:pPr>
        <w:pStyle w:val="Indenti"/>
      </w:pPr>
      <w:r>
        <w:tab/>
        <w:t>(ii)</w:t>
      </w:r>
      <w:r>
        <w:tab/>
        <w:t>any submissions made by the employee under section 19X; and</w:t>
      </w:r>
    </w:p>
    <w:p>
      <w:pPr>
        <w:pStyle w:val="Indenti"/>
      </w:pPr>
      <w:r>
        <w:tab/>
        <w:t>(iii)</w:t>
      </w:r>
      <w:r>
        <w:tab/>
        <w:t>any disciplinary or other action taken, or proposed to be taken, in relation to the employee as a result of the findings of the investigation; and</w:t>
      </w:r>
    </w:p>
    <w:p>
      <w:pPr>
        <w:pStyle w:val="Indenti"/>
      </w:pPr>
      <w:r>
        <w:tab/>
        <w:t>(iv)</w:t>
      </w:r>
      <w:r>
        <w:tab/>
        <w:t>if the entity does not propose to take any disciplinary or other action in relation to the employee — the reasons why no action is to be taken; and</w:t>
      </w:r>
    </w:p>
    <w:p>
      <w:pPr>
        <w:pStyle w:val="Indenti"/>
        <w:keepNext/>
      </w:pPr>
      <w:r>
        <w:tab/>
        <w:t>(v)</w:t>
      </w:r>
      <w:r>
        <w:tab/>
        <w:t>any action taken, or proposed to be taken, as a result of the findings of the investigation, to improve the identification or prevention of reportable conduct, or the reporting, notification or investigation of reportable allegations and reportable convictions, involving employees of the relevant entity;</w:t>
      </w:r>
    </w:p>
    <w:p>
      <w:pPr>
        <w:pStyle w:val="Indenta"/>
      </w:pPr>
      <w:r>
        <w:tab/>
      </w:r>
      <w:r>
        <w:tab/>
        <w:t>and</w:t>
      </w:r>
    </w:p>
    <w:p>
      <w:pPr>
        <w:pStyle w:val="Indenta"/>
      </w:pPr>
      <w:r>
        <w:tab/>
        <w:t>(b)</w:t>
      </w:r>
      <w:r>
        <w:tab/>
        <w:t>any other information that the head of the relevant entity considers relevant to the report.</w:t>
      </w:r>
    </w:p>
    <w:p>
      <w:pPr>
        <w:pStyle w:val="Subsection"/>
      </w:pPr>
      <w:r>
        <w:tab/>
        <w:t>(2)</w:t>
      </w:r>
      <w:r>
        <w:tab/>
        <w:t xml:space="preserve">After receiving the report and other information, the Commissioner may, by written notice given to the head of the relevant entity, request any additional information specified in </w:t>
      </w:r>
      <w:r>
        <w:lastRenderedPageBreak/>
        <w:t>the notice that the Commissioner considers relevant to determine whether —</w:t>
      </w:r>
    </w:p>
    <w:p>
      <w:pPr>
        <w:pStyle w:val="Indenta"/>
      </w:pPr>
      <w:r>
        <w:tab/>
        <w:t>(a)</w:t>
      </w:r>
      <w:r>
        <w:tab/>
        <w:t>the reportable allegation or reportable conviction was properly investigated; and</w:t>
      </w:r>
    </w:p>
    <w:p>
      <w:pPr>
        <w:pStyle w:val="Indenta"/>
      </w:pPr>
      <w:r>
        <w:tab/>
        <w:t>(b)</w:t>
      </w:r>
      <w:r>
        <w:tab/>
        <w:t>appropriate action was taken as a result of the investigation.</w:t>
      </w:r>
    </w:p>
    <w:p>
      <w:pPr>
        <w:pStyle w:val="Subsection"/>
      </w:pPr>
      <w:r>
        <w:tab/>
        <w:t>(3)</w:t>
      </w:r>
      <w:r>
        <w:tab/>
        <w:t>The head of a relevant entity must comply with a request under subsection (2).</w:t>
      </w:r>
    </w:p>
    <w:p>
      <w:pPr>
        <w:pStyle w:val="Subsection"/>
      </w:pPr>
      <w:r>
        <w:tab/>
        <w:t>(4)</w:t>
      </w:r>
      <w:r>
        <w:tab/>
        <w:t>It is an offence for the head of a relevant entity to fail, without reasonable excuse, to comply with subsection (1) or (3).</w:t>
      </w:r>
    </w:p>
    <w:p>
      <w:pPr>
        <w:pStyle w:val="Penstart"/>
        <w:rPr>
          <w:snapToGrid w:val="0"/>
        </w:rPr>
      </w:pPr>
      <w:r>
        <w:tab/>
        <w:t>Penalty for this subsection:</w:t>
      </w:r>
      <w:r>
        <w:rPr>
          <w:snapToGrid w:val="0"/>
        </w:rPr>
        <w:t xml:space="preserve"> a fine of $5 000.</w:t>
      </w:r>
    </w:p>
    <w:p>
      <w:pPr>
        <w:pStyle w:val="Footnotesection"/>
      </w:pPr>
      <w:r>
        <w:tab/>
        <w:t>[Section 19Z inserted: No. 25 of 2022 s. 7.]</w:t>
      </w:r>
    </w:p>
    <w:p>
      <w:pPr>
        <w:pStyle w:val="Heading5"/>
      </w:pPr>
      <w:bookmarkStart w:id="82" w:name="_Toc153978106"/>
      <w:r>
        <w:rPr>
          <w:rStyle w:val="CharSectno"/>
        </w:rPr>
        <w:t>19ZA</w:t>
      </w:r>
      <w:r>
        <w:t>.</w:t>
      </w:r>
      <w:r>
        <w:tab/>
        <w:t>Head of relevant entity must report outcome of investigation to employee if employee informed of investigation</w:t>
      </w:r>
      <w:bookmarkEnd w:id="82"/>
    </w:p>
    <w:p>
      <w:pPr>
        <w:pStyle w:val="Subsection"/>
      </w:pPr>
      <w:r>
        <w:tab/>
        <w:t>(1)</w:t>
      </w:r>
      <w:r>
        <w:tab/>
        <w:t>This section applies if an employee of a relevant entity is the subject of an investigation under section 19W(1) and the head of the relevant entity has informed the employee of the investigation.</w:t>
      </w:r>
    </w:p>
    <w:p>
      <w:pPr>
        <w:pStyle w:val="Subsection"/>
      </w:pPr>
      <w:r>
        <w:tab/>
        <w:t>(2)</w:t>
      </w:r>
      <w:r>
        <w:tab/>
        <w:t>The head of a relevant entity must, as soon as practicable after the end of an investigation under section 19W(1), give the employee —</w:t>
      </w:r>
    </w:p>
    <w:p>
      <w:pPr>
        <w:pStyle w:val="Indenta"/>
      </w:pPr>
      <w:r>
        <w:tab/>
        <w:t>(a)</w:t>
      </w:r>
      <w:r>
        <w:tab/>
        <w:t>written notice stating that the investigation has ended; and</w:t>
      </w:r>
    </w:p>
    <w:p>
      <w:pPr>
        <w:pStyle w:val="Indenta"/>
      </w:pPr>
      <w:r>
        <w:tab/>
        <w:t>(b)</w:t>
      </w:r>
      <w:r>
        <w:tab/>
        <w:t>a written report setting out the findings of the investigation and the reasons for those findings.</w:t>
      </w:r>
    </w:p>
    <w:p>
      <w:pPr>
        <w:pStyle w:val="Footnotesection"/>
      </w:pPr>
      <w:r>
        <w:tab/>
        <w:t>[Section 19ZA inserted: No. 25 of 2022 s. 7.]</w:t>
      </w:r>
    </w:p>
    <w:p>
      <w:pPr>
        <w:pStyle w:val="Heading5"/>
      </w:pPr>
      <w:bookmarkStart w:id="83" w:name="_Toc153978107"/>
      <w:r>
        <w:rPr>
          <w:rStyle w:val="CharSectno"/>
        </w:rPr>
        <w:lastRenderedPageBreak/>
        <w:t>19ZB</w:t>
      </w:r>
      <w:r>
        <w:t>.</w:t>
      </w:r>
      <w:r>
        <w:tab/>
        <w:t>Commissioner may conduct own investigation</w:t>
      </w:r>
      <w:bookmarkEnd w:id="83"/>
    </w:p>
    <w:p>
      <w:pPr>
        <w:pStyle w:val="Subsection"/>
        <w:keepNext/>
      </w:pPr>
      <w:r>
        <w:tab/>
        <w:t>(1)</w:t>
      </w:r>
      <w:r>
        <w:tab/>
        <w:t xml:space="preserve">The Commissioner may conduct an investigation into any of the following — </w:t>
      </w:r>
    </w:p>
    <w:p>
      <w:pPr>
        <w:pStyle w:val="Indenta"/>
      </w:pPr>
      <w:r>
        <w:tab/>
        <w:t>(a)</w:t>
      </w:r>
      <w:r>
        <w:tab/>
        <w:t>any reportable allegation or reportable conviction involving an employee of a relevant entity;</w:t>
      </w:r>
    </w:p>
    <w:p>
      <w:pPr>
        <w:pStyle w:val="Indenta"/>
      </w:pPr>
      <w:r>
        <w:tab/>
        <w:t>(b)</w:t>
      </w:r>
      <w:r>
        <w:tab/>
        <w:t>the handling or investigation by the head of a relevant entity of a reportable allegation or reportable conviction involving an employee of the relevant entity;</w:t>
      </w:r>
    </w:p>
    <w:p>
      <w:pPr>
        <w:pStyle w:val="Indenta"/>
      </w:pPr>
      <w:r>
        <w:tab/>
        <w:t>(c)</w:t>
      </w:r>
      <w:r>
        <w:tab/>
        <w:t>any action taken or not taken by the head of a relevant entity in response to a finding of reportable conduct in relation to an employee of the relevant entity.</w:t>
      </w:r>
    </w:p>
    <w:p>
      <w:pPr>
        <w:pStyle w:val="Subsection"/>
      </w:pPr>
      <w:r>
        <w:tab/>
        <w:t>(2)</w:t>
      </w:r>
      <w:r>
        <w:tab/>
        <w:t>The Commissioner must not conduct an investigation under this section unless the Commissioner considers that it is in the public interest to do so.</w:t>
      </w:r>
    </w:p>
    <w:p>
      <w:pPr>
        <w:pStyle w:val="Subsection"/>
      </w:pPr>
      <w:r>
        <w:tab/>
        <w:t>(3)</w:t>
      </w:r>
      <w:r>
        <w:tab/>
        <w:t>The Commissioner may decide to conduct an investigation under this section —</w:t>
      </w:r>
    </w:p>
    <w:p>
      <w:pPr>
        <w:pStyle w:val="Indenta"/>
      </w:pPr>
      <w:r>
        <w:tab/>
        <w:t>(a)</w:t>
      </w:r>
      <w:r>
        <w:tab/>
        <w:t>on the Commissioner’s own initiative; or</w:t>
      </w:r>
    </w:p>
    <w:p>
      <w:pPr>
        <w:pStyle w:val="Indenta"/>
      </w:pPr>
      <w:r>
        <w:tab/>
        <w:t>(b)</w:t>
      </w:r>
      <w:r>
        <w:tab/>
        <w:t>i</w:t>
      </w:r>
      <w:r>
        <w:rPr>
          <w:szCs w:val="24"/>
        </w:rPr>
        <w:t>n response to a report or disclosure under this Division</w:t>
      </w:r>
      <w:r>
        <w:t>; or</w:t>
      </w:r>
    </w:p>
    <w:p>
      <w:pPr>
        <w:pStyle w:val="Indenta"/>
      </w:pPr>
      <w:r>
        <w:tab/>
        <w:t>(c)</w:t>
      </w:r>
      <w:r>
        <w:tab/>
        <w:t xml:space="preserve">in response to </w:t>
      </w:r>
      <w:r>
        <w:rPr>
          <w:szCs w:val="24"/>
        </w:rPr>
        <w:t>a complaint made to the Commissioner by an employee of a relevant entity in relation to any of the following</w:t>
      </w:r>
      <w:r>
        <w:t xml:space="preserve"> — </w:t>
      </w:r>
    </w:p>
    <w:p>
      <w:pPr>
        <w:pStyle w:val="Indenti"/>
      </w:pPr>
      <w:r>
        <w:tab/>
        <w:t>(i)</w:t>
      </w:r>
      <w:r>
        <w:tab/>
      </w:r>
      <w:r>
        <w:rPr>
          <w:szCs w:val="24"/>
        </w:rPr>
        <w:t>the handling or investigation by the head of a relevant entity under this Division of a reportable allegation or reportable conviction involving the employee</w:t>
      </w:r>
      <w:r>
        <w:t>;</w:t>
      </w:r>
    </w:p>
    <w:p>
      <w:pPr>
        <w:pStyle w:val="Indenti"/>
      </w:pPr>
      <w:r>
        <w:tab/>
        <w:t>(ii)</w:t>
      </w:r>
      <w:r>
        <w:tab/>
        <w:t>a finding of reportable conduct in relation to the employee;</w:t>
      </w:r>
    </w:p>
    <w:p>
      <w:pPr>
        <w:pStyle w:val="Indenti"/>
      </w:pPr>
      <w:r>
        <w:tab/>
        <w:t>(iii)</w:t>
      </w:r>
      <w:r>
        <w:tab/>
        <w:t>any action taken or not taken by the head of a relevant entity in response to a finding of reportable conduct in relation to the employee;</w:t>
      </w:r>
    </w:p>
    <w:p>
      <w:pPr>
        <w:pStyle w:val="Indenta"/>
      </w:pPr>
      <w:r>
        <w:rPr>
          <w:szCs w:val="24"/>
        </w:rPr>
        <w:tab/>
      </w:r>
      <w:r>
        <w:rPr>
          <w:szCs w:val="24"/>
        </w:rPr>
        <w:tab/>
        <w:t>or</w:t>
      </w:r>
    </w:p>
    <w:p>
      <w:pPr>
        <w:pStyle w:val="Indenta"/>
      </w:pPr>
      <w:r>
        <w:lastRenderedPageBreak/>
        <w:tab/>
        <w:t>(d)</w:t>
      </w:r>
      <w:r>
        <w:tab/>
        <w:t xml:space="preserve">in response to </w:t>
      </w:r>
      <w:r>
        <w:rPr>
          <w:szCs w:val="24"/>
        </w:rPr>
        <w:t>a complaint made to the Commissioner by any other person in relation to any of the following that affects the person in the person’s personal capacity</w:t>
      </w:r>
      <w:r>
        <w:t xml:space="preserve"> — </w:t>
      </w:r>
    </w:p>
    <w:p>
      <w:pPr>
        <w:pStyle w:val="Indenti"/>
      </w:pPr>
      <w:r>
        <w:tab/>
        <w:t>(i)</w:t>
      </w:r>
      <w:r>
        <w:tab/>
      </w:r>
      <w:r>
        <w:rPr>
          <w:szCs w:val="24"/>
        </w:rPr>
        <w:t>the handling or investigation by the head of a relevant entity under this Division of a reportable allegation or reportable conviction involving an employee of the relevant entity</w:t>
      </w:r>
      <w:r>
        <w:t>;</w:t>
      </w:r>
    </w:p>
    <w:p>
      <w:pPr>
        <w:pStyle w:val="Indenti"/>
      </w:pPr>
      <w:r>
        <w:tab/>
        <w:t>(ii)</w:t>
      </w:r>
      <w:r>
        <w:tab/>
        <w:t>a finding of reportable conduct in relation to an employee of the relevant entity;</w:t>
      </w:r>
    </w:p>
    <w:p>
      <w:pPr>
        <w:pStyle w:val="Indenti"/>
      </w:pPr>
      <w:r>
        <w:tab/>
        <w:t>(iii)</w:t>
      </w:r>
      <w:r>
        <w:tab/>
        <w:t>any action taken or not taken by the head of a relevant entity in response to a finding of reportable conduct in relation to an employee of the relevant entity.</w:t>
      </w:r>
    </w:p>
    <w:p>
      <w:pPr>
        <w:pStyle w:val="Subsection"/>
      </w:pPr>
      <w:r>
        <w:tab/>
        <w:t>(4)</w:t>
      </w:r>
      <w:r>
        <w:tab/>
        <w:t xml:space="preserve">The Commissioner may make the following findings following an investigation under subsection (1)(a) — </w:t>
      </w:r>
    </w:p>
    <w:p>
      <w:pPr>
        <w:pStyle w:val="Indenta"/>
      </w:pPr>
      <w:r>
        <w:tab/>
        <w:t>(a)</w:t>
      </w:r>
      <w:r>
        <w:tab/>
        <w:t xml:space="preserve">in the case of an investigation of a reportable allegation involving an employee of a relevant entity — </w:t>
      </w:r>
    </w:p>
    <w:p>
      <w:pPr>
        <w:pStyle w:val="Indenti"/>
      </w:pPr>
      <w:r>
        <w:tab/>
        <w:t>(i)</w:t>
      </w:r>
      <w:r>
        <w:tab/>
        <w:t>that the Commissioner is of the opinion that the employee has engaged in reportable conduct; or</w:t>
      </w:r>
    </w:p>
    <w:p>
      <w:pPr>
        <w:pStyle w:val="Indenti"/>
      </w:pPr>
      <w:r>
        <w:tab/>
        <w:t>(ii)</w:t>
      </w:r>
      <w:r>
        <w:tab/>
        <w:t>that there are no grounds, or no reasonable grounds, for the Commissioner to form the opinion that the employee has engaged in reportable conduct;</w:t>
      </w:r>
    </w:p>
    <w:p>
      <w:pPr>
        <w:pStyle w:val="Indenta"/>
      </w:pPr>
      <w:r>
        <w:tab/>
        <w:t>(b)</w:t>
      </w:r>
      <w:r>
        <w:tab/>
        <w:t xml:space="preserve">in the case of an investigation of a reportable conviction involving an employee of a relevant entity — </w:t>
      </w:r>
    </w:p>
    <w:p>
      <w:pPr>
        <w:pStyle w:val="Indenti"/>
      </w:pPr>
      <w:r>
        <w:tab/>
        <w:t>(i)</w:t>
      </w:r>
      <w:r>
        <w:tab/>
        <w:t>that the employee has a reportable conviction; or</w:t>
      </w:r>
    </w:p>
    <w:p>
      <w:pPr>
        <w:pStyle w:val="Indenti"/>
      </w:pPr>
      <w:r>
        <w:tab/>
        <w:t>(ii)</w:t>
      </w:r>
      <w:r>
        <w:tab/>
        <w:t>that the employee does not have a reportable conviction.</w:t>
      </w:r>
    </w:p>
    <w:p>
      <w:pPr>
        <w:pStyle w:val="Footnotesection"/>
      </w:pPr>
      <w:r>
        <w:tab/>
        <w:t>[Section 19ZB inserted: No. 25 of 2022 s. 7.]</w:t>
      </w:r>
    </w:p>
    <w:p>
      <w:pPr>
        <w:pStyle w:val="Heading5"/>
      </w:pPr>
      <w:bookmarkStart w:id="84" w:name="_Toc153978108"/>
      <w:r>
        <w:rPr>
          <w:rStyle w:val="CharSectno"/>
        </w:rPr>
        <w:lastRenderedPageBreak/>
        <w:t>19ZC</w:t>
      </w:r>
      <w:r>
        <w:t>.</w:t>
      </w:r>
      <w:r>
        <w:tab/>
        <w:t>Notice to head of relevant entity of Commissioner’s investigation</w:t>
      </w:r>
      <w:bookmarkEnd w:id="84"/>
    </w:p>
    <w:p>
      <w:pPr>
        <w:pStyle w:val="Subsection"/>
      </w:pPr>
      <w:r>
        <w:tab/>
        <w:t>(1)</w:t>
      </w:r>
      <w:r>
        <w:tab/>
        <w:t>If the Commissioner decides to conduct an investigation under section 19ZB, the Commissioner must give the head of the relevant entity written notice stating —</w:t>
      </w:r>
    </w:p>
    <w:p>
      <w:pPr>
        <w:pStyle w:val="Indenta"/>
      </w:pPr>
      <w:r>
        <w:tab/>
        <w:t>(a)</w:t>
      </w:r>
      <w:r>
        <w:tab/>
        <w:t>that the Commissioner intends to conduct an investigation under section 19ZB; and</w:t>
      </w:r>
    </w:p>
    <w:p>
      <w:pPr>
        <w:pStyle w:val="Indenta"/>
      </w:pPr>
      <w:r>
        <w:tab/>
        <w:t>(b)</w:t>
      </w:r>
      <w:r>
        <w:tab/>
        <w:t>the matters to be investigated; and</w:t>
      </w:r>
    </w:p>
    <w:p>
      <w:pPr>
        <w:pStyle w:val="Indenta"/>
      </w:pPr>
      <w:r>
        <w:tab/>
        <w:t>(c)</w:t>
      </w:r>
      <w:r>
        <w:tab/>
        <w:t>whether the Commissioner requires the head of the relevant entity not to commence, or to suspend, an investigation into a matter the Commissioner has decided to investigate.</w:t>
      </w:r>
    </w:p>
    <w:p>
      <w:pPr>
        <w:pStyle w:val="Subsection"/>
      </w:pPr>
      <w:r>
        <w:tab/>
        <w:t>(2)</w:t>
      </w:r>
      <w:r>
        <w:tab/>
        <w:t>The Commissioner, on completing an investigation under section 19ZB, may require the head of the relevant entity to continue an investigation that is suspended under subsection (1)(c).</w:t>
      </w:r>
    </w:p>
    <w:p>
      <w:pPr>
        <w:pStyle w:val="Subsection"/>
      </w:pPr>
      <w:r>
        <w:tab/>
        <w:t>(3)</w:t>
      </w:r>
      <w:r>
        <w:tab/>
        <w:t>The head of a relevant entity must, as far as practicable, comply with a requirement of the Commissioner under subsection (1)(c) or (2).</w:t>
      </w:r>
    </w:p>
    <w:p>
      <w:pPr>
        <w:pStyle w:val="Subsection"/>
      </w:pPr>
      <w:r>
        <w:tab/>
        <w:t>(4)</w:t>
      </w:r>
      <w:r>
        <w:tab/>
        <w:t>It is an offence for the head of a relevant entity to fail, without reasonable excuse, to comply with subsection (3).</w:t>
      </w:r>
    </w:p>
    <w:p>
      <w:pPr>
        <w:pStyle w:val="Penstart"/>
        <w:rPr>
          <w:snapToGrid w:val="0"/>
        </w:rPr>
      </w:pPr>
      <w:r>
        <w:tab/>
        <w:t>Penalty for this subsection:</w:t>
      </w:r>
      <w:r>
        <w:rPr>
          <w:snapToGrid w:val="0"/>
        </w:rPr>
        <w:t xml:space="preserve"> a fine of $5 000.</w:t>
      </w:r>
    </w:p>
    <w:p>
      <w:pPr>
        <w:pStyle w:val="Footnotesection"/>
      </w:pPr>
      <w:r>
        <w:tab/>
        <w:t>[Section 19ZC inserted: No. 25 of 2022 s. 7.]</w:t>
      </w:r>
    </w:p>
    <w:p>
      <w:pPr>
        <w:pStyle w:val="Heading5"/>
      </w:pPr>
      <w:bookmarkStart w:id="85" w:name="_Toc153978109"/>
      <w:r>
        <w:rPr>
          <w:rStyle w:val="CharSectno"/>
        </w:rPr>
        <w:t>19ZD</w:t>
      </w:r>
      <w:r>
        <w:t>.</w:t>
      </w:r>
      <w:r>
        <w:tab/>
        <w:t>Provisions relating to investigation under section 19ZB(1)(a)</w:t>
      </w:r>
      <w:bookmarkEnd w:id="85"/>
    </w:p>
    <w:p>
      <w:pPr>
        <w:pStyle w:val="Subsection"/>
      </w:pPr>
      <w:r>
        <w:tab/>
        <w:t>(1)</w:t>
      </w:r>
      <w:r>
        <w:tab/>
        <w:t>This section applies if the Commissioner decides to conduct an investigation under section 19ZB(1)(a).</w:t>
      </w:r>
    </w:p>
    <w:p>
      <w:pPr>
        <w:pStyle w:val="Subsection"/>
      </w:pPr>
      <w:r>
        <w:tab/>
        <w:t>(2)</w:t>
      </w:r>
      <w:r>
        <w:tab/>
        <w:t>The Commissioner must give the employee who is the subject of the investigation written notice stating —</w:t>
      </w:r>
    </w:p>
    <w:p>
      <w:pPr>
        <w:pStyle w:val="Indenta"/>
      </w:pPr>
      <w:r>
        <w:tab/>
        <w:t>(a)</w:t>
      </w:r>
      <w:r>
        <w:tab/>
        <w:t>that the Commissioner intends to conduct an investigation under section 19ZB(1)(a); and</w:t>
      </w:r>
    </w:p>
    <w:p>
      <w:pPr>
        <w:pStyle w:val="Indenta"/>
      </w:pPr>
      <w:r>
        <w:lastRenderedPageBreak/>
        <w:tab/>
        <w:t>(b)</w:t>
      </w:r>
      <w:r>
        <w:tab/>
        <w:t>the reportable allegation or reportable conviction to be investigated.</w:t>
      </w:r>
    </w:p>
    <w:p>
      <w:pPr>
        <w:pStyle w:val="Subsection"/>
      </w:pPr>
      <w:r>
        <w:tab/>
        <w:t>(3)</w:t>
      </w:r>
      <w:r>
        <w:tab/>
        <w:t xml:space="preserve">As soon as practicable after the investigation ends, the Commissioner — </w:t>
      </w:r>
    </w:p>
    <w:p>
      <w:pPr>
        <w:pStyle w:val="Indenta"/>
      </w:pPr>
      <w:r>
        <w:tab/>
        <w:t>(a)</w:t>
      </w:r>
      <w:r>
        <w:tab/>
        <w:t xml:space="preserve">must give the head of the relevant entity — </w:t>
      </w:r>
    </w:p>
    <w:p>
      <w:pPr>
        <w:pStyle w:val="Indenti"/>
      </w:pPr>
      <w:r>
        <w:tab/>
        <w:t>(i)</w:t>
      </w:r>
      <w:r>
        <w:tab/>
        <w:t>written notice stating that the investigation has ended; and</w:t>
      </w:r>
    </w:p>
    <w:p>
      <w:pPr>
        <w:pStyle w:val="Indenti"/>
      </w:pPr>
      <w:r>
        <w:tab/>
        <w:t>(ii)</w:t>
      </w:r>
      <w:r>
        <w:tab/>
        <w:t>a written report setting out the findings of the investigation and the reasons for those findings;</w:t>
      </w:r>
    </w:p>
    <w:p>
      <w:pPr>
        <w:pStyle w:val="Indenta"/>
      </w:pPr>
      <w:r>
        <w:tab/>
      </w:r>
      <w:r>
        <w:tab/>
        <w:t>and</w:t>
      </w:r>
    </w:p>
    <w:p>
      <w:pPr>
        <w:pStyle w:val="Indenta"/>
      </w:pPr>
      <w:r>
        <w:tab/>
        <w:t>(b)</w:t>
      </w:r>
      <w:r>
        <w:tab/>
        <w:t>may make any recommendations that the Commissioner thinks fit.</w:t>
      </w:r>
    </w:p>
    <w:p>
      <w:pPr>
        <w:pStyle w:val="Subsection"/>
      </w:pPr>
      <w:r>
        <w:tab/>
        <w:t>(4)</w:t>
      </w:r>
      <w:r>
        <w:tab/>
        <w:t xml:space="preserve">The head of a relevant entity must not take any action to implement a recommendation of the Commissioner under subsection (3)(b) involving an employee of the relevant entity until the later of the following — </w:t>
      </w:r>
    </w:p>
    <w:p>
      <w:pPr>
        <w:pStyle w:val="Indenta"/>
      </w:pPr>
      <w:r>
        <w:tab/>
        <w:t>(a)</w:t>
      </w:r>
      <w:r>
        <w:tab/>
        <w:t>the end of the period under section 19ZF(2) for the employee to apply for a review of a finding of the Commissioner on the investigation;</w:t>
      </w:r>
    </w:p>
    <w:p>
      <w:pPr>
        <w:pStyle w:val="Indenta"/>
      </w:pPr>
      <w:r>
        <w:tab/>
        <w:t>(b)</w:t>
      </w:r>
      <w:r>
        <w:tab/>
        <w:t>if the employee makes an application under section 19ZF(1) for a review of a finding of the Commissioner on the investigation — the final determination of the review.</w:t>
      </w:r>
    </w:p>
    <w:p>
      <w:pPr>
        <w:pStyle w:val="Subsection"/>
      </w:pPr>
      <w:r>
        <w:tab/>
        <w:t>(5)</w:t>
      </w:r>
      <w:r>
        <w:tab/>
        <w:t xml:space="preserve">Nothing in subsection (4) prevents — </w:t>
      </w:r>
    </w:p>
    <w:p>
      <w:pPr>
        <w:pStyle w:val="Indenta"/>
      </w:pPr>
      <w:r>
        <w:tab/>
        <w:t>(a)</w:t>
      </w:r>
      <w:r>
        <w:tab/>
        <w:t>the CEO as defined in the CCS Act section 3 from taking action under that Act to safeguard or promote a child’s wellbeing; or</w:t>
      </w:r>
    </w:p>
    <w:p>
      <w:pPr>
        <w:pStyle w:val="Indenta"/>
      </w:pPr>
      <w:r>
        <w:tab/>
        <w:t>(b)</w:t>
      </w:r>
      <w:r>
        <w:tab/>
        <w:t>the head of a relevant entity taking any action that the head of the relevant entity considers should be taken to safeguard or promote a child’s wellbeing.</w:t>
      </w:r>
    </w:p>
    <w:p>
      <w:pPr>
        <w:pStyle w:val="Subsection"/>
      </w:pPr>
      <w:r>
        <w:lastRenderedPageBreak/>
        <w:tab/>
        <w:t>(6)</w:t>
      </w:r>
      <w:r>
        <w:tab/>
        <w:t xml:space="preserve">As soon as practicable after the investigation ends, the Commissioner must give the employee who was the subject of the investigation — </w:t>
      </w:r>
    </w:p>
    <w:p>
      <w:pPr>
        <w:pStyle w:val="Indenta"/>
      </w:pPr>
      <w:r>
        <w:tab/>
        <w:t>(a)</w:t>
      </w:r>
      <w:r>
        <w:tab/>
        <w:t>written notice stating that the investigation has ended; and</w:t>
      </w:r>
    </w:p>
    <w:p>
      <w:pPr>
        <w:pStyle w:val="Indenta"/>
      </w:pPr>
      <w:r>
        <w:tab/>
        <w:t>(b)</w:t>
      </w:r>
      <w:r>
        <w:tab/>
        <w:t xml:space="preserve">a written report setting out — </w:t>
      </w:r>
    </w:p>
    <w:p>
      <w:pPr>
        <w:pStyle w:val="Indenti"/>
      </w:pPr>
      <w:r>
        <w:tab/>
        <w:t>(i)</w:t>
      </w:r>
      <w:r>
        <w:tab/>
        <w:t>the findings of the investigation and the reasons for those findings; and</w:t>
      </w:r>
    </w:p>
    <w:p>
      <w:pPr>
        <w:pStyle w:val="Indenti"/>
      </w:pPr>
      <w:r>
        <w:tab/>
        <w:t>(ii)</w:t>
      </w:r>
      <w:r>
        <w:tab/>
        <w:t>any recommendation made under subsection (3)(b) in relation to the employee.</w:t>
      </w:r>
    </w:p>
    <w:p>
      <w:pPr>
        <w:pStyle w:val="Footnotesection"/>
      </w:pPr>
      <w:r>
        <w:tab/>
        <w:t>[Section 19ZD inserted: No. 25 of 2022 s. 7.]</w:t>
      </w:r>
    </w:p>
    <w:p>
      <w:pPr>
        <w:pStyle w:val="Heading5"/>
      </w:pPr>
      <w:bookmarkStart w:id="86" w:name="_Toc153978110"/>
      <w:r>
        <w:rPr>
          <w:rStyle w:val="CharSectno"/>
        </w:rPr>
        <w:t>19ZE</w:t>
      </w:r>
      <w:r>
        <w:t>.</w:t>
      </w:r>
      <w:r>
        <w:tab/>
        <w:t>Provision relating to investigation under section 19ZB(1)(b) or (c)</w:t>
      </w:r>
      <w:bookmarkEnd w:id="86"/>
    </w:p>
    <w:p>
      <w:pPr>
        <w:pStyle w:val="Subsection"/>
      </w:pPr>
      <w:r>
        <w:tab/>
      </w:r>
      <w:r>
        <w:tab/>
        <w:t xml:space="preserve">As soon as practicable after an investigation referred to in section 19ZB(1)(b) or (c) ends, the Commissioner — </w:t>
      </w:r>
    </w:p>
    <w:p>
      <w:pPr>
        <w:pStyle w:val="Indenta"/>
      </w:pPr>
      <w:r>
        <w:tab/>
        <w:t>(a)</w:t>
      </w:r>
      <w:r>
        <w:tab/>
        <w:t xml:space="preserve">must give the head of the relevant entity — </w:t>
      </w:r>
    </w:p>
    <w:p>
      <w:pPr>
        <w:pStyle w:val="Indenti"/>
      </w:pPr>
      <w:r>
        <w:tab/>
        <w:t>(i)</w:t>
      </w:r>
      <w:r>
        <w:tab/>
        <w:t>written notice stating that the investigation has ended; and</w:t>
      </w:r>
    </w:p>
    <w:p>
      <w:pPr>
        <w:pStyle w:val="Indenti"/>
      </w:pPr>
      <w:r>
        <w:tab/>
        <w:t>(ii)</w:t>
      </w:r>
      <w:r>
        <w:tab/>
        <w:t>a written report setting out the findings of the investigation and the reasons for those findings;</w:t>
      </w:r>
    </w:p>
    <w:p>
      <w:pPr>
        <w:pStyle w:val="Indenta"/>
      </w:pPr>
      <w:r>
        <w:tab/>
      </w:r>
      <w:r>
        <w:tab/>
        <w:t>and</w:t>
      </w:r>
    </w:p>
    <w:p>
      <w:pPr>
        <w:pStyle w:val="Indenta"/>
      </w:pPr>
      <w:r>
        <w:tab/>
        <w:t>(b)</w:t>
      </w:r>
      <w:r>
        <w:tab/>
        <w:t>may make any recommendations that the Commissioner thinks fit.</w:t>
      </w:r>
    </w:p>
    <w:p>
      <w:pPr>
        <w:pStyle w:val="Footnotesection"/>
      </w:pPr>
      <w:r>
        <w:tab/>
        <w:t>[Section 19ZE inserted: No. 25 of 2022 s. 7.]</w:t>
      </w:r>
    </w:p>
    <w:p>
      <w:pPr>
        <w:pStyle w:val="Heading5"/>
      </w:pPr>
      <w:bookmarkStart w:id="87" w:name="_Toc153978111"/>
      <w:r>
        <w:rPr>
          <w:rStyle w:val="CharSectno"/>
        </w:rPr>
        <w:t>19ZF</w:t>
      </w:r>
      <w:r>
        <w:t>.</w:t>
      </w:r>
      <w:r>
        <w:tab/>
        <w:t>Application to State Administrative Tribunal for review</w:t>
      </w:r>
      <w:bookmarkEnd w:id="87"/>
    </w:p>
    <w:p>
      <w:pPr>
        <w:pStyle w:val="Subsection"/>
      </w:pPr>
      <w:r>
        <w:tab/>
        <w:t>(1)</w:t>
      </w:r>
      <w:r>
        <w:tab/>
        <w:t>A person aggrieved by a finding of the Commissioner on an investigation conducted under section 19ZB(1)(a) may apply to the State Administrative Tribunal for a review of the finding.</w:t>
      </w:r>
    </w:p>
    <w:p>
      <w:pPr>
        <w:pStyle w:val="Subsection"/>
      </w:pPr>
      <w:r>
        <w:lastRenderedPageBreak/>
        <w:tab/>
        <w:t>(2)</w:t>
      </w:r>
      <w:r>
        <w:tab/>
        <w:t>An application under subsection (1) must be made within 28 days after the person is notified of the finding for which the review is sought.</w:t>
      </w:r>
    </w:p>
    <w:p>
      <w:pPr>
        <w:pStyle w:val="Subsection"/>
      </w:pPr>
      <w:r>
        <w:tab/>
        <w:t>(3)</w:t>
      </w:r>
      <w:r>
        <w:tab/>
        <w:t xml:space="preserve">For a review under this section, the State Administrative Tribunal must be constituted by a judicial member as defined in the </w:t>
      </w:r>
      <w:r>
        <w:rPr>
          <w:i/>
          <w:iCs/>
        </w:rPr>
        <w:t>State Administrative Tribunal Act 2004</w:t>
      </w:r>
      <w:r>
        <w:t xml:space="preserve"> section 3(1).</w:t>
      </w:r>
    </w:p>
    <w:p>
      <w:pPr>
        <w:pStyle w:val="Subsection"/>
      </w:pPr>
      <w:r>
        <w:tab/>
        <w:t>(4)</w:t>
      </w:r>
      <w:r>
        <w:tab/>
        <w:t xml:space="preserve">A finding of the Commissioner on an investigation conducted under section 19ZB(1)(a) is taken to be a decision for the purposes of the </w:t>
      </w:r>
      <w:r>
        <w:rPr>
          <w:i/>
          <w:iCs/>
        </w:rPr>
        <w:t xml:space="preserve">State Administrative Tribunal Act 2004 </w:t>
      </w:r>
      <w:r>
        <w:t>Part 3 Division 3.</w:t>
      </w:r>
    </w:p>
    <w:p>
      <w:pPr>
        <w:pStyle w:val="Footnotesection"/>
      </w:pPr>
      <w:r>
        <w:tab/>
        <w:t>[Section 19ZF inserted: No. 25 of 2022 s. 7.]</w:t>
      </w:r>
    </w:p>
    <w:p>
      <w:pPr>
        <w:pStyle w:val="Heading5"/>
      </w:pPr>
      <w:bookmarkStart w:id="88" w:name="_Toc153978112"/>
      <w:r>
        <w:rPr>
          <w:rStyle w:val="CharSectno"/>
        </w:rPr>
        <w:t>19ZG</w:t>
      </w:r>
      <w:r>
        <w:t>.</w:t>
      </w:r>
      <w:r>
        <w:tab/>
        <w:t>Concurrent investigations or proceedings</w:t>
      </w:r>
      <w:bookmarkEnd w:id="88"/>
    </w:p>
    <w:p>
      <w:pPr>
        <w:pStyle w:val="Subsection"/>
      </w:pPr>
      <w:r>
        <w:tab/>
        <w:t>(1)</w:t>
      </w:r>
      <w:r>
        <w:tab/>
        <w:t xml:space="preserve">This section applies if — </w:t>
      </w:r>
    </w:p>
    <w:p>
      <w:pPr>
        <w:pStyle w:val="Indenta"/>
      </w:pPr>
      <w:r>
        <w:tab/>
        <w:t>(a)</w:t>
      </w:r>
      <w:r>
        <w:tab/>
        <w:t>the Commissioner of Police advises the Commissioner or the head of a relevant entity that an investigation or finding under this Division is likely to compromise a police investigation; or</w:t>
      </w:r>
    </w:p>
    <w:p>
      <w:pPr>
        <w:pStyle w:val="Indenta"/>
      </w:pPr>
      <w:r>
        <w:tab/>
        <w:t>(b)</w:t>
      </w:r>
      <w:r>
        <w:tab/>
        <w:t xml:space="preserve">another person or body with authority to investigate the conduct of an employee of a relevant entity advises the Commissioner or the head of the relevant entity that an investigation or finding under this Division is likely to compromise an investigation by that person or body (a </w:t>
      </w:r>
      <w:r>
        <w:rPr>
          <w:rStyle w:val="CharDefText"/>
        </w:rPr>
        <w:t>relevant investigation</w:t>
      </w:r>
      <w:r>
        <w:t>).</w:t>
      </w:r>
    </w:p>
    <w:p>
      <w:pPr>
        <w:pStyle w:val="Subsection"/>
      </w:pPr>
      <w:r>
        <w:tab/>
        <w:t>(2)</w:t>
      </w:r>
      <w:r>
        <w:tab/>
        <w:t xml:space="preserve">The Commissioner or the head of the relevant entity may — </w:t>
      </w:r>
    </w:p>
    <w:p>
      <w:pPr>
        <w:pStyle w:val="Indenta"/>
      </w:pPr>
      <w:r>
        <w:tab/>
        <w:t>(a)</w:t>
      </w:r>
      <w:r>
        <w:tab/>
        <w:t>suspend the investigation or finding until otherwise advised; and</w:t>
      </w:r>
    </w:p>
    <w:p>
      <w:pPr>
        <w:pStyle w:val="Indenta"/>
      </w:pPr>
      <w:r>
        <w:tab/>
        <w:t>(b)</w:t>
      </w:r>
      <w:r>
        <w:tab/>
        <w:t>take steps to manage any risks while the investigation or finding is suspended.</w:t>
      </w:r>
    </w:p>
    <w:p>
      <w:pPr>
        <w:pStyle w:val="Subsection"/>
        <w:keepNext/>
      </w:pPr>
      <w:r>
        <w:tab/>
        <w:t>(3)</w:t>
      </w:r>
      <w:r>
        <w:tab/>
        <w:t xml:space="preserve">Before making a decision under subsection (2)(a) about whether to suspend or continue an investigation, the Commissioner or </w:t>
      </w:r>
      <w:r>
        <w:lastRenderedPageBreak/>
        <w:t xml:space="preserve">the head of the relevant entity must consult with, as the case requires — </w:t>
      </w:r>
    </w:p>
    <w:p>
      <w:pPr>
        <w:pStyle w:val="Indenta"/>
      </w:pPr>
      <w:r>
        <w:tab/>
        <w:t>(a)</w:t>
      </w:r>
      <w:r>
        <w:tab/>
        <w:t>the Commissioner of Police or the officer in charge of the police investigation; or</w:t>
      </w:r>
    </w:p>
    <w:p>
      <w:pPr>
        <w:pStyle w:val="Indenta"/>
      </w:pPr>
      <w:r>
        <w:tab/>
        <w:t>(b)</w:t>
      </w:r>
      <w:r>
        <w:tab/>
        <w:t>the person or body conducting the relevant investigation.</w:t>
      </w:r>
    </w:p>
    <w:p>
      <w:pPr>
        <w:pStyle w:val="Subsection"/>
      </w:pPr>
      <w:r>
        <w:tab/>
        <w:t>(4)</w:t>
      </w:r>
      <w:r>
        <w:tab/>
        <w:t xml:space="preserve">Before making a decision under subsection (2)(b) about the steps to be taken to manage risks, the Commissioner or the head of the relevant entity must consult with, as the case requires — </w:t>
      </w:r>
    </w:p>
    <w:p>
      <w:pPr>
        <w:pStyle w:val="Indenta"/>
      </w:pPr>
      <w:r>
        <w:tab/>
        <w:t>(a)</w:t>
      </w:r>
      <w:r>
        <w:tab/>
        <w:t>the Commissioner of Police or the officer in charge of the police investigation; or</w:t>
      </w:r>
    </w:p>
    <w:p>
      <w:pPr>
        <w:pStyle w:val="Indenta"/>
      </w:pPr>
      <w:r>
        <w:tab/>
        <w:t>(b)</w:t>
      </w:r>
      <w:r>
        <w:tab/>
        <w:t>the person or body conducting the relevant investigation.</w:t>
      </w:r>
    </w:p>
    <w:p>
      <w:pPr>
        <w:pStyle w:val="Subsection"/>
      </w:pPr>
      <w:r>
        <w:tab/>
        <w:t>(5)</w:t>
      </w:r>
      <w:r>
        <w:tab/>
        <w:t xml:space="preserve">If the head of the relevant entity decides to suspend an investigation or finding under this section, the head of the relevant entity must advise the Commissioner of — </w:t>
      </w:r>
    </w:p>
    <w:p>
      <w:pPr>
        <w:pStyle w:val="Indenta"/>
      </w:pPr>
      <w:r>
        <w:tab/>
        <w:t>(a)</w:t>
      </w:r>
      <w:r>
        <w:tab/>
        <w:t>the suspension; and</w:t>
      </w:r>
    </w:p>
    <w:p>
      <w:pPr>
        <w:pStyle w:val="Indenta"/>
      </w:pPr>
      <w:r>
        <w:tab/>
        <w:t>(b)</w:t>
      </w:r>
      <w:r>
        <w:tab/>
        <w:t>the steps being taken to manage the risks.</w:t>
      </w:r>
    </w:p>
    <w:p>
      <w:pPr>
        <w:pStyle w:val="Subsection"/>
      </w:pPr>
      <w:r>
        <w:tab/>
        <w:t>(6)</w:t>
      </w:r>
      <w:r>
        <w:tab/>
        <w:t>If the Commissioner or the head of the relevant entity decides not to suspend the investigation, the Commissioner or the head of the relevant entity must ensure the investigation is conducted in a way that does not compromise the police investigation or the relevant investigation, as the case requires.</w:t>
      </w:r>
    </w:p>
    <w:p>
      <w:pPr>
        <w:pStyle w:val="Subsection"/>
      </w:pPr>
      <w:r>
        <w:tab/>
        <w:t>(7)</w:t>
      </w:r>
      <w:r>
        <w:tab/>
        <w:t>This section does not affect the operation of any other Act.</w:t>
      </w:r>
    </w:p>
    <w:p>
      <w:pPr>
        <w:pStyle w:val="Subsection"/>
      </w:pPr>
      <w:r>
        <w:tab/>
        <w:t>(8)</w:t>
      </w:r>
      <w:r>
        <w:tab/>
        <w:t>In this section, a reference to a police investigation or relevant investigation includes a reference to any court proceeding (including an appeal) arising out of the investigation.</w:t>
      </w:r>
    </w:p>
    <w:p>
      <w:pPr>
        <w:pStyle w:val="Footnotesection"/>
      </w:pPr>
      <w:r>
        <w:tab/>
        <w:t>[Section 19ZG inserted: No. 25 of 2022 s. 7.]</w:t>
      </w:r>
    </w:p>
    <w:p>
      <w:pPr>
        <w:pStyle w:val="Heading4"/>
      </w:pPr>
      <w:bookmarkStart w:id="89" w:name="_Toc153965058"/>
      <w:bookmarkStart w:id="90" w:name="_Toc153968716"/>
      <w:bookmarkStart w:id="91" w:name="_Toc153978113"/>
      <w:r>
        <w:lastRenderedPageBreak/>
        <w:t>Subdivision 5 — Disclosure of information</w:t>
      </w:r>
      <w:bookmarkEnd w:id="89"/>
      <w:bookmarkEnd w:id="90"/>
      <w:bookmarkEnd w:id="91"/>
    </w:p>
    <w:p>
      <w:pPr>
        <w:pStyle w:val="Footnoteheading"/>
        <w:keepNext/>
      </w:pPr>
      <w:r>
        <w:tab/>
        <w:t>[Heading inserted: No. 25 of 2022 s. 7.]</w:t>
      </w:r>
    </w:p>
    <w:p>
      <w:pPr>
        <w:pStyle w:val="Heading5"/>
      </w:pPr>
      <w:bookmarkStart w:id="92" w:name="_Toc153978114"/>
      <w:r>
        <w:rPr>
          <w:rStyle w:val="CharSectno"/>
        </w:rPr>
        <w:t>19ZH</w:t>
      </w:r>
      <w:r>
        <w:t>.</w:t>
      </w:r>
      <w:r>
        <w:tab/>
        <w:t>Disclosure of information to child, parent, guardian or other person with parental responsibility</w:t>
      </w:r>
      <w:bookmarkEnd w:id="92"/>
    </w:p>
    <w:p>
      <w:pPr>
        <w:pStyle w:val="Subsection"/>
      </w:pPr>
      <w:r>
        <w:tab/>
        <w:t>(1)</w:t>
      </w:r>
      <w:r>
        <w:tab/>
        <w:t xml:space="preserve">The Commissioner or the head of a relevant entity may disclose information about the matters referred to in subsection (2) to — </w:t>
      </w:r>
    </w:p>
    <w:p>
      <w:pPr>
        <w:pStyle w:val="Indenta"/>
      </w:pPr>
      <w:r>
        <w:tab/>
        <w:t>(a)</w:t>
      </w:r>
      <w:r>
        <w:tab/>
        <w:t>a child who is the subject of conduct that forms the basis of a reportable allegation or a reportable conviction that is being, or has been, investigated by the Commissioner or the head of the relevant entity; or</w:t>
      </w:r>
    </w:p>
    <w:p>
      <w:pPr>
        <w:pStyle w:val="Indenta"/>
      </w:pPr>
      <w:r>
        <w:tab/>
        <w:t>(b)</w:t>
      </w:r>
      <w:r>
        <w:tab/>
        <w:t>a parent or guardian of a child referred to in paragraph (a), or a person who has parental responsibility for the child.</w:t>
      </w:r>
    </w:p>
    <w:p>
      <w:pPr>
        <w:pStyle w:val="Subsection"/>
      </w:pPr>
      <w:r>
        <w:tab/>
        <w:t>(2)</w:t>
      </w:r>
      <w:r>
        <w:tab/>
        <w:t xml:space="preserve">For the purposes of subsection (1), the matters are — </w:t>
      </w:r>
    </w:p>
    <w:p>
      <w:pPr>
        <w:pStyle w:val="Indenta"/>
      </w:pPr>
      <w:r>
        <w:tab/>
        <w:t>(a)</w:t>
      </w:r>
      <w:r>
        <w:tab/>
        <w:t>the progress of the investigation; or</w:t>
      </w:r>
    </w:p>
    <w:p>
      <w:pPr>
        <w:pStyle w:val="Indenta"/>
      </w:pPr>
      <w:r>
        <w:tab/>
        <w:t>(b)</w:t>
      </w:r>
      <w:r>
        <w:tab/>
        <w:t>the findings of the investigation; or</w:t>
      </w:r>
    </w:p>
    <w:p>
      <w:pPr>
        <w:pStyle w:val="Indenta"/>
      </w:pPr>
      <w:r>
        <w:tab/>
        <w:t>(c)</w:t>
      </w:r>
      <w:r>
        <w:tab/>
        <w:t>any action taken as a result of the investigation.</w:t>
      </w:r>
    </w:p>
    <w:p>
      <w:pPr>
        <w:pStyle w:val="Subsection"/>
      </w:pPr>
      <w:r>
        <w:tab/>
        <w:t>(3)</w:t>
      </w:r>
      <w:r>
        <w:tab/>
        <w:t xml:space="preserve">The Commissioner or the head of a relevant entity must not disclose information under subsection (1) — </w:t>
      </w:r>
    </w:p>
    <w:p>
      <w:pPr>
        <w:pStyle w:val="Indenta"/>
      </w:pPr>
      <w:r>
        <w:tab/>
        <w:t>(a)</w:t>
      </w:r>
      <w:r>
        <w:tab/>
        <w:t xml:space="preserve">if the disclosure would — </w:t>
      </w:r>
    </w:p>
    <w:p>
      <w:pPr>
        <w:pStyle w:val="Indenti"/>
      </w:pPr>
      <w:r>
        <w:tab/>
        <w:t>(i)</w:t>
      </w:r>
      <w:r>
        <w:tab/>
        <w:t>put the wellbeing of the child, or the safety of any other person, at risk; or</w:t>
      </w:r>
    </w:p>
    <w:p>
      <w:pPr>
        <w:pStyle w:val="Indenti"/>
      </w:pPr>
      <w:r>
        <w:tab/>
        <w:t>(ii)</w:t>
      </w:r>
      <w:r>
        <w:tab/>
        <w:t>contravene the CCS Act section 124F or 240; or</w:t>
      </w:r>
    </w:p>
    <w:p>
      <w:pPr>
        <w:pStyle w:val="Indenti"/>
      </w:pPr>
      <w:r>
        <w:tab/>
        <w:t>(iii)</w:t>
      </w:r>
      <w:r>
        <w:tab/>
        <w:t>compromise an investigation under this Act, a police investigation, a relevant investigation referred to in section 19ZG or an investigation under another Act;</w:t>
      </w:r>
    </w:p>
    <w:p>
      <w:pPr>
        <w:pStyle w:val="Indenta"/>
      </w:pPr>
      <w:r>
        <w:tab/>
      </w:r>
      <w:r>
        <w:tab/>
        <w:t>or</w:t>
      </w:r>
    </w:p>
    <w:p>
      <w:pPr>
        <w:pStyle w:val="Indenta"/>
      </w:pPr>
      <w:r>
        <w:tab/>
        <w:t>(b)</w:t>
      </w:r>
      <w:r>
        <w:tab/>
        <w:t xml:space="preserve">if the disclosure would be to a parent, guardian or other person referred to in subsection (1)(b) and the </w:t>
      </w:r>
      <w:r>
        <w:lastRenderedPageBreak/>
        <w:t>Commissioner, or head of the relevant entity, is satisfied that the child has sufficient maturity and understanding to consent to the disclosure and the child does not consent to the disclosure; or</w:t>
      </w:r>
    </w:p>
    <w:p>
      <w:pPr>
        <w:pStyle w:val="Indenta"/>
      </w:pPr>
      <w:r>
        <w:tab/>
        <w:t>(c)</w:t>
      </w:r>
      <w:r>
        <w:tab/>
        <w:t>in any circumstances prescribed by the regulations.</w:t>
      </w:r>
    </w:p>
    <w:p>
      <w:pPr>
        <w:pStyle w:val="Footnotesection"/>
      </w:pPr>
      <w:r>
        <w:tab/>
        <w:t>[Section 19ZH inserted: No. 25 of 2022 s. 7.]</w:t>
      </w:r>
    </w:p>
    <w:p>
      <w:pPr>
        <w:pStyle w:val="Heading5"/>
      </w:pPr>
      <w:bookmarkStart w:id="93" w:name="_Toc153978115"/>
      <w:r>
        <w:rPr>
          <w:rStyle w:val="CharSectno"/>
        </w:rPr>
        <w:t>19ZI</w:t>
      </w:r>
      <w:r>
        <w:t>.</w:t>
      </w:r>
      <w:r>
        <w:tab/>
        <w:t>Commissioner may request information about reportable convictions</w:t>
      </w:r>
      <w:bookmarkEnd w:id="93"/>
    </w:p>
    <w:p>
      <w:pPr>
        <w:pStyle w:val="Subsection"/>
      </w:pPr>
      <w:r>
        <w:tab/>
        <w:t>(1)</w:t>
      </w:r>
      <w:r>
        <w:tab/>
        <w:t xml:space="preserve">In this section — </w:t>
      </w:r>
    </w:p>
    <w:p>
      <w:pPr>
        <w:pStyle w:val="Defstart"/>
      </w:pPr>
      <w:r>
        <w:tab/>
      </w:r>
      <w:r>
        <w:rPr>
          <w:rStyle w:val="CharDefText"/>
        </w:rPr>
        <w:t>Registrar</w:t>
      </w:r>
      <w:r>
        <w:t xml:space="preserve">, of a relevant court, means — </w:t>
      </w:r>
    </w:p>
    <w:p>
      <w:pPr>
        <w:pStyle w:val="Defpara"/>
      </w:pPr>
      <w:r>
        <w:tab/>
        <w:t>(a)</w:t>
      </w:r>
      <w:r>
        <w:tab/>
        <w:t>in the case of the Supreme Court — the Principal Registrar of the Supreme Court; or</w:t>
      </w:r>
    </w:p>
    <w:p>
      <w:pPr>
        <w:pStyle w:val="Defpara"/>
      </w:pPr>
      <w:r>
        <w:tab/>
        <w:t>(b)</w:t>
      </w:r>
      <w:r>
        <w:tab/>
        <w:t>in the case of the District Court — the Principal Registrar of the District Court; or</w:t>
      </w:r>
    </w:p>
    <w:p>
      <w:pPr>
        <w:pStyle w:val="Defpara"/>
      </w:pPr>
      <w:r>
        <w:tab/>
        <w:t>(c)</w:t>
      </w:r>
      <w:r>
        <w:tab/>
        <w:t>in the case of the Magistrates Court — the Principal Registrar of the Magistrates Court; or</w:t>
      </w:r>
    </w:p>
    <w:p>
      <w:pPr>
        <w:pStyle w:val="Defpara"/>
      </w:pPr>
      <w:r>
        <w:tab/>
        <w:t>(d)</w:t>
      </w:r>
      <w:r>
        <w:tab/>
        <w:t>in the case of the Children’s Court — a registrar of the Children’s Court;</w:t>
      </w:r>
    </w:p>
    <w:p>
      <w:pPr>
        <w:pStyle w:val="Defstart"/>
      </w:pPr>
      <w:r>
        <w:tab/>
      </w:r>
      <w:r>
        <w:rPr>
          <w:rStyle w:val="CharDefText"/>
        </w:rPr>
        <w:t>relevant court</w:t>
      </w:r>
      <w:r>
        <w:t xml:space="preserve"> means the Supreme Court, the District Court, the Magistrates Court or the Children’s Court.</w:t>
      </w:r>
    </w:p>
    <w:p>
      <w:pPr>
        <w:pStyle w:val="Subsection"/>
      </w:pPr>
      <w:r>
        <w:tab/>
        <w:t>(2)</w:t>
      </w:r>
      <w:r>
        <w:tab/>
        <w:t>The Commissioner may request a Registrar of a relevant court to provide information relating to a reportable conviction entered against an employee of a relevant entity that the Commissioner reasonably requires for the purposes of an investigation under the reportable conduct scheme.</w:t>
      </w:r>
    </w:p>
    <w:p>
      <w:pPr>
        <w:pStyle w:val="Subsection"/>
      </w:pPr>
      <w:r>
        <w:tab/>
        <w:t>(3)</w:t>
      </w:r>
      <w:r>
        <w:tab/>
        <w:t>The Commissioner is authorised to disclose information obtained under this Division or Division 3 or 4 for the purpose of that request.</w:t>
      </w:r>
    </w:p>
    <w:p>
      <w:pPr>
        <w:pStyle w:val="Subsection"/>
      </w:pPr>
      <w:r>
        <w:tab/>
        <w:t>(4)</w:t>
      </w:r>
      <w:r>
        <w:tab/>
        <w:t xml:space="preserve">A Registrar of a relevant court to whom a request for information is made under subsection (2) is authorised to </w:t>
      </w:r>
      <w:r>
        <w:lastRenderedPageBreak/>
        <w:t>disclose the information to the Commissioner for the purposes of an investigation under the reportable conduct scheme.</w:t>
      </w:r>
    </w:p>
    <w:p>
      <w:pPr>
        <w:pStyle w:val="Subsection"/>
      </w:pPr>
      <w:r>
        <w:tab/>
        <w:t>(5)</w:t>
      </w:r>
      <w:r>
        <w:tab/>
        <w:t>This section applies despite section 13(2).</w:t>
      </w:r>
    </w:p>
    <w:p>
      <w:pPr>
        <w:pStyle w:val="Footnotesection"/>
      </w:pPr>
      <w:r>
        <w:tab/>
        <w:t>[Section 19ZI inserted: No. 25 of 2022 s. 7.]</w:t>
      </w:r>
    </w:p>
    <w:p>
      <w:pPr>
        <w:pStyle w:val="Heading5"/>
      </w:pPr>
      <w:bookmarkStart w:id="94" w:name="_Toc153978116"/>
      <w:r>
        <w:rPr>
          <w:rStyle w:val="CharSectno"/>
        </w:rPr>
        <w:t>19ZJ</w:t>
      </w:r>
      <w:r>
        <w:t>.</w:t>
      </w:r>
      <w:r>
        <w:tab/>
        <w:t>Prohibition on publishing certain information</w:t>
      </w:r>
      <w:bookmarkEnd w:id="94"/>
    </w:p>
    <w:p>
      <w:pPr>
        <w:pStyle w:val="Subsection"/>
      </w:pPr>
      <w:r>
        <w:tab/>
        <w:t>(1)</w:t>
      </w:r>
      <w:r>
        <w:tab/>
        <w:t xml:space="preserve">In this section — </w:t>
      </w:r>
    </w:p>
    <w:p>
      <w:pPr>
        <w:pStyle w:val="Defstart"/>
      </w:pPr>
      <w:r>
        <w:tab/>
      </w:r>
      <w:r>
        <w:rPr>
          <w:rStyle w:val="CharDefText"/>
        </w:rPr>
        <w:t>publish</w:t>
      </w:r>
      <w:r>
        <w:t xml:space="preserve"> means to disseminate to the public or a section of the public by any means, including the following — </w:t>
      </w:r>
    </w:p>
    <w:p>
      <w:pPr>
        <w:pStyle w:val="Defpara"/>
      </w:pPr>
      <w:r>
        <w:tab/>
        <w:t>(a)</w:t>
      </w:r>
      <w:r>
        <w:tab/>
        <w:t>in a book, newspaper, magazine or other written publication;</w:t>
      </w:r>
    </w:p>
    <w:p>
      <w:pPr>
        <w:pStyle w:val="Defpara"/>
      </w:pPr>
      <w:r>
        <w:tab/>
        <w:t>(b)</w:t>
      </w:r>
      <w:r>
        <w:tab/>
        <w:t>by radio broadcast, television, a website, an online facility or other electronic means.</w:t>
      </w:r>
    </w:p>
    <w:p>
      <w:pPr>
        <w:pStyle w:val="Subsection"/>
      </w:pPr>
      <w:r>
        <w:tab/>
        <w:t>(2)</w:t>
      </w:r>
      <w:r>
        <w:tab/>
        <w:t>A person must not publish, or cause to be published, information that identifies, or is likely to lead to the identification of, another person as a person who has made a report under section 19T.</w:t>
      </w:r>
    </w:p>
    <w:p>
      <w:pPr>
        <w:pStyle w:val="Penstart"/>
      </w:pPr>
      <w:r>
        <w:tab/>
        <w:t>Penalty for this subsection: imprisonment for 2 years or a fine of $8 000.</w:t>
      </w:r>
    </w:p>
    <w:p>
      <w:pPr>
        <w:pStyle w:val="Subsection"/>
      </w:pPr>
      <w:r>
        <w:tab/>
        <w:t>(3)</w:t>
      </w:r>
      <w:r>
        <w:tab/>
        <w:t xml:space="preserve">A person must not publish, or cause to be published, information that identifies, or is likely to lead to the identification of, another person as a child who is the subject of conduct that forms the basis of — </w:t>
      </w:r>
    </w:p>
    <w:p>
      <w:pPr>
        <w:pStyle w:val="Indenta"/>
      </w:pPr>
      <w:r>
        <w:tab/>
        <w:t>(a)</w:t>
      </w:r>
      <w:r>
        <w:tab/>
        <w:t>a report that has been made under section 19T; or</w:t>
      </w:r>
    </w:p>
    <w:p>
      <w:pPr>
        <w:pStyle w:val="Indenta"/>
      </w:pPr>
      <w:r>
        <w:tab/>
        <w:t>(b)</w:t>
      </w:r>
      <w:r>
        <w:tab/>
        <w:t>a finding of reportable conduct in relation to an employee of a relevant entity that has been made under this Act.</w:t>
      </w:r>
    </w:p>
    <w:p>
      <w:pPr>
        <w:pStyle w:val="Penstart"/>
      </w:pPr>
      <w:r>
        <w:tab/>
        <w:t>Penalty for this subsection: imprisonment for 2 years or a fine of $8 000.</w:t>
      </w:r>
    </w:p>
    <w:p>
      <w:pPr>
        <w:pStyle w:val="Subsection"/>
      </w:pPr>
      <w:r>
        <w:lastRenderedPageBreak/>
        <w:tab/>
        <w:t>(4)</w:t>
      </w:r>
      <w:r>
        <w:tab/>
        <w:t>A person does not commit an offence under subsection (2) or (3) if the publication of the information is authorised under any other Act.</w:t>
      </w:r>
    </w:p>
    <w:p>
      <w:pPr>
        <w:pStyle w:val="Footnotesection"/>
      </w:pPr>
      <w:r>
        <w:tab/>
        <w:t>[Section 19ZJ inserted: No. 25 of 2022 s. 7.]</w:t>
      </w:r>
    </w:p>
    <w:p>
      <w:pPr>
        <w:pStyle w:val="Heading4"/>
      </w:pPr>
      <w:bookmarkStart w:id="95" w:name="_Toc153965062"/>
      <w:bookmarkStart w:id="96" w:name="_Toc153968720"/>
      <w:bookmarkStart w:id="97" w:name="_Toc153978117"/>
      <w:r>
        <w:t xml:space="preserve">Subdivision 6 — Review of amendments made by </w:t>
      </w:r>
      <w:r>
        <w:rPr>
          <w:i/>
        </w:rPr>
        <w:t>Parliamentary Commissioner Amendment (Reportable Conduct) Act 2022</w:t>
      </w:r>
      <w:bookmarkEnd w:id="95"/>
      <w:bookmarkEnd w:id="96"/>
      <w:bookmarkEnd w:id="97"/>
    </w:p>
    <w:p>
      <w:pPr>
        <w:pStyle w:val="Footnoteheading"/>
      </w:pPr>
      <w:r>
        <w:tab/>
        <w:t>[Heading inserted: No. 25 of 2022 s. 7.]</w:t>
      </w:r>
    </w:p>
    <w:p>
      <w:pPr>
        <w:pStyle w:val="Heading5"/>
      </w:pPr>
      <w:bookmarkStart w:id="98" w:name="_Toc153978118"/>
      <w:r>
        <w:rPr>
          <w:rStyle w:val="CharSectno"/>
        </w:rPr>
        <w:t>19ZK</w:t>
      </w:r>
      <w:r>
        <w:t>.</w:t>
      </w:r>
      <w:r>
        <w:tab/>
        <w:t xml:space="preserve">Review of amendments made by </w:t>
      </w:r>
      <w:r>
        <w:rPr>
          <w:i/>
        </w:rPr>
        <w:t>Parliamentary Commissioner Amendment (Reportable Conduct) Act 2022</w:t>
      </w:r>
      <w:bookmarkEnd w:id="98"/>
    </w:p>
    <w:p>
      <w:pPr>
        <w:pStyle w:val="Subsection"/>
      </w:pPr>
      <w:r>
        <w:tab/>
        <w:t>(1)</w:t>
      </w:r>
      <w:r>
        <w:tab/>
      </w:r>
      <w:r>
        <w:rPr>
          <w:snapToGrid w:val="0"/>
        </w:rPr>
        <w:t xml:space="preserve">The Minister must review the operation and effectiveness of the amendments made to this Act by the </w:t>
      </w:r>
      <w:r>
        <w:rPr>
          <w:i/>
        </w:rPr>
        <w:t>Parliamentary Commissioner Amendment (Reportable Conduct) Act 2022</w:t>
      </w:r>
      <w:r>
        <w:rPr>
          <w:snapToGrid w:val="0"/>
        </w:rPr>
        <w:t>, and prepare a report based on the review, as soon as practicable after the 5</w:t>
      </w:r>
      <w:r>
        <w:rPr>
          <w:snapToGrid w:val="0"/>
          <w:vertAlign w:val="superscript"/>
        </w:rPr>
        <w:t>th </w:t>
      </w:r>
      <w:r>
        <w:rPr>
          <w:snapToGrid w:val="0"/>
        </w:rPr>
        <w:t>anniversary of the day on which</w:t>
      </w:r>
      <w:r>
        <w:t xml:space="preserve"> </w:t>
      </w:r>
      <w:r>
        <w:rPr>
          <w:snapToGrid w:val="0"/>
        </w:rPr>
        <w:t>section 7 of that Act comes into operation</w:t>
      </w:r>
      <w:r>
        <w:t>.</w:t>
      </w:r>
    </w:p>
    <w:p>
      <w:pPr>
        <w:pStyle w:val="Subsection"/>
      </w:pPr>
      <w:r>
        <w:tab/>
        <w:t>(2)</w:t>
      </w:r>
      <w:r>
        <w:tab/>
      </w:r>
      <w:r>
        <w:rPr>
          <w:bCs/>
        </w:rPr>
        <w:t>The review must include consideration as to whether the reportable conduct scheme should be expanded to apply to any other entities</w:t>
      </w:r>
      <w:r>
        <w:t>.</w:t>
      </w:r>
    </w:p>
    <w:p>
      <w:pPr>
        <w:pStyle w:val="Subsection"/>
        <w:rPr>
          <w:bCs/>
        </w:rPr>
      </w:pPr>
      <w:r>
        <w:tab/>
        <w:t>(3)</w:t>
      </w:r>
      <w:r>
        <w:tab/>
      </w:r>
      <w:r>
        <w:rPr>
          <w:bCs/>
        </w:rPr>
        <w:t>The Minister must cause the report to be laid before each House of Parliament as soon as practicable after it is prepared, but not later than 12 months after the 5</w:t>
      </w:r>
      <w:r>
        <w:rPr>
          <w:bCs/>
          <w:vertAlign w:val="superscript"/>
        </w:rPr>
        <w:t>th </w:t>
      </w:r>
      <w:r>
        <w:rPr>
          <w:bCs/>
        </w:rPr>
        <w:t>anniversary.</w:t>
      </w:r>
    </w:p>
    <w:p>
      <w:pPr>
        <w:pStyle w:val="Footnotesection"/>
      </w:pPr>
      <w:r>
        <w:tab/>
        <w:t>[Section 19ZK inserted: No. 25 of 2022 s. 7.]</w:t>
      </w:r>
    </w:p>
    <w:p>
      <w:pPr>
        <w:pStyle w:val="Heading3"/>
        <w:spacing w:before="340"/>
      </w:pPr>
      <w:bookmarkStart w:id="99" w:name="_Toc153965064"/>
      <w:bookmarkStart w:id="100" w:name="_Toc153968722"/>
      <w:bookmarkStart w:id="101" w:name="_Toc153978119"/>
      <w:r>
        <w:rPr>
          <w:rStyle w:val="CharDivNo"/>
        </w:rPr>
        <w:t>Division 3</w:t>
      </w:r>
      <w:r>
        <w:rPr>
          <w:snapToGrid w:val="0"/>
        </w:rPr>
        <w:t> — </w:t>
      </w:r>
      <w:r>
        <w:rPr>
          <w:rStyle w:val="CharDivText"/>
        </w:rPr>
        <w:t>Conduct of investigations</w:t>
      </w:r>
      <w:bookmarkEnd w:id="99"/>
      <w:bookmarkEnd w:id="100"/>
      <w:bookmarkEnd w:id="101"/>
    </w:p>
    <w:p>
      <w:pPr>
        <w:pStyle w:val="Heading5"/>
        <w:spacing w:before="240"/>
        <w:rPr>
          <w:snapToGrid w:val="0"/>
        </w:rPr>
      </w:pPr>
      <w:bookmarkStart w:id="102" w:name="_Toc153978120"/>
      <w:r>
        <w:rPr>
          <w:rStyle w:val="CharSectno"/>
        </w:rPr>
        <w:t>19</w:t>
      </w:r>
      <w:r>
        <w:rPr>
          <w:snapToGrid w:val="0"/>
        </w:rPr>
        <w:t>.</w:t>
      </w:r>
      <w:r>
        <w:rPr>
          <w:snapToGrid w:val="0"/>
        </w:rPr>
        <w:tab/>
        <w:t>Proceedings on investigations</w:t>
      </w:r>
      <w:bookmarkEnd w:id="102"/>
    </w:p>
    <w:p>
      <w:pPr>
        <w:pStyle w:val="Subsection"/>
        <w:spacing w:before="180"/>
        <w:rPr>
          <w:snapToGrid w:val="0"/>
        </w:rPr>
      </w:pPr>
      <w:r>
        <w:rPr>
          <w:snapToGrid w:val="0"/>
        </w:rPr>
        <w:tab/>
        <w:t>(1)</w:t>
      </w:r>
      <w:r>
        <w:rPr>
          <w:snapToGrid w:val="0"/>
        </w:rPr>
        <w:tab/>
        <w:t xml:space="preserve">Subject to subsection (1a), before investigating under this Act any action taken by or on behalf of a department or authority the Commissioner shall notify the principal officer thereof and the responsible Minister in writing of his intention so to do, </w:t>
      </w:r>
      <w:r>
        <w:rPr>
          <w:snapToGrid w:val="0"/>
        </w:rPr>
        <w:lastRenderedPageBreak/>
        <w:t>specifying the action in respect of which the investigation is to be conducted.</w:t>
      </w:r>
    </w:p>
    <w:p>
      <w:pPr>
        <w:pStyle w:val="Subsection"/>
        <w:keepNext/>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 xml:space="preserve">In relation to any investigation, if a Minister of the Crown so requests or the investigation relates to any recommendation made to such a Minister, the Commissioner shall consult that </w:t>
      </w:r>
      <w:r>
        <w:rPr>
          <w:snapToGrid w:val="0"/>
        </w:rPr>
        <w:lastRenderedPageBreak/>
        <w:t>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Subsection"/>
        <w:rPr>
          <w:snapToGrid w:val="0"/>
        </w:rPr>
      </w:pPr>
      <w:r>
        <w:rPr>
          <w:snapToGrid w:val="0"/>
        </w:rPr>
        <w:tab/>
        <w:t>(9)</w:t>
      </w:r>
      <w:r>
        <w:rPr>
          <w:snapToGrid w:val="0"/>
        </w:rPr>
        <w:tab/>
        <w:t xml:space="preserve">This section applies to an investigation by the Commissioner for the purposes of the reportable conduct scheme as follows — </w:t>
      </w:r>
    </w:p>
    <w:p>
      <w:pPr>
        <w:pStyle w:val="Indenta"/>
      </w:pPr>
      <w:r>
        <w:tab/>
        <w:t>(a)</w:t>
      </w:r>
      <w:r>
        <w:tab/>
        <w:t>subsections (1) and (1a) do not apply;</w:t>
      </w:r>
    </w:p>
    <w:p>
      <w:pPr>
        <w:pStyle w:val="Indenta"/>
      </w:pPr>
      <w:r>
        <w:tab/>
        <w:t>(b)</w:t>
      </w:r>
      <w:r>
        <w:tab/>
        <w:t>a reference to a department or authority is taken to be a reference to a relevant entity;</w:t>
      </w:r>
    </w:p>
    <w:p>
      <w:pPr>
        <w:pStyle w:val="Indenta"/>
      </w:pPr>
      <w:r>
        <w:tab/>
        <w:t>(c)</w:t>
      </w:r>
      <w:r>
        <w:tab/>
        <w:t>a reference to the principal officer of a department or authority is taken to be a reference to the head of a relevant entity;</w:t>
      </w:r>
    </w:p>
    <w:p>
      <w:pPr>
        <w:pStyle w:val="Indenta"/>
      </w:pPr>
      <w:r>
        <w:tab/>
        <w:t>(d)</w:t>
      </w:r>
      <w:r>
        <w:tab/>
        <w:t>subsection (7)(b) applies only if the investigation relates to a relevant entity that is a department or authority.</w:t>
      </w:r>
    </w:p>
    <w:p>
      <w:pPr>
        <w:pStyle w:val="Footnotesection"/>
      </w:pPr>
      <w:r>
        <w:tab/>
        <w:t>[Section 19 amended: No. 78 of 1996 s. 13 and 21; No. 43 of 1999 s. 20; No. 47 of 1999 s. 27; No. 4 of 2015 s. 87(4); No. 25 of 2022 s. 8.]</w:t>
      </w:r>
    </w:p>
    <w:p>
      <w:pPr>
        <w:pStyle w:val="Heading5"/>
        <w:rPr>
          <w:snapToGrid w:val="0"/>
        </w:rPr>
      </w:pPr>
      <w:bookmarkStart w:id="103" w:name="_Toc153978121"/>
      <w:r>
        <w:rPr>
          <w:rStyle w:val="CharSectno"/>
        </w:rPr>
        <w:lastRenderedPageBreak/>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bookmarkEnd w:id="103"/>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 xml:space="preserve">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w:t>
      </w:r>
      <w:r>
        <w:t>by the Commissioner</w:t>
      </w:r>
      <w:r>
        <w:rPr>
          <w:snapToGrid w:val="0"/>
        </w:rPr>
        <w:t xml:space="preserve"> under this Act.</w:t>
      </w:r>
    </w:p>
    <w:p>
      <w:pPr>
        <w:pStyle w:val="Subsection"/>
        <w:rPr>
          <w:snapToGrid w:val="0"/>
        </w:rPr>
      </w:pPr>
      <w:r>
        <w:rPr>
          <w:snapToGrid w:val="0"/>
        </w:rPr>
        <w:tab/>
        <w:t>(2AA)</w:t>
      </w:r>
      <w:r>
        <w:rPr>
          <w:snapToGrid w:val="0"/>
        </w:rPr>
        <w:tab/>
        <w:t>No obligation to maintain secrecy or other restriction upon the disclosure of information obtained by or furnished to the head of a relevant entity or an investigator conducting an investigation under Division 3B, whether imposed by any enactment or by any rule of law, applies to the disclosure of information for the purposes of an investigation by the Commissioner under this Act.</w:t>
      </w:r>
    </w:p>
    <w:p>
      <w:pPr>
        <w:pStyle w:val="Subsection"/>
        <w:keepNext/>
        <w:rPr>
          <w:snapToGrid w:val="0"/>
        </w:rPr>
      </w:pPr>
      <w:r>
        <w:rPr>
          <w:snapToGrid w:val="0"/>
        </w:rPr>
        <w:tab/>
        <w:t>(2B)</w:t>
      </w:r>
      <w:r>
        <w:rPr>
          <w:snapToGrid w:val="0"/>
        </w:rPr>
        <w:tab/>
        <w:t xml:space="preserve">The </w:t>
      </w:r>
      <w:r>
        <w:t>Crown, any authority to which this Act applies or a relevant entity</w:t>
      </w:r>
      <w:r>
        <w:rPr>
          <w:snapToGrid w:val="0"/>
        </w:rPr>
        <w:t xml:space="preserve"> is not entitled in relation to any investigation by the Commissioner under this Act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 xml:space="preserve">Subject to </w:t>
      </w:r>
      <w:r>
        <w:t xml:space="preserve">subsections (2A), (2AA) and (2B), a person is not compelled for the purposes of an investigation by the </w:t>
      </w:r>
      <w:r>
        <w:lastRenderedPageBreak/>
        <w:t>Commissioner</w:t>
      </w:r>
      <w:r>
        <w:rPr>
          <w:snapToGrid w:val="0"/>
        </w:rPr>
        <w:t xml:space="preserve"> under this Act to give any evidence or produce any document that </w:t>
      </w:r>
      <w:r>
        <w:t>the person</w:t>
      </w:r>
      <w:r>
        <w:rPr>
          <w:snapToGrid w:val="0"/>
        </w:rPr>
        <w:t xml:space="preserve"> could not be compelled to give or produce in proceedings before a court.</w:t>
      </w:r>
    </w:p>
    <w:p>
      <w:pPr>
        <w:pStyle w:val="Footnotesection"/>
        <w:spacing w:before="100"/>
        <w:ind w:left="890" w:hanging="890"/>
      </w:pPr>
      <w:r>
        <w:tab/>
        <w:t>[Section 20 amended: No. 68 of 1976 s. 6; No. 19 of 2010 s. 51; No. 25 of 2022 s. 9.]</w:t>
      </w:r>
    </w:p>
    <w:p>
      <w:pPr>
        <w:pStyle w:val="Heading5"/>
        <w:spacing w:before="180"/>
        <w:rPr>
          <w:snapToGrid w:val="0"/>
        </w:rPr>
      </w:pPr>
      <w:bookmarkStart w:id="104" w:name="_Toc153978122"/>
      <w:r>
        <w:rPr>
          <w:rStyle w:val="CharSectno"/>
        </w:rPr>
        <w:t>21</w:t>
      </w:r>
      <w:r>
        <w:rPr>
          <w:snapToGrid w:val="0"/>
        </w:rPr>
        <w:t>.</w:t>
      </w:r>
      <w:r>
        <w:rPr>
          <w:snapToGrid w:val="0"/>
        </w:rPr>
        <w:tab/>
        <w:t>Power to enter premises</w:t>
      </w:r>
      <w:bookmarkEnd w:id="104"/>
    </w:p>
    <w:p>
      <w:pPr>
        <w:pStyle w:val="Subsection"/>
        <w:spacing w:before="140"/>
        <w:rPr>
          <w:snapToGrid w:val="0"/>
        </w:rPr>
      </w:pPr>
      <w:r>
        <w:rPr>
          <w:snapToGrid w:val="0"/>
        </w:rPr>
        <w:tab/>
      </w:r>
      <w:r>
        <w:t>(1)</w:t>
      </w:r>
      <w:r>
        <w:tab/>
        <w:t>For</w:t>
      </w:r>
      <w:r>
        <w:rPr>
          <w:snapToGrid w:val="0"/>
        </w:rPr>
        <w:t xml:space="preserve">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Subsection"/>
      </w:pPr>
      <w:r>
        <w:tab/>
        <w:t>(2)</w:t>
      </w:r>
      <w:r>
        <w:tab/>
        <w:t>For the purposes of conducting an investigation under Division 3B, the Commissioner may, at any time, enter any premises occupied or used by any relevant entity, and inspect those premises or any thing for the time being in those premises.</w:t>
      </w:r>
    </w:p>
    <w:p>
      <w:pPr>
        <w:pStyle w:val="Footnotesection"/>
      </w:pPr>
      <w:r>
        <w:tab/>
        <w:t>[Section 21 amended: No. 124 of 1984 s. 7; No. 78 of 1996 s. 21; No. 10 of 1998 s. 57(2); No. 25 of 2022 s. 10.]</w:t>
      </w:r>
    </w:p>
    <w:p>
      <w:pPr>
        <w:pStyle w:val="Heading5"/>
        <w:spacing w:before="180"/>
        <w:rPr>
          <w:snapToGrid w:val="0"/>
        </w:rPr>
      </w:pPr>
      <w:bookmarkStart w:id="105" w:name="_Toc153978123"/>
      <w:r>
        <w:rPr>
          <w:rStyle w:val="CharSectno"/>
        </w:rPr>
        <w:t>22</w:t>
      </w:r>
      <w:r>
        <w:rPr>
          <w:snapToGrid w:val="0"/>
        </w:rPr>
        <w:t>.</w:t>
      </w:r>
      <w:r>
        <w:rPr>
          <w:snapToGrid w:val="0"/>
        </w:rPr>
        <w:tab/>
        <w:t>Protection for proceedings in Cabinet</w:t>
      </w:r>
      <w:bookmarkEnd w:id="105"/>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106" w:name="_Toc153978124"/>
      <w:r>
        <w:rPr>
          <w:rStyle w:val="CharSectno"/>
        </w:rPr>
        <w:lastRenderedPageBreak/>
        <w:t>22A</w:t>
      </w:r>
      <w:r>
        <w:rPr>
          <w:snapToGrid w:val="0"/>
        </w:rPr>
        <w:t>.</w:t>
      </w:r>
      <w:r>
        <w:rPr>
          <w:snapToGrid w:val="0"/>
        </w:rPr>
        <w:tab/>
      </w:r>
      <w:r>
        <w:t>Consultation other than in relation to reportable conduct scheme</w:t>
      </w:r>
      <w:bookmarkEnd w:id="106"/>
    </w:p>
    <w:p>
      <w:pPr>
        <w:pStyle w:val="Subsection"/>
      </w:pPr>
      <w:r>
        <w:rPr>
          <w:snapToGrid w:val="0"/>
        </w:rPr>
        <w:tab/>
        <w:t>(1)</w:t>
      </w:r>
      <w:r>
        <w:rPr>
          <w:snapToGrid w:val="0"/>
        </w:rPr>
        <w:tab/>
        <w:t xml:space="preserve">The Commissioner may consult </w:t>
      </w:r>
      <w:r>
        <w:t xml:space="preserve">the Corruption and Crime Commission, the Public Sector Commissioner, </w:t>
      </w:r>
      <w:r>
        <w:rPr>
          <w:snapToGrid w:val="0"/>
        </w:rPr>
        <w:t xml:space="preserve">the Inspector of Custodial Services or the Director of Public Prosecutions </w:t>
      </w:r>
      <w:r>
        <w:t xml:space="preserve">concerning — </w:t>
      </w:r>
    </w:p>
    <w:p>
      <w:pPr>
        <w:pStyle w:val="Indenta"/>
      </w:pPr>
      <w:r>
        <w:tab/>
        <w:t>(a)</w:t>
      </w:r>
      <w:r>
        <w:tab/>
      </w:r>
      <w:r>
        <w:rPr>
          <w:snapToGrid w:val="0"/>
        </w:rPr>
        <w:t>any complaint under this Act</w:t>
      </w:r>
      <w:r>
        <w:t>; or</w:t>
      </w:r>
    </w:p>
    <w:p>
      <w:pPr>
        <w:pStyle w:val="Indenta"/>
      </w:pPr>
      <w:r>
        <w:tab/>
        <w:t>(b)</w:t>
      </w:r>
      <w:r>
        <w:tab/>
      </w:r>
      <w:r>
        <w:rPr>
          <w:snapToGrid w:val="0"/>
        </w:rPr>
        <w:t>any investigation under this Act, other than an investigation conducted for the purposes of the reportable conduct scheme</w:t>
      </w:r>
      <w:r>
        <w: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No. 78 of 1996 s. 14; amended: No. 43 of 1999 s. 20; No. 74 of 2003 s. 91(13); No. 78 of 2003 s. 72; No. 35 of 2014 s. 36(3); No. 25 of 2022 s. 11.]</w:t>
      </w:r>
    </w:p>
    <w:p>
      <w:pPr>
        <w:pStyle w:val="Heading5"/>
        <w:rPr>
          <w:snapToGrid w:val="0"/>
        </w:rPr>
      </w:pPr>
      <w:bookmarkStart w:id="107" w:name="_Toc153978125"/>
      <w:r>
        <w:rPr>
          <w:rStyle w:val="CharSectno"/>
        </w:rPr>
        <w:t>22AA</w:t>
      </w:r>
      <w:r>
        <w:rPr>
          <w:snapToGrid w:val="0"/>
        </w:rPr>
        <w:t>.</w:t>
      </w:r>
      <w:r>
        <w:rPr>
          <w:snapToGrid w:val="0"/>
        </w:rPr>
        <w:tab/>
        <w:t>Consultation in relation to reportable conduct scheme</w:t>
      </w:r>
      <w:bookmarkEnd w:id="107"/>
    </w:p>
    <w:p>
      <w:pPr>
        <w:pStyle w:val="Subsection"/>
        <w:rPr>
          <w:snapToGrid w:val="0"/>
        </w:rPr>
      </w:pPr>
      <w:r>
        <w:rPr>
          <w:snapToGrid w:val="0"/>
        </w:rPr>
        <w:tab/>
        <w:t>(1)</w:t>
      </w:r>
      <w:r>
        <w:rPr>
          <w:snapToGrid w:val="0"/>
        </w:rPr>
        <w:tab/>
        <w:t>The Commissioner may consult any of the persons or bodies specified in subsection (2) concerning —</w:t>
      </w:r>
    </w:p>
    <w:p>
      <w:pPr>
        <w:pStyle w:val="Indenta"/>
      </w:pPr>
      <w:r>
        <w:tab/>
        <w:t>(a)</w:t>
      </w:r>
      <w:r>
        <w:tab/>
        <w:t>a reportable allegation or reportable conviction; or</w:t>
      </w:r>
    </w:p>
    <w:p>
      <w:pPr>
        <w:pStyle w:val="Indenta"/>
      </w:pPr>
      <w:r>
        <w:tab/>
        <w:t>(b)</w:t>
      </w:r>
      <w:r>
        <w:tab/>
        <w:t>any investigation under this Act conducted for the purposes of the reportable conduct scheme; or</w:t>
      </w:r>
    </w:p>
    <w:p>
      <w:pPr>
        <w:pStyle w:val="Indenta"/>
      </w:pPr>
      <w:r>
        <w:tab/>
        <w:t>(c)</w:t>
      </w:r>
      <w:r>
        <w:tab/>
        <w:t>any other matter that is relevant to the functions of the Commissioner under the reportable conduct scheme.</w:t>
      </w:r>
    </w:p>
    <w:p>
      <w:pPr>
        <w:pStyle w:val="Subsection"/>
      </w:pPr>
      <w:r>
        <w:tab/>
        <w:t>(2)</w:t>
      </w:r>
      <w:r>
        <w:tab/>
        <w:t xml:space="preserve">For the purposes of subsection (1), the persons and bodies are — </w:t>
      </w:r>
    </w:p>
    <w:p>
      <w:pPr>
        <w:pStyle w:val="Indenta"/>
      </w:pPr>
      <w:r>
        <w:tab/>
        <w:t>(a)</w:t>
      </w:r>
      <w:r>
        <w:tab/>
        <w:t>the Corruption and Crime Commission;</w:t>
      </w:r>
    </w:p>
    <w:p>
      <w:pPr>
        <w:pStyle w:val="Indenta"/>
      </w:pPr>
      <w:r>
        <w:tab/>
        <w:t>(b)</w:t>
      </w:r>
      <w:r>
        <w:tab/>
        <w:t>the Public Sector Commissioner;</w:t>
      </w:r>
    </w:p>
    <w:p>
      <w:pPr>
        <w:pStyle w:val="Indenta"/>
        <w:rPr>
          <w:snapToGrid w:val="0"/>
        </w:rPr>
      </w:pPr>
      <w:r>
        <w:rPr>
          <w:snapToGrid w:val="0"/>
        </w:rPr>
        <w:tab/>
        <w:t>(c)</w:t>
      </w:r>
      <w:r>
        <w:rPr>
          <w:snapToGrid w:val="0"/>
        </w:rPr>
        <w:tab/>
        <w:t xml:space="preserve">the Inspector of Custodial Services; </w:t>
      </w:r>
    </w:p>
    <w:p>
      <w:pPr>
        <w:pStyle w:val="Indenta"/>
        <w:rPr>
          <w:snapToGrid w:val="0"/>
        </w:rPr>
      </w:pPr>
      <w:r>
        <w:rPr>
          <w:snapToGrid w:val="0"/>
        </w:rPr>
        <w:lastRenderedPageBreak/>
        <w:tab/>
        <w:t>(d)</w:t>
      </w:r>
      <w:r>
        <w:rPr>
          <w:snapToGrid w:val="0"/>
        </w:rPr>
        <w:tab/>
        <w:t>the Director of Public Prosecutions;</w:t>
      </w:r>
    </w:p>
    <w:p>
      <w:pPr>
        <w:pStyle w:val="Indenta"/>
      </w:pPr>
      <w:r>
        <w:tab/>
        <w:t>(e)</w:t>
      </w:r>
      <w:r>
        <w:tab/>
        <w:t>a person or body that has functions under the law of another State, a Territory or the Commonwealth that substantially correspond to the functions of the Commissioner under the reportable conduct scheme.</w:t>
      </w:r>
    </w:p>
    <w:p>
      <w:pPr>
        <w:pStyle w:val="Subsection"/>
        <w:rPr>
          <w:snapToGrid w:val="0"/>
        </w:rPr>
      </w:pPr>
      <w:r>
        <w:tab/>
        <w:t>(3)</w:t>
      </w:r>
      <w:r>
        <w:tab/>
      </w:r>
      <w:r>
        <w:rPr>
          <w:snapToGrid w:val="0"/>
        </w:rPr>
        <w:t>The Commissioner or the head of a relevant entity may consult any of the persons or bodies specified in subsection (4) concerning —</w:t>
      </w:r>
    </w:p>
    <w:p>
      <w:pPr>
        <w:pStyle w:val="Indenta"/>
      </w:pPr>
      <w:r>
        <w:tab/>
        <w:t>(a)</w:t>
      </w:r>
      <w:r>
        <w:tab/>
        <w:t>a reportable</w:t>
      </w:r>
      <w:r>
        <w:rPr>
          <w:snapToGrid w:val="0"/>
        </w:rPr>
        <w:t xml:space="preserve"> allegation or reportable conviction</w:t>
      </w:r>
      <w:r>
        <w:t>; or</w:t>
      </w:r>
    </w:p>
    <w:p>
      <w:pPr>
        <w:pStyle w:val="Indenta"/>
      </w:pPr>
      <w:r>
        <w:tab/>
        <w:t>(b)</w:t>
      </w:r>
      <w:r>
        <w:tab/>
      </w:r>
      <w:r>
        <w:rPr>
          <w:snapToGrid w:val="0"/>
        </w:rPr>
        <w:t xml:space="preserve">any </w:t>
      </w:r>
      <w:r>
        <w:t>investigation</w:t>
      </w:r>
      <w:r>
        <w:rPr>
          <w:snapToGrid w:val="0"/>
        </w:rPr>
        <w:t xml:space="preserve"> under this Act conducted for the purposes of the reportable conduct scheme</w:t>
      </w:r>
      <w:r>
        <w:t>; or</w:t>
      </w:r>
    </w:p>
    <w:p>
      <w:pPr>
        <w:pStyle w:val="Indenta"/>
        <w:rPr>
          <w:snapToGrid w:val="0"/>
        </w:rPr>
      </w:pPr>
      <w:r>
        <w:tab/>
        <w:t>(c)</w:t>
      </w:r>
      <w:r>
        <w:tab/>
      </w:r>
      <w:r>
        <w:rPr>
          <w:snapToGrid w:val="0"/>
        </w:rPr>
        <w:t>any other matter that is relevant to the functions of the Commissioner or the head of the relevant entity under the reportable conduct scheme.</w:t>
      </w:r>
    </w:p>
    <w:p>
      <w:pPr>
        <w:pStyle w:val="Subsection"/>
      </w:pPr>
      <w:r>
        <w:tab/>
        <w:t>(4)</w:t>
      </w:r>
      <w:r>
        <w:tab/>
        <w:t>For the purposes of subsection (3), the persons and bodies are —</w:t>
      </w:r>
    </w:p>
    <w:p>
      <w:pPr>
        <w:pStyle w:val="Indenta"/>
      </w:pPr>
      <w:r>
        <w:tab/>
        <w:t>(a)</w:t>
      </w:r>
      <w:r>
        <w:tab/>
        <w:t>the Commissioner of Police;</w:t>
      </w:r>
    </w:p>
    <w:p>
      <w:pPr>
        <w:pStyle w:val="Indenta"/>
      </w:pPr>
      <w:r>
        <w:tab/>
        <w:t>(b)</w:t>
      </w:r>
      <w:r>
        <w:tab/>
        <w:t>the Commissioner for Children and Young People;</w:t>
      </w:r>
    </w:p>
    <w:p>
      <w:pPr>
        <w:pStyle w:val="Indenta"/>
      </w:pPr>
      <w:r>
        <w:tab/>
        <w:t>(c)</w:t>
      </w:r>
      <w:r>
        <w:tab/>
        <w:t>the CEO as defined in the CCS Act section 3;</w:t>
      </w:r>
    </w:p>
    <w:p>
      <w:pPr>
        <w:pStyle w:val="Indenta"/>
      </w:pPr>
      <w:r>
        <w:tab/>
        <w:t>(d)</w:t>
      </w:r>
      <w:r>
        <w:tab/>
        <w:t xml:space="preserve">the CEO as defined in the </w:t>
      </w:r>
      <w:r>
        <w:rPr>
          <w:i/>
          <w:iCs/>
        </w:rPr>
        <w:t>Working with Children (Criminal Record Checking) Act 2004</w:t>
      </w:r>
      <w:r>
        <w:t xml:space="preserve"> section 4.</w:t>
      </w:r>
    </w:p>
    <w:p>
      <w:pPr>
        <w:pStyle w:val="Subsection"/>
        <w:rPr>
          <w:snapToGrid w:val="0"/>
        </w:rPr>
      </w:pPr>
      <w:r>
        <w:rPr>
          <w:snapToGrid w:val="0"/>
        </w:rPr>
        <w:tab/>
        <w:t>(5)</w:t>
      </w:r>
      <w:r>
        <w:rPr>
          <w:snapToGrid w:val="0"/>
        </w:rPr>
        <w:tab/>
        <w:t>Information obtained by the Commissioner</w:t>
      </w:r>
      <w:r>
        <w:t>, the Deputy Commissioner or a member of the Commissioner’s staff</w:t>
      </w:r>
      <w:r>
        <w:rPr>
          <w:snapToGrid w:val="0"/>
        </w:rPr>
        <w:t xml:space="preserve"> under this Act for the purposes of the reportable conduct scheme may be disclosed for the purposes of any consultation by the Commissioner under subsection (1) or (3).</w:t>
      </w:r>
    </w:p>
    <w:p>
      <w:pPr>
        <w:pStyle w:val="Subsection"/>
        <w:rPr>
          <w:snapToGrid w:val="0"/>
        </w:rPr>
      </w:pPr>
      <w:r>
        <w:rPr>
          <w:snapToGrid w:val="0"/>
        </w:rPr>
        <w:tab/>
        <w:t>(6)</w:t>
      </w:r>
      <w:r>
        <w:rPr>
          <w:snapToGrid w:val="0"/>
        </w:rPr>
        <w:tab/>
        <w:t>Information obtained by the head of a relevant entity or an investigator conducting an investigation under Division 3B for the purposes of the reportable conduct scheme may be disclosed for the purposes of any consultation by the head of the relevant entity under subsection (3).</w:t>
      </w:r>
    </w:p>
    <w:p>
      <w:pPr>
        <w:pStyle w:val="Footnotesection"/>
      </w:pPr>
      <w:r>
        <w:tab/>
        <w:t>[Section 22AA inserted: No. 25 of 2022 s. 12.]</w:t>
      </w:r>
    </w:p>
    <w:p>
      <w:pPr>
        <w:pStyle w:val="Heading5"/>
        <w:rPr>
          <w:snapToGrid w:val="0"/>
        </w:rPr>
      </w:pPr>
      <w:bookmarkStart w:id="108" w:name="_Toc153978126"/>
      <w:r>
        <w:rPr>
          <w:rStyle w:val="CharSectno"/>
        </w:rPr>
        <w:lastRenderedPageBreak/>
        <w:t>22B</w:t>
      </w:r>
      <w:r>
        <w:rPr>
          <w:snapToGrid w:val="0"/>
        </w:rPr>
        <w:t>.</w:t>
      </w:r>
      <w:r>
        <w:rPr>
          <w:snapToGrid w:val="0"/>
        </w:rPr>
        <w:tab/>
      </w:r>
      <w:r>
        <w:t>Disclosure of certain information other than in relation to reportable conduct scheme</w:t>
      </w:r>
      <w:bookmarkEnd w:id="108"/>
      <w:r>
        <w:rPr>
          <w:snapToGrid w:val="0"/>
        </w:rPr>
        <w:t xml:space="preserve"> </w:t>
      </w:r>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w:t>
      </w:r>
      <w:r>
        <w:t xml:space="preserve">(other than an investigation conducted for the purposes of the reportable conduct scheme) </w:t>
      </w:r>
      <w:r>
        <w:rPr>
          <w:snapToGrid w:val="0"/>
        </w:rPr>
        <w:t>if the information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(aa)</w:t>
      </w:r>
      <w:r>
        <w:rPr>
          <w:snapToGrid w:val="0"/>
        </w:rPr>
        <w:tab/>
        <w:t>is disclosed to a person who is —</w:t>
      </w:r>
    </w:p>
    <w:p>
      <w:pPr>
        <w:pStyle w:val="Indenti"/>
        <w:rPr>
          <w:snapToGrid w:val="0"/>
        </w:rPr>
      </w:pPr>
      <w:r>
        <w:rPr>
          <w:snapToGrid w:val="0"/>
        </w:rPr>
        <w:tab/>
        <w:t>(i)</w:t>
      </w:r>
      <w:r>
        <w:rPr>
          <w:snapToGrid w:val="0"/>
        </w:rPr>
        <w:tab/>
        <w:t>the Inspector of Custodial Services; or</w:t>
      </w:r>
    </w:p>
    <w:p>
      <w:pPr>
        <w:pStyle w:val="Indenti"/>
        <w:rPr>
          <w:snapToGrid w:val="0"/>
        </w:rPr>
      </w:pPr>
      <w:r>
        <w:rPr>
          <w:snapToGrid w:val="0"/>
        </w:rPr>
        <w:tab/>
        <w:t>(ii)</w:t>
      </w:r>
      <w:r>
        <w:rPr>
          <w:snapToGrid w:val="0"/>
        </w:rPr>
        <w:tab/>
        <w:t>a member of the staff of the Inspector authorised for the purposes of this subparagraph by the Inspector,</w:t>
      </w:r>
    </w:p>
    <w:p>
      <w:pPr>
        <w:pStyle w:val="Indenta"/>
        <w:rPr>
          <w:snapToGrid w:val="0"/>
        </w:rPr>
      </w:pPr>
      <w:r>
        <w:rPr>
          <w:snapToGrid w:val="0"/>
        </w:rPr>
        <w:tab/>
      </w:r>
      <w:r>
        <w:rPr>
          <w:snapToGrid w:val="0"/>
        </w:rPr>
        <w:tab/>
        <w:t>and concerns a matter that is relevant to the functions of the Inspector; or</w:t>
      </w:r>
    </w:p>
    <w:p>
      <w:pPr>
        <w:pStyle w:val="Indenta"/>
        <w:rPr>
          <w:snapToGrid w:val="0"/>
        </w:rPr>
      </w:pPr>
      <w:r>
        <w:rPr>
          <w:snapToGrid w:val="0"/>
        </w:rPr>
        <w:tab/>
        <w:t>(b)</w:t>
      </w:r>
      <w:r>
        <w:rPr>
          <w:snapToGrid w:val="0"/>
        </w:rPr>
        <w:tab/>
        <w:t>is disclosed to a person who is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Deputy Director of Public Prosecutions; or</w:t>
      </w:r>
    </w:p>
    <w:p>
      <w:pPr>
        <w:pStyle w:val="Indenti"/>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pPr>
      <w:r>
        <w:tab/>
      </w:r>
      <w:r>
        <w:tab/>
        <w:t xml:space="preserve">and concerns a matter that is relevant to the functions of any of the following — </w:t>
      </w:r>
    </w:p>
    <w:p>
      <w:pPr>
        <w:pStyle w:val="Indenti"/>
      </w:pPr>
      <w:r>
        <w:tab/>
        <w:t>(iv)</w:t>
      </w:r>
      <w:r>
        <w:tab/>
        <w:t>the Corruption and Crime Commission;</w:t>
      </w:r>
    </w:p>
    <w:p>
      <w:pPr>
        <w:pStyle w:val="Indenti"/>
      </w:pPr>
      <w:r>
        <w:tab/>
        <w:t>(v)</w:t>
      </w:r>
      <w:r>
        <w:tab/>
        <w:t>the Parliamentary Inspector;</w:t>
      </w:r>
    </w:p>
    <w:p>
      <w:pPr>
        <w:pStyle w:val="Indenti"/>
      </w:pPr>
      <w:r>
        <w:lastRenderedPageBreak/>
        <w:tab/>
        <w:t>(vi)</w:t>
      </w:r>
      <w:r>
        <w:tab/>
        <w:t xml:space="preserve">the Public Sector Commissioner, but only those functions under the </w:t>
      </w:r>
      <w:r>
        <w:rPr>
          <w:i/>
        </w:rPr>
        <w:t>Corruption, Crime and Misconduct Act 2003</w:t>
      </w:r>
      <w:r>
        <w:t>;</w:t>
      </w:r>
    </w:p>
    <w:p>
      <w:pPr>
        <w:pStyle w:val="Indenti"/>
        <w:keepNext/>
      </w:pPr>
      <w:r>
        <w:tab/>
        <w:t>(vii)</w:t>
      </w:r>
      <w:r>
        <w:tab/>
        <w:t>the Director of Public Prosecutions;</w:t>
      </w:r>
    </w:p>
    <w:p>
      <w:pPr>
        <w:pStyle w:val="Indenta"/>
      </w:pPr>
      <w:r>
        <w:tab/>
      </w:r>
      <w:r>
        <w:tab/>
        <w:t>or</w:t>
      </w:r>
    </w:p>
    <w:p>
      <w:pPr>
        <w:pStyle w:val="Indenta"/>
      </w:pPr>
      <w:r>
        <w:tab/>
        <w:t>(c)</w:t>
      </w:r>
      <w:r>
        <w:tab/>
        <w:t>is disclosed to —</w:t>
      </w:r>
    </w:p>
    <w:p>
      <w:pPr>
        <w:pStyle w:val="Indenti"/>
      </w:pPr>
      <w:r>
        <w:tab/>
        <w:t>(i)</w:t>
      </w:r>
      <w:r>
        <w:tab/>
      </w:r>
      <w:r>
        <w:rPr>
          <w:snapToGrid w:val="0"/>
        </w:rPr>
        <w:t>the</w:t>
      </w:r>
      <w:r>
        <w:t xml:space="preserve"> Corruption and Crime Commission; or</w:t>
      </w:r>
    </w:p>
    <w:p>
      <w:pPr>
        <w:pStyle w:val="Indenti"/>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keepNext/>
      </w:pPr>
      <w:r>
        <w:tab/>
        <w:t>(d)</w:t>
      </w:r>
      <w:r>
        <w:tab/>
        <w:t>is disclosed to a person who is —</w:t>
      </w:r>
    </w:p>
    <w:p>
      <w:pPr>
        <w:pStyle w:val="Indenti"/>
      </w:pPr>
      <w:r>
        <w:tab/>
        <w:t>(i)</w:t>
      </w:r>
      <w:r>
        <w:tab/>
        <w:t>the Parliamentary Inspector of the Corruption and Crime Commission; or</w:t>
      </w:r>
    </w:p>
    <w:p>
      <w:pPr>
        <w:pStyle w:val="Indenti"/>
      </w:pPr>
      <w:r>
        <w:tab/>
        <w:t>(ii)</w:t>
      </w:r>
      <w:r>
        <w:tab/>
        <w:t>an officer of the Parliamentary Inspector of the Corruption and Crime Commission authorised for the purposes of this subparagraph by the Parliamentary Inspector,</w:t>
      </w:r>
    </w:p>
    <w:p>
      <w:pPr>
        <w:pStyle w:val="Indenta"/>
        <w:rPr>
          <w:snapToGrid w:val="0"/>
        </w:rPr>
      </w:pPr>
      <w:r>
        <w:tab/>
      </w:r>
      <w:r>
        <w:tab/>
        <w:t>and concerns a matter that is relevant to the functions of the Parliamentary Inspector; or</w:t>
      </w:r>
    </w:p>
    <w:p>
      <w:pPr>
        <w:pStyle w:val="Indenta"/>
      </w:pPr>
      <w:r>
        <w:tab/>
        <w:t>(ea)</w:t>
      </w:r>
      <w:r>
        <w:tab/>
        <w:t xml:space="preserve">is disclosed to — </w:t>
      </w:r>
    </w:p>
    <w:p>
      <w:pPr>
        <w:pStyle w:val="Indenti"/>
      </w:pPr>
      <w:r>
        <w:tab/>
        <w:t>(i)</w:t>
      </w:r>
      <w:r>
        <w:tab/>
        <w:t>the Public Sector Commissioner; or</w:t>
      </w:r>
    </w:p>
    <w:p>
      <w:pPr>
        <w:pStyle w:val="Indenti"/>
      </w:pPr>
      <w:r>
        <w:tab/>
        <w:t>(ii)</w:t>
      </w:r>
      <w:r>
        <w:tab/>
        <w:t>a person who is authorised by the Public Sector Commissioner for the purposes of this subparagraph,</w:t>
      </w:r>
    </w:p>
    <w:p>
      <w:pPr>
        <w:pStyle w:val="Indenta"/>
      </w:pPr>
      <w:r>
        <w:tab/>
      </w:r>
      <w:r>
        <w:tab/>
        <w:t xml:space="preserve">and concerns a matter that is relevant to the functions of the Public Sector Commissioner under the </w:t>
      </w:r>
      <w:r>
        <w:rPr>
          <w:i/>
        </w:rPr>
        <w:t>Corruption, Crime and Misconduct Act 2003</w:t>
      </w:r>
      <w:r>
        <w:t>; or</w:t>
      </w:r>
    </w:p>
    <w:p>
      <w:pPr>
        <w:pStyle w:val="Indenta"/>
        <w:keepNext/>
      </w:pPr>
      <w:r>
        <w:lastRenderedPageBreak/>
        <w:tab/>
        <w:t>(e)</w:t>
      </w:r>
      <w:r>
        <w:tab/>
        <w:t>is disclosed to a person who is —</w:t>
      </w:r>
    </w:p>
    <w:p>
      <w:pPr>
        <w:pStyle w:val="Indenti"/>
      </w:pPr>
      <w:r>
        <w:tab/>
        <w:t>(i)</w:t>
      </w:r>
      <w:r>
        <w:tab/>
        <w:t>the Commissioner for Children and Young People; or</w:t>
      </w:r>
    </w:p>
    <w:p>
      <w:pPr>
        <w:pStyle w:val="Indenti"/>
      </w:pPr>
      <w:r>
        <w:tab/>
        <w:t>(ii)</w:t>
      </w:r>
      <w:r>
        <w:tab/>
        <w:t>a member of the staff of the Commissioner for Children and Young People authorised for the purposes of this subparagraph by the Commissioner for Children and Young People,</w:t>
      </w:r>
    </w:p>
    <w:p>
      <w:pPr>
        <w:pStyle w:val="Indenta"/>
        <w:spacing w:before="70"/>
      </w:pPr>
      <w:r>
        <w:tab/>
      </w:r>
      <w:r>
        <w:tab/>
        <w:t>and concerns a matter that is relevant to the death of a child.</w:t>
      </w:r>
    </w:p>
    <w:p>
      <w:pPr>
        <w:pStyle w:val="Footnotesection"/>
      </w:pPr>
      <w:r>
        <w:tab/>
        <w:t>[Section 22B inserted: No. 78 of 1996 s. 14; amended: No. 43 of 1999 s. 20; No. 74 of 2003 s. 91(14); No. 78 of 2003 s. 72; No. 10 of 2009 s. 8; No. 35 of 2014 s. 36(4); No. 25 of 2022 s. 13.]</w:t>
      </w:r>
    </w:p>
    <w:p>
      <w:pPr>
        <w:pStyle w:val="Heading5"/>
        <w:rPr>
          <w:snapToGrid w:val="0"/>
        </w:rPr>
      </w:pPr>
      <w:bookmarkStart w:id="109" w:name="_Toc153978127"/>
      <w:r>
        <w:rPr>
          <w:rStyle w:val="CharSectno"/>
        </w:rPr>
        <w:t>22C</w:t>
      </w:r>
      <w:r>
        <w:rPr>
          <w:snapToGrid w:val="0"/>
        </w:rPr>
        <w:t>.</w:t>
      </w:r>
      <w:r>
        <w:rPr>
          <w:snapToGrid w:val="0"/>
        </w:rPr>
        <w:tab/>
        <w:t>Disclosure of certain information in relation to reportable conduct scheme</w:t>
      </w:r>
      <w:bookmarkEnd w:id="109"/>
    </w:p>
    <w:p>
      <w:pPr>
        <w:pStyle w:val="Subsection"/>
      </w:pPr>
      <w:r>
        <w:tab/>
        <w:t>(1)</w:t>
      </w:r>
      <w:r>
        <w:tab/>
        <w:t>In this section —</w:t>
      </w:r>
    </w:p>
    <w:p>
      <w:pPr>
        <w:pStyle w:val="Defstart"/>
      </w:pPr>
      <w:r>
        <w:tab/>
      </w:r>
      <w:r>
        <w:rPr>
          <w:rStyle w:val="CharDefText"/>
        </w:rPr>
        <w:t>reportable conduct information</w:t>
      </w:r>
      <w:r>
        <w:t xml:space="preserve"> means information obtained by the Commissioner, the Deputy Commissioner or a member of the Commissioner’s staff for the purposes of the reportable conduct scheme.</w:t>
      </w:r>
    </w:p>
    <w:p>
      <w:pPr>
        <w:pStyle w:val="Subsection"/>
        <w:rPr>
          <w:snapToGrid w:val="0"/>
        </w:rPr>
      </w:pPr>
      <w:r>
        <w:rPr>
          <w:snapToGrid w:val="0"/>
        </w:rPr>
        <w:tab/>
        <w:t>(2)</w:t>
      </w:r>
      <w:r>
        <w:rPr>
          <w:snapToGrid w:val="0"/>
        </w:rPr>
        <w:tab/>
        <w:t xml:space="preserve">The Commissioner, the Deputy Commissioner or </w:t>
      </w:r>
      <w:r>
        <w:t>a member of the Commissioner’s staff</w:t>
      </w:r>
      <w:r>
        <w:rPr>
          <w:snapToGrid w:val="0"/>
        </w:rPr>
        <w:t xml:space="preserve"> authorised for the purposes of this section by the Commissioner or the Deputy Commissioner may disclose reportable conduct information if —</w:t>
      </w:r>
    </w:p>
    <w:p>
      <w:pPr>
        <w:pStyle w:val="Indenta"/>
      </w:pPr>
      <w:r>
        <w:tab/>
        <w:t>(a)</w:t>
      </w:r>
      <w:r>
        <w:tab/>
        <w:t>the information —</w:t>
      </w:r>
    </w:p>
    <w:p>
      <w:pPr>
        <w:pStyle w:val="Indenti"/>
      </w:pPr>
      <w:r>
        <w:tab/>
        <w:t>(i)</w:t>
      </w:r>
      <w:r>
        <w:tab/>
        <w:t>is disclosed to a person referred to in section 22B(aa), (b), (c), (d) or (ea); and</w:t>
      </w:r>
    </w:p>
    <w:p>
      <w:pPr>
        <w:pStyle w:val="Indenti"/>
      </w:pPr>
      <w:r>
        <w:tab/>
        <w:t>(ii)</w:t>
      </w:r>
      <w:r>
        <w:tab/>
        <w:t>concerns a matter of a kind for which information can be disclosed to that person under section 22B;</w:t>
      </w:r>
    </w:p>
    <w:p>
      <w:pPr>
        <w:pStyle w:val="Indenta"/>
      </w:pPr>
      <w:r>
        <w:tab/>
      </w:r>
      <w:r>
        <w:tab/>
        <w:t>or</w:t>
      </w:r>
    </w:p>
    <w:p>
      <w:pPr>
        <w:pStyle w:val="Indenta"/>
        <w:keepNext/>
      </w:pPr>
      <w:r>
        <w:lastRenderedPageBreak/>
        <w:tab/>
        <w:t>(b)</w:t>
      </w:r>
      <w:r>
        <w:tab/>
        <w:t>the information —</w:t>
      </w:r>
    </w:p>
    <w:p>
      <w:pPr>
        <w:pStyle w:val="Indenti"/>
      </w:pPr>
      <w:r>
        <w:tab/>
        <w:t>(i)</w:t>
      </w:r>
      <w:r>
        <w:tab/>
        <w:t>is disclosed to the Commissioner of Police; and</w:t>
      </w:r>
    </w:p>
    <w:p>
      <w:pPr>
        <w:pStyle w:val="Indenti"/>
      </w:pPr>
      <w:r>
        <w:tab/>
        <w:t>(ii)</w:t>
      </w:r>
      <w:r>
        <w:tab/>
        <w:t xml:space="preserve">concerns a matter that is relevant to the functions of the Commissioner of Police; </w:t>
      </w:r>
    </w:p>
    <w:p>
      <w:pPr>
        <w:pStyle w:val="Indenta"/>
      </w:pPr>
      <w:r>
        <w:tab/>
      </w:r>
      <w:r>
        <w:tab/>
        <w:t>or</w:t>
      </w:r>
    </w:p>
    <w:p>
      <w:pPr>
        <w:pStyle w:val="Indenta"/>
      </w:pPr>
      <w:r>
        <w:tab/>
        <w:t>(c)</w:t>
      </w:r>
      <w:r>
        <w:tab/>
        <w:t>the information —</w:t>
      </w:r>
    </w:p>
    <w:p>
      <w:pPr>
        <w:pStyle w:val="Indenti"/>
      </w:pPr>
      <w:r>
        <w:tab/>
        <w:t>(i)</w:t>
      </w:r>
      <w:r>
        <w:tab/>
        <w:t>is disclosed to the Commissioner for Children and Young People or a member of the staff of the Commissioner for Children and Young People authorised for the purposes of this subparagraph by the Commissioner for Children and Young People; and</w:t>
      </w:r>
    </w:p>
    <w:p>
      <w:pPr>
        <w:pStyle w:val="Indenti"/>
      </w:pPr>
      <w:r>
        <w:tab/>
        <w:t>(ii)</w:t>
      </w:r>
      <w:r>
        <w:tab/>
        <w:t xml:space="preserve">concerns a matter that is relevant to the functions of the Commissioner for Children and Young People under the </w:t>
      </w:r>
      <w:r>
        <w:rPr>
          <w:i/>
        </w:rPr>
        <w:t>Commissioner for Children and Young People Act 2006</w:t>
      </w:r>
      <w:r>
        <w:t>;</w:t>
      </w:r>
    </w:p>
    <w:p>
      <w:pPr>
        <w:pStyle w:val="Indenta"/>
      </w:pPr>
      <w:r>
        <w:tab/>
      </w:r>
      <w:r>
        <w:tab/>
        <w:t>or</w:t>
      </w:r>
    </w:p>
    <w:p>
      <w:pPr>
        <w:pStyle w:val="Indenta"/>
      </w:pPr>
      <w:r>
        <w:tab/>
        <w:t>(d)</w:t>
      </w:r>
      <w:r>
        <w:tab/>
        <w:t>the information —</w:t>
      </w:r>
    </w:p>
    <w:p>
      <w:pPr>
        <w:pStyle w:val="Indenti"/>
      </w:pPr>
      <w:r>
        <w:tab/>
        <w:t>(i)</w:t>
      </w:r>
      <w:r>
        <w:tab/>
        <w:t>is disclosed to the CEO as defined in the CCS Act section 3 or a member of the staff of the Department as defined in that section; and</w:t>
      </w:r>
    </w:p>
    <w:p>
      <w:pPr>
        <w:pStyle w:val="Indenti"/>
      </w:pPr>
      <w:r>
        <w:tab/>
        <w:t>(ii)</w:t>
      </w:r>
      <w:r>
        <w:tab/>
        <w:t>concerns a matter that is relevant to the functions of the CEO under that Act;</w:t>
      </w:r>
    </w:p>
    <w:p>
      <w:pPr>
        <w:pStyle w:val="Indenta"/>
      </w:pPr>
      <w:r>
        <w:tab/>
      </w:r>
      <w:r>
        <w:tab/>
        <w:t>or</w:t>
      </w:r>
    </w:p>
    <w:p>
      <w:pPr>
        <w:pStyle w:val="Indenta"/>
      </w:pPr>
      <w:r>
        <w:tab/>
        <w:t>(e)</w:t>
      </w:r>
      <w:r>
        <w:tab/>
        <w:t>the information —</w:t>
      </w:r>
    </w:p>
    <w:p>
      <w:pPr>
        <w:pStyle w:val="Indenti"/>
      </w:pPr>
      <w:r>
        <w:tab/>
        <w:t>(i)</w:t>
      </w:r>
      <w:r>
        <w:tab/>
        <w:t xml:space="preserve">is disclosed to the CEO as defined in the </w:t>
      </w:r>
      <w:r>
        <w:rPr>
          <w:i/>
          <w:iCs/>
        </w:rPr>
        <w:t>Working with Children (Criminal Record Checking) Act 2004</w:t>
      </w:r>
      <w:r>
        <w:t xml:space="preserve"> section 4 or an officer of the Department as defined in that section; and</w:t>
      </w:r>
    </w:p>
    <w:p>
      <w:pPr>
        <w:pStyle w:val="Indenti"/>
      </w:pPr>
      <w:r>
        <w:tab/>
        <w:t>(ii)</w:t>
      </w:r>
      <w:r>
        <w:tab/>
        <w:t>concerns a matter that is relevant to the functions of the CEO under that Act.</w:t>
      </w:r>
    </w:p>
    <w:p>
      <w:pPr>
        <w:pStyle w:val="Footnotesection"/>
      </w:pPr>
      <w:r>
        <w:tab/>
        <w:t>[Section 22C inserted: No. 25 of 2022 s. 14.]</w:t>
      </w:r>
    </w:p>
    <w:p>
      <w:pPr>
        <w:pStyle w:val="Heading5"/>
        <w:rPr>
          <w:snapToGrid w:val="0"/>
        </w:rPr>
      </w:pPr>
      <w:bookmarkStart w:id="110" w:name="_Toc153978128"/>
      <w:r>
        <w:rPr>
          <w:rStyle w:val="CharSectno"/>
        </w:rPr>
        <w:lastRenderedPageBreak/>
        <w:t>23</w:t>
      </w:r>
      <w:r>
        <w:rPr>
          <w:snapToGrid w:val="0"/>
        </w:rPr>
        <w:t>.</w:t>
      </w:r>
      <w:r>
        <w:rPr>
          <w:snapToGrid w:val="0"/>
        </w:rPr>
        <w:tab/>
        <w:t>Secrecy</w:t>
      </w:r>
      <w:bookmarkEnd w:id="110"/>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w:t>
      </w:r>
      <w:r>
        <w:t xml:space="preserve"> by the Commissioner</w:t>
      </w:r>
      <w:r>
        <w:rPr>
          <w:snapToGrid w:val="0"/>
        </w:rPr>
        <w:t xml:space="preserve">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 or</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 xml:space="preserve">as authorised by </w:t>
      </w:r>
      <w:r>
        <w:t>Division 3B or section 22A, 22AA, 22B or 22C(2)</w:t>
      </w:r>
      <w:r>
        <w:rPr>
          <w:snapToGrid w:val="0"/>
        </w:rPr>
        <w:t>.</w:t>
      </w:r>
    </w:p>
    <w:p>
      <w:pPr>
        <w:pStyle w:val="Subsection"/>
        <w:rPr>
          <w:snapToGrid w:val="0"/>
        </w:rPr>
      </w:pPr>
      <w:r>
        <w:rPr>
          <w:snapToGrid w:val="0"/>
        </w:rPr>
        <w:tab/>
        <w:t>(1a)</w:t>
      </w:r>
      <w:r>
        <w:rPr>
          <w:snapToGrid w:val="0"/>
        </w:rPr>
        <w:tab/>
        <w:t xml:space="preserve">The Commissioner may in writing direct the person to whom a document is sent by the Commissioner not to disclose to any other person any information contained in the document except for the purposes of the investigation to which the document </w:t>
      </w:r>
      <w:r>
        <w:t>relates or any other purpose specified in the direction, and a person to whom such a direction is given must</w:t>
      </w:r>
      <w:r>
        <w:rPr>
          <w:snapToGrid w:val="0"/>
        </w:rPr>
        <w:t xml:space="preserve"> comply with the direction.</w:t>
      </w:r>
    </w:p>
    <w:p>
      <w:pPr>
        <w:pStyle w:val="Subsection"/>
        <w:rPr>
          <w:snapToGrid w:val="0"/>
        </w:rPr>
      </w:pPr>
      <w:r>
        <w:rPr>
          <w:snapToGrid w:val="0"/>
        </w:rPr>
        <w:tab/>
        <w:t>(1b)</w:t>
      </w:r>
      <w:r>
        <w:rPr>
          <w:snapToGrid w:val="0"/>
        </w:rPr>
        <w:tab/>
        <w:t xml:space="preserve">Subsection (1) shall not be taken to preclude the Commissioner from disclosing information, or making a statement, to any person or to the public or a section of the public with respect to the performance of the functions of, or an investigation by, the Commissioner if, in </w:t>
      </w:r>
      <w:r>
        <w:t>the Commissioner’s opinion,</w:t>
      </w:r>
      <w:r>
        <w:rPr>
          <w:snapToGrid w:val="0"/>
        </w:rPr>
        <w:t xml:space="preserve"> it is in the interests of any department or authority to which this Act </w:t>
      </w:r>
      <w:r>
        <w:t xml:space="preserve">applies, of any </w:t>
      </w:r>
      <w:r>
        <w:rPr>
          <w:snapToGrid w:val="0"/>
        </w:rPr>
        <w:t>person or of the proper operation of the reportable conduct scheme, or is otherwise in the public interest, so to disclose that information or to make that statement.</w:t>
      </w:r>
    </w:p>
    <w:p>
      <w:pPr>
        <w:pStyle w:val="Subsection"/>
        <w:rPr>
          <w:snapToGrid w:val="0"/>
        </w:rPr>
      </w:pPr>
      <w:r>
        <w:rPr>
          <w:snapToGrid w:val="0"/>
        </w:rPr>
        <w:tab/>
        <w:t>(1c)</w:t>
      </w:r>
      <w:r>
        <w:rPr>
          <w:snapToGrid w:val="0"/>
        </w:rPr>
        <w:tab/>
        <w:t xml:space="preserve">The Commissioner shall not disclose information or make a statement under subsection (1b) with respect to a particular investigation where the disclosure of that information, or the making of that statement, is likely to interfere with the carrying </w:t>
      </w:r>
      <w:r>
        <w:rPr>
          <w:snapToGrid w:val="0"/>
        </w:rPr>
        <w:lastRenderedPageBreak/>
        <w:t>out of that or any other investigation or the making of a report by him under this Act.</w:t>
      </w:r>
    </w:p>
    <w:p>
      <w:pPr>
        <w:pStyle w:val="Subsection"/>
        <w:keepNext/>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rPr>
          <w:snapToGrid w:val="0"/>
        </w:rPr>
      </w:pPr>
      <w:r>
        <w:rPr>
          <w:snapToGrid w:val="0"/>
        </w:rPr>
        <w:tab/>
        <w:t>(a)</w:t>
      </w:r>
      <w:r>
        <w:rPr>
          <w:snapToGrid w:val="0"/>
        </w:rPr>
        <w:tab/>
        <w:t xml:space="preserve">set out opinions that are, either expressly or impliedly, critical of any </w:t>
      </w:r>
      <w:r>
        <w:t>department, authority or relevant entity</w:t>
      </w:r>
      <w:r>
        <w:rPr>
          <w:snapToGrid w:val="0"/>
        </w:rPr>
        <w:t xml:space="preserve"> to which this Act applies or any person unless the Commissioner has complied with subsection (1e) in relation to the investigation; or</w:t>
      </w:r>
    </w:p>
    <w:p>
      <w:pPr>
        <w:pStyle w:val="Indenta"/>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spacing w:before="140"/>
        <w:rPr>
          <w:snapToGrid w:val="0"/>
        </w:rPr>
      </w:pPr>
      <w:r>
        <w:rPr>
          <w:snapToGrid w:val="0"/>
        </w:rPr>
        <w:tab/>
        <w:t>(1e)</w:t>
      </w:r>
      <w:r>
        <w:rPr>
          <w:snapToGrid w:val="0"/>
        </w:rPr>
        <w:tab/>
        <w:t xml:space="preserve">Where the Commissioner proposes to disclose information or make a statement setting out opinions referred to in subsection (1d)(a) </w:t>
      </w:r>
      <w:r>
        <w:t>the Commissioner must,</w:t>
      </w:r>
      <w:r>
        <w:rPr>
          <w:snapToGrid w:val="0"/>
        </w:rPr>
        <w:t xml:space="preserve">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pPr>
      <w:r>
        <w:tab/>
        <w:t>(aa)</w:t>
      </w:r>
      <w:r>
        <w:tab/>
        <w:t>if the opinions relate to a relevant entity, the head of the relevant entity; or</w:t>
      </w:r>
    </w:p>
    <w:p>
      <w:pPr>
        <w:pStyle w:val="Indenta"/>
        <w:rPr>
          <w:snapToGrid w:val="0"/>
        </w:rPr>
      </w:pPr>
      <w:r>
        <w:rPr>
          <w:snapToGrid w:val="0"/>
        </w:rPr>
        <w:tab/>
        <w:t>(b)</w:t>
      </w:r>
      <w:r>
        <w:rPr>
          <w:snapToGrid w:val="0"/>
        </w:rPr>
        <w:tab/>
        <w:t>if the opinions relate to a person, that person,</w:t>
      </w:r>
    </w:p>
    <w:p>
      <w:pPr>
        <w:pStyle w:val="Subsection"/>
        <w:rPr>
          <w:snapToGrid w:val="0"/>
        </w:rPr>
      </w:pPr>
      <w:r>
        <w:rPr>
          <w:snapToGrid w:val="0"/>
        </w:rPr>
        <w:tab/>
      </w:r>
      <w:r>
        <w:rPr>
          <w:snapToGrid w:val="0"/>
        </w:rPr>
        <w:tab/>
        <w:t xml:space="preserve">the opportunity to appear </w:t>
      </w:r>
      <w:r>
        <w:t>before the Commissioner</w:t>
      </w:r>
      <w:r>
        <w:rPr>
          <w:snapToGrid w:val="0"/>
        </w:rPr>
        <w:t xml:space="preserve"> and to make submissions, either orally or in writing, in relation to the complaint.</w:t>
      </w:r>
    </w:p>
    <w:p>
      <w:pPr>
        <w:pStyle w:val="Subsection"/>
        <w:rPr>
          <w:snapToGrid w:val="0"/>
        </w:rPr>
      </w:pPr>
      <w:r>
        <w:rPr>
          <w:snapToGrid w:val="0"/>
        </w:rPr>
        <w:tab/>
        <w:t>(1f)</w:t>
      </w:r>
      <w:r>
        <w:rPr>
          <w:snapToGrid w:val="0"/>
        </w:rPr>
        <w:tab/>
        <w:t>This section has effect notwithstanding section 19(2).</w:t>
      </w:r>
    </w:p>
    <w:p>
      <w:pPr>
        <w:pStyle w:val="Subsection"/>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lastRenderedPageBreak/>
        <w:tab/>
        <w:t>[Section 23 amended: No. 68 of 1976 s. 7; No. 124 of 1984 s. 8; No. 14 of 1994 s. 19(2); No. 29 of 1996 s. 26; No. 78 of 1996 s. 15 and 21; No. 74 of 2003 s. 91(15); No. 25 of 2022 s. 15.]</w:t>
      </w:r>
    </w:p>
    <w:p>
      <w:pPr>
        <w:pStyle w:val="Heading5"/>
        <w:rPr>
          <w:snapToGrid w:val="0"/>
        </w:rPr>
      </w:pPr>
      <w:bookmarkStart w:id="111" w:name="_Toc153978129"/>
      <w:r>
        <w:rPr>
          <w:rStyle w:val="CharSectno"/>
        </w:rPr>
        <w:t>23A</w:t>
      </w:r>
      <w:r>
        <w:rPr>
          <w:snapToGrid w:val="0"/>
        </w:rPr>
        <w:t>.</w:t>
      </w:r>
      <w:r>
        <w:rPr>
          <w:snapToGrid w:val="0"/>
        </w:rPr>
        <w:tab/>
      </w:r>
      <w:r>
        <w:t>Certain documents sent to or by Commissioner not admissible</w:t>
      </w:r>
      <w:bookmarkEnd w:id="111"/>
    </w:p>
    <w:p>
      <w:pPr>
        <w:pStyle w:val="Subsection"/>
        <w:rPr>
          <w:snapToGrid w:val="0"/>
        </w:rPr>
      </w:pPr>
      <w:r>
        <w:rPr>
          <w:snapToGrid w:val="0"/>
        </w:rPr>
        <w:tab/>
      </w:r>
      <w:r>
        <w:t>(1)</w:t>
      </w:r>
      <w:r>
        <w:tab/>
        <w:t>Any</w:t>
      </w:r>
      <w:r>
        <w:rPr>
          <w:snapToGrid w:val="0"/>
        </w:rPr>
        <w:t xml:space="preserve">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Subsection"/>
      </w:pPr>
      <w:r>
        <w:tab/>
        <w:t>(2)</w:t>
      </w:r>
      <w:r>
        <w:tab/>
        <w:t xml:space="preserve">Subsection (1) does not apply to a document sent to the Commissioner, the Deputy Commissioner or a member of the Commissioner’s staff or by the Commissioner, the Deputy Commissioner or a member of the Commissioner’s staff in the course of, or for the purposes of — </w:t>
      </w:r>
    </w:p>
    <w:p>
      <w:pPr>
        <w:pStyle w:val="Indenta"/>
      </w:pPr>
      <w:r>
        <w:tab/>
        <w:t>(a)</w:t>
      </w:r>
      <w:r>
        <w:tab/>
        <w:t>an investigation by the head of a relevant entity under section 19W(1); or</w:t>
      </w:r>
    </w:p>
    <w:p>
      <w:pPr>
        <w:pStyle w:val="Indenta"/>
      </w:pPr>
      <w:r>
        <w:tab/>
        <w:t>(b)</w:t>
      </w:r>
      <w:r>
        <w:tab/>
        <w:t>an investigation by the Commissioner under section 19ZB(1)(a).</w:t>
      </w:r>
    </w:p>
    <w:p>
      <w:pPr>
        <w:pStyle w:val="Footnotesection"/>
        <w:spacing w:before="100"/>
        <w:ind w:left="890" w:hanging="890"/>
      </w:pPr>
      <w:r>
        <w:tab/>
        <w:t>[Section 23A inserted: No. 73 of 1976 s. 8; amended: No. 74 of 2003 s. 91(16); No. 25 of 2022 s. 16.]</w:t>
      </w:r>
    </w:p>
    <w:p>
      <w:pPr>
        <w:pStyle w:val="Heading5"/>
        <w:rPr>
          <w:snapToGrid w:val="0"/>
        </w:rPr>
      </w:pPr>
      <w:bookmarkStart w:id="112" w:name="_Toc153978130"/>
      <w:r>
        <w:rPr>
          <w:rStyle w:val="CharSectno"/>
        </w:rPr>
        <w:t>24</w:t>
      </w:r>
      <w:r>
        <w:rPr>
          <w:snapToGrid w:val="0"/>
        </w:rPr>
        <w:t>.</w:t>
      </w:r>
      <w:r>
        <w:rPr>
          <w:snapToGrid w:val="0"/>
        </w:rPr>
        <w:tab/>
        <w:t>Obstruction</w:t>
      </w:r>
      <w:bookmarkEnd w:id="112"/>
    </w:p>
    <w:p>
      <w:pPr>
        <w:pStyle w:val="Subsection"/>
        <w:keepNext/>
        <w:spacing w:before="120"/>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 or</w:t>
      </w:r>
    </w:p>
    <w:p>
      <w:pPr>
        <w:pStyle w:val="Indenta"/>
        <w:rPr>
          <w:snapToGrid w:val="0"/>
        </w:rPr>
      </w:pPr>
      <w:r>
        <w:rPr>
          <w:snapToGrid w:val="0"/>
        </w:rPr>
        <w:lastRenderedPageBreak/>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180"/>
      </w:pPr>
      <w:bookmarkStart w:id="113" w:name="_Toc153965076"/>
      <w:bookmarkStart w:id="114" w:name="_Toc153968734"/>
      <w:bookmarkStart w:id="115" w:name="_Toc153978131"/>
      <w:r>
        <w:rPr>
          <w:rStyle w:val="CharDivNo"/>
        </w:rPr>
        <w:t>Division 4</w:t>
      </w:r>
      <w:r>
        <w:rPr>
          <w:snapToGrid w:val="0"/>
        </w:rPr>
        <w:t> — </w:t>
      </w:r>
      <w:r>
        <w:rPr>
          <w:rStyle w:val="CharDivText"/>
        </w:rPr>
        <w:t>Action on investigations</w:t>
      </w:r>
      <w:bookmarkEnd w:id="113"/>
      <w:bookmarkEnd w:id="114"/>
      <w:bookmarkEnd w:id="115"/>
    </w:p>
    <w:p>
      <w:pPr>
        <w:pStyle w:val="Heading5"/>
        <w:spacing w:before="180"/>
        <w:rPr>
          <w:snapToGrid w:val="0"/>
        </w:rPr>
      </w:pPr>
      <w:bookmarkStart w:id="116" w:name="_Toc153978132"/>
      <w:r>
        <w:rPr>
          <w:rStyle w:val="CharSectno"/>
        </w:rPr>
        <w:t>25</w:t>
      </w:r>
      <w:r>
        <w:rPr>
          <w:snapToGrid w:val="0"/>
        </w:rPr>
        <w:t>.</w:t>
      </w:r>
      <w:r>
        <w:rPr>
          <w:snapToGrid w:val="0"/>
        </w:rPr>
        <w:tab/>
        <w:t>Procedure on completion of investigation</w:t>
      </w:r>
      <w:bookmarkEnd w:id="116"/>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 or</w:t>
      </w:r>
    </w:p>
    <w:p>
      <w:pPr>
        <w:pStyle w:val="Indenta"/>
        <w:rPr>
          <w:snapToGrid w:val="0"/>
        </w:rPr>
      </w:pPr>
      <w:r>
        <w:rPr>
          <w:snapToGrid w:val="0"/>
        </w:rPr>
        <w:tab/>
        <w:t>(b)</w:t>
      </w:r>
      <w:r>
        <w:rPr>
          <w:snapToGrid w:val="0"/>
        </w:rPr>
        <w:tab/>
        <w:t>was unreasonable, unjust, oppressive, or improperly discriminatory; or</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 or</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 or</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 or</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rPr>
          <w:snapToGrid w:val="0"/>
        </w:rPr>
      </w:pPr>
      <w:r>
        <w:rPr>
          <w:snapToGrid w:val="0"/>
        </w:rPr>
        <w:lastRenderedPageBreak/>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 or</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 or</w:t>
      </w:r>
    </w:p>
    <w:p>
      <w:pPr>
        <w:pStyle w:val="Indenta"/>
        <w:rPr>
          <w:snapToGrid w:val="0"/>
        </w:rPr>
      </w:pPr>
      <w:r>
        <w:rPr>
          <w:snapToGrid w:val="0"/>
        </w:rPr>
        <w:tab/>
        <w:t>(c)</w:t>
      </w:r>
      <w:r>
        <w:rPr>
          <w:snapToGrid w:val="0"/>
        </w:rPr>
        <w:tab/>
        <w:t>that any practice in accordance with which the action was taken should be varied; or</w:t>
      </w:r>
    </w:p>
    <w:p>
      <w:pPr>
        <w:pStyle w:val="Indenta"/>
        <w:rPr>
          <w:snapToGrid w:val="0"/>
        </w:rPr>
      </w:pPr>
      <w:r>
        <w:rPr>
          <w:snapToGrid w:val="0"/>
        </w:rPr>
        <w:tab/>
        <w:t>(d)</w:t>
      </w:r>
      <w:r>
        <w:rPr>
          <w:snapToGrid w:val="0"/>
        </w:rPr>
        <w:tab/>
        <w:t>that any law in accordance with which, or on the basis of which, the action was taken should be reconsidered; or</w:t>
      </w:r>
    </w:p>
    <w:p>
      <w:pPr>
        <w:pStyle w:val="Indenta"/>
        <w:rPr>
          <w:snapToGrid w:val="0"/>
        </w:rPr>
      </w:pPr>
      <w:r>
        <w:rPr>
          <w:snapToGrid w:val="0"/>
        </w:rPr>
        <w:tab/>
        <w:t>(e)</w:t>
      </w:r>
      <w:r>
        <w:rPr>
          <w:snapToGrid w:val="0"/>
        </w:rPr>
        <w:tab/>
        <w:t>that reasons should be given for the action; or</w:t>
      </w:r>
    </w:p>
    <w:p>
      <w:pPr>
        <w:pStyle w:val="Indenta"/>
        <w:keepNext/>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 xml:space="preserve">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w:t>
      </w:r>
      <w:r>
        <w:rPr>
          <w:snapToGrid w:val="0"/>
        </w:rPr>
        <w:lastRenderedPageBreak/>
        <w:t>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Subsection"/>
        <w:rPr>
          <w:snapToGrid w:val="0"/>
        </w:rPr>
      </w:pPr>
      <w:r>
        <w:rPr>
          <w:snapToGrid w:val="0"/>
        </w:rPr>
        <w:tab/>
        <w:t>(8)</w:t>
      </w:r>
      <w:r>
        <w:rPr>
          <w:snapToGrid w:val="0"/>
        </w:rPr>
        <w:tab/>
        <w:t xml:space="preserve">This section applies in relation to an investigation by the Commissioner for the purposes of the reportable conduct scheme as follows — </w:t>
      </w:r>
    </w:p>
    <w:p>
      <w:pPr>
        <w:pStyle w:val="Indenta"/>
      </w:pPr>
      <w:r>
        <w:tab/>
        <w:t>(a)</w:t>
      </w:r>
      <w:r>
        <w:tab/>
        <w:t>any reference to the appropriate authority is taken to be a reference to the relevant entity;</w:t>
      </w:r>
    </w:p>
    <w:p>
      <w:pPr>
        <w:pStyle w:val="Indenta"/>
      </w:pPr>
      <w:r>
        <w:tab/>
        <w:t>(b)</w:t>
      </w:r>
      <w:r>
        <w:tab/>
        <w:t>any reference to the principal officer of the appropriate authority is taken to be a reference to the head of the relevant entity;</w:t>
      </w:r>
    </w:p>
    <w:p>
      <w:pPr>
        <w:pStyle w:val="Indenta"/>
      </w:pPr>
      <w:r>
        <w:tab/>
        <w:t>(c)</w:t>
      </w:r>
      <w:r>
        <w:tab/>
        <w:t>subsection (3) applies only if the investigation relates to a relevant entity that is a department or authority;</w:t>
      </w:r>
    </w:p>
    <w:p>
      <w:pPr>
        <w:pStyle w:val="Indenta"/>
      </w:pPr>
      <w:r>
        <w:tab/>
        <w:t>(d)</w:t>
      </w:r>
      <w:r>
        <w:tab/>
        <w:t>for the purposes of an investigation referred to in section 19ZB(1)(a) —</w:t>
      </w:r>
    </w:p>
    <w:p>
      <w:pPr>
        <w:pStyle w:val="Indenti"/>
      </w:pPr>
      <w:r>
        <w:tab/>
        <w:t>(i)</w:t>
      </w:r>
      <w:r>
        <w:tab/>
        <w:t>subsections (1) and (2) do not apply; and</w:t>
      </w:r>
    </w:p>
    <w:p>
      <w:pPr>
        <w:pStyle w:val="Indenti"/>
      </w:pPr>
      <w:r>
        <w:tab/>
        <w:t>(ii)</w:t>
      </w:r>
      <w:r>
        <w:tab/>
        <w:t>a reference in subsections (3) to (5) to a recommendation under subsection (2) is taken to be a reference to a recommendation under section 19ZD(3)(b).</w:t>
      </w:r>
    </w:p>
    <w:p>
      <w:pPr>
        <w:pStyle w:val="Footnotesection"/>
        <w:spacing w:before="100"/>
        <w:ind w:left="890" w:hanging="890"/>
      </w:pPr>
      <w:r>
        <w:tab/>
        <w:t>[Section 25 amended: No. 25 of 2022 s. 17.]</w:t>
      </w:r>
    </w:p>
    <w:p>
      <w:pPr>
        <w:pStyle w:val="Heading5"/>
        <w:keepNext w:val="0"/>
        <w:keepLines w:val="0"/>
        <w:spacing w:before="180"/>
        <w:rPr>
          <w:snapToGrid w:val="0"/>
        </w:rPr>
      </w:pPr>
      <w:bookmarkStart w:id="117" w:name="_Toc153978133"/>
      <w:r>
        <w:rPr>
          <w:rStyle w:val="CharSectno"/>
        </w:rPr>
        <w:t>26</w:t>
      </w:r>
      <w:r>
        <w:rPr>
          <w:snapToGrid w:val="0"/>
        </w:rPr>
        <w:t>.</w:t>
      </w:r>
      <w:r>
        <w:rPr>
          <w:snapToGrid w:val="0"/>
        </w:rPr>
        <w:tab/>
        <w:t>Information to complainant on investigation</w:t>
      </w:r>
      <w:bookmarkEnd w:id="117"/>
    </w:p>
    <w:p>
      <w:pPr>
        <w:pStyle w:val="Subsection"/>
        <w:spacing w:before="120"/>
        <w:rPr>
          <w:snapToGrid w:val="0"/>
        </w:rPr>
      </w:pPr>
      <w:r>
        <w:rPr>
          <w:snapToGrid w:val="0"/>
        </w:rPr>
        <w:tab/>
      </w:r>
      <w:r>
        <w:rPr>
          <w:snapToGrid w:val="0"/>
        </w:rPr>
        <w:tab/>
        <w:t xml:space="preserve">Where the Commissioner conducts an investigation on a complaint made under this Act he shall inform the complainant, in such manner and at such time as he thinks proper, of the </w:t>
      </w:r>
      <w:r>
        <w:rPr>
          <w:snapToGrid w:val="0"/>
        </w:rPr>
        <w:lastRenderedPageBreak/>
        <w:t>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No. 68 of 1976 s. 9.]</w:t>
      </w:r>
    </w:p>
    <w:p>
      <w:pPr>
        <w:pStyle w:val="Heading3"/>
        <w:spacing w:before="280"/>
      </w:pPr>
      <w:bookmarkStart w:id="118" w:name="_Toc153965079"/>
      <w:bookmarkStart w:id="119" w:name="_Toc153968737"/>
      <w:bookmarkStart w:id="120" w:name="_Toc153978134"/>
      <w:r>
        <w:rPr>
          <w:rStyle w:val="CharDivNo"/>
        </w:rPr>
        <w:t>Division 5</w:t>
      </w:r>
      <w:r>
        <w:rPr>
          <w:snapToGrid w:val="0"/>
        </w:rPr>
        <w:t> — </w:t>
      </w:r>
      <w:r>
        <w:rPr>
          <w:rStyle w:val="CharDivText"/>
        </w:rPr>
        <w:t>Annual and other reports of the Commissioner</w:t>
      </w:r>
      <w:bookmarkEnd w:id="118"/>
      <w:bookmarkEnd w:id="119"/>
      <w:bookmarkEnd w:id="120"/>
    </w:p>
    <w:p>
      <w:pPr>
        <w:pStyle w:val="Heading5"/>
        <w:rPr>
          <w:snapToGrid w:val="0"/>
        </w:rPr>
      </w:pPr>
      <w:bookmarkStart w:id="121" w:name="_Toc153978135"/>
      <w:r>
        <w:rPr>
          <w:rStyle w:val="CharSectno"/>
        </w:rPr>
        <w:t>27</w:t>
      </w:r>
      <w:r>
        <w:rPr>
          <w:snapToGrid w:val="0"/>
        </w:rPr>
        <w:t>.</w:t>
      </w:r>
      <w:r>
        <w:rPr>
          <w:snapToGrid w:val="0"/>
        </w:rPr>
        <w:tab/>
        <w:t>Commissioner may report to Parliament</w:t>
      </w:r>
      <w:bookmarkEnd w:id="121"/>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No. 98 of 1985 s. 3; amended: No. 78 of 1996 s. 16; No. 77 of 2006 Sch. 1 cl. 118(1).]</w:t>
      </w:r>
    </w:p>
    <w:p>
      <w:pPr>
        <w:pStyle w:val="Heading5"/>
      </w:pPr>
      <w:bookmarkStart w:id="122" w:name="_Toc153978136"/>
      <w:r>
        <w:rPr>
          <w:rStyle w:val="CharSectno"/>
        </w:rPr>
        <w:t>28</w:t>
      </w:r>
      <w:r>
        <w:t>.</w:t>
      </w:r>
      <w:r>
        <w:tab/>
        <w:t>Annual report to include report on reportable conduct scheme</w:t>
      </w:r>
      <w:bookmarkEnd w:id="122"/>
    </w:p>
    <w:p>
      <w:pPr>
        <w:pStyle w:val="Subsection"/>
        <w:rPr>
          <w:snapToGrid w:val="0"/>
        </w:rPr>
      </w:pPr>
      <w:r>
        <w:rPr>
          <w:snapToGrid w:val="0"/>
        </w:rPr>
        <w:tab/>
        <w:t>(1)</w:t>
      </w:r>
      <w:r>
        <w:rPr>
          <w:snapToGrid w:val="0"/>
        </w:rPr>
        <w:tab/>
        <w:t xml:space="preserve">The annual report of the accountable authority of the Parliamentary Commissioner for Administrative Investigations under the </w:t>
      </w:r>
      <w:r>
        <w:rPr>
          <w:i/>
          <w:iCs/>
          <w:snapToGrid w:val="0"/>
        </w:rPr>
        <w:t>Financial Management Act 2006</w:t>
      </w:r>
      <w:r>
        <w:rPr>
          <w:snapToGrid w:val="0"/>
        </w:rPr>
        <w:t xml:space="preserve"> Part 5 must include </w:t>
      </w:r>
      <w:r>
        <w:lastRenderedPageBreak/>
        <w:t xml:space="preserve">a report about the operation of the reportable conduct scheme in the financial year to which the report relates, including </w:t>
      </w:r>
      <w:r>
        <w:rPr>
          <w:snapToGrid w:val="0"/>
        </w:rPr>
        <w:t>the following —</w:t>
      </w:r>
    </w:p>
    <w:p>
      <w:pPr>
        <w:pStyle w:val="Indenta"/>
      </w:pPr>
      <w:r>
        <w:tab/>
        <w:t>(a)</w:t>
      </w:r>
      <w:r>
        <w:tab/>
        <w:t>a description of the activities of the Commissioner in relation to the reportable conduct scheme;</w:t>
      </w:r>
    </w:p>
    <w:p>
      <w:pPr>
        <w:pStyle w:val="Indenta"/>
      </w:pPr>
      <w:r>
        <w:tab/>
        <w:t>(b)</w:t>
      </w:r>
      <w:r>
        <w:tab/>
        <w:t>an evaluation of the response of relevant entities to the recommendations of the Commissioner under the reportable conduct scheme;</w:t>
      </w:r>
    </w:p>
    <w:p>
      <w:pPr>
        <w:pStyle w:val="Indenta"/>
      </w:pPr>
      <w:r>
        <w:tab/>
        <w:t>(c)</w:t>
      </w:r>
      <w:r>
        <w:tab/>
        <w:t>a description of matters relating to the reportable conduct scheme, including trends, notifications and investigations.</w:t>
      </w:r>
    </w:p>
    <w:p>
      <w:pPr>
        <w:pStyle w:val="Subsection"/>
      </w:pPr>
      <w:r>
        <w:tab/>
        <w:t>(2)</w:t>
      </w:r>
      <w:r>
        <w:tab/>
        <w:t>A report under subsection (1) must not include information that could lead to the identification of a child or a person investigated under the reportable conduct scheme.</w:t>
      </w:r>
    </w:p>
    <w:p>
      <w:pPr>
        <w:pStyle w:val="Subsection"/>
      </w:pPr>
      <w:r>
        <w:tab/>
        <w:t>(3)</w:t>
      </w:r>
      <w:r>
        <w:tab/>
        <w:t>This section does not limit the power of the Commissioner under section 27(1) to also, at any time, lay before each House of Parliament a report in relation to the reportable conduct scheme.</w:t>
      </w:r>
    </w:p>
    <w:p>
      <w:pPr>
        <w:pStyle w:val="Footnotesection"/>
      </w:pPr>
      <w:r>
        <w:tab/>
        <w:t>[Section 28 inserted: No. 25 of 2022 s. 18.]</w:t>
      </w:r>
    </w:p>
    <w:p>
      <w:pPr>
        <w:pStyle w:val="Heading2"/>
      </w:pPr>
      <w:bookmarkStart w:id="123" w:name="_Toc153965082"/>
      <w:bookmarkStart w:id="124" w:name="_Toc153968740"/>
      <w:bookmarkStart w:id="125" w:name="_Toc153978137"/>
      <w:r>
        <w:rPr>
          <w:rStyle w:val="CharPartNo"/>
        </w:rPr>
        <w:lastRenderedPageBreak/>
        <w:t>Part IV</w:t>
      </w:r>
      <w:r>
        <w:rPr>
          <w:rStyle w:val="CharDivNo"/>
        </w:rPr>
        <w:t> </w:t>
      </w:r>
      <w:r>
        <w:t>—</w:t>
      </w:r>
      <w:r>
        <w:rPr>
          <w:rStyle w:val="CharDivText"/>
        </w:rPr>
        <w:t> </w:t>
      </w:r>
      <w:r>
        <w:rPr>
          <w:rStyle w:val="CharPartText"/>
        </w:rPr>
        <w:t>Miscellaneous</w:t>
      </w:r>
      <w:bookmarkEnd w:id="123"/>
      <w:bookmarkEnd w:id="124"/>
      <w:bookmarkEnd w:id="125"/>
    </w:p>
    <w:p>
      <w:pPr>
        <w:pStyle w:val="Heading5"/>
        <w:rPr>
          <w:snapToGrid w:val="0"/>
        </w:rPr>
      </w:pPr>
      <w:bookmarkStart w:id="126" w:name="_Toc153978138"/>
      <w:r>
        <w:rPr>
          <w:rStyle w:val="CharSectno"/>
        </w:rPr>
        <w:t>29</w:t>
      </w:r>
      <w:r>
        <w:rPr>
          <w:snapToGrid w:val="0"/>
        </w:rPr>
        <w:t>.</w:t>
      </w:r>
      <w:r>
        <w:rPr>
          <w:snapToGrid w:val="0"/>
        </w:rPr>
        <w:tab/>
        <w:t>Supreme Court may determine jurisdictional questions</w:t>
      </w:r>
      <w:bookmarkEnd w:id="126"/>
    </w:p>
    <w:p>
      <w:pPr>
        <w:pStyle w:val="Subsection"/>
        <w:spacing w:before="140"/>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spacing w:before="140"/>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Subsection"/>
        <w:rPr>
          <w:snapToGrid w:val="0"/>
        </w:rPr>
      </w:pPr>
      <w:r>
        <w:rPr>
          <w:snapToGrid w:val="0"/>
        </w:rPr>
        <w:tab/>
        <w:t>(3)</w:t>
      </w:r>
      <w:r>
        <w:rPr>
          <w:snapToGrid w:val="0"/>
        </w:rPr>
        <w:tab/>
        <w:t>References in this section, in relation to an investigation for the purposes of the reportable conduct scheme, to the party subject to the investigation include references to the relevant entity or the head of the relevant entity.</w:t>
      </w:r>
    </w:p>
    <w:p>
      <w:pPr>
        <w:pStyle w:val="Footnotesection"/>
      </w:pPr>
      <w:r>
        <w:tab/>
      </w:r>
      <w:r>
        <w:rPr>
          <w:snapToGrid/>
        </w:rPr>
        <w:t>[Section 29 amended: No. 25 of 2022 s. 19.]</w:t>
      </w:r>
    </w:p>
    <w:p>
      <w:pPr>
        <w:pStyle w:val="Heading5"/>
        <w:rPr>
          <w:snapToGrid w:val="0"/>
        </w:rPr>
      </w:pPr>
      <w:bookmarkStart w:id="127" w:name="_Toc153978139"/>
      <w:r>
        <w:rPr>
          <w:rStyle w:val="CharSectno"/>
        </w:rPr>
        <w:t>29A</w:t>
      </w:r>
      <w:r>
        <w:t>.</w:t>
      </w:r>
      <w:r>
        <w:rPr>
          <w:snapToGrid w:val="0"/>
        </w:rPr>
        <w:tab/>
        <w:t>Delegation by Commissioner of Police</w:t>
      </w:r>
      <w:bookmarkEnd w:id="127"/>
    </w:p>
    <w:p>
      <w:pPr>
        <w:pStyle w:val="Subsection"/>
        <w:rPr>
          <w:snapToGrid w:val="0"/>
        </w:rPr>
      </w:pPr>
      <w:r>
        <w:rPr>
          <w:snapToGrid w:val="0"/>
        </w:rPr>
        <w:tab/>
        <w:t>(1)</w:t>
      </w:r>
      <w:r>
        <w:rPr>
          <w:snapToGrid w:val="0"/>
        </w:rPr>
        <w:tab/>
        <w:t xml:space="preserve">The Commissioner of Police may delegate any power or duty of the Commissioner of Police under section 19ZG, 22AA or 22C(2)(b) to the following persons — </w:t>
      </w:r>
    </w:p>
    <w:p>
      <w:pPr>
        <w:pStyle w:val="Indenta"/>
        <w:rPr>
          <w:snapToGrid w:val="0"/>
        </w:rPr>
      </w:pPr>
      <w:r>
        <w:rPr>
          <w:snapToGrid w:val="0"/>
        </w:rPr>
        <w:tab/>
        <w:t>(a)</w:t>
      </w:r>
      <w:r>
        <w:rPr>
          <w:snapToGrid w:val="0"/>
        </w:rPr>
        <w:tab/>
        <w:t xml:space="preserve">a specified police officer; </w:t>
      </w:r>
    </w:p>
    <w:p>
      <w:pPr>
        <w:pStyle w:val="Indenta"/>
        <w:rPr>
          <w:snapToGrid w:val="0"/>
        </w:rPr>
      </w:pPr>
      <w:r>
        <w:rPr>
          <w:snapToGrid w:val="0"/>
        </w:rPr>
        <w:tab/>
        <w:t>(b)</w:t>
      </w:r>
      <w:r>
        <w:rPr>
          <w:snapToGrid w:val="0"/>
        </w:rPr>
        <w:tab/>
        <w:t xml:space="preserve">police officers of a specified rank or class; </w:t>
      </w:r>
    </w:p>
    <w:p>
      <w:pPr>
        <w:pStyle w:val="Indenta"/>
        <w:rPr>
          <w:snapToGrid w:val="0"/>
        </w:rPr>
      </w:pPr>
      <w:r>
        <w:rPr>
          <w:snapToGrid w:val="0"/>
        </w:rPr>
        <w:tab/>
        <w:t>(c)</w:t>
      </w:r>
      <w:r>
        <w:rPr>
          <w:snapToGrid w:val="0"/>
        </w:rPr>
        <w:tab/>
      </w:r>
      <w:r>
        <w:t>an</w:t>
      </w:r>
      <w:r>
        <w:rPr>
          <w:snapToGrid w:val="0"/>
        </w:rPr>
        <w:t xml:space="preserve">other person appointed or employed under the </w:t>
      </w:r>
      <w:r>
        <w:rPr>
          <w:i/>
          <w:iCs/>
          <w:snapToGrid w:val="0"/>
        </w:rPr>
        <w:t>Police Act 1892</w:t>
      </w:r>
      <w:r>
        <w:rPr>
          <w:snapToGrid w:val="0"/>
        </w:rPr>
        <w:t>.</w:t>
      </w:r>
    </w:p>
    <w:p>
      <w:pPr>
        <w:pStyle w:val="Subsection"/>
        <w:rPr>
          <w:snapToGrid w:val="0"/>
        </w:rPr>
      </w:pPr>
      <w:r>
        <w:rPr>
          <w:snapToGrid w:val="0"/>
        </w:rPr>
        <w:tab/>
        <w:t>(2)</w:t>
      </w:r>
      <w:r>
        <w:rPr>
          <w:snapToGrid w:val="0"/>
        </w:rPr>
        <w:tab/>
      </w:r>
      <w:r>
        <w:t>The delegation must be in writing</w:t>
      </w:r>
      <w:r>
        <w:rPr>
          <w:snapToGrid w:val="0"/>
        </w:rPr>
        <w:t xml:space="preserve"> signed by the Commissioner of Police.</w:t>
      </w:r>
    </w:p>
    <w:p>
      <w:pPr>
        <w:pStyle w:val="Subsection"/>
        <w:rPr>
          <w:snapToGrid w:val="0"/>
        </w:rPr>
      </w:pPr>
      <w:r>
        <w:rPr>
          <w:snapToGrid w:val="0"/>
        </w:rPr>
        <w:tab/>
        <w:t>(3)</w:t>
      </w:r>
      <w:r>
        <w:rPr>
          <w:snapToGrid w:val="0"/>
        </w:rPr>
        <w:tab/>
        <w:t>A person to whom a power or duty is delegated under this section cannot delegate that power or duty.</w:t>
      </w:r>
    </w:p>
    <w:p>
      <w:pPr>
        <w:pStyle w:val="Subsection"/>
        <w:rPr>
          <w:snapToGrid w:val="0"/>
        </w:rPr>
      </w:pPr>
      <w:r>
        <w:rPr>
          <w:snapToGrid w:val="0"/>
        </w:rPr>
        <w:lastRenderedPageBreak/>
        <w:tab/>
        <w:t>(4)</w:t>
      </w:r>
      <w:r>
        <w:rPr>
          <w:snapToGrid w:val="0"/>
        </w:rPr>
        <w:tab/>
      </w:r>
      <w:r>
        <w:rPr>
          <w:szCs w:val="24"/>
        </w:rPr>
        <w:t>A person exercising or performing a power or duty that has been delegated to the person under this section is taken to do so in accordance with the terms of the delegation unless the contrary is shown</w:t>
      </w:r>
      <w:r>
        <w:rPr>
          <w:snapToGrid w:val="0"/>
        </w:rPr>
        <w:t>.</w:t>
      </w:r>
    </w:p>
    <w:p>
      <w:pPr>
        <w:pStyle w:val="Subsection"/>
        <w:rPr>
          <w:snapToGrid w:val="0"/>
        </w:rPr>
      </w:pPr>
      <w:r>
        <w:rPr>
          <w:snapToGrid w:val="0"/>
        </w:rPr>
        <w:tab/>
        <w:t>(5)</w:t>
      </w:r>
      <w:r>
        <w:rPr>
          <w:snapToGrid w:val="0"/>
        </w:rPr>
        <w:tab/>
      </w:r>
      <w:r>
        <w:t>Nothing in this section limits the ability of the Commissioner of Police to perform a function through an officer or agent</w:t>
      </w:r>
      <w:r>
        <w:rPr>
          <w:snapToGrid w:val="0"/>
        </w:rPr>
        <w:t>.</w:t>
      </w:r>
    </w:p>
    <w:p>
      <w:pPr>
        <w:pStyle w:val="Footnotesection"/>
      </w:pPr>
      <w:r>
        <w:tab/>
      </w:r>
      <w:r>
        <w:rPr>
          <w:snapToGrid/>
        </w:rPr>
        <w:t>[Section 29</w:t>
      </w:r>
      <w:r>
        <w:t>A</w:t>
      </w:r>
      <w:r>
        <w:rPr>
          <w:snapToGrid/>
        </w:rPr>
        <w:t xml:space="preserve"> inserted: No. 25 of 2022 s. </w:t>
      </w:r>
      <w:r>
        <w:t>20</w:t>
      </w:r>
      <w:r>
        <w:rPr>
          <w:snapToGrid/>
        </w:rPr>
        <w:t>.]</w:t>
      </w:r>
    </w:p>
    <w:p>
      <w:pPr>
        <w:pStyle w:val="Heading5"/>
        <w:rPr>
          <w:snapToGrid w:val="0"/>
        </w:rPr>
      </w:pPr>
      <w:bookmarkStart w:id="128" w:name="_Toc153978140"/>
      <w:r>
        <w:rPr>
          <w:rStyle w:val="CharSectno"/>
        </w:rPr>
        <w:t>30</w:t>
      </w:r>
      <w:r>
        <w:rPr>
          <w:snapToGrid w:val="0"/>
        </w:rPr>
        <w:t>.</w:t>
      </w:r>
      <w:r>
        <w:rPr>
          <w:snapToGrid w:val="0"/>
        </w:rPr>
        <w:tab/>
        <w:t>Protection of Commissioner and officers</w:t>
      </w:r>
      <w:bookmarkEnd w:id="128"/>
    </w:p>
    <w:p>
      <w:pPr>
        <w:pStyle w:val="Subsection"/>
        <w:spacing w:before="140"/>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spacing w:before="140"/>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spacing w:before="140"/>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w:t>
      </w:r>
      <w:r>
        <w:rPr>
          <w:snapToGrid w:val="0"/>
        </w:rPr>
        <w:lastRenderedPageBreak/>
        <w:t>coming to his knowledge in the exercise of his functions under this Act.</w:t>
      </w:r>
    </w:p>
    <w:p>
      <w:pPr>
        <w:pStyle w:val="Footnotesection"/>
        <w:spacing w:before="100"/>
        <w:ind w:left="890" w:hanging="890"/>
      </w:pPr>
      <w:r>
        <w:tab/>
        <w:t>[Section 30 amended: No. 124 of 1984 s. 10; No. 74 of 2003 s. 91(17)</w:t>
      </w:r>
      <w:r>
        <w:noBreakHyphen/>
        <w:t>(19).]</w:t>
      </w:r>
    </w:p>
    <w:p>
      <w:pPr>
        <w:pStyle w:val="Heading5"/>
        <w:spacing w:before="180"/>
        <w:rPr>
          <w:snapToGrid w:val="0"/>
        </w:rPr>
      </w:pPr>
      <w:bookmarkStart w:id="129" w:name="_Toc153978141"/>
      <w:r>
        <w:rPr>
          <w:rStyle w:val="CharSectno"/>
        </w:rPr>
        <w:t>30A</w:t>
      </w:r>
      <w:r>
        <w:rPr>
          <w:snapToGrid w:val="0"/>
        </w:rPr>
        <w:t>.</w:t>
      </w:r>
      <w:r>
        <w:rPr>
          <w:snapToGrid w:val="0"/>
        </w:rPr>
        <w:tab/>
        <w:t>Protection of complainants etc.</w:t>
      </w:r>
      <w:bookmarkEnd w:id="129"/>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spacing w:before="60"/>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No. 78 of 1996 s. 17; amended: No. 10 of 2009 s. 9.]</w:t>
      </w:r>
    </w:p>
    <w:p>
      <w:pPr>
        <w:pStyle w:val="Heading5"/>
        <w:rPr>
          <w:snapToGrid w:val="0"/>
        </w:rPr>
      </w:pPr>
      <w:bookmarkStart w:id="130" w:name="_Toc153978142"/>
      <w:r>
        <w:rPr>
          <w:rStyle w:val="CharSectno"/>
        </w:rPr>
        <w:t>30AA</w:t>
      </w:r>
      <w:r>
        <w:rPr>
          <w:snapToGrid w:val="0"/>
        </w:rPr>
        <w:t>.</w:t>
      </w:r>
      <w:r>
        <w:rPr>
          <w:snapToGrid w:val="0"/>
        </w:rPr>
        <w:tab/>
        <w:t>Protection from liability for giving information</w:t>
      </w:r>
      <w:r>
        <w:t xml:space="preserve">: </w:t>
      </w:r>
      <w:r>
        <w:rPr>
          <w:snapToGrid w:val="0"/>
        </w:rPr>
        <w:t>reportable conduct scheme</w:t>
      </w:r>
      <w:bookmarkEnd w:id="130"/>
    </w:p>
    <w:p>
      <w:pPr>
        <w:pStyle w:val="Subsection"/>
      </w:pPr>
      <w:r>
        <w:tab/>
        <w:t>(1)</w:t>
      </w:r>
      <w:r>
        <w:tab/>
        <w:t>This section applies if a person acting in good faith —</w:t>
      </w:r>
    </w:p>
    <w:p>
      <w:pPr>
        <w:pStyle w:val="Indenta"/>
      </w:pPr>
      <w:r>
        <w:tab/>
        <w:t>(a)</w:t>
      </w:r>
      <w:r>
        <w:tab/>
        <w:t>gives a report, notification or information to the Commissioner under Part III Division 3B or in the course of, or for the purposes of, an investigation into a reportable allegation or reportable conviction under this Act; or</w:t>
      </w:r>
    </w:p>
    <w:p>
      <w:pPr>
        <w:pStyle w:val="Indenta"/>
      </w:pPr>
      <w:r>
        <w:tab/>
        <w:t>(b)</w:t>
      </w:r>
      <w:r>
        <w:tab/>
        <w:t>gives a report, notification or information to the head of a relevant entity under Part III Division 3B; or</w:t>
      </w:r>
    </w:p>
    <w:p>
      <w:pPr>
        <w:pStyle w:val="Indenta"/>
      </w:pPr>
      <w:r>
        <w:lastRenderedPageBreak/>
        <w:tab/>
        <w:t>(c)</w:t>
      </w:r>
      <w:r>
        <w:tab/>
        <w:t>gives information to an investigator conducting an investigation under Part III Division 3B.</w:t>
      </w:r>
    </w:p>
    <w:p>
      <w:pPr>
        <w:pStyle w:val="Subsection"/>
      </w:pPr>
      <w:r>
        <w:tab/>
        <w:t>(2)</w:t>
      </w:r>
      <w:r>
        <w:tab/>
        <w:t>The report, notification or information may be given despite any other enactment, law or agreement that prohibits or restricts its disclosure.</w:t>
      </w:r>
    </w:p>
    <w:p>
      <w:pPr>
        <w:pStyle w:val="Subsection"/>
      </w:pPr>
      <w:r>
        <w:tab/>
        <w:t>(3)</w:t>
      </w:r>
      <w:r>
        <w:tab/>
        <w:t>In giving the information or making the report or notification the person —</w:t>
      </w:r>
    </w:p>
    <w:p>
      <w:pPr>
        <w:pStyle w:val="Indenta"/>
      </w:pPr>
      <w:r>
        <w:tab/>
        <w:t>(a)</w:t>
      </w:r>
      <w:r>
        <w:tab/>
        <w:t>does not incur any civil or criminal liability or liability to be punished for a contempt of court;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rPr>
          <w:snapToGrid w:val="0"/>
        </w:rPr>
      </w:pPr>
      <w:r>
        <w:rPr>
          <w:snapToGrid w:val="0"/>
        </w:rPr>
        <w:tab/>
        <w:t>(4)</w:t>
      </w:r>
      <w:r>
        <w:rPr>
          <w:snapToGrid w:val="0"/>
        </w:rPr>
        <w:tab/>
        <w:t>Civil proceedings cannot be brought against a person in respect of an act referred to in subsection (1)(a), (b) or (c) without the leave of the Supreme Court, and the Supreme Court must not give leave unless it is satisfied that there is substantial ground for the contention that the person to be proceeded against has acted in bad faith.</w:t>
      </w:r>
    </w:p>
    <w:p>
      <w:pPr>
        <w:pStyle w:val="Footnotesection"/>
      </w:pPr>
      <w:r>
        <w:tab/>
      </w:r>
      <w:r>
        <w:rPr>
          <w:snapToGrid/>
        </w:rPr>
        <w:t>[Section 30A</w:t>
      </w:r>
      <w:r>
        <w:t>A</w:t>
      </w:r>
      <w:r>
        <w:rPr>
          <w:snapToGrid/>
        </w:rPr>
        <w:t xml:space="preserve"> inserted: No. </w:t>
      </w:r>
      <w:r>
        <w:t>25 of</w:t>
      </w:r>
      <w:r>
        <w:rPr>
          <w:snapToGrid/>
        </w:rPr>
        <w:t xml:space="preserve"> 20</w:t>
      </w:r>
      <w:r>
        <w:t xml:space="preserve">22 </w:t>
      </w:r>
      <w:r>
        <w:rPr>
          <w:snapToGrid/>
        </w:rPr>
        <w:t>s. </w:t>
      </w:r>
      <w:r>
        <w:t>21</w:t>
      </w:r>
      <w:r>
        <w:rPr>
          <w:snapToGrid/>
        </w:rPr>
        <w:t>.]</w:t>
      </w:r>
    </w:p>
    <w:p>
      <w:pPr>
        <w:pStyle w:val="Heading5"/>
        <w:spacing w:before="180"/>
        <w:rPr>
          <w:snapToGrid w:val="0"/>
        </w:rPr>
      </w:pPr>
      <w:bookmarkStart w:id="131" w:name="_Toc153978143"/>
      <w:r>
        <w:rPr>
          <w:rStyle w:val="CharSectno"/>
        </w:rPr>
        <w:t>30B</w:t>
      </w:r>
      <w:r>
        <w:rPr>
          <w:snapToGrid w:val="0"/>
        </w:rPr>
        <w:t>.</w:t>
      </w:r>
      <w:r>
        <w:rPr>
          <w:snapToGrid w:val="0"/>
        </w:rPr>
        <w:tab/>
        <w:t>Victimisation</w:t>
      </w:r>
      <w:bookmarkEnd w:id="131"/>
    </w:p>
    <w:p>
      <w:pPr>
        <w:pStyle w:val="Subsection"/>
        <w:keepNext/>
        <w:spacing w:before="140"/>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prejudice, or threaten to prejudice, the safety or career of; or</w:t>
      </w:r>
    </w:p>
    <w:p>
      <w:pPr>
        <w:pStyle w:val="Indenta"/>
        <w:keepLines/>
        <w:spacing w:before="60"/>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lastRenderedPageBreak/>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pPr>
      <w:r>
        <w:rPr>
          <w:snapToGrid w:val="0"/>
        </w:rPr>
        <w:tab/>
        <w:t>(</w:t>
      </w:r>
      <w:r>
        <w:t>ea)</w:t>
      </w:r>
      <w:r>
        <w:tab/>
        <w:t>has made or will or may in the future make a report to the head of a relevant entity or the Commissioner under section 19T or give a notification to the Commissioner under Part III Division 3B; or</w:t>
      </w:r>
    </w:p>
    <w:p>
      <w:pPr>
        <w:pStyle w:val="Indenta"/>
      </w:pPr>
      <w:r>
        <w:tab/>
        <w:t>(eb)</w:t>
      </w:r>
      <w:r>
        <w:tab/>
        <w:t>has provided, is providing or will or may in the future provide information in the course of, or for the purpose of, an investigation of a reportable allegation or reportable conviction to the Commissioner or the head of a relevant entity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No. 78 of 1996 s. 17; amended: No. 25 of 2022 s. 22.]</w:t>
      </w:r>
    </w:p>
    <w:p>
      <w:pPr>
        <w:pStyle w:val="Heading5"/>
        <w:spacing w:before="180"/>
        <w:rPr>
          <w:snapToGrid w:val="0"/>
        </w:rPr>
      </w:pPr>
      <w:bookmarkStart w:id="132" w:name="_Toc153978144"/>
      <w:r>
        <w:rPr>
          <w:rStyle w:val="CharSectno"/>
        </w:rPr>
        <w:lastRenderedPageBreak/>
        <w:t>31</w:t>
      </w:r>
      <w:r>
        <w:rPr>
          <w:snapToGrid w:val="0"/>
        </w:rPr>
        <w:t>.</w:t>
      </w:r>
      <w:r>
        <w:rPr>
          <w:snapToGrid w:val="0"/>
        </w:rPr>
        <w:tab/>
        <w:t>General penalty</w:t>
      </w:r>
      <w:bookmarkEnd w:id="132"/>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No. 78 of 1996 s. 18.]</w:t>
      </w:r>
    </w:p>
    <w:p>
      <w:pPr>
        <w:pStyle w:val="Heading5"/>
        <w:spacing w:before="180"/>
        <w:rPr>
          <w:snapToGrid w:val="0"/>
        </w:rPr>
      </w:pPr>
      <w:bookmarkStart w:id="133" w:name="_Toc153978145"/>
      <w:r>
        <w:rPr>
          <w:rStyle w:val="CharSectno"/>
        </w:rPr>
        <w:t>32</w:t>
      </w:r>
      <w:r>
        <w:rPr>
          <w:snapToGrid w:val="0"/>
        </w:rPr>
        <w:t>.</w:t>
      </w:r>
      <w:r>
        <w:rPr>
          <w:snapToGrid w:val="0"/>
        </w:rPr>
        <w:tab/>
        <w:t>Expenses of Act</w:t>
      </w:r>
      <w:bookmarkEnd w:id="133"/>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pPr>
      <w:bookmarkStart w:id="134" w:name="_Toc153978146"/>
      <w:r>
        <w:rPr>
          <w:rStyle w:val="CharSectno"/>
        </w:rPr>
        <w:t>33</w:t>
      </w:r>
      <w:r>
        <w:t>.</w:t>
      </w:r>
      <w:r>
        <w:tab/>
        <w:t>Regulations</w:t>
      </w:r>
      <w:bookmarkEnd w:id="134"/>
    </w:p>
    <w:p>
      <w:pPr>
        <w:pStyle w:val="Subsection"/>
      </w:pPr>
      <w:r>
        <w:tab/>
      </w:r>
      <w:r>
        <w:tab/>
        <w:t xml:space="preserve">The Governor may make regulations — </w:t>
      </w:r>
    </w:p>
    <w:p>
      <w:pPr>
        <w:pStyle w:val="Indenta"/>
      </w:pPr>
      <w:r>
        <w:tab/>
        <w:t>(a)</w:t>
      </w:r>
      <w:r>
        <w:tab/>
        <w:t>amending Schedule 1 or 2; or</w:t>
      </w:r>
    </w:p>
    <w:p>
      <w:pPr>
        <w:pStyle w:val="Indenta"/>
      </w:pPr>
      <w:r>
        <w:tab/>
        <w:t>(b)</w:t>
      </w:r>
      <w:r>
        <w:tab/>
        <w:t>prescribing all matters that are required or permitted by this Act to be prescribed, or are necessary or convenient to be prescribed, for giving effect to the reportable conduct scheme.</w:t>
      </w:r>
    </w:p>
    <w:p>
      <w:pPr>
        <w:pStyle w:val="Footnotesection"/>
      </w:pPr>
      <w:r>
        <w:tab/>
        <w:t>[Section 33 inserted: No. 25 of 2022 s. 23.]</w:t>
      </w:r>
    </w:p>
    <w:p>
      <w:pPr>
        <w:pStyle w:val="Subsection"/>
        <w:spacing w:before="140"/>
        <w:rPr>
          <w:snapToGrid w:val="0"/>
        </w:rPr>
      </w:pPr>
    </w:p>
    <w:p>
      <w:pPr>
        <w:pStyle w:val="Heading5"/>
      </w:pPr>
      <w:bookmarkStart w:id="135" w:name="_Toc153978147"/>
      <w:r>
        <w:rPr>
          <w:rStyle w:val="CharSectno"/>
        </w:rPr>
        <w:t>34</w:t>
      </w:r>
      <w:r>
        <w:t>.</w:t>
      </w:r>
      <w:r>
        <w:tab/>
        <w:t>Energy and water ombudsman schemes</w:t>
      </w:r>
      <w:bookmarkEnd w:id="135"/>
    </w:p>
    <w:p>
      <w:pPr>
        <w:pStyle w:val="Subsection"/>
      </w:pPr>
      <w:r>
        <w:tab/>
        <w:t>(1)</w:t>
      </w:r>
      <w:r>
        <w:tab/>
        <w:t>The Parliamentary Commissioner may enter into an agreement with the governing body of an energy ombudsman scheme or a water ombudsman scheme under which —</w:t>
      </w:r>
    </w:p>
    <w:p>
      <w:pPr>
        <w:pStyle w:val="Indenta"/>
        <w:spacing w:before="60"/>
      </w:pPr>
      <w:r>
        <w:tab/>
        <w:t>(a)</w:t>
      </w:r>
      <w:r>
        <w:tab/>
        <w:t>the person for the time being holding or acting in the office of Parliamentary Commissioner is to serve as the ombudsman under the scheme; and</w:t>
      </w:r>
    </w:p>
    <w:p>
      <w:pPr>
        <w:pStyle w:val="Indenta"/>
        <w:spacing w:before="60"/>
      </w:pPr>
      <w:r>
        <w:tab/>
        <w:t>(b)</w:t>
      </w:r>
      <w:r>
        <w:tab/>
        <w:t>officers referred to in section 9 are to assist him or her in doing so.</w:t>
      </w:r>
    </w:p>
    <w:p>
      <w:pPr>
        <w:pStyle w:val="Subsection"/>
        <w:spacing w:before="140"/>
      </w:pPr>
      <w:r>
        <w:tab/>
        <w:t>(2)</w:t>
      </w:r>
      <w:r>
        <w:tab/>
        <w:t>The persons referred to in subsection (1)(a) and (b) may provide services in accordance with the agreement.</w:t>
      </w:r>
    </w:p>
    <w:p>
      <w:pPr>
        <w:pStyle w:val="Subsection"/>
        <w:spacing w:before="140"/>
      </w:pPr>
      <w:r>
        <w:lastRenderedPageBreak/>
        <w:tab/>
        <w:t>(3)</w:t>
      </w:r>
      <w:r>
        <w:tab/>
        <w:t>Section 5(9) does not apply to the rendering of services under the agreement.</w:t>
      </w:r>
    </w:p>
    <w:p>
      <w:pPr>
        <w:pStyle w:val="Subsection"/>
        <w:spacing w:before="140"/>
      </w:pPr>
      <w:r>
        <w:tab/>
        <w:t>(4)</w:t>
      </w:r>
      <w:r>
        <w:tab/>
        <w:t>The services are to be paid for by the governing body of that scheme at a rate to be provided for in the agreement.</w:t>
      </w:r>
    </w:p>
    <w:p>
      <w:pPr>
        <w:pStyle w:val="Subsection"/>
        <w:spacing w:before="140"/>
      </w:pPr>
      <w:r>
        <w:tab/>
        <w:t>(5)</w:t>
      </w:r>
      <w:r>
        <w:tab/>
        <w:t>For the purposes of this Act, the rendering of services under an agreement is not to be regarded —</w:t>
      </w:r>
    </w:p>
    <w:p>
      <w:pPr>
        <w:pStyle w:val="Indenta"/>
        <w:spacing w:before="60"/>
      </w:pPr>
      <w:r>
        <w:tab/>
        <w:t>(a)</w:t>
      </w:r>
      <w:r>
        <w:tab/>
        <w:t>as the exercise or performance of powers, functions or duties under this Act; or</w:t>
      </w:r>
    </w:p>
    <w:p>
      <w:pPr>
        <w:pStyle w:val="Indenta"/>
        <w:spacing w:before="60"/>
      </w:pPr>
      <w:r>
        <w:tab/>
        <w:t>(b)</w:t>
      </w:r>
      <w:r>
        <w:tab/>
        <w:t>as attracting the operation of section 27 or 32.</w:t>
      </w:r>
    </w:p>
    <w:p>
      <w:pPr>
        <w:pStyle w:val="Subsection"/>
        <w:spacing w:before="140"/>
      </w:pPr>
      <w:r>
        <w:tab/>
        <w:t>(6)</w:t>
      </w:r>
      <w:r>
        <w:tab/>
        <w:t>Despite subsection (5), section 30(1), (2) and (3) apply for the purpose of this section in the same way as they apply in respect of the other functions of the Commissioner.</w:t>
      </w:r>
    </w:p>
    <w:p>
      <w:pPr>
        <w:pStyle w:val="Subsection"/>
        <w:spacing w:before="140"/>
      </w:pPr>
      <w:r>
        <w:tab/>
        <w:t>(7)</w:t>
      </w:r>
      <w:r>
        <w:tab/>
        <w:t>In this section —</w:t>
      </w:r>
    </w:p>
    <w:p>
      <w:pPr>
        <w:pStyle w:val="Defstart"/>
        <w:spacing w:before="60"/>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or a water ombudsman scheme means the entity responsible for the operation of the scheme;</w:t>
      </w:r>
    </w:p>
    <w:p>
      <w:pPr>
        <w:pStyle w:val="Defstart"/>
      </w:pPr>
      <w:r>
        <w:tab/>
      </w:r>
      <w:r>
        <w:rPr>
          <w:rStyle w:val="CharDefText"/>
        </w:rPr>
        <w:t>water ombudsman scheme</w:t>
      </w:r>
      <w:r>
        <w:t xml:space="preserve"> means a scheme approved under the </w:t>
      </w:r>
      <w:r>
        <w:rPr>
          <w:i/>
          <w:iCs/>
        </w:rPr>
        <w:t>Water Services Act 2012</w:t>
      </w:r>
      <w:r>
        <w:t xml:space="preserve"> Part 4.</w:t>
      </w:r>
    </w:p>
    <w:p>
      <w:pPr>
        <w:pStyle w:val="Footnotesection"/>
      </w:pPr>
      <w:r>
        <w:tab/>
        <w:t>[Section 34 inserted: No. 53 of 2003 s. 34; amended: No. 33 of 2004 s. 48; No. 25 of 2012 s. 221.]</w:t>
      </w:r>
    </w:p>
    <w:p>
      <w:pPr>
        <w:rPr>
          <w:rStyle w:val="CharDivText"/>
        </w:r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136" w:name="_Toc153965093"/>
      <w:bookmarkStart w:id="137" w:name="_Toc153968751"/>
      <w:bookmarkStart w:id="138" w:name="_Toc153978148"/>
      <w:r>
        <w:rPr>
          <w:rStyle w:val="CharSchNo"/>
        </w:rPr>
        <w:lastRenderedPageBreak/>
        <w:t>Schedule 1</w:t>
      </w:r>
      <w:r>
        <w:t> — </w:t>
      </w:r>
      <w:r>
        <w:rPr>
          <w:rStyle w:val="CharSchText"/>
        </w:rPr>
        <w:t>Departments and authorities, and extent, to which this Act does not apply</w:t>
      </w:r>
      <w:bookmarkEnd w:id="136"/>
      <w:bookmarkEnd w:id="137"/>
      <w:bookmarkEnd w:id="138"/>
    </w:p>
    <w:p>
      <w:pPr>
        <w:pStyle w:val="yShoulderClause"/>
      </w:pPr>
      <w:r>
        <w:t>[s. 13(2)(n)]</w:t>
      </w:r>
    </w:p>
    <w:p>
      <w:pPr>
        <w:pStyle w:val="yFootnoteheading"/>
        <w:spacing w:after="120"/>
      </w:pPr>
      <w:r>
        <w:tab/>
        <w:t>[Heading inserted: No. 10 of 2009 s. 10.]</w:t>
      </w:r>
    </w:p>
    <w:tbl>
      <w:tblPr>
        <w:tblW w:w="7088" w:type="dxa"/>
        <w:tblInd w:w="57" w:type="dxa"/>
        <w:tblLayout w:type="fixed"/>
        <w:tblCellMar>
          <w:top w:w="113" w:type="dxa"/>
          <w:left w:w="57" w:type="dxa"/>
          <w:right w:w="57" w:type="dxa"/>
        </w:tblCellMar>
        <w:tblLook w:val="0000" w:firstRow="0" w:lastRow="0" w:firstColumn="0" w:lastColumn="0" w:noHBand="0" w:noVBand="0"/>
      </w:tblPr>
      <w:tblGrid>
        <w:gridCol w:w="2280"/>
        <w:gridCol w:w="4808"/>
      </w:tblGrid>
      <w:tr>
        <w:trPr>
          <w:cantSplit/>
          <w:tblHeader/>
        </w:trPr>
        <w:tc>
          <w:tcPr>
            <w:tcW w:w="2280" w:type="dxa"/>
            <w:tcBorders>
              <w:top w:val="single" w:sz="4" w:space="0" w:color="auto"/>
              <w:bottom w:val="single" w:sz="4" w:space="0" w:color="auto"/>
            </w:tcBorders>
          </w:tcPr>
          <w:p>
            <w:pPr>
              <w:pStyle w:val="yTableNAm"/>
              <w:spacing w:before="0" w:after="60"/>
              <w:rPr>
                <w:b/>
                <w:bCs/>
              </w:rPr>
            </w:pPr>
            <w:r>
              <w:rPr>
                <w:b/>
                <w:bCs/>
              </w:rPr>
              <w:t>Act establishing department or authority</w:t>
            </w:r>
          </w:p>
        </w:tc>
        <w:tc>
          <w:tcPr>
            <w:tcW w:w="4808" w:type="dxa"/>
            <w:tcBorders>
              <w:top w:val="single" w:sz="4" w:space="0" w:color="auto"/>
              <w:bottom w:val="single" w:sz="4" w:space="0" w:color="auto"/>
            </w:tcBorders>
          </w:tcPr>
          <w:p>
            <w:pPr>
              <w:pStyle w:val="yTableNAm"/>
              <w:spacing w:before="0" w:after="60"/>
              <w:rPr>
                <w:b/>
                <w:bCs/>
              </w:rPr>
            </w:pPr>
            <w:r>
              <w:rPr>
                <w:b/>
                <w:bCs/>
              </w:rPr>
              <w:t>Department or authority, and extent, to which this Act does not apply</w:t>
            </w:r>
          </w:p>
        </w:tc>
      </w:tr>
      <w:tr>
        <w:tc>
          <w:tcPr>
            <w:tcW w:w="2280" w:type="dxa"/>
          </w:tcPr>
          <w:p>
            <w:pPr>
              <w:pStyle w:val="yTableNAm"/>
            </w:pPr>
            <w:r>
              <w:rPr>
                <w:i/>
              </w:rPr>
              <w:t>Auditor General Act 2006</w:t>
            </w:r>
          </w:p>
        </w:tc>
        <w:tc>
          <w:tcPr>
            <w:tcW w:w="4808"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80" w:type="dxa"/>
          </w:tcPr>
          <w:p>
            <w:pPr>
              <w:pStyle w:val="yTableNAm"/>
            </w:pPr>
            <w:r>
              <w:rPr>
                <w:i/>
              </w:rPr>
              <w:t>Commissioner for Children and Young People Act 2006</w:t>
            </w:r>
          </w:p>
        </w:tc>
        <w:tc>
          <w:tcPr>
            <w:tcW w:w="4808"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80" w:type="dxa"/>
          </w:tcPr>
          <w:p>
            <w:pPr>
              <w:pStyle w:val="yTableNAm"/>
            </w:pPr>
            <w:r>
              <w:rPr>
                <w:i/>
              </w:rPr>
              <w:t>Corruption, Crime and Misconduct Act 2003</w:t>
            </w:r>
          </w:p>
        </w:tc>
        <w:tc>
          <w:tcPr>
            <w:tcW w:w="4808" w:type="dxa"/>
          </w:tcPr>
          <w:p>
            <w:pPr>
              <w:pStyle w:val="yTableNAm"/>
            </w:pPr>
            <w:r>
              <w:t>Corruption and Crime Commission.</w:t>
            </w:r>
          </w:p>
          <w:p>
            <w:pPr>
              <w:pStyle w:val="yTableNAm"/>
            </w:pPr>
            <w:r>
              <w:t>Parliamentary Inspector of the Corruption and Crime Commission.</w:t>
            </w:r>
          </w:p>
        </w:tc>
      </w:tr>
      <w:tr>
        <w:trPr>
          <w:cantSplit/>
        </w:trPr>
        <w:tc>
          <w:tcPr>
            <w:tcW w:w="2280" w:type="dxa"/>
          </w:tcPr>
          <w:p>
            <w:pPr>
              <w:pStyle w:val="yTableNAm"/>
            </w:pPr>
            <w:r>
              <w:rPr>
                <w:i/>
              </w:rPr>
              <w:t>Director of Public Prosecutions Act 1991</w:t>
            </w:r>
          </w:p>
        </w:tc>
        <w:tc>
          <w:tcPr>
            <w:tcW w:w="4808" w:type="dxa"/>
          </w:tcPr>
          <w:p>
            <w:pPr>
              <w:pStyle w:val="yTableNAm"/>
            </w:pPr>
            <w:r>
              <w:t>Director of Public Prosecutions.</w:t>
            </w:r>
          </w:p>
          <w:p>
            <w:pPr>
              <w:pStyle w:val="yTableNAm"/>
            </w:pPr>
            <w:r>
              <w:t>Deputy Director of Public Prosecutions.</w:t>
            </w:r>
          </w:p>
        </w:tc>
      </w:tr>
      <w:tr>
        <w:trPr>
          <w:cantSplit/>
        </w:trPr>
        <w:tc>
          <w:tcPr>
            <w:tcW w:w="2280" w:type="dxa"/>
          </w:tcPr>
          <w:p>
            <w:pPr>
              <w:pStyle w:val="yTableNAm"/>
            </w:pPr>
            <w:r>
              <w:rPr>
                <w:i/>
              </w:rPr>
              <w:t>Economic Regulation Authority Act 2003</w:t>
            </w:r>
          </w:p>
        </w:tc>
        <w:tc>
          <w:tcPr>
            <w:tcW w:w="4808"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80" w:type="dxa"/>
          </w:tcPr>
          <w:p>
            <w:pPr>
              <w:pStyle w:val="yTableNAm"/>
            </w:pPr>
            <w:r>
              <w:rPr>
                <w:i/>
              </w:rPr>
              <w:t>Electoral Act 1907</w:t>
            </w:r>
          </w:p>
        </w:tc>
        <w:tc>
          <w:tcPr>
            <w:tcW w:w="4808"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80" w:type="dxa"/>
          </w:tcPr>
          <w:p>
            <w:pPr>
              <w:pStyle w:val="yTableNAm"/>
              <w:spacing w:before="60"/>
            </w:pPr>
            <w:r>
              <w:rPr>
                <w:i/>
              </w:rPr>
              <w:lastRenderedPageBreak/>
              <w:t>Equal Opportunity Act 1984</w:t>
            </w:r>
          </w:p>
        </w:tc>
        <w:tc>
          <w:tcPr>
            <w:tcW w:w="4808" w:type="dxa"/>
          </w:tcPr>
          <w:p>
            <w:pPr>
              <w:pStyle w:val="yTableNAm"/>
              <w:spacing w:before="60"/>
            </w:pPr>
            <w:r>
              <w:t>Commissioner for Equal Opportunity.</w:t>
            </w:r>
          </w:p>
          <w:p>
            <w:pPr>
              <w:pStyle w:val="yTableNAm"/>
              <w:spacing w:before="40"/>
            </w:pPr>
            <w:r>
              <w:t>Director of Equal Opportunity in Public Employment.</w:t>
            </w:r>
          </w:p>
        </w:tc>
      </w:tr>
      <w:tr>
        <w:trPr>
          <w:cantSplit/>
        </w:trPr>
        <w:tc>
          <w:tcPr>
            <w:tcW w:w="2280" w:type="dxa"/>
          </w:tcPr>
          <w:p>
            <w:pPr>
              <w:pStyle w:val="yTableNAm"/>
              <w:spacing w:before="60"/>
            </w:pPr>
            <w:r>
              <w:rPr>
                <w:i/>
              </w:rPr>
              <w:t>Freedom of Information Act 1992</w:t>
            </w:r>
          </w:p>
        </w:tc>
        <w:tc>
          <w:tcPr>
            <w:tcW w:w="4808" w:type="dxa"/>
          </w:tcPr>
          <w:p>
            <w:pPr>
              <w:pStyle w:val="yTableNAm"/>
              <w:spacing w:before="60"/>
            </w:pPr>
            <w:r>
              <w:t>Information Commissioner.</w:t>
            </w:r>
          </w:p>
        </w:tc>
      </w:tr>
      <w:tr>
        <w:trPr>
          <w:cantSplit/>
        </w:trPr>
        <w:tc>
          <w:tcPr>
            <w:tcW w:w="2280" w:type="dxa"/>
          </w:tcPr>
          <w:p>
            <w:pPr>
              <w:pStyle w:val="yTableNAm"/>
              <w:spacing w:before="60"/>
            </w:pPr>
            <w:r>
              <w:rPr>
                <w:i/>
              </w:rPr>
              <w:t>Inspector of Custodial Services Act 2003</w:t>
            </w:r>
          </w:p>
        </w:tc>
        <w:tc>
          <w:tcPr>
            <w:tcW w:w="4808" w:type="dxa"/>
          </w:tcPr>
          <w:p>
            <w:pPr>
              <w:pStyle w:val="yTableNAm"/>
              <w:spacing w:before="60"/>
            </w:pPr>
            <w:r>
              <w:t>Inspector of Custodial Services.</w:t>
            </w:r>
          </w:p>
        </w:tc>
      </w:tr>
      <w:tr>
        <w:trPr>
          <w:cantSplit/>
        </w:trPr>
        <w:tc>
          <w:tcPr>
            <w:tcW w:w="2280" w:type="dxa"/>
          </w:tcPr>
          <w:p>
            <w:pPr>
              <w:pStyle w:val="yTableNAm"/>
              <w:spacing w:before="60"/>
            </w:pPr>
            <w:r>
              <w:rPr>
                <w:i/>
              </w:rPr>
              <w:t>Parliamentary Commissioner Act 1971</w:t>
            </w:r>
          </w:p>
        </w:tc>
        <w:tc>
          <w:tcPr>
            <w:tcW w:w="4808" w:type="dxa"/>
          </w:tcPr>
          <w:p>
            <w:pPr>
              <w:pStyle w:val="yTableNAm"/>
              <w:spacing w:before="60"/>
            </w:pPr>
            <w:r>
              <w:t>Parliamentary Commissioner for Administrative Investigations.</w:t>
            </w:r>
          </w:p>
          <w:p>
            <w:pPr>
              <w:pStyle w:val="yTableNAm"/>
              <w:spacing w:before="40"/>
            </w:pPr>
            <w:r>
              <w:t>Deputy Parliamentary Commissioner for Administrative Investigations.</w:t>
            </w:r>
          </w:p>
        </w:tc>
      </w:tr>
      <w:tr>
        <w:trPr>
          <w:cantSplit/>
        </w:trPr>
        <w:tc>
          <w:tcPr>
            <w:tcW w:w="2280" w:type="dxa"/>
          </w:tcPr>
          <w:p>
            <w:pPr>
              <w:pStyle w:val="yTableNAm"/>
              <w:spacing w:before="60"/>
            </w:pPr>
            <w:r>
              <w:rPr>
                <w:i/>
                <w:iCs/>
              </w:rPr>
              <w:t>Public Sector Management Act 1994</w:t>
            </w:r>
          </w:p>
        </w:tc>
        <w:tc>
          <w:tcPr>
            <w:tcW w:w="4808" w:type="dxa"/>
          </w:tcPr>
          <w:p>
            <w:pPr>
              <w:pStyle w:val="yTableNAm"/>
              <w:spacing w:before="60"/>
            </w:pPr>
            <w:r>
              <w:t xml:space="preserve">Public Sector Commissioner to the extent of the Commissioner’s functions other than that of chief executive officer of the department of the Public Service principally assisting in the administration of the </w:t>
            </w:r>
            <w:r>
              <w:rPr>
                <w:i/>
                <w:iCs/>
              </w:rPr>
              <w:t>Public Sector Management Act 1994</w:t>
            </w:r>
            <w:r>
              <w:t>.</w:t>
            </w:r>
          </w:p>
        </w:tc>
      </w:tr>
      <w:tr>
        <w:trPr>
          <w:cantSplit/>
        </w:trPr>
        <w:tc>
          <w:tcPr>
            <w:tcW w:w="2280" w:type="dxa"/>
          </w:tcPr>
          <w:p>
            <w:pPr>
              <w:pStyle w:val="yTableNAm"/>
              <w:spacing w:before="60"/>
            </w:pPr>
            <w:r>
              <w:rPr>
                <w:i/>
              </w:rPr>
              <w:t>Racing and Wagering Western Australia Act 2003</w:t>
            </w:r>
          </w:p>
        </w:tc>
        <w:tc>
          <w:tcPr>
            <w:tcW w:w="4808" w:type="dxa"/>
          </w:tcPr>
          <w:p>
            <w:pPr>
              <w:pStyle w:val="yTableNAm"/>
              <w:spacing w:before="60"/>
            </w:pPr>
            <w:r>
              <w:t>Racing and Wagering Western Australia.</w:t>
            </w:r>
          </w:p>
        </w:tc>
      </w:tr>
      <w:tr>
        <w:trPr>
          <w:cantSplit/>
        </w:trPr>
        <w:tc>
          <w:tcPr>
            <w:tcW w:w="2280" w:type="dxa"/>
          </w:tcPr>
          <w:p>
            <w:pPr>
              <w:pStyle w:val="yTableNAm"/>
              <w:spacing w:before="60"/>
            </w:pPr>
            <w:r>
              <w:rPr>
                <w:i/>
              </w:rPr>
              <w:t>Royal Commissions Act 1968</w:t>
            </w:r>
          </w:p>
        </w:tc>
        <w:tc>
          <w:tcPr>
            <w:tcW w:w="4808" w:type="dxa"/>
          </w:tcPr>
          <w:p>
            <w:pPr>
              <w:pStyle w:val="yTableNAm"/>
              <w:spacing w:before="60"/>
            </w:pPr>
            <w:r>
              <w:t>Any Royal Commission.</w:t>
            </w:r>
          </w:p>
        </w:tc>
      </w:tr>
      <w:tr>
        <w:trPr>
          <w:cantSplit/>
        </w:trPr>
        <w:tc>
          <w:tcPr>
            <w:tcW w:w="2280" w:type="dxa"/>
            <w:tcBorders>
              <w:bottom w:val="single" w:sz="4" w:space="0" w:color="auto"/>
            </w:tcBorders>
          </w:tcPr>
          <w:p>
            <w:pPr>
              <w:pStyle w:val="yTableNAm"/>
              <w:spacing w:before="60"/>
            </w:pPr>
            <w:r>
              <w:rPr>
                <w:i/>
              </w:rPr>
              <w:t>Solicitor</w:t>
            </w:r>
            <w:r>
              <w:rPr>
                <w:i/>
              </w:rPr>
              <w:noBreakHyphen/>
              <w:t>General Act 1969</w:t>
            </w:r>
          </w:p>
        </w:tc>
        <w:tc>
          <w:tcPr>
            <w:tcW w:w="4808" w:type="dxa"/>
            <w:tcBorders>
              <w:bottom w:val="single" w:sz="4" w:space="0" w:color="auto"/>
            </w:tcBorders>
          </w:tcPr>
          <w:p>
            <w:pPr>
              <w:pStyle w:val="yTableNAm"/>
              <w:spacing w:before="60"/>
            </w:pPr>
            <w:r>
              <w:t>Solicitor</w:t>
            </w:r>
            <w:r>
              <w:noBreakHyphen/>
              <w:t>General.</w:t>
            </w:r>
          </w:p>
        </w:tc>
      </w:tr>
    </w:tbl>
    <w:p>
      <w:pPr>
        <w:pStyle w:val="yFootnotesection"/>
      </w:pPr>
      <w:r>
        <w:tab/>
        <w:t>[Schedule 1 inserted: No. 10 of 2009 s. 10; amended: No. 16 of 2009 s. 71; No. 39 of 2010 s. 80; No. 35 of 2014 s. 36(5); No. 25 of 2022 s. 24.]</w:t>
      </w:r>
    </w:p>
    <w:p>
      <w:pPr>
        <w:pStyle w:val="yScheduleHeading"/>
      </w:pPr>
      <w:bookmarkStart w:id="139" w:name="_Toc153965094"/>
      <w:bookmarkStart w:id="140" w:name="_Toc153968752"/>
      <w:bookmarkStart w:id="141" w:name="_Toc153978149"/>
      <w:r>
        <w:rPr>
          <w:rStyle w:val="CharSchNo"/>
        </w:rPr>
        <w:lastRenderedPageBreak/>
        <w:t>Schedule 2</w:t>
      </w:r>
      <w:r>
        <w:t> — </w:t>
      </w:r>
      <w:r>
        <w:rPr>
          <w:rStyle w:val="CharSchText"/>
        </w:rPr>
        <w:t>Relevant entities to which this Act applies</w:t>
      </w:r>
      <w:bookmarkEnd w:id="139"/>
      <w:bookmarkEnd w:id="140"/>
      <w:bookmarkEnd w:id="141"/>
    </w:p>
    <w:p>
      <w:pPr>
        <w:pStyle w:val="yShoulderClause"/>
      </w:pPr>
      <w:r>
        <w:t>[s. 19I]</w:t>
      </w:r>
    </w:p>
    <w:p>
      <w:pPr>
        <w:pStyle w:val="yFootnoteheading"/>
        <w:spacing w:after="60"/>
      </w:pPr>
      <w:r>
        <w:tab/>
        <w:t>[Heading inserted: No. 25 of 2022 s. 25.]</w:t>
      </w:r>
    </w:p>
    <w:tbl>
      <w:tblPr>
        <w:tblW w:w="7088" w:type="dxa"/>
        <w:tblInd w:w="57" w:type="dxa"/>
        <w:tblLayout w:type="fixed"/>
        <w:tblCellMar>
          <w:top w:w="113" w:type="dxa"/>
          <w:left w:w="57" w:type="dxa"/>
          <w:right w:w="57" w:type="dxa"/>
        </w:tblCellMar>
        <w:tblLook w:val="0000" w:firstRow="0" w:lastRow="0" w:firstColumn="0" w:lastColumn="0" w:noHBand="0" w:noVBand="0"/>
      </w:tblPr>
      <w:tblGrid>
        <w:gridCol w:w="2280"/>
        <w:gridCol w:w="4808"/>
      </w:tblGrid>
      <w:tr>
        <w:trPr>
          <w:tblHeader/>
        </w:trPr>
        <w:tc>
          <w:tcPr>
            <w:tcW w:w="2280" w:type="dxa"/>
            <w:tcBorders>
              <w:top w:val="single" w:sz="4" w:space="0" w:color="auto"/>
              <w:bottom w:val="single" w:sz="4" w:space="0" w:color="auto"/>
            </w:tcBorders>
            <w:noWrap/>
          </w:tcPr>
          <w:p>
            <w:pPr>
              <w:pStyle w:val="yTableNAm"/>
              <w:rPr>
                <w:b/>
              </w:rPr>
            </w:pPr>
            <w:r>
              <w:rPr>
                <w:b/>
              </w:rPr>
              <w:t>Column 1</w:t>
            </w:r>
          </w:p>
        </w:tc>
        <w:tc>
          <w:tcPr>
            <w:tcW w:w="4808" w:type="dxa"/>
            <w:tcBorders>
              <w:top w:val="single" w:sz="4" w:space="0" w:color="auto"/>
              <w:bottom w:val="single" w:sz="4" w:space="0" w:color="auto"/>
            </w:tcBorders>
            <w:noWrap/>
          </w:tcPr>
          <w:p>
            <w:pPr>
              <w:pStyle w:val="yTableNAm"/>
              <w:rPr>
                <w:b/>
              </w:rPr>
            </w:pPr>
            <w:r>
              <w:rPr>
                <w:b/>
              </w:rPr>
              <w:t>Column 2</w:t>
            </w:r>
          </w:p>
        </w:tc>
      </w:tr>
      <w:tr>
        <w:tc>
          <w:tcPr>
            <w:tcW w:w="2280" w:type="dxa"/>
            <w:tcBorders>
              <w:top w:val="single" w:sz="4" w:space="0" w:color="auto"/>
            </w:tcBorders>
            <w:noWrap/>
          </w:tcPr>
          <w:p>
            <w:pPr>
              <w:pStyle w:val="yTableNAm"/>
            </w:pPr>
            <w:r>
              <w:t>Public bodies</w:t>
            </w:r>
          </w:p>
        </w:tc>
        <w:tc>
          <w:tcPr>
            <w:tcW w:w="4808" w:type="dxa"/>
            <w:tcBorders>
              <w:top w:val="single" w:sz="4" w:space="0" w:color="auto"/>
            </w:tcBorders>
            <w:noWrap/>
          </w:tcPr>
          <w:p>
            <w:pPr>
              <w:pStyle w:val="yTableNAm"/>
            </w:pPr>
            <w:r>
              <w:t>A department.</w:t>
            </w:r>
          </w:p>
          <w:p>
            <w:pPr>
              <w:pStyle w:val="yTableNAm"/>
            </w:pPr>
            <w:r>
              <w:t>An authority.</w:t>
            </w:r>
          </w:p>
        </w:tc>
      </w:tr>
      <w:tr>
        <w:tc>
          <w:tcPr>
            <w:tcW w:w="2280" w:type="dxa"/>
            <w:noWrap/>
          </w:tcPr>
          <w:p>
            <w:pPr>
              <w:pStyle w:val="yTableNAm"/>
            </w:pPr>
            <w:r>
              <w:t>Providers of education services</w:t>
            </w:r>
          </w:p>
        </w:tc>
        <w:tc>
          <w:tcPr>
            <w:tcW w:w="4808" w:type="dxa"/>
            <w:noWrap/>
          </w:tcPr>
          <w:p>
            <w:pPr>
              <w:pStyle w:val="yTableNAm"/>
              <w:rPr>
                <w:iCs/>
              </w:rPr>
            </w:pPr>
            <w:r>
              <w:t xml:space="preserve">A school as defined in the </w:t>
            </w:r>
            <w:r>
              <w:rPr>
                <w:i/>
                <w:iCs/>
              </w:rPr>
              <w:t>School Education Act 1999</w:t>
            </w:r>
            <w:r>
              <w:t xml:space="preserve"> section 4.</w:t>
            </w:r>
          </w:p>
          <w:p>
            <w:pPr>
              <w:pStyle w:val="yTableNAm"/>
            </w:pPr>
            <w:r>
              <w:t xml:space="preserve">A college or other vocational education and training institution as those terms are defined in the </w:t>
            </w:r>
            <w:r>
              <w:rPr>
                <w:i/>
                <w:iCs/>
              </w:rPr>
              <w:t>Vocational Education and Training Act 1996</w:t>
            </w:r>
            <w:r>
              <w:t xml:space="preserve"> section 5(1).</w:t>
            </w:r>
          </w:p>
          <w:p>
            <w:pPr>
              <w:pStyle w:val="yTableNAm"/>
            </w:pPr>
            <w:r>
              <w:t xml:space="preserve">A registered training provider as defined in the </w:t>
            </w:r>
            <w:r>
              <w:rPr>
                <w:i/>
                <w:iCs/>
              </w:rPr>
              <w:t>Vocational Education and Training Act 1996</w:t>
            </w:r>
            <w:r>
              <w:t xml:space="preserve"> section 5(1).</w:t>
            </w:r>
          </w:p>
          <w:p>
            <w:pPr>
              <w:pStyle w:val="yTableNAm"/>
            </w:pPr>
            <w:r>
              <w:t>A university established under a written law.</w:t>
            </w:r>
          </w:p>
          <w:p>
            <w:pPr>
              <w:pStyle w:val="yTableNAm"/>
            </w:pPr>
            <w:r>
              <w:t>An Australian university college, an authorised non</w:t>
            </w:r>
            <w:r>
              <w:noBreakHyphen/>
              <w:t xml:space="preserve">university institution or a recognised overseas university as those terms are defined in the </w:t>
            </w:r>
            <w:r>
              <w:rPr>
                <w:i/>
                <w:iCs/>
              </w:rPr>
              <w:t>Higher Education Act 2004</w:t>
            </w:r>
            <w:r>
              <w:t xml:space="preserve"> section 3.</w:t>
            </w:r>
          </w:p>
        </w:tc>
      </w:tr>
      <w:tr>
        <w:tc>
          <w:tcPr>
            <w:tcW w:w="2280" w:type="dxa"/>
            <w:noWrap/>
          </w:tcPr>
          <w:p>
            <w:pPr>
              <w:pStyle w:val="yTableNAm"/>
            </w:pPr>
            <w:r>
              <w:t>Providers of health services</w:t>
            </w:r>
          </w:p>
        </w:tc>
        <w:tc>
          <w:tcPr>
            <w:tcW w:w="4808" w:type="dxa"/>
            <w:noWrap/>
          </w:tcPr>
          <w:p>
            <w:pPr>
              <w:pStyle w:val="yTableNAm"/>
            </w:pPr>
            <w:r>
              <w:t xml:space="preserve">A health service provider as defined in the </w:t>
            </w:r>
            <w:r>
              <w:rPr>
                <w:i/>
                <w:iCs/>
              </w:rPr>
              <w:t xml:space="preserve">Health Services Act 2016 </w:t>
            </w:r>
            <w:r>
              <w:t>section 6.</w:t>
            </w:r>
          </w:p>
          <w:p>
            <w:pPr>
              <w:pStyle w:val="yTableNAm"/>
            </w:pPr>
            <w:r>
              <w:t xml:space="preserve">A private hospital service provider as defined in the </w:t>
            </w:r>
            <w:r>
              <w:rPr>
                <w:i/>
                <w:iCs/>
              </w:rPr>
              <w:t>Private Hospitals and Health Services Act 1927</w:t>
            </w:r>
            <w:r>
              <w:t xml:space="preserve"> section 2(1).</w:t>
            </w:r>
          </w:p>
          <w:p>
            <w:pPr>
              <w:pStyle w:val="yTableNAm"/>
            </w:pPr>
            <w:r>
              <w:t xml:space="preserve">A provider of a mental health service as defined in the </w:t>
            </w:r>
            <w:r>
              <w:rPr>
                <w:i/>
              </w:rPr>
              <w:t>Mental Health Act 2014</w:t>
            </w:r>
            <w:r>
              <w:t xml:space="preserve"> section 4 that has inpatient beds for children.</w:t>
            </w:r>
          </w:p>
          <w:p>
            <w:pPr>
              <w:pStyle w:val="yTableNAm"/>
            </w:pPr>
            <w:r>
              <w:t>A provider of a drug and alcohol treatment service that has inpatient beds for children.</w:t>
            </w:r>
          </w:p>
          <w:p>
            <w:pPr>
              <w:pStyle w:val="yTableNAm"/>
            </w:pPr>
            <w:r>
              <w:lastRenderedPageBreak/>
              <w:t>An ambulance service.</w:t>
            </w:r>
          </w:p>
        </w:tc>
      </w:tr>
      <w:tr>
        <w:tc>
          <w:tcPr>
            <w:tcW w:w="2280" w:type="dxa"/>
            <w:noWrap/>
          </w:tcPr>
          <w:p>
            <w:pPr>
              <w:pStyle w:val="yTableNAm"/>
            </w:pPr>
            <w:r>
              <w:lastRenderedPageBreak/>
              <w:t>Providers of out</w:t>
            </w:r>
            <w:r>
              <w:noBreakHyphen/>
              <w:t>of</w:t>
            </w:r>
            <w:r>
              <w:noBreakHyphen/>
              <w:t>home care services</w:t>
            </w:r>
          </w:p>
        </w:tc>
        <w:tc>
          <w:tcPr>
            <w:tcW w:w="4808" w:type="dxa"/>
            <w:noWrap/>
          </w:tcPr>
          <w:p>
            <w:pPr>
              <w:pStyle w:val="yTableNAm"/>
            </w:pPr>
            <w:r>
              <w:t xml:space="preserve">A person who has entered into an agreement under the </w:t>
            </w:r>
            <w:r>
              <w:rPr>
                <w:iCs/>
              </w:rPr>
              <w:t>CCS Act section 15(1) for the provision of placement services.</w:t>
            </w:r>
          </w:p>
        </w:tc>
      </w:tr>
      <w:tr>
        <w:tc>
          <w:tcPr>
            <w:tcW w:w="2280" w:type="dxa"/>
            <w:noWrap/>
          </w:tcPr>
          <w:p>
            <w:pPr>
              <w:pStyle w:val="yTableNAm"/>
            </w:pPr>
            <w:r>
              <w:t>Providers of child care services</w:t>
            </w:r>
          </w:p>
        </w:tc>
        <w:tc>
          <w:tcPr>
            <w:tcW w:w="4808" w:type="dxa"/>
            <w:noWrap/>
          </w:tcPr>
          <w:p>
            <w:pPr>
              <w:pStyle w:val="yTableNAm"/>
            </w:pPr>
            <w:r>
              <w:t xml:space="preserve">An education and care service as defined in the </w:t>
            </w:r>
            <w:r>
              <w:rPr>
                <w:i/>
              </w:rPr>
              <w:t>Education and Care Services National Law (Western Australia)</w:t>
            </w:r>
            <w:r>
              <w:t xml:space="preserve"> section 5(1).</w:t>
            </w:r>
          </w:p>
          <w:p>
            <w:pPr>
              <w:pStyle w:val="yTableNAm"/>
            </w:pPr>
            <w:r>
              <w:t xml:space="preserve">A child care service as defined in the </w:t>
            </w:r>
            <w:r>
              <w:rPr>
                <w:i/>
              </w:rPr>
              <w:t>Child Care Services Act 2007</w:t>
            </w:r>
            <w:r>
              <w:t xml:space="preserve"> section 4.</w:t>
            </w:r>
          </w:p>
        </w:tc>
      </w:tr>
      <w:tr>
        <w:tc>
          <w:tcPr>
            <w:tcW w:w="2280" w:type="dxa"/>
            <w:noWrap/>
          </w:tcPr>
          <w:p>
            <w:pPr>
              <w:pStyle w:val="yTableNAm"/>
            </w:pPr>
            <w:r>
              <w:t>Providers of youth justice services</w:t>
            </w:r>
          </w:p>
        </w:tc>
        <w:tc>
          <w:tcPr>
            <w:tcW w:w="4808" w:type="dxa"/>
            <w:noWrap/>
          </w:tcPr>
          <w:p>
            <w:pPr>
              <w:pStyle w:val="yTableNAm"/>
            </w:pPr>
            <w:r>
              <w:t xml:space="preserve">A provider of a detention centre as defined in the </w:t>
            </w:r>
            <w:r>
              <w:rPr>
                <w:i/>
              </w:rPr>
              <w:t>Young Offenders Act 1994</w:t>
            </w:r>
            <w:r>
              <w:t xml:space="preserve"> section 3.</w:t>
            </w:r>
          </w:p>
          <w:p>
            <w:pPr>
              <w:pStyle w:val="yTableNAm"/>
            </w:pPr>
            <w:r>
              <w:t xml:space="preserve">A provider of community justice services funded by the department principally assisting in the administration of the </w:t>
            </w:r>
            <w:r>
              <w:rPr>
                <w:i/>
              </w:rPr>
              <w:t>Young Offenders Act 1994</w:t>
            </w:r>
            <w:r>
              <w:t>.</w:t>
            </w:r>
          </w:p>
        </w:tc>
      </w:tr>
      <w:tr>
        <w:tc>
          <w:tcPr>
            <w:tcW w:w="2280" w:type="dxa"/>
            <w:noWrap/>
          </w:tcPr>
          <w:p>
            <w:pPr>
              <w:pStyle w:val="yTableNAm"/>
            </w:pPr>
            <w:r>
              <w:t>Religious bodies</w:t>
            </w:r>
          </w:p>
        </w:tc>
        <w:tc>
          <w:tcPr>
            <w:tcW w:w="4808" w:type="dxa"/>
            <w:noWrap/>
          </w:tcPr>
          <w:p>
            <w:pPr>
              <w:pStyle w:val="yTableNAm"/>
            </w:pPr>
            <w:r>
              <w:rPr>
                <w:szCs w:val="22"/>
              </w:rPr>
              <w:t>A religious body that provides, or has provided, activities, facilities, programs or services that provide a means for adults to have contact with children.</w:t>
            </w:r>
          </w:p>
        </w:tc>
      </w:tr>
      <w:tr>
        <w:tc>
          <w:tcPr>
            <w:tcW w:w="2280" w:type="dxa"/>
            <w:noWrap/>
          </w:tcPr>
          <w:p>
            <w:pPr>
              <w:pStyle w:val="yTableNAm"/>
            </w:pPr>
          </w:p>
        </w:tc>
        <w:tc>
          <w:tcPr>
            <w:tcW w:w="4808" w:type="dxa"/>
            <w:noWrap/>
          </w:tcPr>
          <w:p>
            <w:pPr>
              <w:pStyle w:val="yTableNAm"/>
              <w:rPr>
                <w:b/>
                <w:bCs/>
                <w:szCs w:val="22"/>
              </w:rPr>
            </w:pPr>
            <w:r>
              <w:rPr>
                <w:b/>
                <w:bCs/>
                <w:szCs w:val="22"/>
              </w:rPr>
              <w:t xml:space="preserve">Examples of activities, facilities, programs or services — </w:t>
            </w:r>
          </w:p>
          <w:p>
            <w:pPr>
              <w:pStyle w:val="yTableNAm"/>
            </w:pPr>
            <w:r>
              <w:t>(a)</w:t>
            </w:r>
            <w:r>
              <w:tab/>
              <w:t>altar serving;</w:t>
            </w:r>
          </w:p>
          <w:p>
            <w:pPr>
              <w:pStyle w:val="yTableNAm"/>
            </w:pPr>
            <w:r>
              <w:t>(b)</w:t>
            </w:r>
            <w:r>
              <w:tab/>
              <w:t>art groups;</w:t>
            </w:r>
          </w:p>
          <w:p>
            <w:pPr>
              <w:pStyle w:val="yTableNAm"/>
            </w:pPr>
            <w:r>
              <w:t>(c)</w:t>
            </w:r>
            <w:r>
              <w:tab/>
              <w:t>bible study groups;</w:t>
            </w:r>
          </w:p>
          <w:p>
            <w:pPr>
              <w:pStyle w:val="yTableNAm"/>
            </w:pPr>
            <w:r>
              <w:t>(d)</w:t>
            </w:r>
            <w:r>
              <w:tab/>
              <w:t>choirs and music groups;</w:t>
            </w:r>
          </w:p>
          <w:p>
            <w:pPr>
              <w:pStyle w:val="yTableNAm"/>
            </w:pPr>
            <w:r>
              <w:t>(e)</w:t>
            </w:r>
            <w:r>
              <w:tab/>
              <w:t>creches and other child minding services;</w:t>
            </w:r>
          </w:p>
          <w:p>
            <w:pPr>
              <w:pStyle w:val="yTableNAm"/>
            </w:pPr>
            <w:r>
              <w:t>(f)</w:t>
            </w:r>
            <w:r>
              <w:tab/>
              <w:t>dance groups;</w:t>
            </w:r>
          </w:p>
          <w:p>
            <w:pPr>
              <w:pStyle w:val="yTableNAm"/>
            </w:pPr>
            <w:r>
              <w:t>(g)</w:t>
            </w:r>
            <w:r>
              <w:tab/>
              <w:t>faith</w:t>
            </w:r>
            <w:r>
              <w:noBreakHyphen/>
              <w:t>based children’s and youth groups;</w:t>
            </w:r>
          </w:p>
          <w:p>
            <w:pPr>
              <w:pStyle w:val="yTableNAm"/>
            </w:pPr>
            <w:r>
              <w:t>(h)</w:t>
            </w:r>
            <w:r>
              <w:tab/>
              <w:t>multi</w:t>
            </w:r>
            <w:r>
              <w:noBreakHyphen/>
              <w:t>faith networks;</w:t>
            </w:r>
          </w:p>
          <w:p>
            <w:pPr>
              <w:pStyle w:val="yTableNAm"/>
            </w:pPr>
            <w:r>
              <w:lastRenderedPageBreak/>
              <w:t>(i)</w:t>
            </w:r>
            <w:r>
              <w:tab/>
              <w:t>open days;</w:t>
            </w:r>
          </w:p>
          <w:p>
            <w:pPr>
              <w:pStyle w:val="yTableNAm"/>
            </w:pPr>
            <w:r>
              <w:t>(j)</w:t>
            </w:r>
            <w:r>
              <w:tab/>
              <w:t>prayer groups;</w:t>
            </w:r>
          </w:p>
          <w:p>
            <w:pPr>
              <w:pStyle w:val="yTableNAm"/>
              <w:ind w:left="567" w:hanging="567"/>
            </w:pPr>
            <w:r>
              <w:t>(k)</w:t>
            </w:r>
            <w:r>
              <w:tab/>
              <w:t>religious community engagement and outreach;</w:t>
            </w:r>
          </w:p>
          <w:p>
            <w:pPr>
              <w:pStyle w:val="yTableNAm"/>
            </w:pPr>
            <w:r>
              <w:t>(l)</w:t>
            </w:r>
            <w:r>
              <w:tab/>
              <w:t>religious festivals and celebrations;</w:t>
            </w:r>
          </w:p>
          <w:p>
            <w:pPr>
              <w:pStyle w:val="yTableNAm"/>
            </w:pPr>
            <w:r>
              <w:t>(m)</w:t>
            </w:r>
            <w:r>
              <w:tab/>
              <w:t>religious services;</w:t>
            </w:r>
          </w:p>
          <w:p>
            <w:pPr>
              <w:pStyle w:val="yTableNAm"/>
            </w:pPr>
            <w:r>
              <w:t>(n)</w:t>
            </w:r>
            <w:r>
              <w:tab/>
              <w:t>sports teams;</w:t>
            </w:r>
          </w:p>
          <w:p>
            <w:pPr>
              <w:pStyle w:val="yTableNAm"/>
              <w:ind w:left="567" w:hanging="567"/>
            </w:pPr>
            <w:r>
              <w:t>(o)</w:t>
            </w:r>
            <w:r>
              <w:tab/>
              <w:t>Saturday schools, Sunday schools and after school religious education;</w:t>
            </w:r>
          </w:p>
          <w:p>
            <w:pPr>
              <w:pStyle w:val="yTableNAm"/>
            </w:pPr>
            <w:r>
              <w:t>(p)</w:t>
            </w:r>
            <w:r>
              <w:tab/>
              <w:t>tutoring services;</w:t>
            </w:r>
          </w:p>
          <w:p>
            <w:pPr>
              <w:pStyle w:val="yTableNAm"/>
              <w:rPr>
                <w:szCs w:val="22"/>
              </w:rPr>
            </w:pPr>
            <w:r>
              <w:t>(q)</w:t>
            </w:r>
            <w:r>
              <w:tab/>
              <w:t>youth camps.</w:t>
            </w:r>
          </w:p>
        </w:tc>
      </w:tr>
      <w:tr>
        <w:tc>
          <w:tcPr>
            <w:tcW w:w="2280" w:type="dxa"/>
            <w:noWrap/>
          </w:tcPr>
          <w:p>
            <w:pPr>
              <w:pStyle w:val="yTableNAm"/>
            </w:pPr>
            <w:r>
              <w:lastRenderedPageBreak/>
              <w:t>Providers of disability services</w:t>
            </w:r>
          </w:p>
        </w:tc>
        <w:tc>
          <w:tcPr>
            <w:tcW w:w="4808" w:type="dxa"/>
            <w:noWrap/>
          </w:tcPr>
          <w:p>
            <w:pPr>
              <w:pStyle w:val="yTableNAm"/>
            </w:pPr>
            <w:r>
              <w:t xml:space="preserve">A service provider as defined in the </w:t>
            </w:r>
            <w:r>
              <w:rPr>
                <w:i/>
                <w:iCs/>
              </w:rPr>
              <w:t>Disability Services Act 1993</w:t>
            </w:r>
            <w:r>
              <w:t xml:space="preserve"> section 3.</w:t>
            </w:r>
          </w:p>
          <w:p>
            <w:pPr>
              <w:pStyle w:val="yTableNAm"/>
              <w:rPr>
                <w:b/>
                <w:bCs/>
                <w:szCs w:val="22"/>
              </w:rPr>
            </w:pPr>
            <w:r>
              <w:t xml:space="preserve">A registered provider of supports and services under the National Disability Insurance Scheme established under the </w:t>
            </w:r>
            <w:r>
              <w:rPr>
                <w:i/>
                <w:iCs/>
              </w:rPr>
              <w:t>National Disability Insurance Scheme Act 2013</w:t>
            </w:r>
            <w:r>
              <w:t xml:space="preserve"> (Commonwealth).</w:t>
            </w:r>
          </w:p>
        </w:tc>
      </w:tr>
      <w:tr>
        <w:tc>
          <w:tcPr>
            <w:tcW w:w="2280" w:type="dxa"/>
            <w:noWrap/>
          </w:tcPr>
          <w:p>
            <w:pPr>
              <w:pStyle w:val="yTableNAm"/>
            </w:pPr>
            <w:r>
              <w:t>Providers of accommodation and respite services for children</w:t>
            </w:r>
          </w:p>
        </w:tc>
        <w:tc>
          <w:tcPr>
            <w:tcW w:w="4808" w:type="dxa"/>
            <w:noWrap/>
          </w:tcPr>
          <w:p>
            <w:pPr>
              <w:pStyle w:val="yTableNAm"/>
            </w:pPr>
            <w:r>
              <w:rPr>
                <w:szCs w:val="22"/>
              </w:rPr>
              <w:t>A provider of a homelessness service that provides overnight beds specifically for children as part of its primary activities and is funded by the department principally assisting in the administration of the CCS Act.</w:t>
            </w:r>
          </w:p>
          <w:p>
            <w:pPr>
              <w:pStyle w:val="yTableNAm"/>
              <w:rPr>
                <w:szCs w:val="22"/>
              </w:rPr>
            </w:pPr>
            <w:r>
              <w:rPr>
                <w:szCs w:val="22"/>
              </w:rPr>
              <w:t>A provider of boarding facilities for students who are children.</w:t>
            </w:r>
          </w:p>
          <w:p>
            <w:pPr>
              <w:pStyle w:val="yTableNAm"/>
            </w:pPr>
            <w:r>
              <w:t>An entity that provides overnight camps for children as part of its primary activity.</w:t>
            </w:r>
          </w:p>
          <w:p>
            <w:pPr>
              <w:pStyle w:val="yTableNAm"/>
              <w:rPr>
                <w:b/>
                <w:bCs/>
                <w:szCs w:val="22"/>
              </w:rPr>
            </w:pPr>
            <w:r>
              <w:t>A provider of any other accommodation or respite services for children.</w:t>
            </w:r>
          </w:p>
        </w:tc>
      </w:tr>
    </w:tbl>
    <w:p>
      <w:pPr>
        <w:pStyle w:val="yFootnotesection"/>
      </w:pPr>
      <w:r>
        <w:lastRenderedPageBreak/>
        <w:tab/>
        <w:t>[Schedule 2 inserted: No. 25 of 2022 s. 25; amended: No. 25 of 2022 s. 27.]</w:t>
      </w:r>
    </w:p>
    <w:p>
      <w:pPr>
        <w:pStyle w:val="CentredBaseLine"/>
        <w:spacing w:before="6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jc w:val="center"/>
        <w:sectPr>
          <w:headerReference w:type="even" r:id="rId25"/>
          <w:headerReference w:type="default" r:id="rId26"/>
          <w:headerReference w:type="first" r:id="rId27"/>
          <w:pgSz w:w="11907" w:h="16840" w:code="9"/>
          <w:pgMar w:top="2381" w:right="2409" w:bottom="3543" w:left="2409" w:header="720" w:footer="3544" w:gutter="0"/>
          <w:cols w:space="720"/>
          <w:noEndnote/>
          <w:docGrid w:linePitch="326"/>
        </w:sectPr>
      </w:pPr>
    </w:p>
    <w:p>
      <w:pPr>
        <w:pStyle w:val="nHeading2"/>
      </w:pPr>
      <w:bookmarkStart w:id="143" w:name="_Toc153965095"/>
      <w:bookmarkStart w:id="144" w:name="_Toc153968753"/>
      <w:bookmarkStart w:id="145" w:name="_Toc153978150"/>
      <w:r>
        <w:lastRenderedPageBreak/>
        <w:t>Notes</w:t>
      </w:r>
      <w:bookmarkEnd w:id="143"/>
      <w:bookmarkEnd w:id="144"/>
      <w:bookmarkEnd w:id="145"/>
    </w:p>
    <w:p>
      <w:pPr>
        <w:pStyle w:val="nStatement"/>
      </w:pPr>
      <w:r>
        <w:t xml:space="preserve">This is a compilation of the </w:t>
      </w:r>
      <w:r>
        <w:rPr>
          <w:i/>
          <w:noProof/>
        </w:rPr>
        <w:t>Parliamentary Commissioner Act 1971</w:t>
      </w:r>
      <w:r>
        <w:t xml:space="preserve"> and includes amendments made by other written laws </w:t>
      </w:r>
      <w:r>
        <w:rPr>
          <w:vertAlign w:val="superscript"/>
        </w:rPr>
        <w:t>3, 4</w:t>
      </w:r>
      <w:r>
        <w:t>. For provisions that have come into operation, and for information about any reprints, see the compilation table. For provisions that have not yet come into operation see the uncommenced provisions table.</w:t>
      </w:r>
    </w:p>
    <w:p>
      <w:pPr>
        <w:pStyle w:val="nHeading3"/>
      </w:pPr>
      <w:bookmarkStart w:id="146" w:name="_Toc153978151"/>
      <w:r>
        <w:t>Compilation table</w:t>
      </w:r>
      <w:bookmarkEnd w:id="146"/>
    </w:p>
    <w:tbl>
      <w:tblPr>
        <w:tblW w:w="7193" w:type="dxa"/>
        <w:tblInd w:w="43" w:type="dxa"/>
        <w:tblLayout w:type="fixed"/>
        <w:tblCellMar>
          <w:left w:w="56" w:type="dxa"/>
          <w:right w:w="56" w:type="dxa"/>
        </w:tblCellMar>
        <w:tblLook w:val="0000" w:firstRow="0" w:lastRow="0" w:firstColumn="0" w:lastColumn="0" w:noHBand="0" w:noVBand="0"/>
      </w:tblPr>
      <w:tblGrid>
        <w:gridCol w:w="13"/>
        <w:gridCol w:w="2212"/>
        <w:gridCol w:w="1134"/>
        <w:gridCol w:w="1276"/>
        <w:gridCol w:w="2551"/>
        <w:gridCol w:w="7"/>
      </w:tblGrid>
      <w:tr>
        <w:trPr>
          <w:gridBefore w:val="1"/>
          <w:wBefore w:w="13" w:type="dxa"/>
          <w:cantSplit/>
          <w:trHeight w:val="40"/>
          <w:tblHeader/>
        </w:trPr>
        <w:tc>
          <w:tcPr>
            <w:tcW w:w="2212"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276" w:type="dxa"/>
            <w:tcBorders>
              <w:top w:val="single" w:sz="8" w:space="0" w:color="auto"/>
              <w:bottom w:val="single" w:sz="8" w:space="0" w:color="auto"/>
            </w:tcBorders>
            <w:shd w:val="clear" w:color="auto" w:fill="auto"/>
          </w:tcPr>
          <w:p>
            <w:pPr>
              <w:pStyle w:val="nTable"/>
              <w:spacing w:after="40"/>
              <w:rPr>
                <w:b/>
              </w:rPr>
            </w:pPr>
            <w:r>
              <w:rPr>
                <w:b/>
              </w:rPr>
              <w:t>Assent</w:t>
            </w:r>
          </w:p>
        </w:tc>
        <w:tc>
          <w:tcPr>
            <w:tcW w:w="2558"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3" w:type="dxa"/>
          <w:cantSplit/>
        </w:trPr>
        <w:tc>
          <w:tcPr>
            <w:tcW w:w="2212" w:type="dxa"/>
          </w:tcPr>
          <w:p>
            <w:pPr>
              <w:pStyle w:val="nTable"/>
              <w:spacing w:after="40"/>
              <w:ind w:right="113"/>
            </w:pPr>
            <w:r>
              <w:rPr>
                <w:i/>
              </w:rPr>
              <w:t>Parliamentary Commissioner Act 1971</w:t>
            </w:r>
          </w:p>
        </w:tc>
        <w:tc>
          <w:tcPr>
            <w:tcW w:w="1134" w:type="dxa"/>
          </w:tcPr>
          <w:p>
            <w:pPr>
              <w:pStyle w:val="nTable"/>
              <w:spacing w:after="40"/>
            </w:pPr>
            <w:r>
              <w:t>64 of 1971</w:t>
            </w:r>
          </w:p>
        </w:tc>
        <w:tc>
          <w:tcPr>
            <w:tcW w:w="1276" w:type="dxa"/>
          </w:tcPr>
          <w:p>
            <w:pPr>
              <w:pStyle w:val="nTable"/>
              <w:spacing w:after="40"/>
            </w:pPr>
            <w:r>
              <w:t>22 Dec 1971</w:t>
            </w:r>
          </w:p>
        </w:tc>
        <w:tc>
          <w:tcPr>
            <w:tcW w:w="2558" w:type="dxa"/>
            <w:gridSpan w:val="2"/>
          </w:tcPr>
          <w:p>
            <w:pPr>
              <w:pStyle w:val="nTable"/>
              <w:spacing w:after="40"/>
            </w:pPr>
            <w:r>
              <w:t xml:space="preserve">12 May 1972 (see s. 2 and </w:t>
            </w:r>
            <w:r>
              <w:rPr>
                <w:i/>
              </w:rPr>
              <w:t>Gazette</w:t>
            </w:r>
            <w:r>
              <w:t xml:space="preserve"> 12 May 1972 p. 1043)</w:t>
            </w:r>
          </w:p>
        </w:tc>
      </w:tr>
      <w:tr>
        <w:trPr>
          <w:gridBefore w:val="1"/>
          <w:wBefore w:w="13" w:type="dxa"/>
          <w:cantSplit/>
        </w:trPr>
        <w:tc>
          <w:tcPr>
            <w:tcW w:w="2212" w:type="dxa"/>
          </w:tcPr>
          <w:p>
            <w:pPr>
              <w:pStyle w:val="nTable"/>
              <w:spacing w:after="40"/>
              <w:ind w:right="113"/>
            </w:pPr>
            <w:r>
              <w:rPr>
                <w:i/>
              </w:rPr>
              <w:t>Parliamentary Commissioner Act Amendment Act 1976</w:t>
            </w:r>
          </w:p>
        </w:tc>
        <w:tc>
          <w:tcPr>
            <w:tcW w:w="1134" w:type="dxa"/>
          </w:tcPr>
          <w:p>
            <w:pPr>
              <w:pStyle w:val="nTable"/>
              <w:spacing w:after="40"/>
            </w:pPr>
            <w:r>
              <w:t>68 of 1976</w:t>
            </w:r>
          </w:p>
        </w:tc>
        <w:tc>
          <w:tcPr>
            <w:tcW w:w="1276" w:type="dxa"/>
          </w:tcPr>
          <w:p>
            <w:pPr>
              <w:pStyle w:val="nTable"/>
              <w:spacing w:after="40"/>
            </w:pPr>
            <w:r>
              <w:t>6 Oct 1976</w:t>
            </w:r>
          </w:p>
        </w:tc>
        <w:tc>
          <w:tcPr>
            <w:tcW w:w="2558" w:type="dxa"/>
            <w:gridSpan w:val="2"/>
          </w:tcPr>
          <w:p>
            <w:pPr>
              <w:pStyle w:val="nTable"/>
              <w:spacing w:after="40"/>
            </w:pPr>
            <w:r>
              <w:t>6 Oct 1976</w:t>
            </w:r>
          </w:p>
        </w:tc>
      </w:tr>
      <w:tr>
        <w:trPr>
          <w:gridBefore w:val="1"/>
          <w:wBefore w:w="13" w:type="dxa"/>
          <w:cantSplit/>
        </w:trPr>
        <w:tc>
          <w:tcPr>
            <w:tcW w:w="2212" w:type="dxa"/>
          </w:tcPr>
          <w:p>
            <w:pPr>
              <w:pStyle w:val="nTable"/>
              <w:spacing w:after="40"/>
              <w:ind w:right="113"/>
            </w:pPr>
            <w:r>
              <w:rPr>
                <w:i/>
              </w:rPr>
              <w:t>Parliamentary Commissioner Amendment Act 1982</w:t>
            </w:r>
          </w:p>
        </w:tc>
        <w:tc>
          <w:tcPr>
            <w:tcW w:w="1134" w:type="dxa"/>
          </w:tcPr>
          <w:p>
            <w:pPr>
              <w:pStyle w:val="nTable"/>
              <w:spacing w:after="40"/>
            </w:pPr>
            <w:r>
              <w:t>13 of 1982</w:t>
            </w:r>
          </w:p>
        </w:tc>
        <w:tc>
          <w:tcPr>
            <w:tcW w:w="1276" w:type="dxa"/>
          </w:tcPr>
          <w:p>
            <w:pPr>
              <w:pStyle w:val="nTable"/>
              <w:spacing w:after="40"/>
            </w:pPr>
            <w:r>
              <w:t>14 May 1982</w:t>
            </w:r>
          </w:p>
        </w:tc>
        <w:tc>
          <w:tcPr>
            <w:tcW w:w="2558" w:type="dxa"/>
            <w:gridSpan w:val="2"/>
          </w:tcPr>
          <w:p>
            <w:pPr>
              <w:pStyle w:val="nTable"/>
              <w:spacing w:after="40"/>
            </w:pPr>
            <w:r>
              <w:t>14 May 1982</w:t>
            </w:r>
          </w:p>
        </w:tc>
      </w:tr>
      <w:tr>
        <w:trPr>
          <w:gridBefore w:val="1"/>
          <w:wBefore w:w="13" w:type="dxa"/>
          <w:cantSplit/>
        </w:trPr>
        <w:tc>
          <w:tcPr>
            <w:tcW w:w="7180" w:type="dxa"/>
            <w:gridSpan w:val="5"/>
          </w:tcPr>
          <w:p>
            <w:pPr>
              <w:pStyle w:val="nTable"/>
              <w:spacing w:after="40"/>
            </w:pPr>
            <w:r>
              <w:rPr>
                <w:b/>
              </w:rPr>
              <w:t xml:space="preserve">Reprint of the </w:t>
            </w:r>
            <w:r>
              <w:rPr>
                <w:b/>
                <w:i/>
              </w:rPr>
              <w:t xml:space="preserve">Parliamentary Commissioner Act 1971 </w:t>
            </w:r>
            <w:r>
              <w:rPr>
                <w:b/>
              </w:rPr>
              <w:t>approved 19 Jul 1983</w:t>
            </w:r>
            <w:r>
              <w:t xml:space="preserve"> (includes amendments listed above)</w:t>
            </w:r>
          </w:p>
        </w:tc>
      </w:tr>
      <w:tr>
        <w:trPr>
          <w:gridBefore w:val="1"/>
          <w:wBefore w:w="13" w:type="dxa"/>
          <w:cantSplit/>
        </w:trPr>
        <w:tc>
          <w:tcPr>
            <w:tcW w:w="2212" w:type="dxa"/>
          </w:tcPr>
          <w:p>
            <w:pPr>
              <w:pStyle w:val="nTable"/>
              <w:spacing w:after="40"/>
              <w:ind w:right="113"/>
            </w:pPr>
            <w:r>
              <w:rPr>
                <w:i/>
              </w:rPr>
              <w:t>Parliamentary Commissioner Amendment Act 1984</w:t>
            </w:r>
          </w:p>
        </w:tc>
        <w:tc>
          <w:tcPr>
            <w:tcW w:w="1134" w:type="dxa"/>
          </w:tcPr>
          <w:p>
            <w:pPr>
              <w:pStyle w:val="nTable"/>
              <w:spacing w:after="40"/>
            </w:pPr>
            <w:r>
              <w:t>124 of 1984</w:t>
            </w:r>
          </w:p>
        </w:tc>
        <w:tc>
          <w:tcPr>
            <w:tcW w:w="1276" w:type="dxa"/>
          </w:tcPr>
          <w:p>
            <w:pPr>
              <w:pStyle w:val="nTable"/>
              <w:spacing w:after="40"/>
            </w:pPr>
            <w:r>
              <w:t>27 Dec 1984</w:t>
            </w:r>
          </w:p>
        </w:tc>
        <w:tc>
          <w:tcPr>
            <w:tcW w:w="2558" w:type="dxa"/>
            <w:gridSpan w:val="2"/>
          </w:tcPr>
          <w:p>
            <w:pPr>
              <w:pStyle w:val="nTable"/>
              <w:spacing w:after="40"/>
            </w:pPr>
            <w:r>
              <w:t>s. 1 and 2: 27 Dec 1984;</w:t>
            </w:r>
            <w:r>
              <w:br/>
              <w:t xml:space="preserve">Act other than s. 1 and 2: 1 Jul 1985 (see s. 2 and </w:t>
            </w:r>
            <w:r>
              <w:rPr>
                <w:i/>
              </w:rPr>
              <w:t>Gazette</w:t>
            </w:r>
            <w:r>
              <w:t xml:space="preserve"> 28 Jun 1985 p. 2291)</w:t>
            </w:r>
          </w:p>
        </w:tc>
      </w:tr>
      <w:tr>
        <w:trPr>
          <w:gridBefore w:val="1"/>
          <w:wBefore w:w="13" w:type="dxa"/>
          <w:cantSplit/>
        </w:trPr>
        <w:tc>
          <w:tcPr>
            <w:tcW w:w="2212" w:type="dxa"/>
          </w:tcPr>
          <w:p>
            <w:pPr>
              <w:pStyle w:val="nTable"/>
              <w:spacing w:after="40"/>
              <w:ind w:right="113"/>
            </w:pPr>
            <w:r>
              <w:rPr>
                <w:i/>
              </w:rPr>
              <w:t>Acts Amendment (Authority for Intellectually Handicapped Persons) Act 1985</w:t>
            </w:r>
            <w:r>
              <w:t xml:space="preserve"> Pt. III</w:t>
            </w:r>
          </w:p>
        </w:tc>
        <w:tc>
          <w:tcPr>
            <w:tcW w:w="1134" w:type="dxa"/>
          </w:tcPr>
          <w:p>
            <w:pPr>
              <w:pStyle w:val="nTable"/>
              <w:spacing w:after="40"/>
            </w:pPr>
            <w:r>
              <w:t>69 of 1985</w:t>
            </w:r>
          </w:p>
        </w:tc>
        <w:tc>
          <w:tcPr>
            <w:tcW w:w="1276" w:type="dxa"/>
          </w:tcPr>
          <w:p>
            <w:pPr>
              <w:pStyle w:val="nTable"/>
              <w:spacing w:after="40"/>
            </w:pPr>
            <w:r>
              <w:t>15 Nov 1985</w:t>
            </w:r>
          </w:p>
        </w:tc>
        <w:tc>
          <w:tcPr>
            <w:tcW w:w="2558" w:type="dxa"/>
            <w:gridSpan w:val="2"/>
          </w:tcPr>
          <w:p>
            <w:pPr>
              <w:pStyle w:val="nTable"/>
              <w:spacing w:after="40"/>
            </w:pPr>
            <w:r>
              <w:t xml:space="preserve">1 Jan 1986 (see s. 2 and </w:t>
            </w:r>
            <w:r>
              <w:rPr>
                <w:i/>
              </w:rPr>
              <w:t>Gazette</w:t>
            </w:r>
            <w:r>
              <w:t xml:space="preserve"> 13 Dec 1985 p. 4757)</w:t>
            </w:r>
          </w:p>
        </w:tc>
      </w:tr>
      <w:tr>
        <w:trPr>
          <w:gridBefore w:val="1"/>
          <w:wBefore w:w="13" w:type="dxa"/>
          <w:cantSplit/>
        </w:trPr>
        <w:tc>
          <w:tcPr>
            <w:tcW w:w="2212" w:type="dxa"/>
          </w:tcPr>
          <w:p>
            <w:pPr>
              <w:pStyle w:val="nTable"/>
              <w:spacing w:after="40"/>
              <w:ind w:right="113"/>
            </w:pPr>
            <w:r>
              <w:rPr>
                <w:i/>
              </w:rPr>
              <w:t>Acts Amendment (State Planning Commission) Act 1985</w:t>
            </w:r>
            <w:r>
              <w:t xml:space="preserve"> Pt. IV</w:t>
            </w:r>
          </w:p>
        </w:tc>
        <w:tc>
          <w:tcPr>
            <w:tcW w:w="1134" w:type="dxa"/>
          </w:tcPr>
          <w:p>
            <w:pPr>
              <w:pStyle w:val="nTable"/>
              <w:spacing w:after="40"/>
            </w:pPr>
            <w:r>
              <w:t>92 of 1985</w:t>
            </w:r>
          </w:p>
        </w:tc>
        <w:tc>
          <w:tcPr>
            <w:tcW w:w="1276" w:type="dxa"/>
          </w:tcPr>
          <w:p>
            <w:pPr>
              <w:pStyle w:val="nTable"/>
              <w:spacing w:after="40"/>
            </w:pPr>
            <w:r>
              <w:t>4 Dec 1985</w:t>
            </w:r>
          </w:p>
        </w:tc>
        <w:tc>
          <w:tcPr>
            <w:tcW w:w="2558" w:type="dxa"/>
            <w:gridSpan w:val="2"/>
          </w:tcPr>
          <w:p>
            <w:pPr>
              <w:pStyle w:val="nTable"/>
              <w:spacing w:after="40"/>
            </w:pPr>
            <w:r>
              <w:t xml:space="preserve">6 Dec 1985 (see s. 2 and </w:t>
            </w:r>
            <w:r>
              <w:rPr>
                <w:i/>
              </w:rPr>
              <w:t>Gazette</w:t>
            </w:r>
            <w:r>
              <w:t xml:space="preserve"> 6 Dec 1985 p. 4591)</w:t>
            </w:r>
          </w:p>
        </w:tc>
      </w:tr>
      <w:tr>
        <w:trPr>
          <w:gridBefore w:val="1"/>
          <w:wBefore w:w="13" w:type="dxa"/>
          <w:cantSplit/>
        </w:trPr>
        <w:tc>
          <w:tcPr>
            <w:tcW w:w="2212"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276" w:type="dxa"/>
          </w:tcPr>
          <w:p>
            <w:pPr>
              <w:pStyle w:val="nTable"/>
              <w:spacing w:after="40"/>
            </w:pPr>
            <w:r>
              <w:t>4 Dec 1985</w:t>
            </w:r>
          </w:p>
        </w:tc>
        <w:tc>
          <w:tcPr>
            <w:tcW w:w="2558" w:type="dxa"/>
            <w:gridSpan w:val="2"/>
          </w:tcPr>
          <w:p>
            <w:pPr>
              <w:pStyle w:val="nTable"/>
              <w:spacing w:after="40"/>
            </w:pPr>
            <w:r>
              <w:t xml:space="preserve">1 Jul 1986 (see s. 2 and </w:t>
            </w:r>
            <w:r>
              <w:rPr>
                <w:i/>
              </w:rPr>
              <w:t>Gazette</w:t>
            </w:r>
            <w:r>
              <w:t xml:space="preserve"> 30 Jun 1986 p. 2255)</w:t>
            </w:r>
          </w:p>
        </w:tc>
      </w:tr>
      <w:tr>
        <w:trPr>
          <w:gridBefore w:val="1"/>
          <w:wBefore w:w="13" w:type="dxa"/>
          <w:cantSplit/>
        </w:trPr>
        <w:tc>
          <w:tcPr>
            <w:tcW w:w="2212" w:type="dxa"/>
          </w:tcPr>
          <w:p>
            <w:pPr>
              <w:pStyle w:val="nTable"/>
              <w:spacing w:after="40"/>
              <w:ind w:right="113"/>
            </w:pPr>
            <w:r>
              <w:rPr>
                <w:i/>
              </w:rPr>
              <w:t>Acts Amendment (Water Authorities) Act 1985</w:t>
            </w:r>
            <w:r>
              <w:t xml:space="preserve"> Pt. X</w:t>
            </w:r>
          </w:p>
        </w:tc>
        <w:tc>
          <w:tcPr>
            <w:tcW w:w="1134" w:type="dxa"/>
          </w:tcPr>
          <w:p>
            <w:pPr>
              <w:pStyle w:val="nTable"/>
              <w:spacing w:after="40"/>
            </w:pPr>
            <w:r>
              <w:t>110 of 1985</w:t>
            </w:r>
          </w:p>
        </w:tc>
        <w:tc>
          <w:tcPr>
            <w:tcW w:w="1276" w:type="dxa"/>
          </w:tcPr>
          <w:p>
            <w:pPr>
              <w:pStyle w:val="nTable"/>
              <w:spacing w:after="40"/>
            </w:pPr>
            <w:r>
              <w:t>17 Dec 1985</w:t>
            </w:r>
          </w:p>
        </w:tc>
        <w:tc>
          <w:tcPr>
            <w:tcW w:w="2558" w:type="dxa"/>
            <w:gridSpan w:val="2"/>
          </w:tcPr>
          <w:p>
            <w:pPr>
              <w:pStyle w:val="nTable"/>
              <w:spacing w:after="40"/>
            </w:pPr>
            <w:r>
              <w:t xml:space="preserve">14 Mar 1986 (see s. 2 and </w:t>
            </w:r>
            <w:r>
              <w:rPr>
                <w:i/>
              </w:rPr>
              <w:t>Gazette</w:t>
            </w:r>
            <w:r>
              <w:t xml:space="preserve"> 14 Mar 1986 p. 726)</w:t>
            </w:r>
          </w:p>
        </w:tc>
      </w:tr>
      <w:tr>
        <w:trPr>
          <w:gridBefore w:val="1"/>
          <w:wBefore w:w="13" w:type="dxa"/>
          <w:cantSplit/>
        </w:trPr>
        <w:tc>
          <w:tcPr>
            <w:tcW w:w="2212" w:type="dxa"/>
          </w:tcPr>
          <w:p>
            <w:pPr>
              <w:pStyle w:val="nTable"/>
              <w:spacing w:after="40"/>
              <w:ind w:right="113"/>
            </w:pPr>
            <w:r>
              <w:rPr>
                <w:i/>
              </w:rPr>
              <w:t>Acts Amendment (Meat Industry) Act 1985</w:t>
            </w:r>
            <w:r>
              <w:t xml:space="preserve"> Pt. IV</w:t>
            </w:r>
          </w:p>
        </w:tc>
        <w:tc>
          <w:tcPr>
            <w:tcW w:w="1134" w:type="dxa"/>
          </w:tcPr>
          <w:p>
            <w:pPr>
              <w:pStyle w:val="nTable"/>
              <w:spacing w:after="40"/>
            </w:pPr>
            <w:r>
              <w:t>107 of 1985</w:t>
            </w:r>
          </w:p>
        </w:tc>
        <w:tc>
          <w:tcPr>
            <w:tcW w:w="1276" w:type="dxa"/>
          </w:tcPr>
          <w:p>
            <w:pPr>
              <w:pStyle w:val="nTable"/>
              <w:spacing w:after="40"/>
            </w:pPr>
            <w:r>
              <w:t>7 Jan 1986</w:t>
            </w:r>
          </w:p>
        </w:tc>
        <w:tc>
          <w:tcPr>
            <w:tcW w:w="2558" w:type="dxa"/>
            <w:gridSpan w:val="2"/>
          </w:tcPr>
          <w:p>
            <w:pPr>
              <w:pStyle w:val="nTable"/>
              <w:spacing w:after="40"/>
            </w:pPr>
            <w:r>
              <w:t xml:space="preserve">1 Jul 1986 (see s. 2 and </w:t>
            </w:r>
            <w:r>
              <w:rPr>
                <w:i/>
              </w:rPr>
              <w:t>Gazette</w:t>
            </w:r>
            <w:r>
              <w:t xml:space="preserve"> 27 Jun 1986 p. 2159)</w:t>
            </w:r>
          </w:p>
        </w:tc>
      </w:tr>
      <w:tr>
        <w:trPr>
          <w:gridBefore w:val="1"/>
          <w:wBefore w:w="13" w:type="dxa"/>
          <w:cantSplit/>
        </w:trPr>
        <w:tc>
          <w:tcPr>
            <w:tcW w:w="2212" w:type="dxa"/>
          </w:tcPr>
          <w:p>
            <w:pPr>
              <w:pStyle w:val="nTable"/>
              <w:spacing w:after="40"/>
              <w:ind w:right="113"/>
            </w:pPr>
            <w:r>
              <w:rPr>
                <w:i/>
              </w:rPr>
              <w:lastRenderedPageBreak/>
              <w:t>Perth Mint Amendment Act 1986</w:t>
            </w:r>
            <w:r>
              <w:t xml:space="preserve"> Pt. III</w:t>
            </w:r>
          </w:p>
        </w:tc>
        <w:tc>
          <w:tcPr>
            <w:tcW w:w="1134" w:type="dxa"/>
          </w:tcPr>
          <w:p>
            <w:pPr>
              <w:pStyle w:val="nTable"/>
              <w:spacing w:after="40"/>
            </w:pPr>
            <w:r>
              <w:t>39 of 1986</w:t>
            </w:r>
          </w:p>
        </w:tc>
        <w:tc>
          <w:tcPr>
            <w:tcW w:w="1276" w:type="dxa"/>
          </w:tcPr>
          <w:p>
            <w:pPr>
              <w:pStyle w:val="nTable"/>
              <w:spacing w:after="40"/>
            </w:pPr>
            <w:r>
              <w:t>1 Aug 1986</w:t>
            </w:r>
          </w:p>
        </w:tc>
        <w:tc>
          <w:tcPr>
            <w:tcW w:w="2558" w:type="dxa"/>
            <w:gridSpan w:val="2"/>
          </w:tcPr>
          <w:p>
            <w:pPr>
              <w:pStyle w:val="nTable"/>
              <w:spacing w:after="40"/>
            </w:pPr>
            <w:r>
              <w:t xml:space="preserve">1 Oct 1986 (see s. 2 and </w:t>
            </w:r>
            <w:r>
              <w:rPr>
                <w:i/>
              </w:rPr>
              <w:t>Gazette</w:t>
            </w:r>
            <w:r>
              <w:t xml:space="preserve"> 30 Sep 1986 p. 3769)</w:t>
            </w:r>
          </w:p>
        </w:tc>
      </w:tr>
      <w:tr>
        <w:trPr>
          <w:gridBefore w:val="1"/>
          <w:wBefore w:w="13" w:type="dxa"/>
          <w:cantSplit/>
        </w:trPr>
        <w:tc>
          <w:tcPr>
            <w:tcW w:w="2212" w:type="dxa"/>
          </w:tcPr>
          <w:p>
            <w:pPr>
              <w:pStyle w:val="nTable"/>
              <w:spacing w:after="40"/>
              <w:ind w:right="113"/>
            </w:pPr>
            <w:r>
              <w:rPr>
                <w:i/>
              </w:rPr>
              <w:t>State Government Insurance Commission Act 1986</w:t>
            </w:r>
            <w:r>
              <w:t xml:space="preserve"> s. 46(2)</w:t>
            </w:r>
          </w:p>
        </w:tc>
        <w:tc>
          <w:tcPr>
            <w:tcW w:w="1134" w:type="dxa"/>
          </w:tcPr>
          <w:p>
            <w:pPr>
              <w:pStyle w:val="nTable"/>
              <w:spacing w:after="40"/>
            </w:pPr>
            <w:r>
              <w:t>51 of 1986</w:t>
            </w:r>
          </w:p>
        </w:tc>
        <w:tc>
          <w:tcPr>
            <w:tcW w:w="1276" w:type="dxa"/>
          </w:tcPr>
          <w:p>
            <w:pPr>
              <w:pStyle w:val="nTable"/>
              <w:spacing w:after="40"/>
            </w:pPr>
            <w:r>
              <w:t>5 Aug 1986</w:t>
            </w:r>
          </w:p>
        </w:tc>
        <w:tc>
          <w:tcPr>
            <w:tcW w:w="2558" w:type="dxa"/>
            <w:gridSpan w:val="2"/>
          </w:tcPr>
          <w:p>
            <w:pPr>
              <w:pStyle w:val="nTable"/>
              <w:spacing w:after="40"/>
            </w:pPr>
            <w:r>
              <w:t xml:space="preserve">1 Jan 1987 (see s. 2 and </w:t>
            </w:r>
            <w:r>
              <w:rPr>
                <w:i/>
              </w:rPr>
              <w:t>Gazette</w:t>
            </w:r>
            <w:r>
              <w:t xml:space="preserve"> 19 Dec 1986 p. 4859)</w:t>
            </w:r>
          </w:p>
        </w:tc>
      </w:tr>
      <w:tr>
        <w:trPr>
          <w:gridBefore w:val="1"/>
          <w:wBefore w:w="13" w:type="dxa"/>
          <w:cantSplit/>
        </w:trPr>
        <w:tc>
          <w:tcPr>
            <w:tcW w:w="2212" w:type="dxa"/>
          </w:tcPr>
          <w:p>
            <w:pPr>
              <w:pStyle w:val="nTable"/>
              <w:spacing w:after="40"/>
              <w:ind w:right="113"/>
            </w:pPr>
            <w:r>
              <w:rPr>
                <w:i/>
              </w:rPr>
              <w:t>Western Australian Sports Centre Trust Act 1986</w:t>
            </w:r>
            <w:r>
              <w:t xml:space="preserve"> s. 21</w:t>
            </w:r>
          </w:p>
        </w:tc>
        <w:tc>
          <w:tcPr>
            <w:tcW w:w="1134" w:type="dxa"/>
          </w:tcPr>
          <w:p>
            <w:pPr>
              <w:pStyle w:val="nTable"/>
              <w:spacing w:after="40"/>
            </w:pPr>
            <w:r>
              <w:t>101 of 1986</w:t>
            </w:r>
          </w:p>
        </w:tc>
        <w:tc>
          <w:tcPr>
            <w:tcW w:w="1276" w:type="dxa"/>
          </w:tcPr>
          <w:p>
            <w:pPr>
              <w:pStyle w:val="nTable"/>
              <w:spacing w:after="40"/>
            </w:pPr>
            <w:r>
              <w:t>12 Dec 1986</w:t>
            </w:r>
          </w:p>
        </w:tc>
        <w:tc>
          <w:tcPr>
            <w:tcW w:w="2558" w:type="dxa"/>
            <w:gridSpan w:val="2"/>
          </w:tcPr>
          <w:p>
            <w:pPr>
              <w:pStyle w:val="nTable"/>
              <w:spacing w:after="40"/>
            </w:pPr>
            <w:r>
              <w:t xml:space="preserve">24 Dec 1986 (see s. 2 and </w:t>
            </w:r>
            <w:r>
              <w:rPr>
                <w:i/>
              </w:rPr>
              <w:t>Gazette</w:t>
            </w:r>
            <w:r>
              <w:t xml:space="preserve"> 24 Dec 1986 p. 4963)</w:t>
            </w:r>
          </w:p>
        </w:tc>
      </w:tr>
      <w:tr>
        <w:trPr>
          <w:gridBefore w:val="1"/>
          <w:wBefore w:w="13" w:type="dxa"/>
          <w:cantSplit/>
        </w:trPr>
        <w:tc>
          <w:tcPr>
            <w:tcW w:w="2212" w:type="dxa"/>
          </w:tcPr>
          <w:p>
            <w:pPr>
              <w:pStyle w:val="nTable"/>
              <w:spacing w:after="40"/>
              <w:ind w:right="113"/>
            </w:pPr>
            <w:r>
              <w:rPr>
                <w:i/>
              </w:rPr>
              <w:t>Boxing Control Act 1987</w:t>
            </w:r>
            <w:r>
              <w:t xml:space="preserve"> s. 64</w:t>
            </w:r>
          </w:p>
        </w:tc>
        <w:tc>
          <w:tcPr>
            <w:tcW w:w="1134" w:type="dxa"/>
          </w:tcPr>
          <w:p>
            <w:pPr>
              <w:pStyle w:val="nTable"/>
              <w:spacing w:after="40"/>
            </w:pPr>
            <w:r>
              <w:t>2 of 1987</w:t>
            </w:r>
          </w:p>
        </w:tc>
        <w:tc>
          <w:tcPr>
            <w:tcW w:w="1276" w:type="dxa"/>
          </w:tcPr>
          <w:p>
            <w:pPr>
              <w:pStyle w:val="nTable"/>
              <w:spacing w:after="40"/>
            </w:pPr>
            <w:r>
              <w:t>29 May 1987</w:t>
            </w:r>
          </w:p>
        </w:tc>
        <w:tc>
          <w:tcPr>
            <w:tcW w:w="2558" w:type="dxa"/>
            <w:gridSpan w:val="2"/>
          </w:tcPr>
          <w:p>
            <w:pPr>
              <w:pStyle w:val="nTable"/>
              <w:spacing w:after="40"/>
            </w:pPr>
            <w:r>
              <w:t xml:space="preserve">22 Feb 1991 (see s. 2 and </w:t>
            </w:r>
            <w:r>
              <w:rPr>
                <w:i/>
              </w:rPr>
              <w:t>Gazette</w:t>
            </w:r>
            <w:r>
              <w:t xml:space="preserve"> 22 Feb 1991 p. 867)</w:t>
            </w:r>
          </w:p>
        </w:tc>
      </w:tr>
      <w:tr>
        <w:trPr>
          <w:gridBefore w:val="1"/>
          <w:wBefore w:w="13" w:type="dxa"/>
          <w:cantSplit/>
        </w:trPr>
        <w:tc>
          <w:tcPr>
            <w:tcW w:w="2212" w:type="dxa"/>
          </w:tcPr>
          <w:p>
            <w:pPr>
              <w:pStyle w:val="nTable"/>
              <w:spacing w:after="40"/>
              <w:ind w:right="113"/>
            </w:pPr>
            <w:r>
              <w:rPr>
                <w:i/>
              </w:rPr>
              <w:t>Great Southern Development Authority Act 1987</w:t>
            </w:r>
            <w:r>
              <w:t xml:space="preserve"> s. 34</w:t>
            </w:r>
          </w:p>
        </w:tc>
        <w:tc>
          <w:tcPr>
            <w:tcW w:w="1134" w:type="dxa"/>
          </w:tcPr>
          <w:p>
            <w:pPr>
              <w:pStyle w:val="nTable"/>
              <w:spacing w:after="40"/>
            </w:pPr>
            <w:r>
              <w:t>9 of 1987</w:t>
            </w:r>
          </w:p>
        </w:tc>
        <w:tc>
          <w:tcPr>
            <w:tcW w:w="1276" w:type="dxa"/>
          </w:tcPr>
          <w:p>
            <w:pPr>
              <w:pStyle w:val="nTable"/>
              <w:spacing w:after="40"/>
            </w:pPr>
            <w:r>
              <w:t>11 Jun 1987</w:t>
            </w:r>
          </w:p>
        </w:tc>
        <w:tc>
          <w:tcPr>
            <w:tcW w:w="2558" w:type="dxa"/>
            <w:gridSpan w:val="2"/>
          </w:tcPr>
          <w:p>
            <w:pPr>
              <w:pStyle w:val="nTable"/>
              <w:spacing w:after="40"/>
            </w:pPr>
            <w:r>
              <w:t xml:space="preserve">29 Apr 1988 (see s. 2 and </w:t>
            </w:r>
            <w:r>
              <w:rPr>
                <w:i/>
              </w:rPr>
              <w:t>Gazette</w:t>
            </w:r>
            <w:r>
              <w:t xml:space="preserve"> 29 Apr 1988 p. 1292)</w:t>
            </w:r>
          </w:p>
        </w:tc>
      </w:tr>
      <w:tr>
        <w:trPr>
          <w:gridBefore w:val="1"/>
          <w:wBefore w:w="13" w:type="dxa"/>
          <w:cantSplit/>
        </w:trPr>
        <w:tc>
          <w:tcPr>
            <w:tcW w:w="2212" w:type="dxa"/>
          </w:tcPr>
          <w:p>
            <w:pPr>
              <w:pStyle w:val="nTable"/>
              <w:spacing w:after="40"/>
              <w:ind w:right="113"/>
            </w:pPr>
            <w:r>
              <w:rPr>
                <w:i/>
              </w:rPr>
              <w:t>Occupational Health, Safety and Welfare Amendment Act 1987</w:t>
            </w:r>
            <w:r>
              <w:t xml:space="preserve"> s. 19</w:t>
            </w:r>
          </w:p>
        </w:tc>
        <w:tc>
          <w:tcPr>
            <w:tcW w:w="1134" w:type="dxa"/>
          </w:tcPr>
          <w:p>
            <w:pPr>
              <w:pStyle w:val="nTable"/>
              <w:spacing w:after="40"/>
            </w:pPr>
            <w:r>
              <w:t>43 of 1987</w:t>
            </w:r>
          </w:p>
        </w:tc>
        <w:tc>
          <w:tcPr>
            <w:tcW w:w="1276" w:type="dxa"/>
          </w:tcPr>
          <w:p>
            <w:pPr>
              <w:pStyle w:val="nTable"/>
              <w:spacing w:after="40"/>
            </w:pPr>
            <w:r>
              <w:t>6 Jul 1987</w:t>
            </w:r>
          </w:p>
        </w:tc>
        <w:tc>
          <w:tcPr>
            <w:tcW w:w="2558" w:type="dxa"/>
            <w:gridSpan w:val="2"/>
          </w:tcPr>
          <w:p>
            <w:pPr>
              <w:pStyle w:val="nTable"/>
              <w:spacing w:after="40"/>
            </w:pPr>
            <w:r>
              <w:t xml:space="preserve">16 Sep 1988 (see s. 2 and </w:t>
            </w:r>
            <w:r>
              <w:rPr>
                <w:i/>
              </w:rPr>
              <w:t>Gazette</w:t>
            </w:r>
            <w:r>
              <w:t xml:space="preserve"> 16 Sep 1988 p. 3757)</w:t>
            </w:r>
          </w:p>
        </w:tc>
      </w:tr>
      <w:tr>
        <w:trPr>
          <w:gridBefore w:val="1"/>
          <w:wBefore w:w="13" w:type="dxa"/>
          <w:cantSplit/>
        </w:trPr>
        <w:tc>
          <w:tcPr>
            <w:tcW w:w="2212" w:type="dxa"/>
          </w:tcPr>
          <w:p>
            <w:pPr>
              <w:pStyle w:val="nTable"/>
              <w:spacing w:after="40"/>
              <w:ind w:right="113"/>
            </w:pPr>
            <w:r>
              <w:rPr>
                <w:i/>
              </w:rPr>
              <w:t>Acts Amendment (Corrective Services) Act 1987</w:t>
            </w:r>
            <w:r>
              <w:t xml:space="preserve"> Pt. VI</w:t>
            </w:r>
          </w:p>
        </w:tc>
        <w:tc>
          <w:tcPr>
            <w:tcW w:w="1134" w:type="dxa"/>
          </w:tcPr>
          <w:p>
            <w:pPr>
              <w:pStyle w:val="nTable"/>
              <w:spacing w:after="40"/>
            </w:pPr>
            <w:r>
              <w:t>47 of 1987</w:t>
            </w:r>
          </w:p>
        </w:tc>
        <w:tc>
          <w:tcPr>
            <w:tcW w:w="1276" w:type="dxa"/>
          </w:tcPr>
          <w:p>
            <w:pPr>
              <w:pStyle w:val="nTable"/>
              <w:spacing w:after="40"/>
            </w:pPr>
            <w:r>
              <w:t>3 Oct 1987</w:t>
            </w:r>
          </w:p>
        </w:tc>
        <w:tc>
          <w:tcPr>
            <w:tcW w:w="2558" w:type="dxa"/>
            <w:gridSpan w:val="2"/>
          </w:tcPr>
          <w:p>
            <w:pPr>
              <w:pStyle w:val="nTable"/>
              <w:spacing w:after="40"/>
            </w:pPr>
            <w:r>
              <w:t xml:space="preserve">11 Dec 1987 (see s. 2 and </w:t>
            </w:r>
            <w:r>
              <w:rPr>
                <w:i/>
              </w:rPr>
              <w:t>Gazette</w:t>
            </w:r>
            <w:r>
              <w:t xml:space="preserve"> 11 Dec 1987 p. 4363)</w:t>
            </w:r>
          </w:p>
        </w:tc>
      </w:tr>
      <w:tr>
        <w:trPr>
          <w:gridBefore w:val="1"/>
          <w:wBefore w:w="13" w:type="dxa"/>
          <w:cantSplit/>
        </w:trPr>
        <w:tc>
          <w:tcPr>
            <w:tcW w:w="2212" w:type="dxa"/>
          </w:tcPr>
          <w:p>
            <w:pPr>
              <w:pStyle w:val="nTable"/>
              <w:keepNext/>
              <w:keepLines/>
              <w:spacing w:after="40"/>
              <w:ind w:right="113"/>
            </w:pPr>
            <w:r>
              <w:rPr>
                <w:i/>
              </w:rPr>
              <w:t>Gaming Commission Act 1987</w:t>
            </w:r>
            <w:r>
              <w:t xml:space="preserve"> s. 116</w:t>
            </w:r>
          </w:p>
        </w:tc>
        <w:tc>
          <w:tcPr>
            <w:tcW w:w="1134" w:type="dxa"/>
          </w:tcPr>
          <w:p>
            <w:pPr>
              <w:pStyle w:val="nTable"/>
              <w:keepNext/>
              <w:keepLines/>
              <w:spacing w:after="40"/>
            </w:pPr>
            <w:r>
              <w:t>50 of 1987</w:t>
            </w:r>
          </w:p>
        </w:tc>
        <w:tc>
          <w:tcPr>
            <w:tcW w:w="1276" w:type="dxa"/>
          </w:tcPr>
          <w:p>
            <w:pPr>
              <w:pStyle w:val="nTable"/>
              <w:keepNext/>
              <w:keepLines/>
              <w:spacing w:after="40"/>
            </w:pPr>
            <w:r>
              <w:t>8 Oct 1987</w:t>
            </w:r>
          </w:p>
        </w:tc>
        <w:tc>
          <w:tcPr>
            <w:tcW w:w="2558" w:type="dxa"/>
            <w:gridSpan w:val="2"/>
          </w:tcPr>
          <w:p>
            <w:pPr>
              <w:pStyle w:val="nTable"/>
              <w:keepNext/>
              <w:keepLines/>
              <w:spacing w:after="40"/>
            </w:pPr>
            <w:r>
              <w:t xml:space="preserve">4 Mar 1988 (see s. 2 and </w:t>
            </w:r>
            <w:r>
              <w:rPr>
                <w:i/>
              </w:rPr>
              <w:t>Gazette</w:t>
            </w:r>
            <w:r>
              <w:t xml:space="preserve"> 4 Mar 1988 p. 665)</w:t>
            </w:r>
          </w:p>
        </w:tc>
      </w:tr>
      <w:tr>
        <w:trPr>
          <w:gridBefore w:val="1"/>
          <w:wBefore w:w="13" w:type="dxa"/>
          <w:cantSplit/>
        </w:trPr>
        <w:tc>
          <w:tcPr>
            <w:tcW w:w="2212" w:type="dxa"/>
          </w:tcPr>
          <w:p>
            <w:pPr>
              <w:pStyle w:val="nTable"/>
              <w:spacing w:after="40"/>
              <w:ind w:right="113"/>
            </w:pPr>
            <w:r>
              <w:rPr>
                <w:i/>
              </w:rPr>
              <w:t>Mines Regulation Amendment Act 1987</w:t>
            </w:r>
            <w:r>
              <w:t xml:space="preserve"> s. 21</w:t>
            </w:r>
          </w:p>
        </w:tc>
        <w:tc>
          <w:tcPr>
            <w:tcW w:w="1134" w:type="dxa"/>
          </w:tcPr>
          <w:p>
            <w:pPr>
              <w:pStyle w:val="nTable"/>
              <w:spacing w:after="40"/>
            </w:pPr>
            <w:r>
              <w:t>64 of 1987</w:t>
            </w:r>
          </w:p>
        </w:tc>
        <w:tc>
          <w:tcPr>
            <w:tcW w:w="1276" w:type="dxa"/>
          </w:tcPr>
          <w:p>
            <w:pPr>
              <w:pStyle w:val="nTable"/>
              <w:spacing w:after="40"/>
            </w:pPr>
            <w:r>
              <w:t>18 Nov 1987</w:t>
            </w:r>
          </w:p>
        </w:tc>
        <w:tc>
          <w:tcPr>
            <w:tcW w:w="2558" w:type="dxa"/>
            <w:gridSpan w:val="2"/>
          </w:tcPr>
          <w:p>
            <w:pPr>
              <w:pStyle w:val="nTable"/>
              <w:spacing w:after="40"/>
            </w:pPr>
            <w:r>
              <w:t xml:space="preserve">3 Jun 1988 (see s. 2 and </w:t>
            </w:r>
            <w:r>
              <w:rPr>
                <w:i/>
              </w:rPr>
              <w:t>Gazette</w:t>
            </w:r>
            <w:r>
              <w:t xml:space="preserve"> 3 Jun 1988 p. 1851)</w:t>
            </w:r>
          </w:p>
        </w:tc>
      </w:tr>
      <w:tr>
        <w:trPr>
          <w:gridBefore w:val="1"/>
          <w:wBefore w:w="13" w:type="dxa"/>
          <w:cantSplit/>
        </w:trPr>
        <w:tc>
          <w:tcPr>
            <w:tcW w:w="2212" w:type="dxa"/>
          </w:tcPr>
          <w:p>
            <w:pPr>
              <w:pStyle w:val="nTable"/>
              <w:spacing w:after="40"/>
              <w:ind w:right="113"/>
            </w:pPr>
            <w:r>
              <w:rPr>
                <w:i/>
              </w:rPr>
              <w:t>Minerals and Energy Research Act 1987</w:t>
            </w:r>
            <w:r>
              <w:t xml:space="preserve"> s. 42</w:t>
            </w:r>
          </w:p>
        </w:tc>
        <w:tc>
          <w:tcPr>
            <w:tcW w:w="1134" w:type="dxa"/>
          </w:tcPr>
          <w:p>
            <w:pPr>
              <w:pStyle w:val="nTable"/>
              <w:spacing w:after="40"/>
            </w:pPr>
            <w:r>
              <w:t>89 of 1987</w:t>
            </w:r>
          </w:p>
        </w:tc>
        <w:tc>
          <w:tcPr>
            <w:tcW w:w="1276" w:type="dxa"/>
          </w:tcPr>
          <w:p>
            <w:pPr>
              <w:pStyle w:val="nTable"/>
              <w:spacing w:after="40"/>
            </w:pPr>
            <w:r>
              <w:t>9 Dec 1987</w:t>
            </w:r>
          </w:p>
        </w:tc>
        <w:tc>
          <w:tcPr>
            <w:tcW w:w="2558" w:type="dxa"/>
            <w:gridSpan w:val="2"/>
          </w:tcPr>
          <w:p>
            <w:pPr>
              <w:pStyle w:val="nTable"/>
              <w:spacing w:after="40"/>
            </w:pPr>
            <w:r>
              <w:t xml:space="preserve">1 Feb 1988 (see s. 2 and </w:t>
            </w:r>
            <w:r>
              <w:rPr>
                <w:i/>
              </w:rPr>
              <w:t>Gazette</w:t>
            </w:r>
            <w:r>
              <w:t xml:space="preserve"> 15 Jan 1988 p. 67)</w:t>
            </w:r>
          </w:p>
        </w:tc>
      </w:tr>
      <w:tr>
        <w:trPr>
          <w:gridBefore w:val="1"/>
          <w:wBefore w:w="13" w:type="dxa"/>
          <w:cantSplit/>
        </w:trPr>
        <w:tc>
          <w:tcPr>
            <w:tcW w:w="2212" w:type="dxa"/>
          </w:tcPr>
          <w:p>
            <w:pPr>
              <w:pStyle w:val="nTable"/>
              <w:spacing w:after="40"/>
              <w:ind w:right="113"/>
            </w:pPr>
            <w:r>
              <w:rPr>
                <w:i/>
              </w:rPr>
              <w:t>Rottnest Island Authority Act 1987</w:t>
            </w:r>
            <w:r>
              <w:t xml:space="preserve"> s. 51</w:t>
            </w:r>
          </w:p>
        </w:tc>
        <w:tc>
          <w:tcPr>
            <w:tcW w:w="1134" w:type="dxa"/>
          </w:tcPr>
          <w:p>
            <w:pPr>
              <w:pStyle w:val="nTable"/>
              <w:spacing w:after="40"/>
            </w:pPr>
            <w:r>
              <w:t>91 of 1987</w:t>
            </w:r>
          </w:p>
        </w:tc>
        <w:tc>
          <w:tcPr>
            <w:tcW w:w="1276" w:type="dxa"/>
          </w:tcPr>
          <w:p>
            <w:pPr>
              <w:pStyle w:val="nTable"/>
              <w:spacing w:after="40"/>
            </w:pPr>
            <w:r>
              <w:t>9 Dec 1987</w:t>
            </w:r>
          </w:p>
        </w:tc>
        <w:tc>
          <w:tcPr>
            <w:tcW w:w="2558" w:type="dxa"/>
            <w:gridSpan w:val="2"/>
          </w:tcPr>
          <w:p>
            <w:pPr>
              <w:pStyle w:val="nTable"/>
              <w:spacing w:after="40"/>
            </w:pPr>
            <w:r>
              <w:t xml:space="preserve">30 May 1988 (see s. 2 and </w:t>
            </w:r>
            <w:r>
              <w:rPr>
                <w:i/>
              </w:rPr>
              <w:t>Gazette</w:t>
            </w:r>
            <w:r>
              <w:t xml:space="preserve"> 30 May 1988 p. 1823)</w:t>
            </w:r>
          </w:p>
        </w:tc>
      </w:tr>
      <w:tr>
        <w:trPr>
          <w:gridBefore w:val="1"/>
          <w:wBefore w:w="13" w:type="dxa"/>
          <w:cantSplit/>
        </w:trPr>
        <w:tc>
          <w:tcPr>
            <w:tcW w:w="2212" w:type="dxa"/>
          </w:tcPr>
          <w:p>
            <w:pPr>
              <w:pStyle w:val="nTable"/>
              <w:spacing w:after="40"/>
              <w:ind w:right="113"/>
            </w:pPr>
            <w:r>
              <w:rPr>
                <w:i/>
              </w:rPr>
              <w:t>Gold Banking Corporation Act 1987</w:t>
            </w:r>
            <w:r>
              <w:t xml:space="preserve"> s. 79</w:t>
            </w:r>
          </w:p>
        </w:tc>
        <w:tc>
          <w:tcPr>
            <w:tcW w:w="1134" w:type="dxa"/>
          </w:tcPr>
          <w:p>
            <w:pPr>
              <w:pStyle w:val="nTable"/>
              <w:spacing w:after="40"/>
            </w:pPr>
            <w:r>
              <w:t>99 of 1987</w:t>
            </w:r>
          </w:p>
        </w:tc>
        <w:tc>
          <w:tcPr>
            <w:tcW w:w="1276" w:type="dxa"/>
          </w:tcPr>
          <w:p>
            <w:pPr>
              <w:pStyle w:val="nTable"/>
              <w:spacing w:after="40"/>
            </w:pPr>
            <w:r>
              <w:t>18 Dec 1987</w:t>
            </w:r>
          </w:p>
        </w:tc>
        <w:tc>
          <w:tcPr>
            <w:tcW w:w="2558" w:type="dxa"/>
            <w:gridSpan w:val="2"/>
          </w:tcPr>
          <w:p>
            <w:pPr>
              <w:pStyle w:val="nTable"/>
              <w:spacing w:after="40"/>
            </w:pPr>
            <w:r>
              <w:t xml:space="preserve">30 Jun 1988 (see s. 2 and </w:t>
            </w:r>
            <w:r>
              <w:rPr>
                <w:i/>
              </w:rPr>
              <w:t>Gazette</w:t>
            </w:r>
            <w:r>
              <w:t xml:space="preserve"> 30 Jun 1988 p. 2133)</w:t>
            </w:r>
          </w:p>
        </w:tc>
      </w:tr>
      <w:tr>
        <w:trPr>
          <w:gridBefore w:val="1"/>
          <w:wBefore w:w="13" w:type="dxa"/>
          <w:cantSplit/>
        </w:trPr>
        <w:tc>
          <w:tcPr>
            <w:tcW w:w="2212"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276" w:type="dxa"/>
          </w:tcPr>
          <w:p>
            <w:pPr>
              <w:pStyle w:val="nTable"/>
              <w:spacing w:after="40"/>
            </w:pPr>
            <w:r>
              <w:t>31 Dec 1987</w:t>
            </w:r>
          </w:p>
        </w:tc>
        <w:tc>
          <w:tcPr>
            <w:tcW w:w="2558" w:type="dxa"/>
            <w:gridSpan w:val="2"/>
          </w:tcPr>
          <w:p>
            <w:pPr>
              <w:pStyle w:val="nTable"/>
              <w:spacing w:after="40"/>
            </w:pPr>
            <w:r>
              <w:t xml:space="preserve">16 Mar 1988 (see s. 2 and </w:t>
            </w:r>
            <w:r>
              <w:rPr>
                <w:i/>
              </w:rPr>
              <w:t>Gazette</w:t>
            </w:r>
            <w:r>
              <w:t xml:space="preserve"> 16 Mar 1988 p. 813)</w:t>
            </w:r>
          </w:p>
        </w:tc>
      </w:tr>
      <w:tr>
        <w:trPr>
          <w:gridBefore w:val="1"/>
          <w:wBefore w:w="13" w:type="dxa"/>
          <w:cantSplit/>
        </w:trPr>
        <w:tc>
          <w:tcPr>
            <w:tcW w:w="2212" w:type="dxa"/>
          </w:tcPr>
          <w:p>
            <w:pPr>
              <w:pStyle w:val="nTable"/>
              <w:spacing w:after="40"/>
              <w:ind w:right="113"/>
            </w:pPr>
            <w:r>
              <w:rPr>
                <w:i/>
              </w:rPr>
              <w:t>Acts Amendment (Retail Trading Hours) Act 1987</w:t>
            </w:r>
            <w:r>
              <w:t xml:space="preserve"> s. 11</w:t>
            </w:r>
          </w:p>
        </w:tc>
        <w:tc>
          <w:tcPr>
            <w:tcW w:w="1134" w:type="dxa"/>
          </w:tcPr>
          <w:p>
            <w:pPr>
              <w:pStyle w:val="nTable"/>
              <w:spacing w:after="40"/>
            </w:pPr>
            <w:r>
              <w:t>114 of 1987</w:t>
            </w:r>
          </w:p>
        </w:tc>
        <w:tc>
          <w:tcPr>
            <w:tcW w:w="1276" w:type="dxa"/>
          </w:tcPr>
          <w:p>
            <w:pPr>
              <w:pStyle w:val="nTable"/>
              <w:spacing w:after="40"/>
            </w:pPr>
            <w:r>
              <w:t>31 Dec 1987</w:t>
            </w:r>
          </w:p>
        </w:tc>
        <w:tc>
          <w:tcPr>
            <w:tcW w:w="2558" w:type="dxa"/>
            <w:gridSpan w:val="2"/>
          </w:tcPr>
          <w:p>
            <w:pPr>
              <w:pStyle w:val="nTable"/>
              <w:spacing w:after="40"/>
            </w:pPr>
            <w:r>
              <w:t xml:space="preserve">1 Sep 1988 (see s. 2 and </w:t>
            </w:r>
            <w:r>
              <w:rPr>
                <w:i/>
              </w:rPr>
              <w:t>Gazette</w:t>
            </w:r>
            <w:r>
              <w:t xml:space="preserve"> 12 Aug 1988 p. 2695)</w:t>
            </w:r>
          </w:p>
        </w:tc>
      </w:tr>
      <w:tr>
        <w:trPr>
          <w:gridBefore w:val="1"/>
          <w:wBefore w:w="13" w:type="dxa"/>
          <w:cantSplit/>
        </w:trPr>
        <w:tc>
          <w:tcPr>
            <w:tcW w:w="2212" w:type="dxa"/>
          </w:tcPr>
          <w:p>
            <w:pPr>
              <w:pStyle w:val="nTable"/>
              <w:spacing w:after="40"/>
              <w:ind w:right="113"/>
            </w:pPr>
            <w:r>
              <w:rPr>
                <w:i/>
              </w:rPr>
              <w:lastRenderedPageBreak/>
              <w:t>Geraldton Mid</w:t>
            </w:r>
            <w:r>
              <w:rPr>
                <w:i/>
              </w:rPr>
              <w:noBreakHyphen/>
              <w:t>West Development Authority Act 1988</w:t>
            </w:r>
            <w:r>
              <w:t xml:space="preserve"> s. 33</w:t>
            </w:r>
          </w:p>
        </w:tc>
        <w:tc>
          <w:tcPr>
            <w:tcW w:w="1134" w:type="dxa"/>
          </w:tcPr>
          <w:p>
            <w:pPr>
              <w:pStyle w:val="nTable"/>
              <w:spacing w:after="40"/>
            </w:pPr>
            <w:r>
              <w:t>4 of 1988</w:t>
            </w:r>
          </w:p>
        </w:tc>
        <w:tc>
          <w:tcPr>
            <w:tcW w:w="1276" w:type="dxa"/>
          </w:tcPr>
          <w:p>
            <w:pPr>
              <w:pStyle w:val="nTable"/>
              <w:spacing w:after="40"/>
            </w:pPr>
            <w:r>
              <w:t>30 Jun 1988</w:t>
            </w:r>
          </w:p>
        </w:tc>
        <w:tc>
          <w:tcPr>
            <w:tcW w:w="2558" w:type="dxa"/>
            <w:gridSpan w:val="2"/>
          </w:tcPr>
          <w:p>
            <w:pPr>
              <w:pStyle w:val="nTable"/>
              <w:spacing w:after="40"/>
            </w:pPr>
            <w:r>
              <w:t xml:space="preserve">22 Jul 1988 (see s. 2 and </w:t>
            </w:r>
            <w:r>
              <w:rPr>
                <w:i/>
              </w:rPr>
              <w:t>Gazette</w:t>
            </w:r>
            <w:r>
              <w:t xml:space="preserve"> 22 Jul 1988 p. 2479)</w:t>
            </w:r>
          </w:p>
        </w:tc>
      </w:tr>
      <w:tr>
        <w:trPr>
          <w:gridBefore w:val="1"/>
          <w:wBefore w:w="13" w:type="dxa"/>
          <w:cantSplit/>
        </w:trPr>
        <w:tc>
          <w:tcPr>
            <w:tcW w:w="2212" w:type="dxa"/>
          </w:tcPr>
          <w:p>
            <w:pPr>
              <w:pStyle w:val="nTable"/>
              <w:spacing w:after="40"/>
              <w:ind w:right="113"/>
            </w:pPr>
            <w:r>
              <w:rPr>
                <w:i/>
              </w:rPr>
              <w:t>Acts Amendment (Swan River Trust) Act 1988</w:t>
            </w:r>
            <w:r>
              <w:t xml:space="preserve"> Pt. 8</w:t>
            </w:r>
          </w:p>
        </w:tc>
        <w:tc>
          <w:tcPr>
            <w:tcW w:w="1134" w:type="dxa"/>
          </w:tcPr>
          <w:p>
            <w:pPr>
              <w:pStyle w:val="nTable"/>
              <w:spacing w:after="40"/>
            </w:pPr>
            <w:r>
              <w:t>21 of 1988</w:t>
            </w:r>
          </w:p>
        </w:tc>
        <w:tc>
          <w:tcPr>
            <w:tcW w:w="1276" w:type="dxa"/>
          </w:tcPr>
          <w:p>
            <w:pPr>
              <w:pStyle w:val="nTable"/>
              <w:spacing w:after="40"/>
            </w:pPr>
            <w:r>
              <w:t>5 Oct 1988</w:t>
            </w:r>
          </w:p>
        </w:tc>
        <w:tc>
          <w:tcPr>
            <w:tcW w:w="2558" w:type="dxa"/>
            <w:gridSpan w:val="2"/>
          </w:tcPr>
          <w:p>
            <w:pPr>
              <w:pStyle w:val="nTable"/>
              <w:spacing w:after="40"/>
            </w:pPr>
            <w:r>
              <w:t xml:space="preserve">1 Mar 1989 (see s. 2 and </w:t>
            </w:r>
            <w:r>
              <w:rPr>
                <w:i/>
              </w:rPr>
              <w:t>Gazette</w:t>
            </w:r>
            <w:r>
              <w:t xml:space="preserve"> 27 Jan 1989 p. 264)</w:t>
            </w:r>
          </w:p>
        </w:tc>
      </w:tr>
      <w:tr>
        <w:trPr>
          <w:gridBefore w:val="1"/>
          <w:wBefore w:w="13" w:type="dxa"/>
          <w:cantSplit/>
        </w:trPr>
        <w:tc>
          <w:tcPr>
            <w:tcW w:w="2212" w:type="dxa"/>
          </w:tcPr>
          <w:p>
            <w:pPr>
              <w:pStyle w:val="nTable"/>
              <w:spacing w:after="40"/>
              <w:ind w:right="113"/>
            </w:pPr>
            <w:r>
              <w:rPr>
                <w:i/>
              </w:rPr>
              <w:t>Art Gallery Amendment Act 1988</w:t>
            </w:r>
            <w:r>
              <w:t xml:space="preserve"> s. 8</w:t>
            </w:r>
          </w:p>
        </w:tc>
        <w:tc>
          <w:tcPr>
            <w:tcW w:w="1134" w:type="dxa"/>
          </w:tcPr>
          <w:p>
            <w:pPr>
              <w:pStyle w:val="nTable"/>
              <w:spacing w:after="40"/>
            </w:pPr>
            <w:r>
              <w:t>59 of 1988</w:t>
            </w:r>
          </w:p>
        </w:tc>
        <w:tc>
          <w:tcPr>
            <w:tcW w:w="1276" w:type="dxa"/>
          </w:tcPr>
          <w:p>
            <w:pPr>
              <w:pStyle w:val="nTable"/>
              <w:spacing w:after="40"/>
            </w:pPr>
            <w:r>
              <w:t>8 Dec 1988</w:t>
            </w:r>
          </w:p>
        </w:tc>
        <w:tc>
          <w:tcPr>
            <w:tcW w:w="2558" w:type="dxa"/>
            <w:gridSpan w:val="2"/>
          </w:tcPr>
          <w:p>
            <w:pPr>
              <w:pStyle w:val="nTable"/>
              <w:spacing w:after="40"/>
            </w:pPr>
            <w:r>
              <w:t xml:space="preserve">20 Jan 1989 (see s. 2 and </w:t>
            </w:r>
            <w:r>
              <w:rPr>
                <w:i/>
              </w:rPr>
              <w:t>Gazette</w:t>
            </w:r>
            <w:r>
              <w:t xml:space="preserve"> 20 Jan 1989 p. 110)</w:t>
            </w:r>
          </w:p>
        </w:tc>
      </w:tr>
      <w:tr>
        <w:trPr>
          <w:gridBefore w:val="1"/>
          <w:wBefore w:w="13" w:type="dxa"/>
          <w:cantSplit/>
        </w:trPr>
        <w:tc>
          <w:tcPr>
            <w:tcW w:w="2212" w:type="dxa"/>
          </w:tcPr>
          <w:p>
            <w:pPr>
              <w:pStyle w:val="nTable"/>
              <w:spacing w:after="40"/>
              <w:ind w:right="113"/>
            </w:pPr>
            <w:r>
              <w:rPr>
                <w:i/>
              </w:rPr>
              <w:t>Horticultural Produce Commission Act 1988</w:t>
            </w:r>
            <w:r>
              <w:t xml:space="preserve"> s. 27(1)</w:t>
            </w:r>
          </w:p>
        </w:tc>
        <w:tc>
          <w:tcPr>
            <w:tcW w:w="1134" w:type="dxa"/>
          </w:tcPr>
          <w:p>
            <w:pPr>
              <w:pStyle w:val="nTable"/>
              <w:spacing w:after="40"/>
            </w:pPr>
            <w:r>
              <w:t>75 of 1988</w:t>
            </w:r>
          </w:p>
        </w:tc>
        <w:tc>
          <w:tcPr>
            <w:tcW w:w="1276" w:type="dxa"/>
          </w:tcPr>
          <w:p>
            <w:pPr>
              <w:pStyle w:val="nTable"/>
              <w:spacing w:after="40"/>
            </w:pPr>
            <w:r>
              <w:t>23 Dec 1988</w:t>
            </w:r>
          </w:p>
        </w:tc>
        <w:tc>
          <w:tcPr>
            <w:tcW w:w="2558" w:type="dxa"/>
            <w:gridSpan w:val="2"/>
          </w:tcPr>
          <w:p>
            <w:pPr>
              <w:pStyle w:val="nTable"/>
              <w:spacing w:after="40"/>
            </w:pPr>
            <w:r>
              <w:t xml:space="preserve">1 Sep 1989 (see s. 2 and </w:t>
            </w:r>
            <w:r>
              <w:rPr>
                <w:i/>
              </w:rPr>
              <w:t>Gazette</w:t>
            </w:r>
            <w:r>
              <w:t xml:space="preserve"> 1 Sep 1989 p. 3017)</w:t>
            </w:r>
          </w:p>
        </w:tc>
      </w:tr>
      <w:tr>
        <w:trPr>
          <w:gridBefore w:val="1"/>
          <w:wBefore w:w="13" w:type="dxa"/>
          <w:cantSplit/>
        </w:trPr>
        <w:tc>
          <w:tcPr>
            <w:tcW w:w="7180" w:type="dxa"/>
            <w:gridSpan w:val="5"/>
          </w:tcPr>
          <w:p>
            <w:pPr>
              <w:pStyle w:val="nTable"/>
              <w:spacing w:after="40"/>
            </w:pPr>
            <w:r>
              <w:rPr>
                <w:b/>
              </w:rPr>
              <w:t xml:space="preserve">Reprint of the </w:t>
            </w:r>
            <w:r>
              <w:rPr>
                <w:b/>
                <w:i/>
              </w:rPr>
              <w:t>Parliamentary Commissioner Act 1971</w:t>
            </w:r>
            <w:r>
              <w:rPr>
                <w:b/>
              </w:rPr>
              <w:t xml:space="preserve"> as at 31 Mar 1989</w:t>
            </w:r>
            <w:r>
              <w:t xml:space="preserve"> (includes amendments listed above except those in the </w:t>
            </w:r>
            <w:r>
              <w:rPr>
                <w:i/>
              </w:rPr>
              <w:t xml:space="preserve">Boxing Control Act 1987 </w:t>
            </w:r>
            <w:r>
              <w:t xml:space="preserve">and the </w:t>
            </w:r>
            <w:r>
              <w:rPr>
                <w:i/>
              </w:rPr>
              <w:t>Horticultural Produce Commission Act 1988</w:t>
            </w:r>
            <w:r>
              <w:t>)</w:t>
            </w:r>
          </w:p>
        </w:tc>
      </w:tr>
      <w:tr>
        <w:trPr>
          <w:gridBefore w:val="1"/>
          <w:wBefore w:w="13" w:type="dxa"/>
          <w:cantSplit/>
        </w:trPr>
        <w:tc>
          <w:tcPr>
            <w:tcW w:w="2212" w:type="dxa"/>
          </w:tcPr>
          <w:p>
            <w:pPr>
              <w:pStyle w:val="nTable"/>
              <w:spacing w:after="40"/>
              <w:ind w:right="113"/>
            </w:pPr>
            <w:r>
              <w:rPr>
                <w:i/>
              </w:rPr>
              <w:t>Coal Industry Superannuation Act 1989</w:t>
            </w:r>
            <w:r>
              <w:t xml:space="preserve"> s. 33(2)</w:t>
            </w:r>
          </w:p>
        </w:tc>
        <w:tc>
          <w:tcPr>
            <w:tcW w:w="1134" w:type="dxa"/>
          </w:tcPr>
          <w:p>
            <w:pPr>
              <w:pStyle w:val="nTable"/>
              <w:spacing w:after="40"/>
            </w:pPr>
            <w:r>
              <w:t>28 of 1989</w:t>
            </w:r>
          </w:p>
        </w:tc>
        <w:tc>
          <w:tcPr>
            <w:tcW w:w="1276" w:type="dxa"/>
          </w:tcPr>
          <w:p>
            <w:pPr>
              <w:pStyle w:val="nTable"/>
              <w:spacing w:after="40"/>
            </w:pPr>
            <w:r>
              <w:t>12 Dec 1989</w:t>
            </w:r>
          </w:p>
        </w:tc>
        <w:tc>
          <w:tcPr>
            <w:tcW w:w="2558" w:type="dxa"/>
            <w:gridSpan w:val="2"/>
          </w:tcPr>
          <w:p>
            <w:pPr>
              <w:pStyle w:val="nTable"/>
              <w:spacing w:after="40"/>
            </w:pPr>
            <w:r>
              <w:t xml:space="preserve">1 Jul 1990 (see s. 2 and </w:t>
            </w:r>
            <w:r>
              <w:rPr>
                <w:i/>
              </w:rPr>
              <w:t>Gazette</w:t>
            </w:r>
            <w:r>
              <w:t xml:space="preserve"> 22 Jun 1990 p. 3027)</w:t>
            </w:r>
          </w:p>
        </w:tc>
      </w:tr>
      <w:tr>
        <w:trPr>
          <w:gridBefore w:val="1"/>
          <w:wBefore w:w="13" w:type="dxa"/>
          <w:cantSplit/>
        </w:trPr>
        <w:tc>
          <w:tcPr>
            <w:tcW w:w="2212" w:type="dxa"/>
          </w:tcPr>
          <w:p>
            <w:pPr>
              <w:pStyle w:val="nTable"/>
              <w:spacing w:after="40"/>
              <w:ind w:right="113"/>
            </w:pPr>
            <w:r>
              <w:rPr>
                <w:i/>
              </w:rPr>
              <w:t>Acts Amendment (Parliamentary Superannuation) Act 1989</w:t>
            </w:r>
            <w:r>
              <w:t xml:space="preserve"> Pt. 4</w:t>
            </w:r>
          </w:p>
        </w:tc>
        <w:tc>
          <w:tcPr>
            <w:tcW w:w="1134" w:type="dxa"/>
          </w:tcPr>
          <w:p>
            <w:pPr>
              <w:pStyle w:val="nTable"/>
              <w:spacing w:after="40"/>
            </w:pPr>
            <w:r>
              <w:t>31 of 1989</w:t>
            </w:r>
          </w:p>
        </w:tc>
        <w:tc>
          <w:tcPr>
            <w:tcW w:w="1276" w:type="dxa"/>
          </w:tcPr>
          <w:p>
            <w:pPr>
              <w:pStyle w:val="nTable"/>
              <w:spacing w:after="40"/>
            </w:pPr>
            <w:r>
              <w:t>15 Dec 1989</w:t>
            </w:r>
          </w:p>
        </w:tc>
        <w:tc>
          <w:tcPr>
            <w:tcW w:w="2558" w:type="dxa"/>
            <w:gridSpan w:val="2"/>
          </w:tcPr>
          <w:p>
            <w:pPr>
              <w:pStyle w:val="nTable"/>
              <w:spacing w:after="40"/>
            </w:pPr>
            <w:r>
              <w:t>15 Dec 1989 (see s. 2)</w:t>
            </w:r>
          </w:p>
        </w:tc>
      </w:tr>
      <w:tr>
        <w:trPr>
          <w:gridBefore w:val="1"/>
          <w:wBefore w:w="13" w:type="dxa"/>
          <w:cantSplit/>
        </w:trPr>
        <w:tc>
          <w:tcPr>
            <w:tcW w:w="2212" w:type="dxa"/>
          </w:tcPr>
          <w:p>
            <w:pPr>
              <w:pStyle w:val="nTable"/>
              <w:spacing w:after="40"/>
              <w:ind w:right="113"/>
            </w:pPr>
            <w:r>
              <w:rPr>
                <w:i/>
              </w:rPr>
              <w:t>Acts Amendment (Perth Market Authority) Act 1990</w:t>
            </w:r>
            <w:r>
              <w:t xml:space="preserve"> Pt. 6</w:t>
            </w:r>
          </w:p>
        </w:tc>
        <w:tc>
          <w:tcPr>
            <w:tcW w:w="1134" w:type="dxa"/>
          </w:tcPr>
          <w:p>
            <w:pPr>
              <w:pStyle w:val="nTable"/>
              <w:spacing w:after="40"/>
            </w:pPr>
            <w:r>
              <w:t>6 of 1990</w:t>
            </w:r>
          </w:p>
        </w:tc>
        <w:tc>
          <w:tcPr>
            <w:tcW w:w="1276" w:type="dxa"/>
          </w:tcPr>
          <w:p>
            <w:pPr>
              <w:pStyle w:val="nTable"/>
              <w:spacing w:after="40"/>
            </w:pPr>
            <w:r>
              <w:t>12 Jul 1990</w:t>
            </w:r>
          </w:p>
        </w:tc>
        <w:tc>
          <w:tcPr>
            <w:tcW w:w="2558" w:type="dxa"/>
            <w:gridSpan w:val="2"/>
          </w:tcPr>
          <w:p>
            <w:pPr>
              <w:pStyle w:val="nTable"/>
              <w:spacing w:after="40"/>
            </w:pPr>
            <w:r>
              <w:t xml:space="preserve">1 Jan 1991 (see s. 2 and </w:t>
            </w:r>
            <w:r>
              <w:rPr>
                <w:i/>
              </w:rPr>
              <w:t>Gazette</w:t>
            </w:r>
            <w:r>
              <w:t xml:space="preserve"> 21 Dec 1990 p. 6211)</w:t>
            </w:r>
          </w:p>
        </w:tc>
      </w:tr>
      <w:tr>
        <w:trPr>
          <w:gridBefore w:val="1"/>
          <w:wBefore w:w="13" w:type="dxa"/>
          <w:cantSplit/>
        </w:trPr>
        <w:tc>
          <w:tcPr>
            <w:tcW w:w="2212" w:type="dxa"/>
          </w:tcPr>
          <w:p>
            <w:pPr>
              <w:pStyle w:val="nTable"/>
              <w:spacing w:after="40"/>
              <w:ind w:right="113"/>
            </w:pPr>
            <w:r>
              <w:rPr>
                <w:i/>
              </w:rPr>
              <w:t>Acts Amendment (Gold Banking Corporation) Act 1990</w:t>
            </w:r>
            <w:r>
              <w:t xml:space="preserve"> Pt. 5</w:t>
            </w:r>
          </w:p>
        </w:tc>
        <w:tc>
          <w:tcPr>
            <w:tcW w:w="1134" w:type="dxa"/>
          </w:tcPr>
          <w:p>
            <w:pPr>
              <w:pStyle w:val="nTable"/>
              <w:spacing w:after="40"/>
            </w:pPr>
            <w:r>
              <w:t>10 of 1990</w:t>
            </w:r>
          </w:p>
        </w:tc>
        <w:tc>
          <w:tcPr>
            <w:tcW w:w="1276" w:type="dxa"/>
          </w:tcPr>
          <w:p>
            <w:pPr>
              <w:pStyle w:val="nTable"/>
              <w:spacing w:after="40"/>
            </w:pPr>
            <w:r>
              <w:t>31 Jul 1990</w:t>
            </w:r>
          </w:p>
        </w:tc>
        <w:tc>
          <w:tcPr>
            <w:tcW w:w="2558" w:type="dxa"/>
            <w:gridSpan w:val="2"/>
          </w:tcPr>
          <w:p>
            <w:pPr>
              <w:pStyle w:val="nTable"/>
              <w:spacing w:after="40"/>
            </w:pPr>
            <w:r>
              <w:t xml:space="preserve">28 Sep 1990 (see s. 2 and </w:t>
            </w:r>
            <w:r>
              <w:rPr>
                <w:i/>
              </w:rPr>
              <w:t>Gazette</w:t>
            </w:r>
            <w:r>
              <w:t xml:space="preserve"> 28 Sep 1990 p. 4981)</w:t>
            </w:r>
          </w:p>
        </w:tc>
      </w:tr>
      <w:tr>
        <w:trPr>
          <w:gridBefore w:val="1"/>
          <w:wBefore w:w="13" w:type="dxa"/>
          <w:cantSplit/>
        </w:trPr>
        <w:tc>
          <w:tcPr>
            <w:tcW w:w="2212" w:type="dxa"/>
          </w:tcPr>
          <w:p>
            <w:pPr>
              <w:pStyle w:val="nTable"/>
              <w:spacing w:after="40"/>
              <w:ind w:right="113"/>
            </w:pPr>
            <w:r>
              <w:rPr>
                <w:i/>
              </w:rPr>
              <w:t>Lotteries Commission Act 1990</w:t>
            </w:r>
            <w:r>
              <w:t xml:space="preserve"> s. 33</w:t>
            </w:r>
          </w:p>
        </w:tc>
        <w:tc>
          <w:tcPr>
            <w:tcW w:w="1134" w:type="dxa"/>
          </w:tcPr>
          <w:p>
            <w:pPr>
              <w:pStyle w:val="nTable"/>
              <w:spacing w:after="40"/>
            </w:pPr>
            <w:r>
              <w:t>16 of 1990</w:t>
            </w:r>
          </w:p>
        </w:tc>
        <w:tc>
          <w:tcPr>
            <w:tcW w:w="1276" w:type="dxa"/>
          </w:tcPr>
          <w:p>
            <w:pPr>
              <w:pStyle w:val="nTable"/>
              <w:spacing w:after="40"/>
            </w:pPr>
            <w:r>
              <w:t>31 Jul 1990</w:t>
            </w:r>
          </w:p>
        </w:tc>
        <w:tc>
          <w:tcPr>
            <w:tcW w:w="2558" w:type="dxa"/>
            <w:gridSpan w:val="2"/>
          </w:tcPr>
          <w:p>
            <w:pPr>
              <w:pStyle w:val="nTable"/>
              <w:spacing w:after="40"/>
            </w:pPr>
            <w:r>
              <w:t xml:space="preserve">1 Jan 1991 (see s. 2 and </w:t>
            </w:r>
            <w:r>
              <w:rPr>
                <w:i/>
              </w:rPr>
              <w:t>Gazette</w:t>
            </w:r>
            <w:r>
              <w:t xml:space="preserve"> 28 Dec 1990 p. 6369)</w:t>
            </w:r>
          </w:p>
        </w:tc>
      </w:tr>
      <w:tr>
        <w:trPr>
          <w:gridBefore w:val="1"/>
          <w:wBefore w:w="13" w:type="dxa"/>
          <w:cantSplit/>
        </w:trPr>
        <w:tc>
          <w:tcPr>
            <w:tcW w:w="2212" w:type="dxa"/>
          </w:tcPr>
          <w:p>
            <w:pPr>
              <w:pStyle w:val="nTable"/>
              <w:spacing w:after="40"/>
              <w:ind w:right="113"/>
            </w:pPr>
            <w:r>
              <w:rPr>
                <w:i/>
              </w:rPr>
              <w:t>Guardianship and Administration Act 1990</w:t>
            </w:r>
            <w:r>
              <w:t xml:space="preserve"> s. 123</w:t>
            </w:r>
          </w:p>
        </w:tc>
        <w:tc>
          <w:tcPr>
            <w:tcW w:w="1134" w:type="dxa"/>
          </w:tcPr>
          <w:p>
            <w:pPr>
              <w:pStyle w:val="nTable"/>
              <w:spacing w:after="40"/>
            </w:pPr>
            <w:r>
              <w:t>24 of 1990</w:t>
            </w:r>
          </w:p>
        </w:tc>
        <w:tc>
          <w:tcPr>
            <w:tcW w:w="1276" w:type="dxa"/>
          </w:tcPr>
          <w:p>
            <w:pPr>
              <w:pStyle w:val="nTable"/>
              <w:spacing w:after="40"/>
            </w:pPr>
            <w:r>
              <w:t>7 Sep 1990</w:t>
            </w:r>
          </w:p>
        </w:tc>
        <w:tc>
          <w:tcPr>
            <w:tcW w:w="2558" w:type="dxa"/>
            <w:gridSpan w:val="2"/>
          </w:tcPr>
          <w:p>
            <w:pPr>
              <w:pStyle w:val="nTable"/>
              <w:spacing w:after="40"/>
            </w:pPr>
            <w:r>
              <w:t xml:space="preserve">20 Oct 1992 (see s. 2 and </w:t>
            </w:r>
            <w:r>
              <w:rPr>
                <w:i/>
              </w:rPr>
              <w:t>Gazette</w:t>
            </w:r>
            <w:r>
              <w:t xml:space="preserve"> 2 Oct 1992 p. 4811)</w:t>
            </w:r>
          </w:p>
        </w:tc>
      </w:tr>
      <w:tr>
        <w:trPr>
          <w:gridBefore w:val="1"/>
          <w:wBefore w:w="13" w:type="dxa"/>
          <w:cantSplit/>
        </w:trPr>
        <w:tc>
          <w:tcPr>
            <w:tcW w:w="2212" w:type="dxa"/>
          </w:tcPr>
          <w:p>
            <w:pPr>
              <w:pStyle w:val="nTable"/>
              <w:spacing w:after="40"/>
              <w:ind w:right="113"/>
            </w:pPr>
            <w:r>
              <w:rPr>
                <w:i/>
              </w:rPr>
              <w:t>Goldfields</w:t>
            </w:r>
            <w:r>
              <w:rPr>
                <w:i/>
              </w:rPr>
              <w:noBreakHyphen/>
              <w:t>Esperance Development Authority Act 1990</w:t>
            </w:r>
            <w:r>
              <w:t xml:space="preserve"> s. 36</w:t>
            </w:r>
          </w:p>
        </w:tc>
        <w:tc>
          <w:tcPr>
            <w:tcW w:w="1134" w:type="dxa"/>
          </w:tcPr>
          <w:p>
            <w:pPr>
              <w:pStyle w:val="nTable"/>
              <w:spacing w:after="40"/>
            </w:pPr>
            <w:r>
              <w:t>39 of 1990</w:t>
            </w:r>
          </w:p>
        </w:tc>
        <w:tc>
          <w:tcPr>
            <w:tcW w:w="1276" w:type="dxa"/>
          </w:tcPr>
          <w:p>
            <w:pPr>
              <w:pStyle w:val="nTable"/>
              <w:spacing w:after="40"/>
            </w:pPr>
            <w:r>
              <w:t>8 Nov 1990</w:t>
            </w:r>
          </w:p>
        </w:tc>
        <w:tc>
          <w:tcPr>
            <w:tcW w:w="2558" w:type="dxa"/>
            <w:gridSpan w:val="2"/>
          </w:tcPr>
          <w:p>
            <w:pPr>
              <w:pStyle w:val="nTable"/>
              <w:spacing w:after="40"/>
            </w:pPr>
            <w:r>
              <w:t xml:space="preserve">7 Dec 1990 (see s. 2 and </w:t>
            </w:r>
            <w:r>
              <w:rPr>
                <w:i/>
              </w:rPr>
              <w:t>Gazette</w:t>
            </w:r>
            <w:r>
              <w:t xml:space="preserve"> 7 Dec 1990 p. 5979)</w:t>
            </w:r>
          </w:p>
        </w:tc>
      </w:tr>
      <w:tr>
        <w:trPr>
          <w:gridBefore w:val="1"/>
          <w:wBefore w:w="13" w:type="dxa"/>
          <w:cantSplit/>
        </w:trPr>
        <w:tc>
          <w:tcPr>
            <w:tcW w:w="2212" w:type="dxa"/>
          </w:tcPr>
          <w:p>
            <w:pPr>
              <w:pStyle w:val="nTable"/>
              <w:spacing w:after="40"/>
              <w:ind w:right="113"/>
            </w:pPr>
            <w:r>
              <w:rPr>
                <w:i/>
              </w:rPr>
              <w:t>State Employment and Skills Development Authority Act 1990</w:t>
            </w:r>
            <w:r>
              <w:t xml:space="preserve"> s. 48</w:t>
            </w:r>
          </w:p>
        </w:tc>
        <w:tc>
          <w:tcPr>
            <w:tcW w:w="1134" w:type="dxa"/>
          </w:tcPr>
          <w:p>
            <w:pPr>
              <w:pStyle w:val="nTable"/>
              <w:spacing w:after="40"/>
            </w:pPr>
            <w:r>
              <w:t>40 of 1990</w:t>
            </w:r>
          </w:p>
        </w:tc>
        <w:tc>
          <w:tcPr>
            <w:tcW w:w="1276" w:type="dxa"/>
          </w:tcPr>
          <w:p>
            <w:pPr>
              <w:pStyle w:val="nTable"/>
              <w:spacing w:after="40"/>
            </w:pPr>
            <w:r>
              <w:t>26 Nov 1990</w:t>
            </w:r>
          </w:p>
        </w:tc>
        <w:tc>
          <w:tcPr>
            <w:tcW w:w="2558" w:type="dxa"/>
            <w:gridSpan w:val="2"/>
          </w:tcPr>
          <w:p>
            <w:pPr>
              <w:pStyle w:val="nTable"/>
              <w:spacing w:after="40"/>
            </w:pPr>
            <w:r>
              <w:t xml:space="preserve">22 Mar 1991 (see s. 2 and </w:t>
            </w:r>
            <w:r>
              <w:rPr>
                <w:i/>
              </w:rPr>
              <w:t>Gazette</w:t>
            </w:r>
            <w:r>
              <w:t xml:space="preserve"> 22 Mar 1991 p. 1209)</w:t>
            </w:r>
          </w:p>
        </w:tc>
      </w:tr>
      <w:tr>
        <w:trPr>
          <w:gridBefore w:val="1"/>
          <w:wBefore w:w="13" w:type="dxa"/>
          <w:cantSplit/>
        </w:trPr>
        <w:tc>
          <w:tcPr>
            <w:tcW w:w="2212" w:type="dxa"/>
          </w:tcPr>
          <w:p>
            <w:pPr>
              <w:pStyle w:val="nTable"/>
              <w:spacing w:after="40"/>
              <w:ind w:right="113"/>
            </w:pPr>
            <w:r>
              <w:rPr>
                <w:i/>
              </w:rPr>
              <w:lastRenderedPageBreak/>
              <w:t>Soil and Land Conservation Amendment Act 1990</w:t>
            </w:r>
            <w:r>
              <w:t xml:space="preserve"> s. 17</w:t>
            </w:r>
          </w:p>
        </w:tc>
        <w:tc>
          <w:tcPr>
            <w:tcW w:w="1134" w:type="dxa"/>
          </w:tcPr>
          <w:p>
            <w:pPr>
              <w:pStyle w:val="nTable"/>
              <w:spacing w:after="40"/>
            </w:pPr>
            <w:r>
              <w:t>91 of 1990</w:t>
            </w:r>
          </w:p>
        </w:tc>
        <w:tc>
          <w:tcPr>
            <w:tcW w:w="1276" w:type="dxa"/>
          </w:tcPr>
          <w:p>
            <w:pPr>
              <w:pStyle w:val="nTable"/>
              <w:spacing w:after="40"/>
            </w:pPr>
            <w:r>
              <w:t>17 Dec 1990</w:t>
            </w:r>
          </w:p>
        </w:tc>
        <w:tc>
          <w:tcPr>
            <w:tcW w:w="2558" w:type="dxa"/>
            <w:gridSpan w:val="2"/>
          </w:tcPr>
          <w:p>
            <w:pPr>
              <w:pStyle w:val="nTable"/>
              <w:spacing w:after="40"/>
            </w:pPr>
            <w:r>
              <w:t xml:space="preserve">28 Oct 1995 (see s. 2 and </w:t>
            </w:r>
            <w:r>
              <w:rPr>
                <w:i/>
              </w:rPr>
              <w:t>Gazette</w:t>
            </w:r>
            <w:r>
              <w:t xml:space="preserve"> 27 Oct 1995 p. 4937)</w:t>
            </w:r>
          </w:p>
        </w:tc>
      </w:tr>
      <w:tr>
        <w:trPr>
          <w:gridBefore w:val="1"/>
          <w:wBefore w:w="13" w:type="dxa"/>
          <w:cantSplit/>
        </w:trPr>
        <w:tc>
          <w:tcPr>
            <w:tcW w:w="2212" w:type="dxa"/>
          </w:tcPr>
          <w:p>
            <w:pPr>
              <w:pStyle w:val="nTable"/>
              <w:spacing w:after="40"/>
              <w:ind w:right="113"/>
            </w:pPr>
            <w:r>
              <w:rPr>
                <w:i/>
              </w:rPr>
              <w:t>R &amp; I Bank Act 1990</w:t>
            </w:r>
            <w:r>
              <w:t xml:space="preserve"> s. 45(1)</w:t>
            </w:r>
          </w:p>
        </w:tc>
        <w:tc>
          <w:tcPr>
            <w:tcW w:w="1134" w:type="dxa"/>
          </w:tcPr>
          <w:p>
            <w:pPr>
              <w:pStyle w:val="nTable"/>
              <w:spacing w:after="40"/>
            </w:pPr>
            <w:r>
              <w:t>73 of 1990</w:t>
            </w:r>
          </w:p>
        </w:tc>
        <w:tc>
          <w:tcPr>
            <w:tcW w:w="1276" w:type="dxa"/>
          </w:tcPr>
          <w:p>
            <w:pPr>
              <w:pStyle w:val="nTable"/>
              <w:spacing w:after="40"/>
            </w:pPr>
            <w:r>
              <w:t>20 Dec 1990</w:t>
            </w:r>
          </w:p>
        </w:tc>
        <w:tc>
          <w:tcPr>
            <w:tcW w:w="2558" w:type="dxa"/>
            <w:gridSpan w:val="2"/>
          </w:tcPr>
          <w:p>
            <w:pPr>
              <w:pStyle w:val="nTable"/>
              <w:spacing w:after="40"/>
            </w:pPr>
            <w:r>
              <w:t xml:space="preserve">1 Jan 1991 (see s. 2(2) and </w:t>
            </w:r>
            <w:r>
              <w:rPr>
                <w:i/>
              </w:rPr>
              <w:t>Gazette</w:t>
            </w:r>
            <w:r>
              <w:t xml:space="preserve"> 28 Dec 1990 p. 6369)</w:t>
            </w:r>
          </w:p>
        </w:tc>
      </w:tr>
      <w:tr>
        <w:trPr>
          <w:gridBefore w:val="1"/>
          <w:wBefore w:w="13" w:type="dxa"/>
          <w:cantSplit/>
        </w:trPr>
        <w:tc>
          <w:tcPr>
            <w:tcW w:w="2212" w:type="dxa"/>
          </w:tcPr>
          <w:p>
            <w:pPr>
              <w:pStyle w:val="nTable"/>
              <w:spacing w:after="40"/>
              <w:ind w:right="113"/>
            </w:pPr>
            <w:r>
              <w:rPr>
                <w:i/>
              </w:rPr>
              <w:t>Building and Construction Industry Training Fund and Levy Collection Act 1990</w:t>
            </w:r>
            <w:r>
              <w:t xml:space="preserve"> s. 33</w:t>
            </w:r>
          </w:p>
        </w:tc>
        <w:tc>
          <w:tcPr>
            <w:tcW w:w="1134" w:type="dxa"/>
          </w:tcPr>
          <w:p>
            <w:pPr>
              <w:pStyle w:val="nTable"/>
              <w:spacing w:after="40"/>
            </w:pPr>
            <w:r>
              <w:t>76 of 1990</w:t>
            </w:r>
          </w:p>
        </w:tc>
        <w:tc>
          <w:tcPr>
            <w:tcW w:w="1276" w:type="dxa"/>
          </w:tcPr>
          <w:p>
            <w:pPr>
              <w:pStyle w:val="nTable"/>
              <w:spacing w:after="40"/>
            </w:pPr>
            <w:r>
              <w:t>20 Dec 1990</w:t>
            </w:r>
          </w:p>
        </w:tc>
        <w:tc>
          <w:tcPr>
            <w:tcW w:w="2558" w:type="dxa"/>
            <w:gridSpan w:val="2"/>
          </w:tcPr>
          <w:p>
            <w:pPr>
              <w:pStyle w:val="nTable"/>
              <w:spacing w:after="40"/>
            </w:pPr>
            <w:r>
              <w:t xml:space="preserve">1 Jul 1991 (see s. 2 and </w:t>
            </w:r>
            <w:r>
              <w:rPr>
                <w:i/>
              </w:rPr>
              <w:t>Gazette</w:t>
            </w:r>
            <w:r>
              <w:t xml:space="preserve"> 28 Jun 1991 p. 3101)</w:t>
            </w:r>
          </w:p>
        </w:tc>
      </w:tr>
      <w:tr>
        <w:trPr>
          <w:gridBefore w:val="1"/>
          <w:wBefore w:w="13" w:type="dxa"/>
          <w:cantSplit/>
        </w:trPr>
        <w:tc>
          <w:tcPr>
            <w:tcW w:w="2212" w:type="dxa"/>
          </w:tcPr>
          <w:p>
            <w:pPr>
              <w:pStyle w:val="nTable"/>
              <w:spacing w:after="40"/>
              <w:ind w:right="113"/>
            </w:pPr>
            <w:r>
              <w:rPr>
                <w:i/>
              </w:rPr>
              <w:t>Acts Amendment (Heritage Council) Act 1990</w:t>
            </w:r>
            <w:r>
              <w:t xml:space="preserve"> s. 4</w:t>
            </w:r>
          </w:p>
        </w:tc>
        <w:tc>
          <w:tcPr>
            <w:tcW w:w="1134" w:type="dxa"/>
          </w:tcPr>
          <w:p>
            <w:pPr>
              <w:pStyle w:val="nTable"/>
              <w:spacing w:after="40"/>
            </w:pPr>
            <w:r>
              <w:t>97 of 1990</w:t>
            </w:r>
          </w:p>
        </w:tc>
        <w:tc>
          <w:tcPr>
            <w:tcW w:w="1276" w:type="dxa"/>
          </w:tcPr>
          <w:p>
            <w:pPr>
              <w:pStyle w:val="nTable"/>
              <w:spacing w:after="40"/>
            </w:pPr>
            <w:r>
              <w:t>22 Dec 1990</w:t>
            </w:r>
          </w:p>
        </w:tc>
        <w:tc>
          <w:tcPr>
            <w:tcW w:w="2558" w:type="dxa"/>
            <w:gridSpan w:val="2"/>
          </w:tcPr>
          <w:p>
            <w:pPr>
              <w:pStyle w:val="nTable"/>
              <w:spacing w:after="40"/>
            </w:pPr>
            <w:r>
              <w:t xml:space="preserve">25 Feb 1991 (see s. 2 and </w:t>
            </w:r>
            <w:r>
              <w:rPr>
                <w:i/>
              </w:rPr>
              <w:t>Gazette</w:t>
            </w:r>
            <w:r>
              <w:t xml:space="preserve"> 22 Feb 1991 p. 868)</w:t>
            </w:r>
          </w:p>
        </w:tc>
      </w:tr>
      <w:tr>
        <w:trPr>
          <w:gridBefore w:val="1"/>
          <w:wBefore w:w="13" w:type="dxa"/>
          <w:cantSplit/>
        </w:trPr>
        <w:tc>
          <w:tcPr>
            <w:tcW w:w="2212" w:type="dxa"/>
          </w:tcPr>
          <w:p>
            <w:pPr>
              <w:pStyle w:val="nTable"/>
              <w:spacing w:after="40"/>
              <w:ind w:right="113"/>
            </w:pPr>
            <w:r>
              <w:rPr>
                <w:i/>
              </w:rPr>
              <w:t>Tobacco Control Act 1990</w:t>
            </w:r>
            <w:r>
              <w:t xml:space="preserve"> s. 39</w:t>
            </w:r>
          </w:p>
        </w:tc>
        <w:tc>
          <w:tcPr>
            <w:tcW w:w="1134" w:type="dxa"/>
          </w:tcPr>
          <w:p>
            <w:pPr>
              <w:pStyle w:val="nTable"/>
              <w:spacing w:after="40"/>
            </w:pPr>
            <w:r>
              <w:t>104 of 1990</w:t>
            </w:r>
          </w:p>
        </w:tc>
        <w:tc>
          <w:tcPr>
            <w:tcW w:w="1276" w:type="dxa"/>
          </w:tcPr>
          <w:p>
            <w:pPr>
              <w:pStyle w:val="nTable"/>
              <w:spacing w:after="40"/>
            </w:pPr>
            <w:r>
              <w:t>2 Jan 1991</w:t>
            </w:r>
          </w:p>
        </w:tc>
        <w:tc>
          <w:tcPr>
            <w:tcW w:w="2558" w:type="dxa"/>
            <w:gridSpan w:val="2"/>
          </w:tcPr>
          <w:p>
            <w:pPr>
              <w:pStyle w:val="nTable"/>
              <w:spacing w:after="40"/>
            </w:pPr>
            <w:r>
              <w:t xml:space="preserve">8 Feb 1991 (see s. 2(1) and </w:t>
            </w:r>
            <w:r>
              <w:rPr>
                <w:i/>
              </w:rPr>
              <w:t>Gazette</w:t>
            </w:r>
            <w:r>
              <w:t xml:space="preserve"> 8 Feb 1991 p. 575)</w:t>
            </w:r>
          </w:p>
        </w:tc>
      </w:tr>
      <w:tr>
        <w:trPr>
          <w:gridBefore w:val="1"/>
          <w:wBefore w:w="13" w:type="dxa"/>
          <w:cantSplit/>
        </w:trPr>
        <w:tc>
          <w:tcPr>
            <w:tcW w:w="2212" w:type="dxa"/>
          </w:tcPr>
          <w:p>
            <w:pPr>
              <w:pStyle w:val="nTable"/>
              <w:spacing w:after="40"/>
              <w:ind w:right="113"/>
            </w:pPr>
            <w:r>
              <w:rPr>
                <w:i/>
              </w:rPr>
              <w:t>State Supply Commission Act 1991</w:t>
            </w:r>
            <w:r>
              <w:t xml:space="preserve"> s. 35</w:t>
            </w:r>
          </w:p>
        </w:tc>
        <w:tc>
          <w:tcPr>
            <w:tcW w:w="1134" w:type="dxa"/>
          </w:tcPr>
          <w:p>
            <w:pPr>
              <w:pStyle w:val="nTable"/>
              <w:spacing w:after="40"/>
            </w:pPr>
            <w:r>
              <w:t>5 of 1991</w:t>
            </w:r>
          </w:p>
        </w:tc>
        <w:tc>
          <w:tcPr>
            <w:tcW w:w="1276" w:type="dxa"/>
          </w:tcPr>
          <w:p>
            <w:pPr>
              <w:pStyle w:val="nTable"/>
              <w:spacing w:after="40"/>
            </w:pPr>
            <w:r>
              <w:t>6 Jun 1991</w:t>
            </w:r>
          </w:p>
        </w:tc>
        <w:tc>
          <w:tcPr>
            <w:tcW w:w="2558" w:type="dxa"/>
            <w:gridSpan w:val="2"/>
          </w:tcPr>
          <w:p>
            <w:pPr>
              <w:pStyle w:val="nTable"/>
              <w:spacing w:after="40"/>
            </w:pPr>
            <w:r>
              <w:t xml:space="preserve">20 Sep 1991 (see s. 2 and </w:t>
            </w:r>
            <w:r>
              <w:rPr>
                <w:i/>
              </w:rPr>
              <w:t>Gazette</w:t>
            </w:r>
            <w:r>
              <w:t xml:space="preserve"> 20 Sep 1991 p. 4855)</w:t>
            </w:r>
          </w:p>
        </w:tc>
      </w:tr>
      <w:tr>
        <w:trPr>
          <w:gridBefore w:val="1"/>
          <w:wBefore w:w="13" w:type="dxa"/>
          <w:cantSplit/>
        </w:trPr>
        <w:tc>
          <w:tcPr>
            <w:tcW w:w="2212" w:type="dxa"/>
          </w:tcPr>
          <w:p>
            <w:pPr>
              <w:pStyle w:val="nTable"/>
              <w:spacing w:after="40"/>
              <w:ind w:right="113"/>
            </w:pPr>
            <w:r>
              <w:rPr>
                <w:i/>
              </w:rPr>
              <w:t>Human Reproductive Technology Act 1991</w:t>
            </w:r>
            <w:r>
              <w:t xml:space="preserve"> s. 62</w:t>
            </w:r>
          </w:p>
        </w:tc>
        <w:tc>
          <w:tcPr>
            <w:tcW w:w="1134" w:type="dxa"/>
          </w:tcPr>
          <w:p>
            <w:pPr>
              <w:pStyle w:val="nTable"/>
              <w:spacing w:after="40"/>
            </w:pPr>
            <w:r>
              <w:t>22 of 1991</w:t>
            </w:r>
          </w:p>
        </w:tc>
        <w:tc>
          <w:tcPr>
            <w:tcW w:w="1276" w:type="dxa"/>
          </w:tcPr>
          <w:p>
            <w:pPr>
              <w:pStyle w:val="nTable"/>
              <w:spacing w:after="40"/>
            </w:pPr>
            <w:r>
              <w:t>8 Oct 1991</w:t>
            </w:r>
          </w:p>
        </w:tc>
        <w:tc>
          <w:tcPr>
            <w:tcW w:w="2558" w:type="dxa"/>
            <w:gridSpan w:val="2"/>
          </w:tcPr>
          <w:p>
            <w:pPr>
              <w:pStyle w:val="nTable"/>
              <w:spacing w:after="40"/>
            </w:pPr>
            <w:r>
              <w:t xml:space="preserve">6 Mar 1992 (see s. 2 and </w:t>
            </w:r>
            <w:r>
              <w:rPr>
                <w:i/>
              </w:rPr>
              <w:t>Gazette</w:t>
            </w:r>
            <w:r>
              <w:t xml:space="preserve"> 6 Mar 1992 p. 1107)</w:t>
            </w:r>
          </w:p>
        </w:tc>
      </w:tr>
      <w:tr>
        <w:trPr>
          <w:gridBefore w:val="1"/>
          <w:wBefore w:w="13" w:type="dxa"/>
          <w:cantSplit/>
        </w:trPr>
        <w:tc>
          <w:tcPr>
            <w:tcW w:w="2212" w:type="dxa"/>
          </w:tcPr>
          <w:p>
            <w:pPr>
              <w:pStyle w:val="nTable"/>
              <w:spacing w:after="40"/>
              <w:ind w:right="113"/>
            </w:pPr>
            <w:r>
              <w:rPr>
                <w:i/>
              </w:rPr>
              <w:t>East Perth Redevelopment Act 1991</w:t>
            </w:r>
            <w:r>
              <w:t xml:space="preserve"> s. 59</w:t>
            </w:r>
          </w:p>
        </w:tc>
        <w:tc>
          <w:tcPr>
            <w:tcW w:w="1134" w:type="dxa"/>
          </w:tcPr>
          <w:p>
            <w:pPr>
              <w:pStyle w:val="nTable"/>
              <w:spacing w:after="40"/>
            </w:pPr>
            <w:r>
              <w:t>62 of 1991</w:t>
            </w:r>
          </w:p>
        </w:tc>
        <w:tc>
          <w:tcPr>
            <w:tcW w:w="1276" w:type="dxa"/>
          </w:tcPr>
          <w:p>
            <w:pPr>
              <w:pStyle w:val="nTable"/>
              <w:spacing w:after="40"/>
            </w:pPr>
            <w:r>
              <w:t>30 Dec 1991</w:t>
            </w:r>
          </w:p>
        </w:tc>
        <w:tc>
          <w:tcPr>
            <w:tcW w:w="2558" w:type="dxa"/>
            <w:gridSpan w:val="2"/>
          </w:tcPr>
          <w:p>
            <w:pPr>
              <w:pStyle w:val="nTable"/>
              <w:spacing w:after="40"/>
            </w:pPr>
            <w:r>
              <w:t xml:space="preserve">1 Jul 1992 (see s. 2 and </w:t>
            </w:r>
            <w:r>
              <w:rPr>
                <w:i/>
              </w:rPr>
              <w:t>Gazette</w:t>
            </w:r>
            <w:r>
              <w:t xml:space="preserve"> 1 Jul 1992 p. 2945)</w:t>
            </w:r>
          </w:p>
        </w:tc>
      </w:tr>
      <w:tr>
        <w:trPr>
          <w:gridBefore w:val="1"/>
          <w:wBefore w:w="13" w:type="dxa"/>
          <w:cantSplit/>
        </w:trPr>
        <w:tc>
          <w:tcPr>
            <w:tcW w:w="2212" w:type="dxa"/>
          </w:tcPr>
          <w:p>
            <w:pPr>
              <w:pStyle w:val="nTable"/>
              <w:spacing w:after="40"/>
              <w:ind w:right="113"/>
            </w:pPr>
            <w:r>
              <w:rPr>
                <w:i/>
              </w:rPr>
              <w:t>South West Development Authority Amendment Act 1992</w:t>
            </w:r>
            <w:r>
              <w:t xml:space="preserve"> s. 12(2)</w:t>
            </w:r>
          </w:p>
        </w:tc>
        <w:tc>
          <w:tcPr>
            <w:tcW w:w="1134" w:type="dxa"/>
          </w:tcPr>
          <w:p>
            <w:pPr>
              <w:pStyle w:val="nTable"/>
              <w:spacing w:after="40"/>
            </w:pPr>
            <w:r>
              <w:t>5 of 1992</w:t>
            </w:r>
          </w:p>
        </w:tc>
        <w:tc>
          <w:tcPr>
            <w:tcW w:w="1276" w:type="dxa"/>
          </w:tcPr>
          <w:p>
            <w:pPr>
              <w:pStyle w:val="nTable"/>
              <w:spacing w:after="40"/>
            </w:pPr>
            <w:r>
              <w:t>14 May 1992</w:t>
            </w:r>
          </w:p>
        </w:tc>
        <w:tc>
          <w:tcPr>
            <w:tcW w:w="2558" w:type="dxa"/>
            <w:gridSpan w:val="2"/>
          </w:tcPr>
          <w:p>
            <w:pPr>
              <w:pStyle w:val="nTable"/>
              <w:spacing w:after="40"/>
            </w:pPr>
            <w:r>
              <w:t xml:space="preserve">11 Aug 1992 (see s. 2 and </w:t>
            </w:r>
            <w:r>
              <w:rPr>
                <w:i/>
              </w:rPr>
              <w:t>Gazette</w:t>
            </w:r>
            <w:r>
              <w:t xml:space="preserve"> 11 Aug 1992 p. 3959)</w:t>
            </w:r>
          </w:p>
        </w:tc>
      </w:tr>
      <w:tr>
        <w:trPr>
          <w:gridBefore w:val="1"/>
          <w:wBefore w:w="13" w:type="dxa"/>
          <w:cantSplit/>
        </w:trPr>
        <w:tc>
          <w:tcPr>
            <w:tcW w:w="2212" w:type="dxa"/>
          </w:tcPr>
          <w:p>
            <w:pPr>
              <w:pStyle w:val="nTable"/>
              <w:spacing w:after="40"/>
              <w:ind w:right="113"/>
            </w:pPr>
            <w:r>
              <w:rPr>
                <w:i/>
              </w:rPr>
              <w:t>Western Australian Financial Institutions Authority Act 1992</w:t>
            </w:r>
            <w:r>
              <w:t xml:space="preserve"> s. 57</w:t>
            </w:r>
          </w:p>
        </w:tc>
        <w:tc>
          <w:tcPr>
            <w:tcW w:w="1134" w:type="dxa"/>
          </w:tcPr>
          <w:p>
            <w:pPr>
              <w:pStyle w:val="nTable"/>
              <w:spacing w:after="40"/>
            </w:pPr>
            <w:r>
              <w:t>29 of 1992</w:t>
            </w:r>
          </w:p>
        </w:tc>
        <w:tc>
          <w:tcPr>
            <w:tcW w:w="1276" w:type="dxa"/>
          </w:tcPr>
          <w:p>
            <w:pPr>
              <w:pStyle w:val="nTable"/>
              <w:spacing w:after="40"/>
            </w:pPr>
            <w:r>
              <w:t>19 Jun 1992</w:t>
            </w:r>
          </w:p>
        </w:tc>
        <w:tc>
          <w:tcPr>
            <w:tcW w:w="2558" w:type="dxa"/>
            <w:gridSpan w:val="2"/>
          </w:tcPr>
          <w:p>
            <w:pPr>
              <w:pStyle w:val="nTable"/>
              <w:spacing w:after="40"/>
            </w:pPr>
            <w:r>
              <w:t xml:space="preserve">1 Jul 1992 (see s. 2 and </w:t>
            </w:r>
            <w:r>
              <w:rPr>
                <w:i/>
              </w:rPr>
              <w:t>Gazette</w:t>
            </w:r>
            <w:r>
              <w:t xml:space="preserve"> 26 Jun 1992 p. 2643)</w:t>
            </w:r>
          </w:p>
        </w:tc>
      </w:tr>
      <w:tr>
        <w:trPr>
          <w:gridBefore w:val="1"/>
          <w:wBefore w:w="13" w:type="dxa"/>
          <w:cantSplit/>
        </w:trPr>
        <w:tc>
          <w:tcPr>
            <w:tcW w:w="2212" w:type="dxa"/>
          </w:tcPr>
          <w:p>
            <w:pPr>
              <w:pStyle w:val="nTable"/>
              <w:spacing w:after="40"/>
              <w:ind w:right="113"/>
            </w:pPr>
            <w:r>
              <w:rPr>
                <w:i/>
              </w:rPr>
              <w:t>Western Australian Land Authority Act 1992</w:t>
            </w:r>
            <w:r>
              <w:t xml:space="preserve"> s. 49</w:t>
            </w:r>
          </w:p>
        </w:tc>
        <w:tc>
          <w:tcPr>
            <w:tcW w:w="1134" w:type="dxa"/>
          </w:tcPr>
          <w:p>
            <w:pPr>
              <w:pStyle w:val="nTable"/>
              <w:spacing w:after="40"/>
            </w:pPr>
            <w:r>
              <w:t>35 of 1992</w:t>
            </w:r>
          </w:p>
        </w:tc>
        <w:tc>
          <w:tcPr>
            <w:tcW w:w="1276" w:type="dxa"/>
          </w:tcPr>
          <w:p>
            <w:pPr>
              <w:pStyle w:val="nTable"/>
              <w:spacing w:after="40"/>
            </w:pPr>
            <w:r>
              <w:t>23 Jun 1992</w:t>
            </w:r>
          </w:p>
        </w:tc>
        <w:tc>
          <w:tcPr>
            <w:tcW w:w="2558" w:type="dxa"/>
            <w:gridSpan w:val="2"/>
          </w:tcPr>
          <w:p>
            <w:pPr>
              <w:pStyle w:val="nTable"/>
              <w:spacing w:after="40"/>
            </w:pPr>
            <w:r>
              <w:t xml:space="preserve">1 Jul 1992 (see s. 2(2) and </w:t>
            </w:r>
            <w:r>
              <w:rPr>
                <w:i/>
              </w:rPr>
              <w:t>Gazette</w:t>
            </w:r>
            <w:r>
              <w:t xml:space="preserve"> 30 Jun 1992 p. 2869)</w:t>
            </w:r>
          </w:p>
        </w:tc>
      </w:tr>
      <w:tr>
        <w:trPr>
          <w:gridBefore w:val="1"/>
          <w:wBefore w:w="13" w:type="dxa"/>
          <w:cantSplit/>
        </w:trPr>
        <w:tc>
          <w:tcPr>
            <w:tcW w:w="7180" w:type="dxa"/>
            <w:gridSpan w:val="5"/>
          </w:tcPr>
          <w:p>
            <w:pPr>
              <w:pStyle w:val="nTable"/>
              <w:spacing w:after="40"/>
            </w:pPr>
            <w:r>
              <w:rPr>
                <w:b/>
              </w:rPr>
              <w:t xml:space="preserve">Reprint of the </w:t>
            </w:r>
            <w:r>
              <w:rPr>
                <w:b/>
                <w:i/>
              </w:rPr>
              <w:t>Parliamentary Commissioner Act 1971</w:t>
            </w:r>
            <w:r>
              <w:rPr>
                <w:b/>
              </w:rPr>
              <w:t xml:space="preserve"> as at 21 Oct 1992</w:t>
            </w:r>
            <w:r>
              <w:t xml:space="preserve"> (includes amendments listed above except those in the </w:t>
            </w:r>
            <w:r>
              <w:rPr>
                <w:i/>
              </w:rPr>
              <w:t>Soil and Land Conservation Amendment Act 1990</w:t>
            </w:r>
            <w:r>
              <w:t>)</w:t>
            </w:r>
          </w:p>
        </w:tc>
      </w:tr>
      <w:tr>
        <w:trPr>
          <w:gridBefore w:val="1"/>
          <w:wBefore w:w="13" w:type="dxa"/>
          <w:cantSplit/>
        </w:trPr>
        <w:tc>
          <w:tcPr>
            <w:tcW w:w="2212" w:type="dxa"/>
          </w:tcPr>
          <w:p>
            <w:pPr>
              <w:pStyle w:val="nTable"/>
              <w:spacing w:after="40"/>
              <w:ind w:right="113"/>
            </w:pPr>
            <w:r>
              <w:rPr>
                <w:i/>
              </w:rPr>
              <w:t>Pilbara Development Commission Act 1992</w:t>
            </w:r>
            <w:r>
              <w:t xml:space="preserve"> s. 25</w:t>
            </w:r>
          </w:p>
        </w:tc>
        <w:tc>
          <w:tcPr>
            <w:tcW w:w="1134" w:type="dxa"/>
          </w:tcPr>
          <w:p>
            <w:pPr>
              <w:pStyle w:val="nTable"/>
              <w:spacing w:after="40"/>
            </w:pPr>
            <w:r>
              <w:t>59 of 1992</w:t>
            </w:r>
          </w:p>
        </w:tc>
        <w:tc>
          <w:tcPr>
            <w:tcW w:w="1276" w:type="dxa"/>
          </w:tcPr>
          <w:p>
            <w:pPr>
              <w:pStyle w:val="nTable"/>
              <w:spacing w:after="40"/>
            </w:pPr>
            <w:r>
              <w:t>11 Dec 1992</w:t>
            </w:r>
          </w:p>
        </w:tc>
        <w:tc>
          <w:tcPr>
            <w:tcW w:w="2558" w:type="dxa"/>
            <w:gridSpan w:val="2"/>
          </w:tcPr>
          <w:p>
            <w:pPr>
              <w:pStyle w:val="nTable"/>
              <w:spacing w:after="40"/>
            </w:pPr>
            <w:r>
              <w:t xml:space="preserve">1 Jul 1993 (see s. 2 and </w:t>
            </w:r>
            <w:r>
              <w:rPr>
                <w:i/>
              </w:rPr>
              <w:t>Gazette</w:t>
            </w:r>
            <w:r>
              <w:t xml:space="preserve"> 1 Jul 1993 p. 3209)</w:t>
            </w:r>
          </w:p>
        </w:tc>
      </w:tr>
      <w:tr>
        <w:trPr>
          <w:gridBefore w:val="1"/>
          <w:wBefore w:w="13" w:type="dxa"/>
          <w:cantSplit/>
        </w:trPr>
        <w:tc>
          <w:tcPr>
            <w:tcW w:w="2212" w:type="dxa"/>
          </w:tcPr>
          <w:p>
            <w:pPr>
              <w:pStyle w:val="nTable"/>
              <w:spacing w:after="40"/>
              <w:ind w:right="113"/>
            </w:pPr>
            <w:r>
              <w:rPr>
                <w:i/>
              </w:rPr>
              <w:lastRenderedPageBreak/>
              <w:t>Local Government (Superannuation) Amendment and Repeal Act 1993</w:t>
            </w:r>
            <w:r>
              <w:t xml:space="preserve"> s. 17</w:t>
            </w:r>
          </w:p>
        </w:tc>
        <w:tc>
          <w:tcPr>
            <w:tcW w:w="1134" w:type="dxa"/>
          </w:tcPr>
          <w:p>
            <w:pPr>
              <w:pStyle w:val="nTable"/>
              <w:spacing w:after="40"/>
            </w:pPr>
            <w:r>
              <w:t>2 of 1993</w:t>
            </w:r>
          </w:p>
        </w:tc>
        <w:tc>
          <w:tcPr>
            <w:tcW w:w="1276" w:type="dxa"/>
          </w:tcPr>
          <w:p>
            <w:pPr>
              <w:pStyle w:val="nTable"/>
              <w:spacing w:after="40"/>
            </w:pPr>
            <w:r>
              <w:t>18 Aug 1993</w:t>
            </w:r>
          </w:p>
        </w:tc>
        <w:tc>
          <w:tcPr>
            <w:tcW w:w="2558" w:type="dxa"/>
            <w:gridSpan w:val="2"/>
          </w:tcPr>
          <w:p>
            <w:pPr>
              <w:pStyle w:val="nTable"/>
              <w:spacing w:after="40"/>
            </w:pPr>
            <w:r>
              <w:t>1 Jul 1993 (see s. 2)</w:t>
            </w:r>
          </w:p>
        </w:tc>
      </w:tr>
      <w:tr>
        <w:trPr>
          <w:gridBefore w:val="1"/>
          <w:wBefore w:w="13" w:type="dxa"/>
          <w:cantSplit/>
        </w:trPr>
        <w:tc>
          <w:tcPr>
            <w:tcW w:w="2212"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276" w:type="dxa"/>
          </w:tcPr>
          <w:p>
            <w:pPr>
              <w:pStyle w:val="nTable"/>
              <w:spacing w:after="40"/>
            </w:pPr>
            <w:r>
              <w:t>27 Aug 1993</w:t>
            </w:r>
          </w:p>
        </w:tc>
        <w:tc>
          <w:tcPr>
            <w:tcW w:w="2558" w:type="dxa"/>
            <w:gridSpan w:val="2"/>
          </w:tcPr>
          <w:p>
            <w:pPr>
              <w:pStyle w:val="nTable"/>
              <w:spacing w:after="40"/>
            </w:pPr>
            <w:r>
              <w:t>1 Jul 1993 (see s. 2(1))</w:t>
            </w:r>
          </w:p>
        </w:tc>
      </w:tr>
      <w:tr>
        <w:trPr>
          <w:gridBefore w:val="1"/>
          <w:wBefore w:w="13" w:type="dxa"/>
          <w:cantSplit/>
        </w:trPr>
        <w:tc>
          <w:tcPr>
            <w:tcW w:w="2212" w:type="dxa"/>
          </w:tcPr>
          <w:p>
            <w:pPr>
              <w:pStyle w:val="nTable"/>
              <w:spacing w:after="40"/>
              <w:ind w:right="113"/>
            </w:pPr>
            <w:r>
              <w:rPr>
                <w:i/>
              </w:rPr>
              <w:t>Rural Adjustment and Finance Corporation Act 1993</w:t>
            </w:r>
            <w:r>
              <w:t xml:space="preserve"> s. 57</w:t>
            </w:r>
          </w:p>
        </w:tc>
        <w:tc>
          <w:tcPr>
            <w:tcW w:w="1134" w:type="dxa"/>
          </w:tcPr>
          <w:p>
            <w:pPr>
              <w:pStyle w:val="nTable"/>
              <w:spacing w:after="40"/>
            </w:pPr>
            <w:r>
              <w:t>10 of 1993</w:t>
            </w:r>
          </w:p>
        </w:tc>
        <w:tc>
          <w:tcPr>
            <w:tcW w:w="1276" w:type="dxa"/>
          </w:tcPr>
          <w:p>
            <w:pPr>
              <w:pStyle w:val="nTable"/>
              <w:spacing w:after="40"/>
            </w:pPr>
            <w:r>
              <w:t>6 Oct 1993</w:t>
            </w:r>
          </w:p>
        </w:tc>
        <w:tc>
          <w:tcPr>
            <w:tcW w:w="2558" w:type="dxa"/>
            <w:gridSpan w:val="2"/>
          </w:tcPr>
          <w:p>
            <w:pPr>
              <w:pStyle w:val="nTable"/>
              <w:spacing w:after="40"/>
            </w:pPr>
            <w:r>
              <w:t xml:space="preserve">24 Dec 1993 (see s. 2 and </w:t>
            </w:r>
            <w:r>
              <w:rPr>
                <w:i/>
              </w:rPr>
              <w:t>Gazette</w:t>
            </w:r>
            <w:r>
              <w:t xml:space="preserve"> 24 Dec 1993 p. 6796)</w:t>
            </w:r>
          </w:p>
        </w:tc>
      </w:tr>
      <w:tr>
        <w:trPr>
          <w:gridBefore w:val="1"/>
          <w:wBefore w:w="13" w:type="dxa"/>
          <w:cantSplit/>
        </w:trPr>
        <w:tc>
          <w:tcPr>
            <w:tcW w:w="2212" w:type="dxa"/>
          </w:tcPr>
          <w:p>
            <w:pPr>
              <w:pStyle w:val="nTable"/>
              <w:spacing w:after="40"/>
              <w:ind w:right="113"/>
            </w:pPr>
            <w:r>
              <w:rPr>
                <w:i/>
              </w:rPr>
              <w:t>Workplace Agreements Act 1993</w:t>
            </w:r>
            <w:r>
              <w:t xml:space="preserve"> s. 103</w:t>
            </w:r>
          </w:p>
        </w:tc>
        <w:tc>
          <w:tcPr>
            <w:tcW w:w="1134" w:type="dxa"/>
          </w:tcPr>
          <w:p>
            <w:pPr>
              <w:pStyle w:val="nTable"/>
              <w:spacing w:after="40"/>
            </w:pPr>
            <w:r>
              <w:t>13 of 1993</w:t>
            </w:r>
          </w:p>
        </w:tc>
        <w:tc>
          <w:tcPr>
            <w:tcW w:w="1276" w:type="dxa"/>
          </w:tcPr>
          <w:p>
            <w:pPr>
              <w:pStyle w:val="nTable"/>
              <w:spacing w:after="40"/>
            </w:pPr>
            <w:r>
              <w:t>23 Nov 1993</w:t>
            </w:r>
          </w:p>
        </w:tc>
        <w:tc>
          <w:tcPr>
            <w:tcW w:w="2558" w:type="dxa"/>
            <w:gridSpan w:val="2"/>
          </w:tcPr>
          <w:p>
            <w:pPr>
              <w:pStyle w:val="nTable"/>
              <w:spacing w:after="40"/>
            </w:pPr>
            <w:r>
              <w:t xml:space="preserve">1 Dec 1993 (see s. 2 and </w:t>
            </w:r>
            <w:r>
              <w:rPr>
                <w:i/>
              </w:rPr>
              <w:t>Gazette</w:t>
            </w:r>
            <w:r>
              <w:t xml:space="preserve"> 30 Nov 1993 p. 6439)</w:t>
            </w:r>
          </w:p>
        </w:tc>
      </w:tr>
      <w:tr>
        <w:trPr>
          <w:gridBefore w:val="1"/>
          <w:wBefore w:w="13" w:type="dxa"/>
          <w:cantSplit/>
        </w:trPr>
        <w:tc>
          <w:tcPr>
            <w:tcW w:w="2212" w:type="dxa"/>
          </w:tcPr>
          <w:p>
            <w:pPr>
              <w:pStyle w:val="nTable"/>
              <w:spacing w:after="40"/>
              <w:ind w:right="113"/>
            </w:pPr>
            <w:r>
              <w:rPr>
                <w:i/>
              </w:rPr>
              <w:t>Bee Industry Amendment and Repeal Act 1993</w:t>
            </w:r>
            <w:r>
              <w:t xml:space="preserve"> s. 21</w:t>
            </w:r>
          </w:p>
        </w:tc>
        <w:tc>
          <w:tcPr>
            <w:tcW w:w="1134" w:type="dxa"/>
          </w:tcPr>
          <w:p>
            <w:pPr>
              <w:pStyle w:val="nTable"/>
              <w:spacing w:after="40"/>
            </w:pPr>
            <w:r>
              <w:t>26 of 1993</w:t>
            </w:r>
          </w:p>
        </w:tc>
        <w:tc>
          <w:tcPr>
            <w:tcW w:w="1276" w:type="dxa"/>
          </w:tcPr>
          <w:p>
            <w:pPr>
              <w:pStyle w:val="nTable"/>
              <w:spacing w:after="40"/>
            </w:pPr>
            <w:r>
              <w:t>15 Dec 1993</w:t>
            </w:r>
          </w:p>
        </w:tc>
        <w:tc>
          <w:tcPr>
            <w:tcW w:w="2558" w:type="dxa"/>
            <w:gridSpan w:val="2"/>
          </w:tcPr>
          <w:p>
            <w:pPr>
              <w:pStyle w:val="nTable"/>
              <w:spacing w:after="40"/>
            </w:pPr>
            <w:r>
              <w:t xml:space="preserve">4 Feb 1994 (see s. 2 and </w:t>
            </w:r>
            <w:r>
              <w:rPr>
                <w:i/>
              </w:rPr>
              <w:t>Gazette</w:t>
            </w:r>
            <w:r>
              <w:t xml:space="preserve"> 4 Feb 1994 p. 339)</w:t>
            </w:r>
          </w:p>
        </w:tc>
      </w:tr>
      <w:tr>
        <w:trPr>
          <w:gridBefore w:val="1"/>
          <w:wBefore w:w="13" w:type="dxa"/>
          <w:cantSplit/>
        </w:trPr>
        <w:tc>
          <w:tcPr>
            <w:tcW w:w="2212" w:type="dxa"/>
          </w:tcPr>
          <w:p>
            <w:pPr>
              <w:pStyle w:val="nTable"/>
              <w:spacing w:after="40"/>
              <w:ind w:right="113"/>
            </w:pPr>
            <w:r>
              <w:rPr>
                <w:i/>
              </w:rPr>
              <w:t>Mines Regulation Amendment Act 1993</w:t>
            </w:r>
            <w:r>
              <w:t xml:space="preserve"> s. 12</w:t>
            </w:r>
          </w:p>
        </w:tc>
        <w:tc>
          <w:tcPr>
            <w:tcW w:w="1134" w:type="dxa"/>
          </w:tcPr>
          <w:p>
            <w:pPr>
              <w:pStyle w:val="nTable"/>
              <w:spacing w:after="40"/>
            </w:pPr>
            <w:r>
              <w:t>30 of 1993</w:t>
            </w:r>
          </w:p>
        </w:tc>
        <w:tc>
          <w:tcPr>
            <w:tcW w:w="1276" w:type="dxa"/>
          </w:tcPr>
          <w:p>
            <w:pPr>
              <w:pStyle w:val="nTable"/>
              <w:spacing w:after="40"/>
            </w:pPr>
            <w:r>
              <w:t>16 Dec 1993</w:t>
            </w:r>
          </w:p>
        </w:tc>
        <w:tc>
          <w:tcPr>
            <w:tcW w:w="2558" w:type="dxa"/>
            <w:gridSpan w:val="2"/>
          </w:tcPr>
          <w:p>
            <w:pPr>
              <w:pStyle w:val="nTable"/>
              <w:spacing w:after="40"/>
            </w:pPr>
            <w:r>
              <w:t xml:space="preserve">24 Dec 1993 (see s. 2 and </w:t>
            </w:r>
            <w:r>
              <w:rPr>
                <w:i/>
              </w:rPr>
              <w:t>Gazette</w:t>
            </w:r>
            <w:r>
              <w:t xml:space="preserve"> 24 Dec 1993 p. 6796)</w:t>
            </w:r>
          </w:p>
        </w:tc>
      </w:tr>
      <w:tr>
        <w:trPr>
          <w:gridBefore w:val="1"/>
          <w:wBefore w:w="13" w:type="dxa"/>
          <w:cantSplit/>
        </w:trPr>
        <w:tc>
          <w:tcPr>
            <w:tcW w:w="2212" w:type="dxa"/>
          </w:tcPr>
          <w:p>
            <w:pPr>
              <w:pStyle w:val="nTable"/>
              <w:spacing w:after="40"/>
              <w:ind w:right="113"/>
            </w:pPr>
            <w:r>
              <w:rPr>
                <w:i/>
              </w:rPr>
              <w:t>Disability Services Act 1993</w:t>
            </w:r>
            <w:r>
              <w:t xml:space="preserve"> s. 58</w:t>
            </w:r>
          </w:p>
        </w:tc>
        <w:tc>
          <w:tcPr>
            <w:tcW w:w="1134" w:type="dxa"/>
          </w:tcPr>
          <w:p>
            <w:pPr>
              <w:pStyle w:val="nTable"/>
              <w:spacing w:after="40"/>
            </w:pPr>
            <w:r>
              <w:t>36 of 1993</w:t>
            </w:r>
          </w:p>
        </w:tc>
        <w:tc>
          <w:tcPr>
            <w:tcW w:w="1276" w:type="dxa"/>
          </w:tcPr>
          <w:p>
            <w:pPr>
              <w:pStyle w:val="nTable"/>
              <w:spacing w:after="40"/>
            </w:pPr>
            <w:r>
              <w:t>16 Dec 1993</w:t>
            </w:r>
          </w:p>
        </w:tc>
        <w:tc>
          <w:tcPr>
            <w:tcW w:w="2558" w:type="dxa"/>
            <w:gridSpan w:val="2"/>
          </w:tcPr>
          <w:p>
            <w:pPr>
              <w:pStyle w:val="nTable"/>
              <w:spacing w:after="40"/>
            </w:pPr>
            <w:r>
              <w:t>23 Dec 1993 (see s. 2)</w:t>
            </w:r>
          </w:p>
        </w:tc>
      </w:tr>
      <w:tr>
        <w:trPr>
          <w:gridBefore w:val="1"/>
          <w:wBefore w:w="13" w:type="dxa"/>
          <w:cantSplit/>
        </w:trPr>
        <w:tc>
          <w:tcPr>
            <w:tcW w:w="2212" w:type="dxa"/>
          </w:tcPr>
          <w:p>
            <w:pPr>
              <w:pStyle w:val="nTable"/>
              <w:spacing w:after="40"/>
              <w:ind w:right="113"/>
            </w:pPr>
            <w:r>
              <w:rPr>
                <w:i/>
              </w:rPr>
              <w:t>Regional Development Commissions Act 1993</w:t>
            </w:r>
            <w:r>
              <w:t xml:space="preserve"> s. 44</w:t>
            </w:r>
          </w:p>
        </w:tc>
        <w:tc>
          <w:tcPr>
            <w:tcW w:w="1134" w:type="dxa"/>
          </w:tcPr>
          <w:p>
            <w:pPr>
              <w:pStyle w:val="nTable"/>
              <w:spacing w:after="40"/>
            </w:pPr>
            <w:r>
              <w:t>53 of 1993</w:t>
            </w:r>
          </w:p>
        </w:tc>
        <w:tc>
          <w:tcPr>
            <w:tcW w:w="1276" w:type="dxa"/>
          </w:tcPr>
          <w:p>
            <w:pPr>
              <w:pStyle w:val="nTable"/>
              <w:spacing w:after="40"/>
            </w:pPr>
            <w:r>
              <w:t>22 Dec 1993</w:t>
            </w:r>
          </w:p>
        </w:tc>
        <w:tc>
          <w:tcPr>
            <w:tcW w:w="2558" w:type="dxa"/>
            <w:gridSpan w:val="2"/>
          </w:tcPr>
          <w:p>
            <w:pPr>
              <w:pStyle w:val="nTable"/>
              <w:spacing w:after="40"/>
            </w:pPr>
            <w:r>
              <w:t xml:space="preserve">8 Apr 1994 (see s. 2 and </w:t>
            </w:r>
            <w:r>
              <w:rPr>
                <w:i/>
              </w:rPr>
              <w:t>Gazette</w:t>
            </w:r>
            <w:r>
              <w:t xml:space="preserve"> 8 Apr 1994 p. 1462)</w:t>
            </w:r>
          </w:p>
        </w:tc>
      </w:tr>
      <w:tr>
        <w:trPr>
          <w:gridBefore w:val="1"/>
          <w:wBefore w:w="13" w:type="dxa"/>
          <w:cantSplit/>
        </w:trPr>
        <w:tc>
          <w:tcPr>
            <w:tcW w:w="2212" w:type="dxa"/>
          </w:tcPr>
          <w:p>
            <w:pPr>
              <w:pStyle w:val="nTable"/>
              <w:spacing w:after="40"/>
              <w:ind w:right="113"/>
            </w:pPr>
            <w:r>
              <w:rPr>
                <w:i/>
              </w:rPr>
              <w:t>Adoption Act 1994</w:t>
            </w:r>
            <w:r>
              <w:t xml:space="preserve"> s. 145</w:t>
            </w:r>
          </w:p>
        </w:tc>
        <w:tc>
          <w:tcPr>
            <w:tcW w:w="1134" w:type="dxa"/>
          </w:tcPr>
          <w:p>
            <w:pPr>
              <w:pStyle w:val="nTable"/>
              <w:spacing w:after="40"/>
            </w:pPr>
            <w:r>
              <w:t>9 of 1994</w:t>
            </w:r>
          </w:p>
        </w:tc>
        <w:tc>
          <w:tcPr>
            <w:tcW w:w="1276" w:type="dxa"/>
          </w:tcPr>
          <w:p>
            <w:pPr>
              <w:pStyle w:val="nTable"/>
              <w:spacing w:after="40"/>
            </w:pPr>
            <w:r>
              <w:t>15 Apr 1994</w:t>
            </w:r>
          </w:p>
        </w:tc>
        <w:tc>
          <w:tcPr>
            <w:tcW w:w="2558" w:type="dxa"/>
            <w:gridSpan w:val="2"/>
          </w:tcPr>
          <w:p>
            <w:pPr>
              <w:pStyle w:val="nTable"/>
              <w:spacing w:after="40"/>
            </w:pPr>
            <w:r>
              <w:t xml:space="preserve">1 Jan 1995 (see s. 2 and </w:t>
            </w:r>
            <w:r>
              <w:rPr>
                <w:i/>
              </w:rPr>
              <w:t>Gazette</w:t>
            </w:r>
            <w:r>
              <w:t xml:space="preserve"> 25 Nov 1994 p. 5905)</w:t>
            </w:r>
          </w:p>
        </w:tc>
      </w:tr>
      <w:tr>
        <w:trPr>
          <w:gridBefore w:val="1"/>
          <w:wBefore w:w="13" w:type="dxa"/>
          <w:cantSplit/>
        </w:trPr>
        <w:tc>
          <w:tcPr>
            <w:tcW w:w="2212" w:type="dxa"/>
          </w:tcPr>
          <w:p>
            <w:pPr>
              <w:pStyle w:val="nTable"/>
              <w:spacing w:after="40"/>
              <w:ind w:right="113"/>
            </w:pPr>
            <w:r>
              <w:rPr>
                <w:i/>
              </w:rPr>
              <w:t>Acts Amendment (Official Corruption Commission) Act 1994</w:t>
            </w:r>
            <w:r>
              <w:t xml:space="preserve"> s. 19</w:t>
            </w:r>
          </w:p>
        </w:tc>
        <w:tc>
          <w:tcPr>
            <w:tcW w:w="1134" w:type="dxa"/>
          </w:tcPr>
          <w:p>
            <w:pPr>
              <w:pStyle w:val="nTable"/>
              <w:spacing w:after="40"/>
            </w:pPr>
            <w:r>
              <w:t>14 of 1994</w:t>
            </w:r>
          </w:p>
        </w:tc>
        <w:tc>
          <w:tcPr>
            <w:tcW w:w="1276" w:type="dxa"/>
          </w:tcPr>
          <w:p>
            <w:pPr>
              <w:pStyle w:val="nTable"/>
              <w:spacing w:after="40"/>
            </w:pPr>
            <w:r>
              <w:t>22 Apr 1994</w:t>
            </w:r>
          </w:p>
        </w:tc>
        <w:tc>
          <w:tcPr>
            <w:tcW w:w="2558" w:type="dxa"/>
            <w:gridSpan w:val="2"/>
          </w:tcPr>
          <w:p>
            <w:pPr>
              <w:pStyle w:val="nTable"/>
              <w:spacing w:after="40"/>
            </w:pPr>
            <w:r>
              <w:t xml:space="preserve">24 May 1994 (see s. 2 and </w:t>
            </w:r>
            <w:r>
              <w:rPr>
                <w:i/>
              </w:rPr>
              <w:t>Gazette</w:t>
            </w:r>
            <w:r>
              <w:t xml:space="preserve"> 24 May 1994 p. 2193)</w:t>
            </w:r>
          </w:p>
        </w:tc>
      </w:tr>
      <w:tr>
        <w:trPr>
          <w:gridBefore w:val="1"/>
          <w:wBefore w:w="13" w:type="dxa"/>
          <w:cantSplit/>
        </w:trPr>
        <w:tc>
          <w:tcPr>
            <w:tcW w:w="2212"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276" w:type="dxa"/>
          </w:tcPr>
          <w:p>
            <w:pPr>
              <w:pStyle w:val="nTable"/>
              <w:spacing w:after="40"/>
            </w:pPr>
            <w:r>
              <w:t>29 Jun 1994</w:t>
            </w:r>
          </w:p>
        </w:tc>
        <w:tc>
          <w:tcPr>
            <w:tcW w:w="2558" w:type="dxa"/>
            <w:gridSpan w:val="2"/>
          </w:tcPr>
          <w:p>
            <w:pPr>
              <w:pStyle w:val="nTable"/>
              <w:spacing w:after="40"/>
            </w:pPr>
            <w:r>
              <w:t xml:space="preserve">1 Oct 1994 (see s. 2 and </w:t>
            </w:r>
            <w:r>
              <w:rPr>
                <w:i/>
              </w:rPr>
              <w:t>Gazette</w:t>
            </w:r>
            <w:r>
              <w:t xml:space="preserve"> 30 Sep 1994 p. 4948)</w:t>
            </w:r>
          </w:p>
        </w:tc>
      </w:tr>
      <w:tr>
        <w:trPr>
          <w:gridBefore w:val="1"/>
          <w:wBefore w:w="13" w:type="dxa"/>
          <w:cantSplit/>
        </w:trPr>
        <w:tc>
          <w:tcPr>
            <w:tcW w:w="2212" w:type="dxa"/>
          </w:tcPr>
          <w:p>
            <w:pPr>
              <w:pStyle w:val="nTable"/>
              <w:spacing w:after="40"/>
              <w:ind w:right="113"/>
            </w:pPr>
            <w:r>
              <w:rPr>
                <w:i/>
              </w:rPr>
              <w:t>Subiaco Redevelopment Act 1994</w:t>
            </w:r>
            <w:r>
              <w:t xml:space="preserve"> s. 67</w:t>
            </w:r>
          </w:p>
        </w:tc>
        <w:tc>
          <w:tcPr>
            <w:tcW w:w="1134" w:type="dxa"/>
          </w:tcPr>
          <w:p>
            <w:pPr>
              <w:pStyle w:val="nTable"/>
              <w:spacing w:after="40"/>
            </w:pPr>
            <w:r>
              <w:t>35 of 1994</w:t>
            </w:r>
          </w:p>
        </w:tc>
        <w:tc>
          <w:tcPr>
            <w:tcW w:w="1276" w:type="dxa"/>
          </w:tcPr>
          <w:p>
            <w:pPr>
              <w:pStyle w:val="nTable"/>
              <w:spacing w:after="40"/>
            </w:pPr>
            <w:r>
              <w:t>8 Jul 1994</w:t>
            </w:r>
          </w:p>
        </w:tc>
        <w:tc>
          <w:tcPr>
            <w:tcW w:w="2558" w:type="dxa"/>
            <w:gridSpan w:val="2"/>
          </w:tcPr>
          <w:p>
            <w:pPr>
              <w:pStyle w:val="nTable"/>
              <w:spacing w:after="40"/>
            </w:pPr>
            <w:r>
              <w:t xml:space="preserve">24 Aug 1994 (see s. 2 and </w:t>
            </w:r>
            <w:r>
              <w:rPr>
                <w:i/>
              </w:rPr>
              <w:t>Gazette</w:t>
            </w:r>
            <w:r>
              <w:t xml:space="preserve"> 23 Aug 1994 p. 4364)</w:t>
            </w:r>
          </w:p>
        </w:tc>
      </w:tr>
      <w:tr>
        <w:trPr>
          <w:gridBefore w:val="1"/>
          <w:wBefore w:w="13" w:type="dxa"/>
          <w:cantSplit/>
        </w:trPr>
        <w:tc>
          <w:tcPr>
            <w:tcW w:w="2212" w:type="dxa"/>
          </w:tcPr>
          <w:p>
            <w:pPr>
              <w:pStyle w:val="nTable"/>
              <w:spacing w:after="40"/>
              <w:ind w:right="113"/>
            </w:pPr>
            <w:r>
              <w:rPr>
                <w:i/>
              </w:rPr>
              <w:t>Perth International Centre for Application of Solar Energy Act 1994</w:t>
            </w:r>
            <w:r>
              <w:t xml:space="preserve"> s. 35</w:t>
            </w:r>
          </w:p>
        </w:tc>
        <w:tc>
          <w:tcPr>
            <w:tcW w:w="1134" w:type="dxa"/>
          </w:tcPr>
          <w:p>
            <w:pPr>
              <w:pStyle w:val="nTable"/>
              <w:spacing w:after="40"/>
            </w:pPr>
            <w:r>
              <w:t>36 of 1994</w:t>
            </w:r>
          </w:p>
        </w:tc>
        <w:tc>
          <w:tcPr>
            <w:tcW w:w="1276" w:type="dxa"/>
          </w:tcPr>
          <w:p>
            <w:pPr>
              <w:pStyle w:val="nTable"/>
              <w:spacing w:after="40"/>
            </w:pPr>
            <w:r>
              <w:t>8 Jul 1994</w:t>
            </w:r>
          </w:p>
        </w:tc>
        <w:tc>
          <w:tcPr>
            <w:tcW w:w="2558" w:type="dxa"/>
            <w:gridSpan w:val="2"/>
          </w:tcPr>
          <w:p>
            <w:pPr>
              <w:pStyle w:val="nTable"/>
              <w:spacing w:after="40"/>
            </w:pPr>
            <w:r>
              <w:t xml:space="preserve">22 Jul 1994 (see s. 2 and </w:t>
            </w:r>
            <w:r>
              <w:rPr>
                <w:i/>
              </w:rPr>
              <w:t>Gazette</w:t>
            </w:r>
            <w:r>
              <w:t xml:space="preserve"> 22 Jul 1994 p. 3727)</w:t>
            </w:r>
          </w:p>
        </w:tc>
      </w:tr>
      <w:tr>
        <w:trPr>
          <w:gridBefore w:val="1"/>
          <w:wBefore w:w="13" w:type="dxa"/>
          <w:cantSplit/>
        </w:trPr>
        <w:tc>
          <w:tcPr>
            <w:tcW w:w="2212" w:type="dxa"/>
          </w:tcPr>
          <w:p>
            <w:pPr>
              <w:pStyle w:val="nTable"/>
              <w:spacing w:after="40"/>
              <w:ind w:right="113"/>
            </w:pPr>
            <w:r>
              <w:rPr>
                <w:i/>
              </w:rPr>
              <w:lastRenderedPageBreak/>
              <w:t>Acts Amendment (Coal Mining Industry) Act 1994</w:t>
            </w:r>
            <w:r>
              <w:t xml:space="preserve"> s. 23</w:t>
            </w:r>
          </w:p>
        </w:tc>
        <w:tc>
          <w:tcPr>
            <w:tcW w:w="1134" w:type="dxa"/>
          </w:tcPr>
          <w:p>
            <w:pPr>
              <w:pStyle w:val="nTable"/>
              <w:spacing w:after="40"/>
            </w:pPr>
            <w:r>
              <w:t>45 of 1994</w:t>
            </w:r>
          </w:p>
        </w:tc>
        <w:tc>
          <w:tcPr>
            <w:tcW w:w="1276" w:type="dxa"/>
          </w:tcPr>
          <w:p>
            <w:pPr>
              <w:pStyle w:val="nTable"/>
              <w:spacing w:after="40"/>
            </w:pPr>
            <w:r>
              <w:t>22 Sep 1994</w:t>
            </w:r>
          </w:p>
        </w:tc>
        <w:tc>
          <w:tcPr>
            <w:tcW w:w="2558" w:type="dxa"/>
            <w:gridSpan w:val="2"/>
          </w:tcPr>
          <w:p>
            <w:pPr>
              <w:pStyle w:val="nTable"/>
              <w:spacing w:after="40"/>
            </w:pPr>
            <w:r>
              <w:t>22 Sep 1994 (see s. 2(1))</w:t>
            </w:r>
          </w:p>
        </w:tc>
      </w:tr>
      <w:tr>
        <w:trPr>
          <w:gridBefore w:val="1"/>
          <w:wBefore w:w="13" w:type="dxa"/>
          <w:cantSplit/>
        </w:trPr>
        <w:tc>
          <w:tcPr>
            <w:tcW w:w="2212" w:type="dxa"/>
          </w:tcPr>
          <w:p>
            <w:pPr>
              <w:pStyle w:val="nTable"/>
              <w:spacing w:after="40"/>
              <w:ind w:right="113"/>
            </w:pPr>
            <w:r>
              <w:rPr>
                <w:i/>
              </w:rPr>
              <w:t>Mines Safety and Inspection Act 1994</w:t>
            </w:r>
            <w:r>
              <w:t xml:space="preserve"> s. 109</w:t>
            </w:r>
          </w:p>
        </w:tc>
        <w:tc>
          <w:tcPr>
            <w:tcW w:w="1134" w:type="dxa"/>
          </w:tcPr>
          <w:p>
            <w:pPr>
              <w:pStyle w:val="nTable"/>
              <w:spacing w:after="40"/>
            </w:pPr>
            <w:r>
              <w:t>62 of 1994</w:t>
            </w:r>
          </w:p>
        </w:tc>
        <w:tc>
          <w:tcPr>
            <w:tcW w:w="1276" w:type="dxa"/>
          </w:tcPr>
          <w:p>
            <w:pPr>
              <w:pStyle w:val="nTable"/>
              <w:spacing w:after="40"/>
            </w:pPr>
            <w:r>
              <w:t>7 Nov 1994</w:t>
            </w:r>
          </w:p>
        </w:tc>
        <w:tc>
          <w:tcPr>
            <w:tcW w:w="2558" w:type="dxa"/>
            <w:gridSpan w:val="2"/>
          </w:tcPr>
          <w:p>
            <w:pPr>
              <w:pStyle w:val="nTable"/>
              <w:spacing w:after="40"/>
            </w:pPr>
            <w:r>
              <w:t xml:space="preserve">9 Dec 1995 (see s. 2 and </w:t>
            </w:r>
            <w:r>
              <w:rPr>
                <w:i/>
              </w:rPr>
              <w:t>Gazette</w:t>
            </w:r>
            <w:r>
              <w:t xml:space="preserve"> 8 Dec 1995 p. 5935)</w:t>
            </w:r>
          </w:p>
        </w:tc>
      </w:tr>
      <w:tr>
        <w:trPr>
          <w:gridBefore w:val="1"/>
          <w:wBefore w:w="13" w:type="dxa"/>
          <w:cantSplit/>
        </w:trPr>
        <w:tc>
          <w:tcPr>
            <w:tcW w:w="2212"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276" w:type="dxa"/>
          </w:tcPr>
          <w:p>
            <w:pPr>
              <w:pStyle w:val="nTable"/>
              <w:spacing w:after="40"/>
            </w:pPr>
            <w:r>
              <w:t>9 Dec 1994</w:t>
            </w:r>
          </w:p>
        </w:tc>
        <w:tc>
          <w:tcPr>
            <w:tcW w:w="2558" w:type="dxa"/>
            <w:gridSpan w:val="2"/>
          </w:tcPr>
          <w:p>
            <w:pPr>
              <w:pStyle w:val="nTable"/>
              <w:spacing w:after="40"/>
            </w:pPr>
            <w:r>
              <w:t>9 Dec 1994 (see s. 2)</w:t>
            </w:r>
          </w:p>
        </w:tc>
      </w:tr>
      <w:tr>
        <w:trPr>
          <w:gridBefore w:val="1"/>
          <w:wBefore w:w="13" w:type="dxa"/>
          <w:cantSplit/>
        </w:trPr>
        <w:tc>
          <w:tcPr>
            <w:tcW w:w="2212" w:type="dxa"/>
          </w:tcPr>
          <w:p>
            <w:pPr>
              <w:pStyle w:val="nTable"/>
              <w:spacing w:after="40"/>
              <w:ind w:right="113"/>
            </w:pPr>
            <w:r>
              <w:rPr>
                <w:i/>
              </w:rPr>
              <w:t>Energy Corporations (Transitional and Consequential Provisions) Act 1994</w:t>
            </w:r>
            <w:r>
              <w:t xml:space="preserve"> s. 109</w:t>
            </w:r>
          </w:p>
        </w:tc>
        <w:tc>
          <w:tcPr>
            <w:tcW w:w="1134" w:type="dxa"/>
          </w:tcPr>
          <w:p>
            <w:pPr>
              <w:pStyle w:val="nTable"/>
              <w:spacing w:after="40"/>
            </w:pPr>
            <w:r>
              <w:t>89 of 1994</w:t>
            </w:r>
          </w:p>
        </w:tc>
        <w:tc>
          <w:tcPr>
            <w:tcW w:w="1276" w:type="dxa"/>
          </w:tcPr>
          <w:p>
            <w:pPr>
              <w:pStyle w:val="nTable"/>
              <w:spacing w:after="40"/>
            </w:pPr>
            <w:r>
              <w:t>15 Dec 1994</w:t>
            </w:r>
          </w:p>
        </w:tc>
        <w:tc>
          <w:tcPr>
            <w:tcW w:w="2558" w:type="dxa"/>
            <w:gridSpan w:val="2"/>
          </w:tcPr>
          <w:p>
            <w:pPr>
              <w:pStyle w:val="nTable"/>
              <w:spacing w:after="40"/>
            </w:pPr>
            <w:r>
              <w:t xml:space="preserve">1 Jan 1995 (see s. 2(2) and </w:t>
            </w:r>
            <w:r>
              <w:rPr>
                <w:i/>
              </w:rPr>
              <w:t>Gazette</w:t>
            </w:r>
            <w:r>
              <w:t xml:space="preserve"> 23 Dec 1994 p. 7069)</w:t>
            </w:r>
          </w:p>
        </w:tc>
      </w:tr>
      <w:tr>
        <w:trPr>
          <w:gridBefore w:val="1"/>
          <w:wBefore w:w="13" w:type="dxa"/>
          <w:cantSplit/>
        </w:trPr>
        <w:tc>
          <w:tcPr>
            <w:tcW w:w="2212" w:type="dxa"/>
          </w:tcPr>
          <w:p>
            <w:pPr>
              <w:pStyle w:val="nTable"/>
              <w:spacing w:after="40"/>
              <w:ind w:right="113"/>
            </w:pPr>
            <w:r>
              <w:rPr>
                <w:i/>
              </w:rPr>
              <w:t>Taxi Act 1994</w:t>
            </w:r>
            <w:r>
              <w:t xml:space="preserve"> s. 50</w:t>
            </w:r>
          </w:p>
        </w:tc>
        <w:tc>
          <w:tcPr>
            <w:tcW w:w="1134" w:type="dxa"/>
          </w:tcPr>
          <w:p>
            <w:pPr>
              <w:pStyle w:val="nTable"/>
              <w:spacing w:after="40"/>
            </w:pPr>
            <w:r>
              <w:t>83 of 1994</w:t>
            </w:r>
          </w:p>
        </w:tc>
        <w:tc>
          <w:tcPr>
            <w:tcW w:w="1276" w:type="dxa"/>
          </w:tcPr>
          <w:p>
            <w:pPr>
              <w:pStyle w:val="nTable"/>
              <w:spacing w:after="40"/>
            </w:pPr>
            <w:r>
              <w:t>20 Dec 1994</w:t>
            </w:r>
          </w:p>
        </w:tc>
        <w:tc>
          <w:tcPr>
            <w:tcW w:w="2558" w:type="dxa"/>
            <w:gridSpan w:val="2"/>
          </w:tcPr>
          <w:p>
            <w:pPr>
              <w:pStyle w:val="nTable"/>
              <w:spacing w:after="40"/>
            </w:pPr>
            <w:r>
              <w:t xml:space="preserve">10 Jan 1995 (see s. 2 and </w:t>
            </w:r>
            <w:r>
              <w:rPr>
                <w:i/>
              </w:rPr>
              <w:t>Gazette</w:t>
            </w:r>
            <w:r>
              <w:t xml:space="preserve"> 10 Jan 1995 p. 73)</w:t>
            </w:r>
          </w:p>
        </w:tc>
      </w:tr>
      <w:tr>
        <w:trPr>
          <w:gridBefore w:val="1"/>
          <w:wBefore w:w="13" w:type="dxa"/>
          <w:cantSplit/>
        </w:trPr>
        <w:tc>
          <w:tcPr>
            <w:tcW w:w="2212" w:type="dxa"/>
          </w:tcPr>
          <w:p>
            <w:pPr>
              <w:pStyle w:val="nTable"/>
              <w:spacing w:after="40"/>
              <w:ind w:right="113"/>
            </w:pPr>
            <w:r>
              <w:rPr>
                <w:i/>
              </w:rPr>
              <w:t>Hospitals Amendment Act 1994</w:t>
            </w:r>
            <w:r>
              <w:t xml:space="preserve"> s. 18</w:t>
            </w:r>
          </w:p>
        </w:tc>
        <w:tc>
          <w:tcPr>
            <w:tcW w:w="1134" w:type="dxa"/>
          </w:tcPr>
          <w:p>
            <w:pPr>
              <w:pStyle w:val="nTable"/>
              <w:spacing w:after="40"/>
            </w:pPr>
            <w:r>
              <w:t>103 of 1994</w:t>
            </w:r>
          </w:p>
        </w:tc>
        <w:tc>
          <w:tcPr>
            <w:tcW w:w="1276" w:type="dxa"/>
          </w:tcPr>
          <w:p>
            <w:pPr>
              <w:pStyle w:val="nTable"/>
              <w:spacing w:after="40"/>
            </w:pPr>
            <w:r>
              <w:t>11 Jan 1995</w:t>
            </w:r>
          </w:p>
        </w:tc>
        <w:tc>
          <w:tcPr>
            <w:tcW w:w="2558" w:type="dxa"/>
            <w:gridSpan w:val="2"/>
          </w:tcPr>
          <w:p>
            <w:pPr>
              <w:pStyle w:val="nTable"/>
              <w:spacing w:after="40"/>
            </w:pPr>
            <w:r>
              <w:t xml:space="preserve">3 Feb 1995 (see s. 2 and </w:t>
            </w:r>
            <w:r>
              <w:rPr>
                <w:i/>
              </w:rPr>
              <w:t>Gazette</w:t>
            </w:r>
            <w:r>
              <w:t xml:space="preserve"> 3 Feb 1995 p. 333)</w:t>
            </w:r>
          </w:p>
        </w:tc>
      </w:tr>
      <w:tr>
        <w:trPr>
          <w:gridBefore w:val="1"/>
          <w:wBefore w:w="13" w:type="dxa"/>
          <w:cantSplit/>
        </w:trPr>
        <w:tc>
          <w:tcPr>
            <w:tcW w:w="2212" w:type="dxa"/>
          </w:tcPr>
          <w:p>
            <w:pPr>
              <w:pStyle w:val="nTable"/>
              <w:spacing w:after="40"/>
              <w:ind w:right="113"/>
            </w:pPr>
            <w:r>
              <w:rPr>
                <w:i/>
              </w:rPr>
              <w:t>Planning Legislation Amendment Act (No. 2) 1994</w:t>
            </w:r>
            <w:r>
              <w:t xml:space="preserve"> s. 44 and 46</w:t>
            </w:r>
          </w:p>
        </w:tc>
        <w:tc>
          <w:tcPr>
            <w:tcW w:w="1134" w:type="dxa"/>
          </w:tcPr>
          <w:p>
            <w:pPr>
              <w:pStyle w:val="nTable"/>
              <w:spacing w:after="40"/>
            </w:pPr>
            <w:r>
              <w:t>84 of 1994</w:t>
            </w:r>
          </w:p>
        </w:tc>
        <w:tc>
          <w:tcPr>
            <w:tcW w:w="1276" w:type="dxa"/>
          </w:tcPr>
          <w:p>
            <w:pPr>
              <w:pStyle w:val="nTable"/>
              <w:spacing w:after="40"/>
            </w:pPr>
            <w:r>
              <w:t>13 Jan 1995</w:t>
            </w:r>
          </w:p>
        </w:tc>
        <w:tc>
          <w:tcPr>
            <w:tcW w:w="2558" w:type="dxa"/>
            <w:gridSpan w:val="2"/>
          </w:tcPr>
          <w:p>
            <w:pPr>
              <w:pStyle w:val="nTable"/>
              <w:spacing w:after="40"/>
            </w:pPr>
            <w:r>
              <w:t xml:space="preserve">1 Mar 1995 (see s. 2 and </w:t>
            </w:r>
            <w:r>
              <w:rPr>
                <w:i/>
              </w:rPr>
              <w:t>Gazette</w:t>
            </w:r>
            <w:r>
              <w:t xml:space="preserve"> 21 Feb 1995 p. 567)</w:t>
            </w:r>
          </w:p>
        </w:tc>
      </w:tr>
      <w:tr>
        <w:trPr>
          <w:gridBefore w:val="1"/>
          <w:wBefore w:w="13" w:type="dxa"/>
          <w:cantSplit/>
        </w:trPr>
        <w:tc>
          <w:tcPr>
            <w:tcW w:w="2212" w:type="dxa"/>
          </w:tcPr>
          <w:p>
            <w:pPr>
              <w:pStyle w:val="nTable"/>
              <w:spacing w:after="40"/>
              <w:ind w:right="113"/>
            </w:pPr>
            <w:r>
              <w:rPr>
                <w:i/>
              </w:rPr>
              <w:t>Industrial Legislation Amendment Act 1995</w:t>
            </w:r>
            <w:r>
              <w:t xml:space="preserve"> s. 35</w:t>
            </w:r>
          </w:p>
        </w:tc>
        <w:tc>
          <w:tcPr>
            <w:tcW w:w="1134" w:type="dxa"/>
          </w:tcPr>
          <w:p>
            <w:pPr>
              <w:pStyle w:val="nTable"/>
              <w:spacing w:after="40"/>
            </w:pPr>
            <w:r>
              <w:t>1 of 1995</w:t>
            </w:r>
          </w:p>
        </w:tc>
        <w:tc>
          <w:tcPr>
            <w:tcW w:w="1276" w:type="dxa"/>
          </w:tcPr>
          <w:p>
            <w:pPr>
              <w:pStyle w:val="nTable"/>
              <w:spacing w:after="40"/>
            </w:pPr>
            <w:r>
              <w:t>9 May 1995</w:t>
            </w:r>
          </w:p>
        </w:tc>
        <w:tc>
          <w:tcPr>
            <w:tcW w:w="2558" w:type="dxa"/>
            <w:gridSpan w:val="2"/>
          </w:tcPr>
          <w:p>
            <w:pPr>
              <w:pStyle w:val="nTable"/>
              <w:spacing w:after="40"/>
            </w:pPr>
            <w:r>
              <w:t xml:space="preserve">1 Jan 1996 (see s. 2(2) and </w:t>
            </w:r>
            <w:r>
              <w:rPr>
                <w:i/>
              </w:rPr>
              <w:t>Gazette</w:t>
            </w:r>
            <w:r>
              <w:t xml:space="preserve"> 24 Nov 1995 p. 5389)</w:t>
            </w:r>
          </w:p>
        </w:tc>
      </w:tr>
      <w:tr>
        <w:trPr>
          <w:gridBefore w:val="1"/>
          <w:wBefore w:w="13" w:type="dxa"/>
          <w:cantSplit/>
        </w:trPr>
        <w:tc>
          <w:tcPr>
            <w:tcW w:w="7180" w:type="dxa"/>
            <w:gridSpan w:val="5"/>
          </w:tcPr>
          <w:p>
            <w:pPr>
              <w:pStyle w:val="nTable"/>
              <w:spacing w:after="40"/>
            </w:pPr>
            <w:r>
              <w:rPr>
                <w:b/>
              </w:rPr>
              <w:t xml:space="preserve">Reprint of the </w:t>
            </w:r>
            <w:r>
              <w:rPr>
                <w:b/>
                <w:i/>
              </w:rPr>
              <w:t>Parliamentary Commissioner Act 1971</w:t>
            </w:r>
            <w:r>
              <w:rPr>
                <w:b/>
              </w:rPr>
              <w:t xml:space="preserve"> as at 25 May 1995</w:t>
            </w:r>
            <w:r>
              <w:t xml:space="preserve"> </w:t>
            </w:r>
            <w:r>
              <w:br/>
              <w:t xml:space="preserve">(includes amendments listed above except those in the </w:t>
            </w:r>
            <w:r>
              <w:rPr>
                <w:i/>
              </w:rPr>
              <w:t xml:space="preserve">Mines Safety and Inspection Act 1994 </w:t>
            </w:r>
            <w:r>
              <w:t xml:space="preserve">and the </w:t>
            </w:r>
            <w:r>
              <w:rPr>
                <w:i/>
              </w:rPr>
              <w:t>Industrial Legislation Amendment Act 1995</w:t>
            </w:r>
            <w:r>
              <w:t>)</w:t>
            </w:r>
          </w:p>
        </w:tc>
      </w:tr>
      <w:tr>
        <w:trPr>
          <w:gridBefore w:val="1"/>
          <w:wBefore w:w="13" w:type="dxa"/>
          <w:cantSplit/>
        </w:trPr>
        <w:tc>
          <w:tcPr>
            <w:tcW w:w="2212" w:type="dxa"/>
          </w:tcPr>
          <w:p>
            <w:pPr>
              <w:pStyle w:val="nTable"/>
              <w:spacing w:after="40"/>
              <w:ind w:right="113"/>
            </w:pPr>
            <w:r>
              <w:rPr>
                <w:i/>
              </w:rPr>
              <w:t>Marketing of Potatoes Amendment Act 1995</w:t>
            </w:r>
            <w:r>
              <w:t xml:space="preserve"> s. 58(4)</w:t>
            </w:r>
          </w:p>
        </w:tc>
        <w:tc>
          <w:tcPr>
            <w:tcW w:w="1134" w:type="dxa"/>
          </w:tcPr>
          <w:p>
            <w:pPr>
              <w:pStyle w:val="nTable"/>
              <w:spacing w:after="40"/>
            </w:pPr>
            <w:r>
              <w:t>11 of 1995</w:t>
            </w:r>
          </w:p>
        </w:tc>
        <w:tc>
          <w:tcPr>
            <w:tcW w:w="1276" w:type="dxa"/>
          </w:tcPr>
          <w:p>
            <w:pPr>
              <w:pStyle w:val="nTable"/>
              <w:spacing w:after="40"/>
            </w:pPr>
            <w:r>
              <w:t>30 Jun 1995</w:t>
            </w:r>
          </w:p>
        </w:tc>
        <w:tc>
          <w:tcPr>
            <w:tcW w:w="2558" w:type="dxa"/>
            <w:gridSpan w:val="2"/>
          </w:tcPr>
          <w:p>
            <w:pPr>
              <w:pStyle w:val="nTable"/>
              <w:spacing w:after="40"/>
            </w:pPr>
            <w:r>
              <w:t xml:space="preserve">4 Sep 1995 (see s. 2 and </w:t>
            </w:r>
            <w:r>
              <w:rPr>
                <w:i/>
              </w:rPr>
              <w:t>Gazette</w:t>
            </w:r>
            <w:r>
              <w:t xml:space="preserve"> 1 Sep 1995 p. 4063)</w:t>
            </w:r>
          </w:p>
        </w:tc>
      </w:tr>
      <w:tr>
        <w:trPr>
          <w:gridBefore w:val="1"/>
          <w:wBefore w:w="13" w:type="dxa"/>
          <w:cantSplit/>
        </w:trPr>
        <w:tc>
          <w:tcPr>
            <w:tcW w:w="2212" w:type="dxa"/>
          </w:tcPr>
          <w:p>
            <w:pPr>
              <w:pStyle w:val="nTable"/>
              <w:spacing w:after="40"/>
              <w:ind w:right="113"/>
            </w:pPr>
            <w:r>
              <w:rPr>
                <w:i/>
              </w:rPr>
              <w:t>Occupational Safety and Health Legislation Amendment Act 1995</w:t>
            </w:r>
            <w:r>
              <w:t xml:space="preserve"> s. 48</w:t>
            </w:r>
          </w:p>
        </w:tc>
        <w:tc>
          <w:tcPr>
            <w:tcW w:w="1134" w:type="dxa"/>
          </w:tcPr>
          <w:p>
            <w:pPr>
              <w:pStyle w:val="nTable"/>
              <w:spacing w:after="40"/>
            </w:pPr>
            <w:r>
              <w:t>30 of 1995</w:t>
            </w:r>
          </w:p>
        </w:tc>
        <w:tc>
          <w:tcPr>
            <w:tcW w:w="1276" w:type="dxa"/>
          </w:tcPr>
          <w:p>
            <w:pPr>
              <w:pStyle w:val="nTable"/>
              <w:spacing w:after="40"/>
            </w:pPr>
            <w:r>
              <w:t>11 Sep 1995</w:t>
            </w:r>
          </w:p>
        </w:tc>
        <w:tc>
          <w:tcPr>
            <w:tcW w:w="2558" w:type="dxa"/>
            <w:gridSpan w:val="2"/>
          </w:tcPr>
          <w:p>
            <w:pPr>
              <w:pStyle w:val="nTable"/>
              <w:spacing w:after="40"/>
            </w:pPr>
            <w:r>
              <w:t xml:space="preserve">1 Oct 1995 (see s. 2 and </w:t>
            </w:r>
            <w:r>
              <w:rPr>
                <w:i/>
              </w:rPr>
              <w:t>Gazette</w:t>
            </w:r>
            <w:r>
              <w:t xml:space="preserve"> 15 Sep 1995 p. 4301)</w:t>
            </w:r>
          </w:p>
        </w:tc>
      </w:tr>
      <w:tr>
        <w:trPr>
          <w:gridBefore w:val="1"/>
          <w:wBefore w:w="13" w:type="dxa"/>
          <w:cantSplit/>
        </w:trPr>
        <w:tc>
          <w:tcPr>
            <w:tcW w:w="2212" w:type="dxa"/>
          </w:tcPr>
          <w:p>
            <w:pPr>
              <w:pStyle w:val="nTable"/>
              <w:spacing w:after="40"/>
              <w:ind w:right="113"/>
            </w:pPr>
            <w:r>
              <w:rPr>
                <w:i/>
              </w:rPr>
              <w:t>Acts Amendment (Racing and Betting Legislation) Act 1995</w:t>
            </w:r>
            <w:r>
              <w:t xml:space="preserve"> s. 94</w:t>
            </w:r>
          </w:p>
        </w:tc>
        <w:tc>
          <w:tcPr>
            <w:tcW w:w="1134" w:type="dxa"/>
          </w:tcPr>
          <w:p>
            <w:pPr>
              <w:pStyle w:val="nTable"/>
              <w:spacing w:after="40"/>
            </w:pPr>
            <w:r>
              <w:t>63 of 1995</w:t>
            </w:r>
          </w:p>
        </w:tc>
        <w:tc>
          <w:tcPr>
            <w:tcW w:w="1276" w:type="dxa"/>
          </w:tcPr>
          <w:p>
            <w:pPr>
              <w:pStyle w:val="nTable"/>
              <w:spacing w:after="40"/>
            </w:pPr>
            <w:r>
              <w:t>27 Dec 1995</w:t>
            </w:r>
          </w:p>
        </w:tc>
        <w:tc>
          <w:tcPr>
            <w:tcW w:w="2558" w:type="dxa"/>
            <w:gridSpan w:val="2"/>
          </w:tcPr>
          <w:p>
            <w:pPr>
              <w:pStyle w:val="nTable"/>
              <w:spacing w:after="40"/>
            </w:pPr>
            <w:r>
              <w:t xml:space="preserve">28 Jun 1996 (see s. 2 and </w:t>
            </w:r>
            <w:r>
              <w:rPr>
                <w:i/>
              </w:rPr>
              <w:t>Gazette</w:t>
            </w:r>
            <w:r>
              <w:t xml:space="preserve"> 25 Jun 1996 p. 2901)</w:t>
            </w:r>
          </w:p>
        </w:tc>
      </w:tr>
      <w:tr>
        <w:trPr>
          <w:gridBefore w:val="1"/>
          <w:wBefore w:w="13" w:type="dxa"/>
          <w:cantSplit/>
        </w:trPr>
        <w:tc>
          <w:tcPr>
            <w:tcW w:w="2212" w:type="dxa"/>
          </w:tcPr>
          <w:p>
            <w:pPr>
              <w:pStyle w:val="nTable"/>
              <w:spacing w:after="40"/>
              <w:ind w:right="113"/>
            </w:pPr>
            <w:r>
              <w:rPr>
                <w:i/>
              </w:rPr>
              <w:lastRenderedPageBreak/>
              <w:t>Water Agencies Restructure (Transitional and Consequential Provisions) Act 1995</w:t>
            </w:r>
            <w:r>
              <w:t xml:space="preserve"> s. 188</w:t>
            </w:r>
          </w:p>
        </w:tc>
        <w:tc>
          <w:tcPr>
            <w:tcW w:w="1134" w:type="dxa"/>
          </w:tcPr>
          <w:p>
            <w:pPr>
              <w:pStyle w:val="nTable"/>
              <w:spacing w:after="40"/>
            </w:pPr>
            <w:r>
              <w:t>73 of 1995</w:t>
            </w:r>
          </w:p>
        </w:tc>
        <w:tc>
          <w:tcPr>
            <w:tcW w:w="1276" w:type="dxa"/>
          </w:tcPr>
          <w:p>
            <w:pPr>
              <w:pStyle w:val="nTable"/>
              <w:spacing w:after="40"/>
            </w:pPr>
            <w:r>
              <w:t>27 Dec 1995</w:t>
            </w:r>
          </w:p>
        </w:tc>
        <w:tc>
          <w:tcPr>
            <w:tcW w:w="2558" w:type="dxa"/>
            <w:gridSpan w:val="2"/>
          </w:tcPr>
          <w:p>
            <w:pPr>
              <w:pStyle w:val="nTable"/>
              <w:spacing w:after="40"/>
            </w:pPr>
            <w:r>
              <w:t xml:space="preserve">1 Jan 1996 (see s. 2(2) and </w:t>
            </w:r>
            <w:r>
              <w:rPr>
                <w:i/>
              </w:rPr>
              <w:t>Gazette</w:t>
            </w:r>
            <w:r>
              <w:t xml:space="preserve"> 29 Dec 1995 p. 6291)</w:t>
            </w:r>
          </w:p>
        </w:tc>
      </w:tr>
      <w:tr>
        <w:trPr>
          <w:gridBefore w:val="1"/>
          <w:wBefore w:w="13" w:type="dxa"/>
          <w:cantSplit/>
        </w:trPr>
        <w:tc>
          <w:tcPr>
            <w:tcW w:w="2212" w:type="dxa"/>
          </w:tcPr>
          <w:p>
            <w:pPr>
              <w:pStyle w:val="nTable"/>
              <w:spacing w:after="40"/>
              <w:ind w:right="113"/>
            </w:pPr>
            <w:r>
              <w:rPr>
                <w:i/>
              </w:rPr>
              <w:t>Health Services (Conciliation and Review) Act 1995</w:t>
            </w:r>
            <w:r>
              <w:t xml:space="preserve"> s. 80(6)</w:t>
            </w:r>
          </w:p>
        </w:tc>
        <w:tc>
          <w:tcPr>
            <w:tcW w:w="1134" w:type="dxa"/>
          </w:tcPr>
          <w:p>
            <w:pPr>
              <w:pStyle w:val="nTable"/>
              <w:spacing w:after="40"/>
            </w:pPr>
            <w:r>
              <w:t>75 of 1995</w:t>
            </w:r>
          </w:p>
        </w:tc>
        <w:tc>
          <w:tcPr>
            <w:tcW w:w="1276" w:type="dxa"/>
          </w:tcPr>
          <w:p>
            <w:pPr>
              <w:pStyle w:val="nTable"/>
              <w:spacing w:after="40"/>
            </w:pPr>
            <w:r>
              <w:t>9 Jan 1996</w:t>
            </w:r>
          </w:p>
        </w:tc>
        <w:tc>
          <w:tcPr>
            <w:tcW w:w="2558" w:type="dxa"/>
            <w:gridSpan w:val="2"/>
          </w:tcPr>
          <w:p>
            <w:pPr>
              <w:pStyle w:val="nTable"/>
              <w:spacing w:after="40"/>
            </w:pPr>
            <w:r>
              <w:t xml:space="preserve">16 Aug 1996 (see s. 2 and </w:t>
            </w:r>
            <w:r>
              <w:rPr>
                <w:i/>
              </w:rPr>
              <w:t>Gazette</w:t>
            </w:r>
            <w:r>
              <w:t xml:space="preserve"> 16 Aug 1996 p. 4007)</w:t>
            </w:r>
          </w:p>
        </w:tc>
      </w:tr>
      <w:tr>
        <w:trPr>
          <w:gridBefore w:val="1"/>
          <w:wBefore w:w="13" w:type="dxa"/>
          <w:cantSplit/>
        </w:trPr>
        <w:tc>
          <w:tcPr>
            <w:tcW w:w="2212" w:type="dxa"/>
          </w:tcPr>
          <w:p>
            <w:pPr>
              <w:pStyle w:val="nTable"/>
              <w:spacing w:after="40"/>
              <w:ind w:right="113"/>
            </w:pPr>
            <w:r>
              <w:rPr>
                <w:i/>
              </w:rPr>
              <w:t>Guardianship and Administration Amendment Act 1996</w:t>
            </w:r>
            <w:r>
              <w:t xml:space="preserve"> s. 38</w:t>
            </w:r>
          </w:p>
        </w:tc>
        <w:tc>
          <w:tcPr>
            <w:tcW w:w="1134" w:type="dxa"/>
          </w:tcPr>
          <w:p>
            <w:pPr>
              <w:pStyle w:val="nTable"/>
              <w:spacing w:after="40"/>
            </w:pPr>
            <w:r>
              <w:t>7 of 1996</w:t>
            </w:r>
          </w:p>
        </w:tc>
        <w:tc>
          <w:tcPr>
            <w:tcW w:w="1276" w:type="dxa"/>
          </w:tcPr>
          <w:p>
            <w:pPr>
              <w:pStyle w:val="nTable"/>
              <w:spacing w:after="40"/>
            </w:pPr>
            <w:r>
              <w:t>24 May 1996</w:t>
            </w:r>
          </w:p>
        </w:tc>
        <w:tc>
          <w:tcPr>
            <w:tcW w:w="2558" w:type="dxa"/>
            <w:gridSpan w:val="2"/>
          </w:tcPr>
          <w:p>
            <w:pPr>
              <w:pStyle w:val="nTable"/>
              <w:spacing w:after="40"/>
            </w:pPr>
            <w:r>
              <w:t xml:space="preserve">1 Jul 1996 (see s. 2 and </w:t>
            </w:r>
            <w:r>
              <w:rPr>
                <w:i/>
              </w:rPr>
              <w:t>Gazette</w:t>
            </w:r>
            <w:r>
              <w:t xml:space="preserve"> 28 Jun 1996 p. 3014)</w:t>
            </w:r>
          </w:p>
        </w:tc>
      </w:tr>
      <w:tr>
        <w:trPr>
          <w:gridBefore w:val="1"/>
          <w:wBefore w:w="13" w:type="dxa"/>
          <w:cantSplit/>
        </w:trPr>
        <w:tc>
          <w:tcPr>
            <w:tcW w:w="2212"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276" w:type="dxa"/>
          </w:tcPr>
          <w:p>
            <w:pPr>
              <w:pStyle w:val="nTable"/>
              <w:spacing w:after="40"/>
            </w:pPr>
            <w:r>
              <w:t>28 Jun 1996</w:t>
            </w:r>
          </w:p>
        </w:tc>
        <w:tc>
          <w:tcPr>
            <w:tcW w:w="2558" w:type="dxa"/>
            <w:gridSpan w:val="2"/>
          </w:tcPr>
          <w:p>
            <w:pPr>
              <w:pStyle w:val="nTable"/>
              <w:spacing w:after="40"/>
            </w:pPr>
            <w:r>
              <w:t>1 Jul 1996 (see s. 2)</w:t>
            </w:r>
          </w:p>
        </w:tc>
      </w:tr>
      <w:tr>
        <w:trPr>
          <w:gridBefore w:val="1"/>
          <w:wBefore w:w="13" w:type="dxa"/>
          <w:cantSplit/>
        </w:trPr>
        <w:tc>
          <w:tcPr>
            <w:tcW w:w="2212" w:type="dxa"/>
          </w:tcPr>
          <w:p>
            <w:pPr>
              <w:pStyle w:val="nTable"/>
              <w:spacing w:after="40"/>
              <w:ind w:right="113"/>
            </w:pPr>
            <w:r>
              <w:rPr>
                <w:i/>
              </w:rPr>
              <w:t>Official Corruption Commission Amendment Act 1996</w:t>
            </w:r>
            <w:r>
              <w:t xml:space="preserve"> s. 26</w:t>
            </w:r>
          </w:p>
        </w:tc>
        <w:tc>
          <w:tcPr>
            <w:tcW w:w="1134" w:type="dxa"/>
          </w:tcPr>
          <w:p>
            <w:pPr>
              <w:pStyle w:val="nTable"/>
              <w:spacing w:after="40"/>
            </w:pPr>
            <w:r>
              <w:t>29 of 1996</w:t>
            </w:r>
          </w:p>
        </w:tc>
        <w:tc>
          <w:tcPr>
            <w:tcW w:w="1276" w:type="dxa"/>
          </w:tcPr>
          <w:p>
            <w:pPr>
              <w:pStyle w:val="nTable"/>
              <w:spacing w:after="40"/>
            </w:pPr>
            <w:r>
              <w:t>28 Aug 1996</w:t>
            </w:r>
          </w:p>
        </w:tc>
        <w:tc>
          <w:tcPr>
            <w:tcW w:w="2558" w:type="dxa"/>
            <w:gridSpan w:val="2"/>
          </w:tcPr>
          <w:p>
            <w:pPr>
              <w:pStyle w:val="nTable"/>
              <w:spacing w:after="40"/>
            </w:pPr>
            <w:r>
              <w:t xml:space="preserve">30 Aug 1996 (see s. 2 and </w:t>
            </w:r>
            <w:r>
              <w:rPr>
                <w:i/>
              </w:rPr>
              <w:t>Gazette</w:t>
            </w:r>
            <w:r>
              <w:t xml:space="preserve"> 30 Aug 1996 p. 4365)</w:t>
            </w:r>
          </w:p>
        </w:tc>
      </w:tr>
      <w:tr>
        <w:trPr>
          <w:gridBefore w:val="1"/>
          <w:wBefore w:w="13" w:type="dxa"/>
          <w:cantSplit/>
        </w:trPr>
        <w:tc>
          <w:tcPr>
            <w:tcW w:w="2212"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276" w:type="dxa"/>
          </w:tcPr>
          <w:p>
            <w:pPr>
              <w:pStyle w:val="nTable"/>
              <w:spacing w:after="40"/>
            </w:pPr>
            <w:r>
              <w:t>25 Oct 1996</w:t>
            </w:r>
          </w:p>
        </w:tc>
        <w:tc>
          <w:tcPr>
            <w:tcW w:w="2558" w:type="dxa"/>
            <w:gridSpan w:val="2"/>
          </w:tcPr>
          <w:p>
            <w:pPr>
              <w:pStyle w:val="nTable"/>
              <w:spacing w:after="40"/>
            </w:pPr>
            <w:r>
              <w:t>25 Oct 1996 (see s. 2(1))</w:t>
            </w:r>
          </w:p>
        </w:tc>
      </w:tr>
      <w:tr>
        <w:trPr>
          <w:gridBefore w:val="1"/>
          <w:wBefore w:w="13" w:type="dxa"/>
          <w:cantSplit/>
        </w:trPr>
        <w:tc>
          <w:tcPr>
            <w:tcW w:w="2212" w:type="dxa"/>
          </w:tcPr>
          <w:p>
            <w:pPr>
              <w:pStyle w:val="nTable"/>
              <w:spacing w:after="40"/>
              <w:ind w:right="113"/>
            </w:pPr>
            <w:r>
              <w:rPr>
                <w:i/>
              </w:rPr>
              <w:t>Parliamentary Commissioner Amendment Act 1996</w:t>
            </w:r>
          </w:p>
        </w:tc>
        <w:tc>
          <w:tcPr>
            <w:tcW w:w="1134" w:type="dxa"/>
          </w:tcPr>
          <w:p>
            <w:pPr>
              <w:pStyle w:val="nTable"/>
              <w:spacing w:after="40"/>
            </w:pPr>
            <w:r>
              <w:t>78 of 1996</w:t>
            </w:r>
          </w:p>
        </w:tc>
        <w:tc>
          <w:tcPr>
            <w:tcW w:w="1276" w:type="dxa"/>
          </w:tcPr>
          <w:p>
            <w:pPr>
              <w:pStyle w:val="nTable"/>
              <w:spacing w:after="40"/>
            </w:pPr>
            <w:r>
              <w:t>14 Nov 1996</w:t>
            </w:r>
          </w:p>
        </w:tc>
        <w:tc>
          <w:tcPr>
            <w:tcW w:w="2558" w:type="dxa"/>
            <w:gridSpan w:val="2"/>
          </w:tcPr>
          <w:p>
            <w:pPr>
              <w:pStyle w:val="nTable"/>
              <w:spacing w:after="40"/>
            </w:pPr>
            <w:r>
              <w:t>14 Nov 1996 (see s. 2)</w:t>
            </w:r>
          </w:p>
        </w:tc>
      </w:tr>
      <w:tr>
        <w:trPr>
          <w:gridBefore w:val="1"/>
          <w:wBefore w:w="13" w:type="dxa"/>
          <w:cantSplit/>
        </w:trPr>
        <w:tc>
          <w:tcPr>
            <w:tcW w:w="7180" w:type="dxa"/>
            <w:gridSpan w:val="5"/>
          </w:tcPr>
          <w:p>
            <w:pPr>
              <w:pStyle w:val="nTable"/>
              <w:spacing w:after="40"/>
            </w:pPr>
            <w:r>
              <w:rPr>
                <w:b/>
              </w:rPr>
              <w:t xml:space="preserve">Reprint of the </w:t>
            </w:r>
            <w:r>
              <w:rPr>
                <w:b/>
                <w:i/>
              </w:rPr>
              <w:t>Parliamentary Commissioner Act 1971</w:t>
            </w:r>
            <w:r>
              <w:rPr>
                <w:b/>
              </w:rPr>
              <w:t xml:space="preserve"> as at 20 Jan 1997</w:t>
            </w:r>
            <w:r>
              <w:t xml:space="preserve"> (includes amendments listed above)</w:t>
            </w:r>
          </w:p>
        </w:tc>
      </w:tr>
      <w:tr>
        <w:trPr>
          <w:gridBefore w:val="1"/>
          <w:wBefore w:w="13" w:type="dxa"/>
          <w:cantSplit/>
        </w:trPr>
        <w:tc>
          <w:tcPr>
            <w:tcW w:w="2212" w:type="dxa"/>
          </w:tcPr>
          <w:p>
            <w:pPr>
              <w:pStyle w:val="nTable"/>
              <w:spacing w:after="40"/>
              <w:ind w:right="113"/>
            </w:pPr>
            <w:r>
              <w:rPr>
                <w:i/>
              </w:rPr>
              <w:t>Acts Amendment and Repeal (Family Court) Act 1997</w:t>
            </w:r>
            <w:r>
              <w:t xml:space="preserve"> s. 34</w:t>
            </w:r>
          </w:p>
        </w:tc>
        <w:tc>
          <w:tcPr>
            <w:tcW w:w="1134" w:type="dxa"/>
          </w:tcPr>
          <w:p>
            <w:pPr>
              <w:pStyle w:val="nTable"/>
              <w:spacing w:after="40"/>
            </w:pPr>
            <w:r>
              <w:t>41 of 1997</w:t>
            </w:r>
          </w:p>
        </w:tc>
        <w:tc>
          <w:tcPr>
            <w:tcW w:w="1276" w:type="dxa"/>
          </w:tcPr>
          <w:p>
            <w:pPr>
              <w:pStyle w:val="nTable"/>
              <w:spacing w:after="40"/>
            </w:pPr>
            <w:r>
              <w:t>9 Dec 1997</w:t>
            </w:r>
          </w:p>
        </w:tc>
        <w:tc>
          <w:tcPr>
            <w:tcW w:w="2558" w:type="dxa"/>
            <w:gridSpan w:val="2"/>
          </w:tcPr>
          <w:p>
            <w:pPr>
              <w:pStyle w:val="nTable"/>
              <w:spacing w:after="40"/>
            </w:pPr>
            <w:r>
              <w:t xml:space="preserve">26 Sep 1998 (see s. 2 and </w:t>
            </w:r>
            <w:r>
              <w:rPr>
                <w:i/>
              </w:rPr>
              <w:t>Gazette</w:t>
            </w:r>
            <w:r>
              <w:t xml:space="preserve"> 25 Sep 1998 p. 5295)</w:t>
            </w:r>
          </w:p>
        </w:tc>
      </w:tr>
      <w:tr>
        <w:trPr>
          <w:gridBefore w:val="1"/>
          <w:wBefore w:w="13" w:type="dxa"/>
          <w:cantSplit/>
        </w:trPr>
        <w:tc>
          <w:tcPr>
            <w:tcW w:w="2212" w:type="dxa"/>
          </w:tcPr>
          <w:p>
            <w:pPr>
              <w:pStyle w:val="nTable"/>
              <w:spacing w:after="40"/>
              <w:ind w:right="113"/>
            </w:pPr>
            <w:r>
              <w:rPr>
                <w:i/>
              </w:rPr>
              <w:t>Statutes (Repeals and Minor Amendments) Act (No. 2) 1998</w:t>
            </w:r>
            <w:r>
              <w:t xml:space="preserve"> s. 57 and 76</w:t>
            </w:r>
          </w:p>
        </w:tc>
        <w:tc>
          <w:tcPr>
            <w:tcW w:w="1134" w:type="dxa"/>
          </w:tcPr>
          <w:p>
            <w:pPr>
              <w:pStyle w:val="nTable"/>
              <w:spacing w:after="40"/>
            </w:pPr>
            <w:r>
              <w:t>10 of 1998</w:t>
            </w:r>
          </w:p>
        </w:tc>
        <w:tc>
          <w:tcPr>
            <w:tcW w:w="1276" w:type="dxa"/>
          </w:tcPr>
          <w:p>
            <w:pPr>
              <w:pStyle w:val="nTable"/>
              <w:spacing w:after="40"/>
            </w:pPr>
            <w:r>
              <w:t>30 Apr 1998</w:t>
            </w:r>
          </w:p>
        </w:tc>
        <w:tc>
          <w:tcPr>
            <w:tcW w:w="2558" w:type="dxa"/>
            <w:gridSpan w:val="2"/>
          </w:tcPr>
          <w:p>
            <w:pPr>
              <w:pStyle w:val="nTable"/>
              <w:spacing w:after="40"/>
            </w:pPr>
            <w:r>
              <w:t>30 Apr 1998 (see s. 2(1))</w:t>
            </w:r>
          </w:p>
        </w:tc>
      </w:tr>
      <w:tr>
        <w:trPr>
          <w:gridBefore w:val="1"/>
          <w:wBefore w:w="13" w:type="dxa"/>
          <w:cantSplit/>
        </w:trPr>
        <w:tc>
          <w:tcPr>
            <w:tcW w:w="2212" w:type="dxa"/>
          </w:tcPr>
          <w:p>
            <w:pPr>
              <w:pStyle w:val="nTable"/>
              <w:spacing w:after="40"/>
              <w:ind w:right="113"/>
            </w:pPr>
            <w:r>
              <w:rPr>
                <w:i/>
              </w:rPr>
              <w:t>Gas Pipelines Access (Western Australia) Act 1998</w:t>
            </w:r>
            <w:r>
              <w:t xml:space="preserve"> Sch. 3 Div. 8</w:t>
            </w:r>
          </w:p>
        </w:tc>
        <w:tc>
          <w:tcPr>
            <w:tcW w:w="1134" w:type="dxa"/>
          </w:tcPr>
          <w:p>
            <w:pPr>
              <w:pStyle w:val="nTable"/>
              <w:spacing w:after="40"/>
            </w:pPr>
            <w:r>
              <w:t>65 of 1998</w:t>
            </w:r>
          </w:p>
        </w:tc>
        <w:tc>
          <w:tcPr>
            <w:tcW w:w="1276" w:type="dxa"/>
          </w:tcPr>
          <w:p>
            <w:pPr>
              <w:pStyle w:val="nTable"/>
              <w:spacing w:after="40"/>
            </w:pPr>
            <w:r>
              <w:t>15 Jan 1999</w:t>
            </w:r>
          </w:p>
        </w:tc>
        <w:tc>
          <w:tcPr>
            <w:tcW w:w="2558" w:type="dxa"/>
            <w:gridSpan w:val="2"/>
          </w:tcPr>
          <w:p>
            <w:pPr>
              <w:pStyle w:val="nTable"/>
              <w:spacing w:after="40"/>
            </w:pPr>
            <w:r>
              <w:t xml:space="preserve">9 Feb 1999 (see s. 2 and </w:t>
            </w:r>
            <w:r>
              <w:rPr>
                <w:i/>
              </w:rPr>
              <w:t>Gazette</w:t>
            </w:r>
            <w:r>
              <w:t xml:space="preserve"> 8 Feb 1999 p. 441)</w:t>
            </w:r>
          </w:p>
        </w:tc>
      </w:tr>
      <w:tr>
        <w:trPr>
          <w:gridBefore w:val="1"/>
          <w:wBefore w:w="13" w:type="dxa"/>
          <w:cantSplit/>
        </w:trPr>
        <w:tc>
          <w:tcPr>
            <w:tcW w:w="2212" w:type="dxa"/>
          </w:tcPr>
          <w:p>
            <w:pPr>
              <w:pStyle w:val="nTable"/>
              <w:spacing w:after="40"/>
              <w:ind w:right="113"/>
            </w:pPr>
            <w:r>
              <w:rPr>
                <w:i/>
              </w:rPr>
              <w:lastRenderedPageBreak/>
              <w:t xml:space="preserve">Prisons Amendment Act 1999 </w:t>
            </w:r>
            <w:r>
              <w:t>s. 20 (Sch. 1 cl. 5)</w:t>
            </w:r>
          </w:p>
        </w:tc>
        <w:tc>
          <w:tcPr>
            <w:tcW w:w="1134" w:type="dxa"/>
          </w:tcPr>
          <w:p>
            <w:pPr>
              <w:pStyle w:val="nTable"/>
              <w:spacing w:after="40"/>
            </w:pPr>
            <w:r>
              <w:t>43 of 1999</w:t>
            </w:r>
          </w:p>
        </w:tc>
        <w:tc>
          <w:tcPr>
            <w:tcW w:w="1276" w:type="dxa"/>
          </w:tcPr>
          <w:p>
            <w:pPr>
              <w:pStyle w:val="nTable"/>
              <w:spacing w:after="40"/>
            </w:pPr>
            <w:r>
              <w:t>8 Dec 1999</w:t>
            </w:r>
          </w:p>
        </w:tc>
        <w:tc>
          <w:tcPr>
            <w:tcW w:w="2558" w:type="dxa"/>
            <w:gridSpan w:val="2"/>
          </w:tcPr>
          <w:p>
            <w:pPr>
              <w:pStyle w:val="nTable"/>
              <w:spacing w:after="40"/>
            </w:pPr>
            <w:r>
              <w:t xml:space="preserve">Sch. 1 cl. 5(1), (3) and (4): 18 Dec 1999 (see s. 2(2) and </w:t>
            </w:r>
            <w:r>
              <w:rPr>
                <w:i/>
              </w:rPr>
              <w:t>Gazette</w:t>
            </w:r>
            <w:r>
              <w:t xml:space="preserve"> 17 Dec 1999 p. 6175); </w:t>
            </w:r>
            <w:r>
              <w:br/>
              <w:t>Sch. 1 cl. 5(2) and (5)</w:t>
            </w:r>
            <w:r>
              <w:noBreakHyphen/>
              <w:t xml:space="preserve">(7): 18 Jun 2000 (see s. 2(3) and (4) and </w:t>
            </w:r>
            <w:r>
              <w:rPr>
                <w:i/>
              </w:rPr>
              <w:t>Gazette</w:t>
            </w:r>
            <w:r>
              <w:t xml:space="preserve"> 16 Jun 2000 p. 2939)</w:t>
            </w:r>
          </w:p>
        </w:tc>
      </w:tr>
      <w:tr>
        <w:trPr>
          <w:gridBefore w:val="1"/>
          <w:wBefore w:w="13" w:type="dxa"/>
          <w:cantSplit/>
        </w:trPr>
        <w:tc>
          <w:tcPr>
            <w:tcW w:w="2212" w:type="dxa"/>
          </w:tcPr>
          <w:p>
            <w:pPr>
              <w:pStyle w:val="nTable"/>
              <w:spacing w:after="40"/>
              <w:ind w:right="113"/>
              <w:rPr>
                <w:i/>
              </w:rPr>
            </w:pPr>
            <w:r>
              <w:rPr>
                <w:i/>
              </w:rPr>
              <w:t>Court Security and Custodial Services (Consequential Provisions) Act 1999</w:t>
            </w:r>
            <w:r>
              <w:t xml:space="preserve"> Pt. 8</w:t>
            </w:r>
          </w:p>
        </w:tc>
        <w:tc>
          <w:tcPr>
            <w:tcW w:w="1134" w:type="dxa"/>
          </w:tcPr>
          <w:p>
            <w:pPr>
              <w:pStyle w:val="nTable"/>
              <w:spacing w:after="40"/>
            </w:pPr>
            <w:r>
              <w:t>47 of 1999</w:t>
            </w:r>
          </w:p>
        </w:tc>
        <w:tc>
          <w:tcPr>
            <w:tcW w:w="1276" w:type="dxa"/>
          </w:tcPr>
          <w:p>
            <w:pPr>
              <w:pStyle w:val="nTable"/>
              <w:spacing w:after="40"/>
            </w:pPr>
            <w:r>
              <w:t>8 Dec 1999</w:t>
            </w:r>
          </w:p>
        </w:tc>
        <w:tc>
          <w:tcPr>
            <w:tcW w:w="2558" w:type="dxa"/>
            <w:gridSpan w:val="2"/>
          </w:tcPr>
          <w:p>
            <w:pPr>
              <w:pStyle w:val="nTable"/>
              <w:spacing w:after="40"/>
            </w:pPr>
            <w:r>
              <w:t xml:space="preserve">18 Dec 1999 (see s. 2 and </w:t>
            </w:r>
            <w:r>
              <w:rPr>
                <w:i/>
              </w:rPr>
              <w:t>Gazette</w:t>
            </w:r>
            <w:r>
              <w:t xml:space="preserve"> 17 Dec 1999 p. 6175</w:t>
            </w:r>
            <w:r>
              <w:noBreakHyphen/>
              <w:t>6)</w:t>
            </w:r>
          </w:p>
        </w:tc>
      </w:tr>
      <w:tr>
        <w:trPr>
          <w:gridBefore w:val="1"/>
          <w:wBefore w:w="13" w:type="dxa"/>
          <w:cantSplit/>
        </w:trPr>
        <w:tc>
          <w:tcPr>
            <w:tcW w:w="2212" w:type="dxa"/>
          </w:tcPr>
          <w:p>
            <w:pPr>
              <w:pStyle w:val="nTable"/>
              <w:spacing w:after="40"/>
              <w:ind w:right="113"/>
            </w:pPr>
            <w:r>
              <w:rPr>
                <w:i/>
              </w:rPr>
              <w:t>Railways (Access) Amendment Act 2000</w:t>
            </w:r>
            <w:r>
              <w:t xml:space="preserve"> s. 12</w:t>
            </w:r>
          </w:p>
        </w:tc>
        <w:tc>
          <w:tcPr>
            <w:tcW w:w="1134" w:type="dxa"/>
          </w:tcPr>
          <w:p>
            <w:pPr>
              <w:pStyle w:val="nTable"/>
              <w:spacing w:after="40"/>
            </w:pPr>
            <w:r>
              <w:t>55 of 2000</w:t>
            </w:r>
          </w:p>
        </w:tc>
        <w:tc>
          <w:tcPr>
            <w:tcW w:w="1276" w:type="dxa"/>
          </w:tcPr>
          <w:p>
            <w:pPr>
              <w:pStyle w:val="nTable"/>
              <w:spacing w:after="40"/>
            </w:pPr>
            <w:r>
              <w:t>28 Nov 2000</w:t>
            </w:r>
          </w:p>
        </w:tc>
        <w:tc>
          <w:tcPr>
            <w:tcW w:w="2558" w:type="dxa"/>
            <w:gridSpan w:val="2"/>
          </w:tcPr>
          <w:p>
            <w:pPr>
              <w:pStyle w:val="nTable"/>
              <w:spacing w:after="40"/>
            </w:pPr>
            <w:r>
              <w:t>28 Nov 2000 (see s. 2)</w:t>
            </w:r>
          </w:p>
        </w:tc>
      </w:tr>
      <w:tr>
        <w:trPr>
          <w:gridBefore w:val="1"/>
          <w:wBefore w:w="13" w:type="dxa"/>
          <w:cantSplit/>
        </w:trPr>
        <w:tc>
          <w:tcPr>
            <w:tcW w:w="7180" w:type="dxa"/>
            <w:gridSpan w:val="5"/>
          </w:tcPr>
          <w:p>
            <w:pPr>
              <w:pStyle w:val="nTable"/>
              <w:spacing w:after="40"/>
            </w:pPr>
            <w:r>
              <w:rPr>
                <w:b/>
              </w:rPr>
              <w:t xml:space="preserve">Reprint of the </w:t>
            </w:r>
            <w:r>
              <w:rPr>
                <w:b/>
                <w:i/>
              </w:rPr>
              <w:t>Parliamentary Commissioner Act 1971</w:t>
            </w:r>
            <w:r>
              <w:rPr>
                <w:b/>
              </w:rPr>
              <w:t xml:space="preserve"> as at 16 Mar 2001</w:t>
            </w:r>
            <w:r>
              <w:t xml:space="preserve"> (includes amendments listed above)</w:t>
            </w:r>
          </w:p>
        </w:tc>
      </w:tr>
      <w:tr>
        <w:trPr>
          <w:gridBefore w:val="1"/>
          <w:wBefore w:w="13" w:type="dxa"/>
          <w:cantSplit/>
        </w:trPr>
        <w:tc>
          <w:tcPr>
            <w:tcW w:w="2212" w:type="dxa"/>
          </w:tcPr>
          <w:p>
            <w:pPr>
              <w:pStyle w:val="nTable"/>
              <w:spacing w:after="40"/>
              <w:ind w:right="113"/>
            </w:pPr>
            <w:r>
              <w:rPr>
                <w:i/>
              </w:rPr>
              <w:t>Racing and Gambling Legislation Amendment and Repeal Act 2003</w:t>
            </w:r>
            <w:r>
              <w:t xml:space="preserve"> s. 22</w:t>
            </w:r>
          </w:p>
        </w:tc>
        <w:tc>
          <w:tcPr>
            <w:tcW w:w="1134" w:type="dxa"/>
          </w:tcPr>
          <w:p>
            <w:pPr>
              <w:pStyle w:val="nTable"/>
              <w:spacing w:after="40"/>
            </w:pPr>
            <w:r>
              <w:t>35 of 2003</w:t>
            </w:r>
          </w:p>
        </w:tc>
        <w:tc>
          <w:tcPr>
            <w:tcW w:w="1276" w:type="dxa"/>
          </w:tcPr>
          <w:p>
            <w:pPr>
              <w:pStyle w:val="nTable"/>
              <w:spacing w:after="40"/>
            </w:pPr>
            <w:r>
              <w:t>26 Jun 2003</w:t>
            </w:r>
          </w:p>
        </w:tc>
        <w:tc>
          <w:tcPr>
            <w:tcW w:w="2558" w:type="dxa"/>
            <w:gridSpan w:val="2"/>
          </w:tcPr>
          <w:p>
            <w:pPr>
              <w:pStyle w:val="nTable"/>
              <w:spacing w:after="40"/>
            </w:pPr>
            <w:r>
              <w:t xml:space="preserve">1 Aug 2003 (see s. 2 and </w:t>
            </w:r>
            <w:r>
              <w:rPr>
                <w:i/>
              </w:rPr>
              <w:t>Gazette</w:t>
            </w:r>
            <w:r>
              <w:t xml:space="preserve"> 29 Jul 2003 p. 3259)</w:t>
            </w:r>
          </w:p>
        </w:tc>
      </w:tr>
      <w:tr>
        <w:trPr>
          <w:gridBefore w:val="1"/>
          <w:wBefore w:w="13" w:type="dxa"/>
          <w:cantSplit/>
        </w:trPr>
        <w:tc>
          <w:tcPr>
            <w:tcW w:w="2212" w:type="dxa"/>
          </w:tcPr>
          <w:p>
            <w:pPr>
              <w:pStyle w:val="nTable"/>
              <w:spacing w:after="40"/>
              <w:ind w:right="113"/>
              <w:rPr>
                <w:i/>
              </w:rPr>
            </w:pPr>
            <w:r>
              <w:rPr>
                <w:i/>
              </w:rPr>
              <w:t>Energy Legislation Amendment Act 2003</w:t>
            </w:r>
            <w:r>
              <w:t xml:space="preserve"> s. 34</w:t>
            </w:r>
          </w:p>
        </w:tc>
        <w:tc>
          <w:tcPr>
            <w:tcW w:w="1134" w:type="dxa"/>
          </w:tcPr>
          <w:p>
            <w:pPr>
              <w:pStyle w:val="nTable"/>
              <w:spacing w:after="40"/>
            </w:pPr>
            <w:r>
              <w:t>53 of 2003</w:t>
            </w:r>
          </w:p>
        </w:tc>
        <w:tc>
          <w:tcPr>
            <w:tcW w:w="1276" w:type="dxa"/>
          </w:tcPr>
          <w:p>
            <w:pPr>
              <w:pStyle w:val="nTable"/>
              <w:spacing w:after="40"/>
            </w:pPr>
            <w:r>
              <w:t>8 Oct 2003</w:t>
            </w:r>
          </w:p>
        </w:tc>
        <w:tc>
          <w:tcPr>
            <w:tcW w:w="2558" w:type="dxa"/>
            <w:gridSpan w:val="2"/>
          </w:tcPr>
          <w:p>
            <w:pPr>
              <w:pStyle w:val="nTable"/>
              <w:spacing w:after="40"/>
            </w:pPr>
            <w:r>
              <w:t xml:space="preserve">17 Apr 2004 (see s. 2(2)(b) and </w:t>
            </w:r>
            <w:r>
              <w:rPr>
                <w:i/>
              </w:rPr>
              <w:t>Gazette</w:t>
            </w:r>
            <w:r>
              <w:t xml:space="preserve"> 16 Apr 2004 p. 1209)</w:t>
            </w:r>
          </w:p>
        </w:tc>
      </w:tr>
      <w:tr>
        <w:trPr>
          <w:gridBefore w:val="1"/>
          <w:wBefore w:w="13" w:type="dxa"/>
          <w:cantSplit/>
        </w:trPr>
        <w:tc>
          <w:tcPr>
            <w:tcW w:w="2212" w:type="dxa"/>
          </w:tcPr>
          <w:p>
            <w:pPr>
              <w:pStyle w:val="nTable"/>
              <w:spacing w:after="40"/>
              <w:ind w:right="113"/>
              <w:rPr>
                <w:i/>
                <w:vertAlign w:val="superscript"/>
              </w:rPr>
            </w:pPr>
            <w:r>
              <w:rPr>
                <w:i/>
              </w:rPr>
              <w:t>Economic Regulation Authority Act 2003</w:t>
            </w:r>
            <w:r>
              <w:t xml:space="preserve"> Sch. 2 Div. 10</w:t>
            </w:r>
          </w:p>
        </w:tc>
        <w:tc>
          <w:tcPr>
            <w:tcW w:w="1134" w:type="dxa"/>
          </w:tcPr>
          <w:p>
            <w:pPr>
              <w:pStyle w:val="nTable"/>
              <w:spacing w:after="40"/>
            </w:pPr>
            <w:r>
              <w:t>67 of 2003</w:t>
            </w:r>
          </w:p>
        </w:tc>
        <w:tc>
          <w:tcPr>
            <w:tcW w:w="1276" w:type="dxa"/>
          </w:tcPr>
          <w:p>
            <w:pPr>
              <w:pStyle w:val="nTable"/>
              <w:spacing w:after="40"/>
            </w:pPr>
            <w:r>
              <w:t>5 Dec 2003</w:t>
            </w:r>
          </w:p>
        </w:tc>
        <w:tc>
          <w:tcPr>
            <w:tcW w:w="2558" w:type="dxa"/>
            <w:gridSpan w:val="2"/>
          </w:tcPr>
          <w:p>
            <w:pPr>
              <w:pStyle w:val="nTable"/>
              <w:spacing w:after="40"/>
            </w:pPr>
            <w:r>
              <w:t xml:space="preserve">1 Jan 2004 (see s. 2 and </w:t>
            </w:r>
            <w:r>
              <w:rPr>
                <w:i/>
              </w:rPr>
              <w:t>Gazette</w:t>
            </w:r>
            <w:r>
              <w:t xml:space="preserve"> 30 Dec 2003 p. 5723)</w:t>
            </w:r>
          </w:p>
        </w:tc>
      </w:tr>
      <w:tr>
        <w:trPr>
          <w:gridBefore w:val="1"/>
          <w:wBefore w:w="13" w:type="dxa"/>
          <w:cantSplit/>
        </w:trPr>
        <w:tc>
          <w:tcPr>
            <w:tcW w:w="2212" w:type="dxa"/>
          </w:tcPr>
          <w:p>
            <w:pPr>
              <w:pStyle w:val="nTable"/>
              <w:spacing w:after="40"/>
              <w:ind w:right="113"/>
            </w:pPr>
            <w:r>
              <w:rPr>
                <w:i/>
              </w:rPr>
              <w:t>Statutes (Repeals and Minor Amendments) Act 2003</w:t>
            </w:r>
            <w:r>
              <w:t xml:space="preserve"> s. 91</w:t>
            </w:r>
            <w:r>
              <w:rPr>
                <w:vertAlign w:val="superscript"/>
              </w:rPr>
              <w:t> 5</w:t>
            </w:r>
          </w:p>
        </w:tc>
        <w:tc>
          <w:tcPr>
            <w:tcW w:w="1134" w:type="dxa"/>
          </w:tcPr>
          <w:p>
            <w:pPr>
              <w:pStyle w:val="nTable"/>
              <w:spacing w:after="40"/>
            </w:pPr>
            <w:r>
              <w:t>74 of 2003</w:t>
            </w:r>
          </w:p>
        </w:tc>
        <w:tc>
          <w:tcPr>
            <w:tcW w:w="1276" w:type="dxa"/>
          </w:tcPr>
          <w:p>
            <w:pPr>
              <w:pStyle w:val="nTable"/>
              <w:spacing w:after="40"/>
            </w:pPr>
            <w:r>
              <w:t>15 Dec 2003</w:t>
            </w:r>
          </w:p>
        </w:tc>
        <w:tc>
          <w:tcPr>
            <w:tcW w:w="2558" w:type="dxa"/>
            <w:gridSpan w:val="2"/>
          </w:tcPr>
          <w:p>
            <w:pPr>
              <w:pStyle w:val="nTable"/>
              <w:spacing w:after="40"/>
            </w:pPr>
            <w:r>
              <w:t>15 Dec 2003 (see s. 2)</w:t>
            </w:r>
          </w:p>
        </w:tc>
      </w:tr>
      <w:tr>
        <w:trPr>
          <w:gridBefore w:val="1"/>
          <w:wBefore w:w="13" w:type="dxa"/>
          <w:cantSplit/>
        </w:trPr>
        <w:tc>
          <w:tcPr>
            <w:tcW w:w="2212" w:type="dxa"/>
          </w:tcPr>
          <w:p>
            <w:pPr>
              <w:pStyle w:val="nTable"/>
              <w:spacing w:after="40"/>
              <w:ind w:right="113"/>
            </w:pPr>
            <w:r>
              <w:rPr>
                <w:i/>
              </w:rPr>
              <w:t>Inspector of Custodial Services Act 2003</w:t>
            </w:r>
            <w:r>
              <w:t xml:space="preserve"> s. 56(1)</w:t>
            </w:r>
          </w:p>
        </w:tc>
        <w:tc>
          <w:tcPr>
            <w:tcW w:w="1134" w:type="dxa"/>
          </w:tcPr>
          <w:p>
            <w:pPr>
              <w:pStyle w:val="nTable"/>
              <w:spacing w:after="40"/>
            </w:pPr>
            <w:r>
              <w:t>75 of 2003</w:t>
            </w:r>
          </w:p>
        </w:tc>
        <w:tc>
          <w:tcPr>
            <w:tcW w:w="1276" w:type="dxa"/>
          </w:tcPr>
          <w:p>
            <w:pPr>
              <w:pStyle w:val="nTable"/>
              <w:spacing w:after="40"/>
            </w:pPr>
            <w:r>
              <w:t>15 Dec 2003</w:t>
            </w:r>
          </w:p>
        </w:tc>
        <w:tc>
          <w:tcPr>
            <w:tcW w:w="2558" w:type="dxa"/>
            <w:gridSpan w:val="2"/>
          </w:tcPr>
          <w:p>
            <w:pPr>
              <w:pStyle w:val="nTable"/>
              <w:spacing w:after="40"/>
            </w:pPr>
            <w:r>
              <w:t>15 Dec 2003 (see s. 2)</w:t>
            </w:r>
          </w:p>
        </w:tc>
      </w:tr>
      <w:tr>
        <w:trPr>
          <w:gridBefore w:val="1"/>
          <w:wBefore w:w="13" w:type="dxa"/>
          <w:cantSplit/>
        </w:trPr>
        <w:tc>
          <w:tcPr>
            <w:tcW w:w="2212" w:type="dxa"/>
          </w:tcPr>
          <w:p>
            <w:pPr>
              <w:pStyle w:val="nTable"/>
              <w:spacing w:after="40"/>
              <w:ind w:right="113"/>
              <w:rPr>
                <w:i/>
              </w:rPr>
            </w:pPr>
            <w:r>
              <w:rPr>
                <w:i/>
              </w:rPr>
              <w:t xml:space="preserve">Corruption and Crime Commission Amendment and Repeal Act 2003 </w:t>
            </w:r>
            <w:r>
              <w:t>s. 72</w:t>
            </w:r>
            <w:r>
              <w:noBreakHyphen/>
              <w:t>74</w:t>
            </w:r>
            <w:r>
              <w:rPr>
                <w:vertAlign w:val="superscript"/>
              </w:rPr>
              <w:t> 6</w:t>
            </w:r>
          </w:p>
        </w:tc>
        <w:tc>
          <w:tcPr>
            <w:tcW w:w="1134" w:type="dxa"/>
          </w:tcPr>
          <w:p>
            <w:pPr>
              <w:pStyle w:val="nTable"/>
              <w:spacing w:after="40"/>
            </w:pPr>
            <w:r>
              <w:t>78 of 2003</w:t>
            </w:r>
          </w:p>
        </w:tc>
        <w:tc>
          <w:tcPr>
            <w:tcW w:w="1276" w:type="dxa"/>
          </w:tcPr>
          <w:p>
            <w:pPr>
              <w:pStyle w:val="nTable"/>
              <w:spacing w:after="40"/>
            </w:pPr>
            <w:r>
              <w:t>22 Dec 2003</w:t>
            </w:r>
          </w:p>
        </w:tc>
        <w:tc>
          <w:tcPr>
            <w:tcW w:w="2558" w:type="dxa"/>
            <w:gridSpan w:val="2"/>
          </w:tcPr>
          <w:p>
            <w:pPr>
              <w:pStyle w:val="nTable"/>
              <w:spacing w:after="40"/>
            </w:pPr>
            <w:r>
              <w:t xml:space="preserve">s. 72(1), 73 and 74(1): 1 Jan 2004 (see s. 2 and </w:t>
            </w:r>
            <w:r>
              <w:rPr>
                <w:i/>
              </w:rPr>
              <w:t xml:space="preserve">Gazette </w:t>
            </w:r>
            <w:r>
              <w:t>30 Dec 2003 p. 5723);</w:t>
            </w:r>
            <w:r>
              <w:br/>
              <w:t xml:space="preserve">s. 72(2) and 74(2): 7 Jul 2004 (see s. 2 and </w:t>
            </w:r>
            <w:r>
              <w:rPr>
                <w:i/>
              </w:rPr>
              <w:t>Gazette</w:t>
            </w:r>
            <w:r>
              <w:t xml:space="preserve"> 6 Jul 2004 p. 2697)</w:t>
            </w:r>
          </w:p>
        </w:tc>
      </w:tr>
      <w:tr>
        <w:trPr>
          <w:gridBefore w:val="1"/>
          <w:wBefore w:w="13" w:type="dxa"/>
          <w:cantSplit/>
        </w:trPr>
        <w:tc>
          <w:tcPr>
            <w:tcW w:w="7180" w:type="dxa"/>
            <w:gridSpan w:val="5"/>
          </w:tcPr>
          <w:p>
            <w:pPr>
              <w:pStyle w:val="nTable"/>
              <w:spacing w:after="40"/>
            </w:pPr>
            <w:r>
              <w:rPr>
                <w:b/>
              </w:rPr>
              <w:lastRenderedPageBreak/>
              <w:t xml:space="preserve">Reprint 7: The </w:t>
            </w:r>
            <w:r>
              <w:rPr>
                <w:b/>
                <w:i/>
              </w:rPr>
              <w:t>Parliamentary Commissioner Act 1971</w:t>
            </w:r>
            <w:r>
              <w:rPr>
                <w:b/>
              </w:rPr>
              <w:t xml:space="preserve"> as at 1 Oct 2004</w:t>
            </w:r>
            <w:r>
              <w:rPr>
                <w:b/>
              </w:rPr>
              <w:br/>
            </w:r>
            <w:r>
              <w:t>(includes amendments listed above)</w:t>
            </w:r>
          </w:p>
        </w:tc>
      </w:tr>
      <w:tr>
        <w:trPr>
          <w:gridBefore w:val="1"/>
          <w:wBefore w:w="13" w:type="dxa"/>
          <w:cantSplit/>
        </w:trPr>
        <w:tc>
          <w:tcPr>
            <w:tcW w:w="2212" w:type="dxa"/>
          </w:tcPr>
          <w:p>
            <w:pPr>
              <w:pStyle w:val="nTable"/>
              <w:spacing w:after="40"/>
              <w:ind w:right="113"/>
            </w:pPr>
            <w:r>
              <w:rPr>
                <w:i/>
              </w:rPr>
              <w:t>Electricity Legislation Amendment Act 2004</w:t>
            </w:r>
            <w:r>
              <w:t xml:space="preserve"> Pt. 2 Div. 5</w:t>
            </w:r>
          </w:p>
        </w:tc>
        <w:tc>
          <w:tcPr>
            <w:tcW w:w="1134" w:type="dxa"/>
          </w:tcPr>
          <w:p>
            <w:pPr>
              <w:pStyle w:val="nTable"/>
              <w:spacing w:after="40"/>
            </w:pPr>
            <w:r>
              <w:t>33 of 2004</w:t>
            </w:r>
          </w:p>
        </w:tc>
        <w:tc>
          <w:tcPr>
            <w:tcW w:w="1276" w:type="dxa"/>
          </w:tcPr>
          <w:p>
            <w:pPr>
              <w:pStyle w:val="nTable"/>
              <w:spacing w:after="40"/>
            </w:pPr>
            <w:r>
              <w:t>20 Oct 2004</w:t>
            </w:r>
          </w:p>
        </w:tc>
        <w:tc>
          <w:tcPr>
            <w:tcW w:w="2558" w:type="dxa"/>
            <w:gridSpan w:val="2"/>
          </w:tcPr>
          <w:p>
            <w:pPr>
              <w:pStyle w:val="nTable"/>
              <w:spacing w:after="40"/>
            </w:pPr>
            <w:r>
              <w:t xml:space="preserve">25 Jun 2005 (see s. 2 and </w:t>
            </w:r>
            <w:r>
              <w:rPr>
                <w:i/>
              </w:rPr>
              <w:t>Gazette</w:t>
            </w:r>
            <w:r>
              <w:t xml:space="preserve"> 24 Jun 2005 p. 2751)</w:t>
            </w:r>
          </w:p>
        </w:tc>
      </w:tr>
      <w:tr>
        <w:trPr>
          <w:gridBefore w:val="1"/>
          <w:wBefore w:w="13" w:type="dxa"/>
          <w:cantSplit/>
        </w:trPr>
        <w:tc>
          <w:tcPr>
            <w:tcW w:w="2212" w:type="dxa"/>
          </w:tcPr>
          <w:p>
            <w:pPr>
              <w:pStyle w:val="nTable"/>
              <w:spacing w:after="40"/>
              <w:ind w:right="113"/>
            </w:pPr>
            <w:r>
              <w:rPr>
                <w:i/>
              </w:rPr>
              <w:t>State Administrative Tribunal Act 2004</w:t>
            </w:r>
            <w:r>
              <w:t xml:space="preserve"> s. 177</w:t>
            </w:r>
          </w:p>
        </w:tc>
        <w:tc>
          <w:tcPr>
            <w:tcW w:w="1134" w:type="dxa"/>
          </w:tcPr>
          <w:p>
            <w:pPr>
              <w:pStyle w:val="nTable"/>
              <w:spacing w:after="40"/>
            </w:pPr>
            <w:r>
              <w:t>54 of 2004</w:t>
            </w:r>
          </w:p>
        </w:tc>
        <w:tc>
          <w:tcPr>
            <w:tcW w:w="1276" w:type="dxa"/>
          </w:tcPr>
          <w:p>
            <w:pPr>
              <w:pStyle w:val="nTable"/>
              <w:spacing w:after="40"/>
            </w:pPr>
            <w:r>
              <w:t>23 Nov 2004</w:t>
            </w:r>
          </w:p>
        </w:tc>
        <w:tc>
          <w:tcPr>
            <w:tcW w:w="2558" w:type="dxa"/>
            <w:gridSpan w:val="2"/>
          </w:tcPr>
          <w:p>
            <w:pPr>
              <w:pStyle w:val="nTable"/>
              <w:spacing w:after="40"/>
            </w:pPr>
            <w:r>
              <w:t xml:space="preserve">1 Jan 2005 (see s. 2 and </w:t>
            </w:r>
            <w:r>
              <w:rPr>
                <w:i/>
              </w:rPr>
              <w:t>Gazette</w:t>
            </w:r>
            <w:r>
              <w:t xml:space="preserve"> 31 Dec 2004 p. 7129)</w:t>
            </w:r>
          </w:p>
        </w:tc>
      </w:tr>
      <w:tr>
        <w:trPr>
          <w:gridBefore w:val="1"/>
          <w:wBefore w:w="13" w:type="dxa"/>
          <w:cantSplit/>
        </w:trPr>
        <w:tc>
          <w:tcPr>
            <w:tcW w:w="2212"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276" w:type="dxa"/>
          </w:tcPr>
          <w:p>
            <w:pPr>
              <w:pStyle w:val="nTable"/>
              <w:spacing w:after="40"/>
            </w:pPr>
            <w:r>
              <w:t>23 Nov 2004</w:t>
            </w:r>
          </w:p>
        </w:tc>
        <w:tc>
          <w:tcPr>
            <w:tcW w:w="2558"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Before w:val="1"/>
          <w:wBefore w:w="13" w:type="dxa"/>
          <w:cantSplit/>
        </w:trPr>
        <w:tc>
          <w:tcPr>
            <w:tcW w:w="2212" w:type="dxa"/>
          </w:tcPr>
          <w:p>
            <w:pPr>
              <w:pStyle w:val="nTable"/>
              <w:spacing w:after="40"/>
              <w:ind w:right="113"/>
              <w:rPr>
                <w:i/>
                <w:vertAlign w:val="superscript"/>
              </w:rPr>
            </w:pPr>
            <w:r>
              <w:rPr>
                <w:i/>
              </w:rPr>
              <w:t>State Administrative Tribunal (Conferral of Jurisdiction) Amendment and Repeal Act 2004</w:t>
            </w:r>
            <w:r>
              <w:t xml:space="preserve"> s. 1325</w:t>
            </w:r>
            <w:r>
              <w:rPr>
                <w:vertAlign w:val="superscript"/>
              </w:rPr>
              <w:t> 7</w:t>
            </w:r>
          </w:p>
        </w:tc>
        <w:tc>
          <w:tcPr>
            <w:tcW w:w="1134" w:type="dxa"/>
          </w:tcPr>
          <w:p>
            <w:pPr>
              <w:pStyle w:val="nTable"/>
              <w:spacing w:after="40"/>
            </w:pPr>
            <w:r>
              <w:t>55 of 2004</w:t>
            </w:r>
          </w:p>
        </w:tc>
        <w:tc>
          <w:tcPr>
            <w:tcW w:w="1276" w:type="dxa"/>
          </w:tcPr>
          <w:p>
            <w:pPr>
              <w:pStyle w:val="nTable"/>
              <w:spacing w:after="40"/>
            </w:pPr>
            <w:r>
              <w:t>24 Nov 2004</w:t>
            </w:r>
          </w:p>
        </w:tc>
        <w:tc>
          <w:tcPr>
            <w:tcW w:w="2558" w:type="dxa"/>
            <w:gridSpan w:val="2"/>
          </w:tcPr>
          <w:p>
            <w:pPr>
              <w:pStyle w:val="nTable"/>
              <w:spacing w:after="40"/>
            </w:pPr>
            <w:r>
              <w:t xml:space="preserve">1 Jan 2005 (see s. 2 and </w:t>
            </w:r>
            <w:r>
              <w:rPr>
                <w:i/>
              </w:rPr>
              <w:t>Gazette</w:t>
            </w:r>
            <w:r>
              <w:t xml:space="preserve"> 31 Dec 2004 p. 7130)</w:t>
            </w:r>
          </w:p>
        </w:tc>
      </w:tr>
      <w:tr>
        <w:trPr>
          <w:gridBefore w:val="1"/>
          <w:wBefore w:w="13" w:type="dxa"/>
          <w:cantSplit/>
        </w:trPr>
        <w:tc>
          <w:tcPr>
            <w:tcW w:w="2212" w:type="dxa"/>
          </w:tcPr>
          <w:p>
            <w:pPr>
              <w:pStyle w:val="nTable"/>
              <w:spacing w:after="40"/>
              <w:ind w:right="113"/>
              <w:rPr>
                <w:i/>
              </w:rPr>
            </w:pPr>
            <w:r>
              <w:rPr>
                <w:i/>
                <w:snapToGrid w:val="0"/>
              </w:rPr>
              <w:t xml:space="preserve">Financial Legislation Amendment and Repeal Act 2006 </w:t>
            </w:r>
            <w:r>
              <w:rPr>
                <w:snapToGrid w:val="0"/>
              </w:rPr>
              <w:t>s. 4 and Sch. 1 cl. 118</w:t>
            </w:r>
          </w:p>
        </w:tc>
        <w:tc>
          <w:tcPr>
            <w:tcW w:w="1134" w:type="dxa"/>
          </w:tcPr>
          <w:p>
            <w:pPr>
              <w:pStyle w:val="nTable"/>
              <w:spacing w:after="40"/>
            </w:pPr>
            <w:r>
              <w:rPr>
                <w:snapToGrid w:val="0"/>
              </w:rPr>
              <w:t xml:space="preserve">77 of 2006 </w:t>
            </w:r>
          </w:p>
        </w:tc>
        <w:tc>
          <w:tcPr>
            <w:tcW w:w="1276" w:type="dxa"/>
          </w:tcPr>
          <w:p>
            <w:pPr>
              <w:pStyle w:val="nTable"/>
              <w:spacing w:after="40"/>
            </w:pPr>
            <w:r>
              <w:rPr>
                <w:snapToGrid w:val="0"/>
              </w:rPr>
              <w:t>21 Dec 2006</w:t>
            </w:r>
          </w:p>
        </w:tc>
        <w:tc>
          <w:tcPr>
            <w:tcW w:w="2558" w:type="dxa"/>
            <w:gridSpan w:val="2"/>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1"/>
          <w:wBefore w:w="13" w:type="dxa"/>
          <w:cantSplit/>
        </w:trPr>
        <w:tc>
          <w:tcPr>
            <w:tcW w:w="7180" w:type="dxa"/>
            <w:gridSpan w:val="5"/>
          </w:tcPr>
          <w:p>
            <w:pPr>
              <w:pStyle w:val="nTable"/>
              <w:spacing w:after="40"/>
              <w:rPr>
                <w:snapToGrid w:val="0"/>
              </w:rPr>
            </w:pPr>
            <w:r>
              <w:rPr>
                <w:b/>
              </w:rPr>
              <w:t xml:space="preserve">Reprint 8: The </w:t>
            </w:r>
            <w:r>
              <w:rPr>
                <w:b/>
                <w:i/>
              </w:rPr>
              <w:t>Parliamentary Commissioner Act 1971</w:t>
            </w:r>
            <w:r>
              <w:rPr>
                <w:b/>
              </w:rPr>
              <w:t xml:space="preserve"> as at 3 Oct 2008 </w:t>
            </w:r>
            <w:r>
              <w:t>(includes amendments listed above)</w:t>
            </w:r>
          </w:p>
        </w:tc>
      </w:tr>
      <w:tr>
        <w:trPr>
          <w:gridBefore w:val="1"/>
          <w:wBefore w:w="13" w:type="dxa"/>
          <w:cantSplit/>
        </w:trPr>
        <w:tc>
          <w:tcPr>
            <w:tcW w:w="2212" w:type="dxa"/>
          </w:tcPr>
          <w:p>
            <w:pPr>
              <w:pStyle w:val="nTable"/>
              <w:spacing w:after="40"/>
              <w:ind w:right="113"/>
              <w:rPr>
                <w:iCs/>
              </w:rPr>
            </w:pPr>
            <w:r>
              <w:rPr>
                <w:i/>
                <w:snapToGrid w:val="0"/>
              </w:rPr>
              <w:t>Parliamentary Commissioner Amendment Act 2009</w:t>
            </w:r>
          </w:p>
        </w:tc>
        <w:tc>
          <w:tcPr>
            <w:tcW w:w="1134" w:type="dxa"/>
          </w:tcPr>
          <w:p>
            <w:pPr>
              <w:pStyle w:val="nTable"/>
              <w:spacing w:after="40"/>
            </w:pPr>
            <w:r>
              <w:rPr>
                <w:snapToGrid w:val="0"/>
              </w:rPr>
              <w:t>10 of 2009</w:t>
            </w:r>
          </w:p>
        </w:tc>
        <w:tc>
          <w:tcPr>
            <w:tcW w:w="1276" w:type="dxa"/>
          </w:tcPr>
          <w:p>
            <w:pPr>
              <w:pStyle w:val="nTable"/>
              <w:spacing w:after="40"/>
            </w:pPr>
            <w:r>
              <w:rPr>
                <w:snapToGrid w:val="0"/>
              </w:rPr>
              <w:t>29 Jun 2009</w:t>
            </w:r>
          </w:p>
        </w:tc>
        <w:tc>
          <w:tcPr>
            <w:tcW w:w="2558" w:type="dxa"/>
            <w:gridSpan w:val="2"/>
          </w:tcPr>
          <w:p>
            <w:pPr>
              <w:pStyle w:val="nTable"/>
              <w:spacing w:after="40"/>
            </w:pPr>
            <w:r>
              <w:rPr>
                <w:snapToGrid w:val="0"/>
              </w:rPr>
              <w:t>s. 1 and 2: 29 Jun 2009 (see s. 2(a));</w:t>
            </w:r>
            <w:r>
              <w:rPr>
                <w:snapToGrid w:val="0"/>
              </w:rPr>
              <w:br/>
              <w:t>Act other than s. 1 and 2: 30 Jun 2009 (see s. 2(b))</w:t>
            </w:r>
          </w:p>
        </w:tc>
      </w:tr>
      <w:tr>
        <w:trPr>
          <w:gridBefore w:val="1"/>
          <w:wBefore w:w="13" w:type="dxa"/>
          <w:cantSplit/>
        </w:trPr>
        <w:tc>
          <w:tcPr>
            <w:tcW w:w="2212" w:type="dxa"/>
          </w:tcPr>
          <w:p>
            <w:pPr>
              <w:pStyle w:val="nTable"/>
              <w:spacing w:after="40"/>
              <w:ind w:right="113"/>
              <w:rPr>
                <w:i/>
                <w:snapToGrid w:val="0"/>
              </w:rPr>
            </w:pPr>
            <w:r>
              <w:rPr>
                <w:i/>
              </w:rPr>
              <w:t>National Gas Access (WA) Act 2009</w:t>
            </w:r>
            <w:r>
              <w:rPr>
                <w:iCs/>
              </w:rPr>
              <w:t xml:space="preserve"> s. 71</w:t>
            </w:r>
          </w:p>
        </w:tc>
        <w:tc>
          <w:tcPr>
            <w:tcW w:w="1134" w:type="dxa"/>
          </w:tcPr>
          <w:p>
            <w:pPr>
              <w:pStyle w:val="nTable"/>
              <w:spacing w:after="40"/>
              <w:rPr>
                <w:snapToGrid w:val="0"/>
              </w:rPr>
            </w:pPr>
            <w:r>
              <w:t>16 of 2009</w:t>
            </w:r>
          </w:p>
        </w:tc>
        <w:tc>
          <w:tcPr>
            <w:tcW w:w="1276" w:type="dxa"/>
          </w:tcPr>
          <w:p>
            <w:pPr>
              <w:pStyle w:val="nTable"/>
              <w:spacing w:after="40"/>
              <w:rPr>
                <w:snapToGrid w:val="0"/>
              </w:rPr>
            </w:pPr>
            <w:r>
              <w:t>1 Sep 2009</w:t>
            </w:r>
          </w:p>
        </w:tc>
        <w:tc>
          <w:tcPr>
            <w:tcW w:w="2558" w:type="dxa"/>
            <w:gridSpan w:val="2"/>
          </w:tcPr>
          <w:p>
            <w:pPr>
              <w:pStyle w:val="nTable"/>
              <w:spacing w:after="40"/>
              <w:rPr>
                <w:snapToGrid w:val="0"/>
              </w:rPr>
            </w:pPr>
            <w:r>
              <w:t xml:space="preserve">1 Jan 2010 (see s. 2(b) and </w:t>
            </w:r>
            <w:r>
              <w:rPr>
                <w:i/>
                <w:iCs/>
              </w:rPr>
              <w:t>Gazette</w:t>
            </w:r>
            <w:r>
              <w:t xml:space="preserve"> 31 Dec 2009 p. 5327)</w:t>
            </w:r>
          </w:p>
        </w:tc>
      </w:tr>
      <w:tr>
        <w:trPr>
          <w:gridBefore w:val="1"/>
          <w:wBefore w:w="13" w:type="dxa"/>
          <w:cantSplit/>
        </w:trPr>
        <w:tc>
          <w:tcPr>
            <w:tcW w:w="2212" w:type="dxa"/>
          </w:tcPr>
          <w:p>
            <w:pPr>
              <w:pStyle w:val="nTable"/>
              <w:spacing w:after="40"/>
              <w:rPr>
                <w:iCs/>
                <w:snapToGrid w:val="0"/>
              </w:rPr>
            </w:pPr>
            <w:r>
              <w:rPr>
                <w:i/>
                <w:snapToGrid w:val="0"/>
              </w:rPr>
              <w:t>Acts Amendment (Bankruptcy) Act 2009</w:t>
            </w:r>
            <w:r>
              <w:rPr>
                <w:iCs/>
                <w:snapToGrid w:val="0"/>
              </w:rPr>
              <w:t xml:space="preserve"> s. 62</w:t>
            </w:r>
          </w:p>
        </w:tc>
        <w:tc>
          <w:tcPr>
            <w:tcW w:w="1134" w:type="dxa"/>
          </w:tcPr>
          <w:p>
            <w:pPr>
              <w:pStyle w:val="nTable"/>
              <w:spacing w:after="40"/>
            </w:pPr>
            <w:r>
              <w:t>18 of 2009</w:t>
            </w:r>
          </w:p>
        </w:tc>
        <w:tc>
          <w:tcPr>
            <w:tcW w:w="1276" w:type="dxa"/>
          </w:tcPr>
          <w:p>
            <w:pPr>
              <w:pStyle w:val="nTable"/>
              <w:spacing w:after="40"/>
            </w:pPr>
            <w:r>
              <w:t>16 Sep 2009</w:t>
            </w:r>
          </w:p>
        </w:tc>
        <w:tc>
          <w:tcPr>
            <w:tcW w:w="2558" w:type="dxa"/>
            <w:gridSpan w:val="2"/>
          </w:tcPr>
          <w:p>
            <w:pPr>
              <w:pStyle w:val="nTable"/>
              <w:spacing w:after="40"/>
            </w:pPr>
            <w:r>
              <w:t>17 Sep 2009 (see s. 2(b))</w:t>
            </w:r>
          </w:p>
        </w:tc>
      </w:tr>
      <w:tr>
        <w:trPr>
          <w:gridBefore w:val="1"/>
          <w:wBefore w:w="13" w:type="dxa"/>
          <w:cantSplit/>
        </w:trPr>
        <w:tc>
          <w:tcPr>
            <w:tcW w:w="2212" w:type="dxa"/>
          </w:tcPr>
          <w:p>
            <w:pPr>
              <w:pStyle w:val="nTable"/>
              <w:spacing w:after="40"/>
              <w:rPr>
                <w:i/>
                <w:snapToGrid w:val="0"/>
              </w:rPr>
            </w:pPr>
            <w:r>
              <w:rPr>
                <w:i/>
                <w:snapToGrid w:val="0"/>
              </w:rPr>
              <w:t>Standardisation of Formatting Act 2010</w:t>
            </w:r>
            <w:r>
              <w:rPr>
                <w:iCs/>
                <w:snapToGrid w:val="0"/>
              </w:rPr>
              <w:t xml:space="preserve"> s. 51</w:t>
            </w:r>
          </w:p>
        </w:tc>
        <w:tc>
          <w:tcPr>
            <w:tcW w:w="1134" w:type="dxa"/>
          </w:tcPr>
          <w:p>
            <w:pPr>
              <w:pStyle w:val="nTable"/>
              <w:spacing w:after="40"/>
            </w:pPr>
            <w:r>
              <w:rPr>
                <w:snapToGrid w:val="0"/>
              </w:rPr>
              <w:t>19 of 2010</w:t>
            </w:r>
          </w:p>
        </w:tc>
        <w:tc>
          <w:tcPr>
            <w:tcW w:w="1276" w:type="dxa"/>
          </w:tcPr>
          <w:p>
            <w:pPr>
              <w:pStyle w:val="nTable"/>
              <w:spacing w:after="40"/>
            </w:pPr>
            <w:r>
              <w:rPr>
                <w:snapToGrid w:val="0"/>
              </w:rPr>
              <w:t>28 Jun 2010</w:t>
            </w:r>
          </w:p>
        </w:tc>
        <w:tc>
          <w:tcPr>
            <w:tcW w:w="2558" w:type="dxa"/>
            <w:gridSpan w:val="2"/>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Before w:val="1"/>
          <w:wBefore w:w="13" w:type="dxa"/>
          <w:cantSplit/>
        </w:trPr>
        <w:tc>
          <w:tcPr>
            <w:tcW w:w="2212" w:type="dxa"/>
          </w:tcPr>
          <w:p>
            <w:pPr>
              <w:pStyle w:val="nTable"/>
              <w:spacing w:after="40"/>
              <w:rPr>
                <w:i/>
                <w:snapToGrid w:val="0"/>
              </w:rPr>
            </w:pPr>
            <w:r>
              <w:rPr>
                <w:i/>
                <w:snapToGrid w:val="0"/>
              </w:rPr>
              <w:t>Public Sector Reform Act 2010</w:t>
            </w:r>
            <w:r>
              <w:rPr>
                <w:i/>
                <w:iCs/>
                <w:snapToGrid w:val="0"/>
              </w:rPr>
              <w:t xml:space="preserve"> </w:t>
            </w:r>
            <w:r>
              <w:rPr>
                <w:snapToGrid w:val="0"/>
              </w:rPr>
              <w:t>s. 80</w:t>
            </w:r>
          </w:p>
        </w:tc>
        <w:tc>
          <w:tcPr>
            <w:tcW w:w="1134" w:type="dxa"/>
          </w:tcPr>
          <w:p>
            <w:pPr>
              <w:pStyle w:val="nTable"/>
              <w:spacing w:after="40"/>
              <w:rPr>
                <w:snapToGrid w:val="0"/>
              </w:rPr>
            </w:pPr>
            <w:r>
              <w:rPr>
                <w:snapToGrid w:val="0"/>
              </w:rPr>
              <w:t>39 of 2010</w:t>
            </w:r>
          </w:p>
        </w:tc>
        <w:tc>
          <w:tcPr>
            <w:tcW w:w="1276" w:type="dxa"/>
          </w:tcPr>
          <w:p>
            <w:pPr>
              <w:pStyle w:val="nTable"/>
              <w:spacing w:after="40"/>
              <w:rPr>
                <w:snapToGrid w:val="0"/>
              </w:rPr>
            </w:pPr>
            <w:r>
              <w:rPr>
                <w:snapToGrid w:val="0"/>
              </w:rPr>
              <w:t>1 Oct 2010</w:t>
            </w:r>
          </w:p>
        </w:tc>
        <w:tc>
          <w:tcPr>
            <w:tcW w:w="2558"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13" w:type="dxa"/>
          <w:cantSplit/>
        </w:trPr>
        <w:tc>
          <w:tcPr>
            <w:tcW w:w="7180" w:type="dxa"/>
            <w:gridSpan w:val="5"/>
          </w:tcPr>
          <w:p>
            <w:pPr>
              <w:pStyle w:val="nTable"/>
              <w:spacing w:after="40"/>
            </w:pPr>
            <w:r>
              <w:rPr>
                <w:b/>
              </w:rPr>
              <w:t xml:space="preserve">Reprint 9: The </w:t>
            </w:r>
            <w:r>
              <w:rPr>
                <w:b/>
                <w:i/>
              </w:rPr>
              <w:t>Parliamentary Commissioner Act 1971</w:t>
            </w:r>
            <w:r>
              <w:rPr>
                <w:b/>
              </w:rPr>
              <w:t xml:space="preserve"> as at 3 Dec 2010 </w:t>
            </w:r>
            <w:r>
              <w:t>(includes amendments listed above)</w:t>
            </w:r>
          </w:p>
        </w:tc>
      </w:tr>
      <w:tr>
        <w:trPr>
          <w:gridBefore w:val="1"/>
          <w:wBefore w:w="13" w:type="dxa"/>
          <w:cantSplit/>
        </w:trPr>
        <w:tc>
          <w:tcPr>
            <w:tcW w:w="2212" w:type="dxa"/>
          </w:tcPr>
          <w:p>
            <w:pPr>
              <w:pStyle w:val="nTable"/>
              <w:spacing w:after="40"/>
              <w:rPr>
                <w:i/>
                <w:snapToGrid w:val="0"/>
              </w:rPr>
            </w:pPr>
            <w:r>
              <w:rPr>
                <w:i/>
              </w:rPr>
              <w:t>Water Services Legislation Amendment and Repeal Act 2012</w:t>
            </w:r>
            <w:r>
              <w:t xml:space="preserve"> s. 221</w:t>
            </w:r>
          </w:p>
        </w:tc>
        <w:tc>
          <w:tcPr>
            <w:tcW w:w="1134" w:type="dxa"/>
          </w:tcPr>
          <w:p>
            <w:pPr>
              <w:pStyle w:val="nTable"/>
              <w:spacing w:after="40"/>
              <w:rPr>
                <w:snapToGrid w:val="0"/>
              </w:rPr>
            </w:pPr>
            <w:r>
              <w:t>25 of 2012</w:t>
            </w:r>
          </w:p>
        </w:tc>
        <w:tc>
          <w:tcPr>
            <w:tcW w:w="1276" w:type="dxa"/>
          </w:tcPr>
          <w:p>
            <w:pPr>
              <w:pStyle w:val="nTable"/>
              <w:spacing w:after="40"/>
              <w:rPr>
                <w:snapToGrid w:val="0"/>
              </w:rPr>
            </w:pPr>
            <w:r>
              <w:t>3 Sep 2012</w:t>
            </w:r>
          </w:p>
        </w:tc>
        <w:tc>
          <w:tcPr>
            <w:tcW w:w="2558" w:type="dxa"/>
            <w:gridSpan w:val="2"/>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rPr>
          <w:gridAfter w:val="1"/>
          <w:wAfter w:w="7" w:type="dxa"/>
        </w:trPr>
        <w:tc>
          <w:tcPr>
            <w:tcW w:w="2225" w:type="dxa"/>
            <w:gridSpan w:val="2"/>
            <w:tcBorders>
              <w:top w:val="nil"/>
              <w:bottom w:val="nil"/>
            </w:tcBorders>
          </w:tcPr>
          <w:p>
            <w:pPr>
              <w:pStyle w:val="nTable"/>
              <w:spacing w:after="40"/>
              <w:rPr>
                <w:vertAlign w:val="superscript"/>
              </w:rPr>
            </w:pPr>
            <w:r>
              <w:rPr>
                <w:i/>
              </w:rPr>
              <w:lastRenderedPageBreak/>
              <w:t>Mental Health Legislation Amendment Act 2014</w:t>
            </w:r>
            <w:r>
              <w:t xml:space="preserve"> Pt. 4 Div. 4 Subdiv. 18</w:t>
            </w:r>
          </w:p>
        </w:tc>
        <w:tc>
          <w:tcPr>
            <w:tcW w:w="1134" w:type="dxa"/>
            <w:tcBorders>
              <w:top w:val="nil"/>
              <w:bottom w:val="nil"/>
            </w:tcBorders>
          </w:tcPr>
          <w:p>
            <w:pPr>
              <w:pStyle w:val="nTable"/>
              <w:spacing w:after="40"/>
              <w:rPr>
                <w:snapToGrid w:val="0"/>
              </w:rPr>
            </w:pPr>
            <w:r>
              <w:rPr>
                <w:snapToGrid w:val="0"/>
              </w:rPr>
              <w:t>25 of 2014</w:t>
            </w:r>
          </w:p>
        </w:tc>
        <w:tc>
          <w:tcPr>
            <w:tcW w:w="1276"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gridBefore w:val="1"/>
          <w:wBefore w:w="13" w:type="dxa"/>
          <w:cantSplit/>
        </w:trPr>
        <w:tc>
          <w:tcPr>
            <w:tcW w:w="2212" w:type="dxa"/>
          </w:tcPr>
          <w:p>
            <w:pPr>
              <w:pStyle w:val="nTable"/>
              <w:spacing w:after="40"/>
              <w:rPr>
                <w:i/>
              </w:rPr>
            </w:pPr>
            <w:r>
              <w:rPr>
                <w:i/>
                <w:snapToGrid w:val="0"/>
              </w:rPr>
              <w:t>Corruption and Crime Commission Amendment (Misconduct) Act 2014</w:t>
            </w:r>
            <w:r>
              <w:rPr>
                <w:snapToGrid w:val="0"/>
              </w:rPr>
              <w:t xml:space="preserve"> s. 36</w:t>
            </w:r>
          </w:p>
        </w:tc>
        <w:tc>
          <w:tcPr>
            <w:tcW w:w="1134" w:type="dxa"/>
          </w:tcPr>
          <w:p>
            <w:pPr>
              <w:pStyle w:val="nTable"/>
              <w:spacing w:after="40"/>
            </w:pPr>
            <w:r>
              <w:rPr>
                <w:snapToGrid w:val="0"/>
              </w:rPr>
              <w:t>35 of 2014</w:t>
            </w:r>
          </w:p>
        </w:tc>
        <w:tc>
          <w:tcPr>
            <w:tcW w:w="1276" w:type="dxa"/>
          </w:tcPr>
          <w:p>
            <w:pPr>
              <w:pStyle w:val="nTable"/>
              <w:spacing w:after="40"/>
            </w:pPr>
            <w:r>
              <w:t>9 Dec 2014</w:t>
            </w:r>
          </w:p>
        </w:tc>
        <w:tc>
          <w:tcPr>
            <w:tcW w:w="2558" w:type="dxa"/>
            <w:gridSpan w:val="2"/>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wBefore w:w="13" w:type="dxa"/>
          <w:cantSplit/>
        </w:trPr>
        <w:tc>
          <w:tcPr>
            <w:tcW w:w="2212" w:type="dxa"/>
            <w:shd w:val="clear" w:color="auto" w:fill="auto"/>
          </w:tcPr>
          <w:p>
            <w:pPr>
              <w:pStyle w:val="nTable"/>
              <w:spacing w:after="40"/>
              <w:rPr>
                <w:i/>
              </w:rPr>
            </w:pPr>
            <w:r>
              <w:rPr>
                <w:i/>
              </w:rPr>
              <w:t>Declared Places (Mentally Impaired Accused) Act 2015</w:t>
            </w:r>
            <w:r>
              <w:t xml:space="preserve"> s. 87</w:t>
            </w:r>
          </w:p>
        </w:tc>
        <w:tc>
          <w:tcPr>
            <w:tcW w:w="1134" w:type="dxa"/>
            <w:shd w:val="clear" w:color="auto" w:fill="auto"/>
          </w:tcPr>
          <w:p>
            <w:pPr>
              <w:pStyle w:val="nTable"/>
              <w:spacing w:after="40"/>
            </w:pPr>
            <w:r>
              <w:rPr>
                <w:snapToGrid w:val="0"/>
              </w:rPr>
              <w:t>4 of 2015</w:t>
            </w:r>
          </w:p>
        </w:tc>
        <w:tc>
          <w:tcPr>
            <w:tcW w:w="1276" w:type="dxa"/>
            <w:shd w:val="clear" w:color="auto" w:fill="auto"/>
          </w:tcPr>
          <w:p>
            <w:pPr>
              <w:pStyle w:val="nTable"/>
              <w:spacing w:after="40"/>
            </w:pPr>
            <w:r>
              <w:t>3 Mar 2015</w:t>
            </w:r>
          </w:p>
        </w:tc>
        <w:tc>
          <w:tcPr>
            <w:tcW w:w="2558" w:type="dxa"/>
            <w:gridSpan w:val="2"/>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gridBefore w:val="1"/>
          <w:wBefore w:w="13" w:type="dxa"/>
          <w:cantSplit/>
        </w:trPr>
        <w:tc>
          <w:tcPr>
            <w:tcW w:w="7180" w:type="dxa"/>
            <w:gridSpan w:val="5"/>
            <w:shd w:val="clear" w:color="auto" w:fill="auto"/>
          </w:tcPr>
          <w:p>
            <w:pPr>
              <w:pStyle w:val="nTable"/>
              <w:spacing w:after="40"/>
              <w:rPr>
                <w:snapToGrid w:val="0"/>
              </w:rPr>
            </w:pPr>
            <w:r>
              <w:rPr>
                <w:b/>
                <w:snapToGrid w:val="0"/>
              </w:rPr>
              <w:t xml:space="preserve">Reprint 10: The </w:t>
            </w:r>
            <w:r>
              <w:rPr>
                <w:b/>
                <w:i/>
                <w:noProof/>
                <w:snapToGrid w:val="0"/>
              </w:rPr>
              <w:t>Parliamentary Commissioner Act 1971</w:t>
            </w:r>
            <w:r>
              <w:rPr>
                <w:b/>
                <w:snapToGrid w:val="0"/>
              </w:rPr>
              <w:t xml:space="preserve"> as at 4 Mar 2016</w:t>
            </w:r>
            <w:r>
              <w:rPr>
                <w:snapToGrid w:val="0"/>
              </w:rPr>
              <w:t xml:space="preserve"> (includes amendments listed above)</w:t>
            </w:r>
          </w:p>
        </w:tc>
      </w:tr>
      <w:tr>
        <w:trPr>
          <w:gridBefore w:val="1"/>
          <w:wBefore w:w="13" w:type="dxa"/>
          <w:cantSplit/>
        </w:trPr>
        <w:tc>
          <w:tcPr>
            <w:tcW w:w="2212" w:type="dxa"/>
            <w:shd w:val="clear" w:color="auto" w:fill="auto"/>
          </w:tcPr>
          <w:p>
            <w:pPr>
              <w:pStyle w:val="nTable"/>
              <w:spacing w:after="40"/>
              <w:rPr>
                <w:b/>
                <w:snapToGrid w:val="0"/>
              </w:rPr>
            </w:pPr>
            <w:r>
              <w:rPr>
                <w:i/>
                <w:snapToGrid w:val="0"/>
              </w:rPr>
              <w:t>Local Government Legislation Amendment Act 2016</w:t>
            </w:r>
            <w:r>
              <w:rPr>
                <w:snapToGrid w:val="0"/>
              </w:rPr>
              <w:t xml:space="preserve"> Pt. 3 Div. 26</w:t>
            </w:r>
          </w:p>
        </w:tc>
        <w:tc>
          <w:tcPr>
            <w:tcW w:w="1134" w:type="dxa"/>
            <w:shd w:val="clear" w:color="auto" w:fill="auto"/>
          </w:tcPr>
          <w:p>
            <w:pPr>
              <w:pStyle w:val="nTable"/>
              <w:spacing w:after="40"/>
              <w:rPr>
                <w:b/>
                <w:snapToGrid w:val="0"/>
              </w:rPr>
            </w:pPr>
            <w:r>
              <w:t>26 of 2016</w:t>
            </w:r>
          </w:p>
        </w:tc>
        <w:tc>
          <w:tcPr>
            <w:tcW w:w="1276" w:type="dxa"/>
            <w:shd w:val="clear" w:color="auto" w:fill="auto"/>
          </w:tcPr>
          <w:p>
            <w:pPr>
              <w:pStyle w:val="nTable"/>
              <w:spacing w:after="40"/>
              <w:rPr>
                <w:b/>
                <w:snapToGrid w:val="0"/>
              </w:rPr>
            </w:pPr>
            <w:r>
              <w:t>21 Sep 2016</w:t>
            </w:r>
          </w:p>
        </w:tc>
        <w:tc>
          <w:tcPr>
            <w:tcW w:w="2558" w:type="dxa"/>
            <w:gridSpan w:val="2"/>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rPr>
          <w:gridBefore w:val="1"/>
          <w:wBefore w:w="13" w:type="dxa"/>
          <w:cantSplit/>
        </w:trPr>
        <w:tc>
          <w:tcPr>
            <w:tcW w:w="2212" w:type="dxa"/>
            <w:tcBorders>
              <w:bottom w:val="single" w:sz="4" w:space="0" w:color="auto"/>
            </w:tcBorders>
            <w:shd w:val="clear" w:color="auto" w:fill="auto"/>
          </w:tcPr>
          <w:p>
            <w:pPr>
              <w:pStyle w:val="nTable"/>
              <w:spacing w:after="40"/>
              <w:rPr>
                <w:i/>
                <w:snapToGrid w:val="0"/>
              </w:rPr>
            </w:pPr>
            <w:r>
              <w:rPr>
                <w:i/>
              </w:rPr>
              <w:t>Parliamentary Commissioner Amendment (Reportable Conduct) Act 2022</w:t>
            </w:r>
          </w:p>
        </w:tc>
        <w:tc>
          <w:tcPr>
            <w:tcW w:w="1134" w:type="dxa"/>
            <w:tcBorders>
              <w:bottom w:val="single" w:sz="4" w:space="0" w:color="auto"/>
            </w:tcBorders>
            <w:shd w:val="clear" w:color="auto" w:fill="auto"/>
          </w:tcPr>
          <w:p>
            <w:pPr>
              <w:pStyle w:val="nTable"/>
              <w:spacing w:after="40"/>
            </w:pPr>
            <w:r>
              <w:t>25 of 2022</w:t>
            </w:r>
          </w:p>
        </w:tc>
        <w:tc>
          <w:tcPr>
            <w:tcW w:w="1276" w:type="dxa"/>
            <w:tcBorders>
              <w:bottom w:val="single" w:sz="4" w:space="0" w:color="auto"/>
            </w:tcBorders>
            <w:shd w:val="clear" w:color="auto" w:fill="auto"/>
          </w:tcPr>
          <w:p>
            <w:pPr>
              <w:pStyle w:val="nTable"/>
              <w:spacing w:after="40"/>
            </w:pPr>
            <w:r>
              <w:t>19 Aug 2022</w:t>
            </w:r>
          </w:p>
        </w:tc>
        <w:tc>
          <w:tcPr>
            <w:tcW w:w="2558" w:type="dxa"/>
            <w:gridSpan w:val="2"/>
            <w:tcBorders>
              <w:bottom w:val="single" w:sz="4" w:space="0" w:color="auto"/>
            </w:tcBorders>
            <w:shd w:val="clear" w:color="auto" w:fill="auto"/>
          </w:tcPr>
          <w:p>
            <w:pPr>
              <w:pStyle w:val="nTable"/>
              <w:spacing w:after="40"/>
              <w:rPr>
                <w:snapToGrid w:val="0"/>
              </w:rPr>
            </w:pPr>
            <w:r>
              <w:rPr>
                <w:snapToGrid w:val="0"/>
              </w:rPr>
              <w:t>Pt. 1: 19 Aug 2022 (see s. 2(a));</w:t>
            </w:r>
            <w:r>
              <w:rPr>
                <w:snapToGrid w:val="0"/>
              </w:rPr>
              <w:br/>
              <w:t>Act other than Pt. 1 and Pt. 2 Div. 2: 1 Jan 2023 (see s. 2(c) and SL 2022/206 cl. 2);</w:t>
            </w:r>
            <w:r>
              <w:rPr>
                <w:snapToGrid w:val="0"/>
              </w:rPr>
              <w:br/>
              <w:t xml:space="preserve">Pt. 2 Div. 2: </w:t>
            </w:r>
            <w:r>
              <w:t>1 Jan 2024 (see s. 2(b))</w:t>
            </w:r>
          </w:p>
        </w:tc>
      </w:tr>
    </w:tbl>
    <w:p>
      <w:pPr>
        <w:pStyle w:val="nHeading3"/>
      </w:pPr>
      <w:bookmarkStart w:id="147" w:name="_Toc153978152"/>
      <w:r>
        <w:t>Uncommenced provisions table</w:t>
      </w:r>
      <w:bookmarkEnd w:id="14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i/>
              </w:rPr>
            </w:pPr>
            <w:r>
              <w:rPr>
                <w:i/>
              </w:rPr>
              <w:t xml:space="preserve">Native Title (State Provisions) Act 1999 </w:t>
            </w:r>
            <w:r>
              <w:t>s. 7.3</w:t>
            </w:r>
          </w:p>
        </w:tc>
        <w:tc>
          <w:tcPr>
            <w:tcW w:w="1134" w:type="dxa"/>
          </w:tcPr>
          <w:p>
            <w:pPr>
              <w:pStyle w:val="nTable"/>
              <w:spacing w:after="40"/>
            </w:pPr>
            <w:r>
              <w:t>60 of 1999</w:t>
            </w:r>
          </w:p>
        </w:tc>
        <w:tc>
          <w:tcPr>
            <w:tcW w:w="1134" w:type="dxa"/>
          </w:tcPr>
          <w:p>
            <w:pPr>
              <w:pStyle w:val="nTable"/>
              <w:spacing w:after="40"/>
            </w:pPr>
            <w:r>
              <w:t>10 Jan 2000</w:t>
            </w:r>
          </w:p>
        </w:tc>
        <w:tc>
          <w:tcPr>
            <w:tcW w:w="2552" w:type="dxa"/>
          </w:tcPr>
          <w:p>
            <w:pPr>
              <w:pStyle w:val="nTable"/>
              <w:spacing w:after="40"/>
            </w:pPr>
            <w:r>
              <w:t>Operative on earliest of commencement of Pt. 2 (except s. 2.2), Pt. 3 (except s. 3.1) and Pt. 4 (see s. 1.2)</w:t>
            </w:r>
          </w:p>
        </w:tc>
      </w:tr>
      <w:tr>
        <w:trPr>
          <w:cantSplit/>
        </w:trPr>
        <w:tc>
          <w:tcPr>
            <w:tcW w:w="2268" w:type="dxa"/>
            <w:shd w:val="clear" w:color="auto" w:fill="auto"/>
          </w:tcPr>
          <w:p>
            <w:pPr>
              <w:pStyle w:val="nTable"/>
              <w:spacing w:after="40"/>
              <w:ind w:right="113"/>
              <w:rPr>
                <w:i/>
              </w:rPr>
            </w:pPr>
            <w:r>
              <w:rPr>
                <w:i/>
              </w:rPr>
              <w:t>State Superannuation (Transitional and Consequential Provisions) Act 2000</w:t>
            </w:r>
            <w:r>
              <w:t xml:space="preserve"> s. 75</w:t>
            </w:r>
          </w:p>
        </w:tc>
        <w:tc>
          <w:tcPr>
            <w:tcW w:w="1134" w:type="dxa"/>
            <w:shd w:val="clear" w:color="auto" w:fill="auto"/>
          </w:tcPr>
          <w:p>
            <w:pPr>
              <w:pStyle w:val="nTable"/>
              <w:spacing w:after="40"/>
            </w:pPr>
            <w:r>
              <w:t>43 of 2000</w:t>
            </w:r>
          </w:p>
        </w:tc>
        <w:tc>
          <w:tcPr>
            <w:tcW w:w="1134" w:type="dxa"/>
            <w:shd w:val="clear" w:color="auto" w:fill="auto"/>
          </w:tcPr>
          <w:p>
            <w:pPr>
              <w:pStyle w:val="nTable"/>
              <w:spacing w:after="40"/>
            </w:pPr>
            <w:r>
              <w:t>2 Nov 2000</w:t>
            </w:r>
          </w:p>
        </w:tc>
        <w:tc>
          <w:tcPr>
            <w:tcW w:w="2552" w:type="dxa"/>
            <w:shd w:val="clear" w:color="auto" w:fill="auto"/>
          </w:tcPr>
          <w:p>
            <w:pPr>
              <w:pStyle w:val="nTable"/>
              <w:spacing w:after="40"/>
            </w:pPr>
            <w:r>
              <w:t>To be proclaimed (see s. 2(2))</w:t>
            </w:r>
          </w:p>
        </w:tc>
      </w:tr>
      <w:tr>
        <w:trPr>
          <w:cantSplit/>
        </w:trPr>
        <w:tc>
          <w:tcPr>
            <w:tcW w:w="2268" w:type="dxa"/>
            <w:shd w:val="clear" w:color="auto" w:fill="auto"/>
          </w:tcPr>
          <w:p>
            <w:pPr>
              <w:pStyle w:val="nTable"/>
              <w:spacing w:after="40"/>
              <w:ind w:right="113"/>
              <w:rPr>
                <w:i/>
              </w:rPr>
            </w:pPr>
            <w:r>
              <w:rPr>
                <w:i/>
              </w:rPr>
              <w:t>TAB (Disposal) Act 2019</w:t>
            </w:r>
            <w:r>
              <w:t xml:space="preserve"> s. 151</w:t>
            </w:r>
          </w:p>
        </w:tc>
        <w:tc>
          <w:tcPr>
            <w:tcW w:w="1134" w:type="dxa"/>
            <w:shd w:val="clear" w:color="auto" w:fill="auto"/>
          </w:tcPr>
          <w:p>
            <w:pPr>
              <w:pStyle w:val="nTable"/>
              <w:spacing w:after="40"/>
            </w:pPr>
            <w:r>
              <w:t>21 of 2019</w:t>
            </w:r>
          </w:p>
        </w:tc>
        <w:tc>
          <w:tcPr>
            <w:tcW w:w="1134" w:type="dxa"/>
            <w:shd w:val="clear" w:color="auto" w:fill="auto"/>
          </w:tcPr>
          <w:p>
            <w:pPr>
              <w:pStyle w:val="nTable"/>
              <w:spacing w:after="40"/>
            </w:pPr>
            <w:r>
              <w:t>18 Sep 2019</w:t>
            </w:r>
          </w:p>
        </w:tc>
        <w:tc>
          <w:tcPr>
            <w:tcW w:w="2552" w:type="dxa"/>
            <w:shd w:val="clear" w:color="auto" w:fill="auto"/>
          </w:tcPr>
          <w:p>
            <w:pPr>
              <w:pStyle w:val="nTable"/>
              <w:spacing w:after="40"/>
            </w:pPr>
            <w:r>
              <w:t>To be proclaimed (see s. 2(1)(b)(xiii))</w:t>
            </w:r>
          </w:p>
        </w:tc>
      </w:tr>
      <w:tr>
        <w:trPr>
          <w:cantSplit/>
        </w:trPr>
        <w:tc>
          <w:tcPr>
            <w:tcW w:w="2268" w:type="dxa"/>
            <w:tcBorders>
              <w:bottom w:val="single" w:sz="4" w:space="0" w:color="auto"/>
            </w:tcBorders>
            <w:shd w:val="clear" w:color="auto" w:fill="auto"/>
          </w:tcPr>
          <w:p>
            <w:pPr>
              <w:pStyle w:val="nTable"/>
              <w:spacing w:after="40"/>
              <w:ind w:right="113"/>
            </w:pPr>
            <w:r>
              <w:rPr>
                <w:i/>
              </w:rPr>
              <w:lastRenderedPageBreak/>
              <w:t>Criminal Law (Mental Impairment) Act 2023</w:t>
            </w:r>
            <w:r>
              <w:t xml:space="preserve"> Pt. 15 Div. 22 and s. 410 and 412</w:t>
            </w:r>
          </w:p>
        </w:tc>
        <w:tc>
          <w:tcPr>
            <w:tcW w:w="1134" w:type="dxa"/>
            <w:tcBorders>
              <w:bottom w:val="single" w:sz="4" w:space="0" w:color="auto"/>
            </w:tcBorders>
            <w:shd w:val="clear" w:color="auto" w:fill="auto"/>
          </w:tcPr>
          <w:p>
            <w:pPr>
              <w:pStyle w:val="nTable"/>
              <w:spacing w:after="40"/>
            </w:pPr>
            <w:r>
              <w:t>10 of 2023</w:t>
            </w:r>
          </w:p>
        </w:tc>
        <w:tc>
          <w:tcPr>
            <w:tcW w:w="1134" w:type="dxa"/>
            <w:tcBorders>
              <w:bottom w:val="single" w:sz="4" w:space="0" w:color="auto"/>
            </w:tcBorders>
            <w:shd w:val="clear" w:color="auto" w:fill="auto"/>
          </w:tcPr>
          <w:p>
            <w:pPr>
              <w:pStyle w:val="nTable"/>
              <w:spacing w:after="40"/>
            </w:pPr>
            <w:r>
              <w:t>13 Apr 2023</w:t>
            </w:r>
          </w:p>
        </w:tc>
        <w:tc>
          <w:tcPr>
            <w:tcW w:w="2552" w:type="dxa"/>
            <w:tcBorders>
              <w:bottom w:val="single" w:sz="4" w:space="0" w:color="auto"/>
            </w:tcBorders>
            <w:shd w:val="clear" w:color="auto" w:fill="auto"/>
          </w:tcPr>
          <w:p>
            <w:pPr>
              <w:pStyle w:val="nTable"/>
              <w:spacing w:after="40"/>
            </w:pPr>
            <w:r>
              <w:t>To be proclaimed (see s. 2(b))</w:t>
            </w:r>
          </w:p>
        </w:tc>
      </w:tr>
    </w:tbl>
    <w:p>
      <w:pPr>
        <w:pStyle w:val="nHeading3"/>
      </w:pPr>
      <w:bookmarkStart w:id="148" w:name="_Toc153978153"/>
      <w:r>
        <w:t>Other notes</w:t>
      </w:r>
      <w:bookmarkEnd w:id="148"/>
    </w:p>
    <w:p>
      <w:pPr>
        <w:pStyle w:val="nNote"/>
        <w:spacing w:before="120"/>
      </w:pPr>
      <w:r>
        <w:rPr>
          <w:vertAlign w:val="superscript"/>
        </w:rPr>
        <w:t>1</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vertAlign w:val="superscript"/>
        </w:rPr>
        <w:t>2</w:t>
      </w:r>
      <w:r>
        <w:tab/>
        <w:t xml:space="preserve">Under the </w:t>
      </w:r>
      <w:r>
        <w:rPr>
          <w:i/>
          <w:iCs/>
        </w:rPr>
        <w:t>Liquor Control Act 1988</w:t>
      </w:r>
      <w:r>
        <w:t xml:space="preserve"> Sch. 1A cl. 9 a reference to the Liquor Licensing Court is to be read and construed as a reference to the Liquor Commission.</w:t>
      </w:r>
    </w:p>
    <w:p>
      <w:pPr>
        <w:pStyle w:val="nNote"/>
        <w:rPr>
          <w:snapToGrid w:val="0"/>
        </w:rPr>
      </w:pPr>
      <w:r>
        <w:rPr>
          <w:snapToGrid w:val="0"/>
          <w:vertAlign w:val="superscript"/>
        </w:rPr>
        <w:t>3</w:t>
      </w:r>
      <w:r>
        <w:rPr>
          <w:snapToGrid w:val="0"/>
        </w:rPr>
        <w:tab/>
        <w:t xml:space="preserve">The amendments in the </w:t>
      </w:r>
      <w:r>
        <w:rPr>
          <w:i/>
          <w:snapToGrid w:val="0"/>
        </w:rPr>
        <w:t xml:space="preserve">R &amp; I Holdings Act 1990 </w:t>
      </w:r>
      <w:r>
        <w:rPr>
          <w:snapToGrid w:val="0"/>
        </w:rPr>
        <w:t xml:space="preserve">s. 22(3)(a)(i), the </w:t>
      </w:r>
      <w:r>
        <w:rPr>
          <w:i/>
          <w:snapToGrid w:val="0"/>
        </w:rPr>
        <w:t>Caravan Parks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deleted before the amendments purported to come into operation.</w:t>
      </w:r>
    </w:p>
    <w:p>
      <w:pPr>
        <w:pStyle w:val="nNote"/>
        <w:rPr>
          <w:snapToGrid w:val="0"/>
        </w:rPr>
      </w:pPr>
      <w:r>
        <w:rPr>
          <w:snapToGrid w:val="0"/>
          <w:vertAlign w:val="superscript"/>
        </w:rPr>
        <w:t>4</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(Repeals and Miscellaneous Amendments) Act 2009</w:t>
      </w:r>
      <w:r>
        <w:rPr>
          <w:snapToGrid w:val="0"/>
        </w:rPr>
        <w:t xml:space="preserve"> s. 35(3).</w:t>
      </w:r>
    </w:p>
    <w:p>
      <w:pPr>
        <w:pStyle w:val="nNote"/>
      </w:pPr>
      <w:r>
        <w:rPr>
          <w:vertAlign w:val="superscript"/>
        </w:rPr>
        <w:t>5</w:t>
      </w:r>
      <w:r>
        <w:tab/>
        <w:t xml:space="preserve">The </w:t>
      </w:r>
      <w:r>
        <w:rPr>
          <w:i/>
        </w:rPr>
        <w:t>Statutes (Repeals and Minor Amendments) Act 2003</w:t>
      </w:r>
      <w:r>
        <w:t xml:space="preserve"> s. 91(5) and (7) read as follows:</w:t>
      </w:r>
    </w:p>
    <w:p>
      <w:pPr>
        <w:pStyle w:val="BlankOpen"/>
        <w:rPr>
          <w:sz w:val="18"/>
          <w:szCs w:val="18"/>
        </w:rPr>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Parliamentary Commissioner Act 1971</w:t>
      </w:r>
      <w:r>
        <w:t xml:space="preserve">, as in force immediately before the commencement of this section, to appoint officers on secondment are validated and all such appointments are taken to be secondments effected by the Commissioner under section 9(2a) of the </w:t>
      </w:r>
      <w:r>
        <w:rPr>
          <w:i/>
        </w:rPr>
        <w:t xml:space="preserve">Parliamentary </w:t>
      </w:r>
      <w:r>
        <w:rPr>
          <w:i/>
        </w:rPr>
        <w:lastRenderedPageBreak/>
        <w:t xml:space="preserve">Commissioner Act 1971 </w:t>
      </w:r>
      <w:r>
        <w:t>as if that subsection had been in force at the time the appointments were purportedly made.</w:t>
      </w:r>
    </w:p>
    <w:p>
      <w:pPr>
        <w:pStyle w:val="BlankClose"/>
        <w:rPr>
          <w:sz w:val="18"/>
          <w:szCs w:val="18"/>
        </w:rPr>
      </w:pPr>
    </w:p>
    <w:p>
      <w:pPr>
        <w:pStyle w:val="nNote"/>
        <w:keepNext/>
        <w:spacing w:before="120"/>
      </w:pPr>
      <w:r>
        <w:rPr>
          <w:vertAlign w:val="superscript"/>
        </w:rPr>
        <w:t>6</w:t>
      </w:r>
      <w:r>
        <w:tab/>
        <w:t xml:space="preserve">The </w:t>
      </w:r>
      <w:r>
        <w:rPr>
          <w:i/>
        </w:rPr>
        <w:t>Corruption and Crime Commission Amendment and Repeal Act 2003</w:t>
      </w:r>
      <w:r>
        <w:t xml:space="preserve"> s. 73 reads as follows:</w:t>
      </w:r>
    </w:p>
    <w:p>
      <w:pPr>
        <w:pStyle w:val="BlankOpen"/>
        <w:rPr>
          <w:sz w:val="18"/>
          <w:szCs w:val="18"/>
        </w:rPr>
      </w:pPr>
    </w:p>
    <w:p>
      <w:pPr>
        <w:pStyle w:val="nzHeading5"/>
        <w:spacing w:before="0"/>
      </w:pPr>
      <w:r>
        <w:rPr>
          <w:rStyle w:val="CharSectno"/>
        </w:rPr>
        <w:t>73</w:t>
      </w:r>
      <w:r>
        <w:t>.</w:t>
      </w:r>
      <w:r>
        <w:tab/>
        <w:t>Parliamentary Commissioner must refer certain investigations to CCC</w:t>
      </w:r>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Note"/>
        <w:keepNext/>
        <w:spacing w:before="120"/>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rPr>
          <w:sz w:val="28"/>
        </w:rPr>
      </w:pPr>
      <w:bookmarkStart w:id="150" w:name="_Toc153965099"/>
      <w:bookmarkStart w:id="151" w:name="_Toc153968757"/>
      <w:bookmarkStart w:id="152" w:name="_Toc153978154"/>
      <w:r>
        <w:rPr>
          <w:sz w:val="28"/>
        </w:rPr>
        <w:lastRenderedPageBreak/>
        <w:t>Defined terms</w:t>
      </w:r>
      <w:bookmarkEnd w:id="150"/>
      <w:bookmarkEnd w:id="151"/>
      <w:bookmarkEnd w:id="1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Acting Commissioner</w:t>
      </w:r>
      <w:r>
        <w:tab/>
        <w:t>4</w:t>
      </w:r>
    </w:p>
    <w:p>
      <w:pPr>
        <w:pStyle w:val="DefinedTerms"/>
      </w:pPr>
      <w:r>
        <w:t>appropriate authority</w:t>
      </w:r>
      <w:r>
        <w:tab/>
        <w:t>4</w:t>
      </w:r>
    </w:p>
    <w:p>
      <w:pPr>
        <w:pStyle w:val="DefinedTerms"/>
      </w:pPr>
      <w:r>
        <w:t>authority</w:t>
      </w:r>
      <w:r>
        <w:tab/>
        <w:t>4</w:t>
      </w:r>
    </w:p>
    <w:p>
      <w:pPr>
        <w:pStyle w:val="DefinedTerms"/>
      </w:pPr>
      <w:r>
        <w:t>body</w:t>
      </w:r>
      <w:r>
        <w:tab/>
        <w:t>4A(2)</w:t>
      </w:r>
    </w:p>
    <w:p>
      <w:pPr>
        <w:pStyle w:val="DefinedTerms"/>
      </w:pPr>
      <w:r>
        <w:t>CCS Act</w:t>
      </w:r>
      <w:r>
        <w:tab/>
        <w:t>4</w:t>
      </w:r>
    </w:p>
    <w:p>
      <w:pPr>
        <w:pStyle w:val="DefinedTerms"/>
      </w:pPr>
      <w:r>
        <w:t>child</w:t>
      </w:r>
      <w:r>
        <w:tab/>
        <w:t>19C</w:t>
      </w:r>
    </w:p>
    <w:p>
      <w:pPr>
        <w:pStyle w:val="DefinedTerms"/>
      </w:pPr>
      <w:r>
        <w:t>commencement day</w:t>
      </w:r>
      <w:r>
        <w:tab/>
        <w:t>19C</w:t>
      </w:r>
    </w:p>
    <w:p>
      <w:pPr>
        <w:pStyle w:val="DefinedTerms"/>
      </w:pPr>
      <w:r>
        <w:t>Commissioner</w:t>
      </w:r>
      <w:r>
        <w:tab/>
        <w:t>4</w:t>
      </w:r>
    </w:p>
    <w:p>
      <w:pPr>
        <w:pStyle w:val="DefinedTerms"/>
      </w:pPr>
      <w:r>
        <w:t>Commissioner of Police</w:t>
      </w:r>
      <w:r>
        <w:tab/>
        <w:t>4</w:t>
      </w:r>
    </w:p>
    <w:p>
      <w:pPr>
        <w:pStyle w:val="DefinedTerms"/>
      </w:pPr>
      <w:r>
        <w:t>conduct</w:t>
      </w:r>
      <w:r>
        <w:tab/>
        <w:t>19G(3)</w:t>
      </w:r>
    </w:p>
    <w:p>
      <w:pPr>
        <w:pStyle w:val="DefinedTerms"/>
      </w:pPr>
      <w:r>
        <w:t>contractor</w:t>
      </w:r>
      <w:r>
        <w:tab/>
        <w:t>4</w:t>
      </w:r>
    </w:p>
    <w:p>
      <w:pPr>
        <w:pStyle w:val="DefinedTerms"/>
      </w:pPr>
      <w:r>
        <w:t>conviction</w:t>
      </w:r>
      <w:r>
        <w:tab/>
        <w:t>19H(2), (3) and (5)</w:t>
      </w:r>
    </w:p>
    <w:p>
      <w:pPr>
        <w:pStyle w:val="DefinedTerms"/>
      </w:pPr>
      <w:r>
        <w:t>Corruption and Crime Commission</w:t>
      </w:r>
      <w:r>
        <w:tab/>
        <w:t>4</w:t>
      </w:r>
    </w:p>
    <w:p>
      <w:pPr>
        <w:pStyle w:val="DefinedTerms"/>
      </w:pPr>
      <w:r>
        <w:t>department</w:t>
      </w:r>
      <w:r>
        <w:tab/>
        <w:t>4</w:t>
      </w:r>
    </w:p>
    <w:p>
      <w:pPr>
        <w:pStyle w:val="DefinedTerms"/>
      </w:pPr>
      <w:r>
        <w:t>Deputy Commissioner</w:t>
      </w:r>
      <w:r>
        <w:tab/>
        <w:t>4</w:t>
      </w:r>
    </w:p>
    <w:p>
      <w:pPr>
        <w:pStyle w:val="DefinedTerms"/>
      </w:pPr>
      <w:r>
        <w:t>Director of Public Prosecutions</w:t>
      </w:r>
      <w:r>
        <w:tab/>
        <w:t>4</w:t>
      </w:r>
    </w:p>
    <w:p>
      <w:pPr>
        <w:pStyle w:val="DefinedTerms"/>
      </w:pPr>
      <w:r>
        <w:t>employee</w:t>
      </w:r>
      <w:r>
        <w:tab/>
        <w:t>19C, 19D(1)</w:t>
      </w:r>
    </w:p>
    <w:p>
      <w:pPr>
        <w:pStyle w:val="DefinedTerms"/>
      </w:pPr>
      <w:r>
        <w:t>employing authority</w:t>
      </w:r>
      <w:r>
        <w:tab/>
        <w:t>9(5)</w:t>
      </w:r>
    </w:p>
    <w:p>
      <w:pPr>
        <w:pStyle w:val="DefinedTerms"/>
      </w:pPr>
      <w:r>
        <w:t>energy ombudsman scheme</w:t>
      </w:r>
      <w:r>
        <w:tab/>
        <w:t>34(7)</w:t>
      </w:r>
    </w:p>
    <w:p>
      <w:pPr>
        <w:pStyle w:val="DefinedTerms"/>
      </w:pPr>
      <w:r>
        <w:t>established</w:t>
      </w:r>
      <w:r>
        <w:tab/>
        <w:t>4A(3)</w:t>
      </w:r>
    </w:p>
    <w:p>
      <w:pPr>
        <w:pStyle w:val="DefinedTerms"/>
      </w:pPr>
      <w:r>
        <w:t>governing body</w:t>
      </w:r>
      <w:r>
        <w:tab/>
        <w:t>34(7)</w:t>
      </w:r>
    </w:p>
    <w:p>
      <w:pPr>
        <w:pStyle w:val="DefinedTerms"/>
      </w:pPr>
      <w:r>
        <w:t>head</w:t>
      </w:r>
      <w:r>
        <w:tab/>
        <w:t>4, 19E(1), (2) and (3)</w:t>
      </w:r>
    </w:p>
    <w:p>
      <w:pPr>
        <w:pStyle w:val="DefinedTerms"/>
      </w:pPr>
      <w:r>
        <w:t>Inspector of Custodial Services</w:t>
      </w:r>
      <w:r>
        <w:tab/>
        <w:t>4</w:t>
      </w:r>
    </w:p>
    <w:p>
      <w:pPr>
        <w:pStyle w:val="DefinedTerms"/>
      </w:pPr>
      <w:r>
        <w:t>investigable death</w:t>
      </w:r>
      <w:r>
        <w:tab/>
        <w:t>19A(1)</w:t>
      </w:r>
    </w:p>
    <w:p>
      <w:pPr>
        <w:pStyle w:val="DefinedTerms"/>
      </w:pPr>
      <w:r>
        <w:t>investigation</w:t>
      </w:r>
      <w:r>
        <w:tab/>
        <w:t>19C</w:t>
      </w:r>
    </w:p>
    <w:p>
      <w:pPr>
        <w:pStyle w:val="DefinedTerms"/>
      </w:pPr>
      <w:r>
        <w:t>investigation information</w:t>
      </w:r>
      <w:r>
        <w:tab/>
        <w:t>19B(5), 19C</w:t>
      </w:r>
    </w:p>
    <w:p>
      <w:pPr>
        <w:pStyle w:val="DefinedTerms"/>
      </w:pPr>
      <w:r>
        <w:t>investigator</w:t>
      </w:r>
      <w:r>
        <w:tab/>
        <w:t>4</w:t>
      </w:r>
    </w:p>
    <w:p>
      <w:pPr>
        <w:pStyle w:val="DefinedTerms"/>
      </w:pPr>
      <w:r>
        <w:t>officer of the Commissioner</w:t>
      </w:r>
      <w:r>
        <w:tab/>
        <w:t>4</w:t>
      </w:r>
    </w:p>
    <w:p>
      <w:pPr>
        <w:pStyle w:val="DefinedTerms"/>
      </w:pPr>
      <w:r>
        <w:t>officer of the Corruption and Crime Commission</w:t>
      </w:r>
      <w:r>
        <w:tab/>
        <w:t>4</w:t>
      </w:r>
    </w:p>
    <w:p>
      <w:pPr>
        <w:pStyle w:val="DefinedTerms"/>
      </w:pPr>
      <w:r>
        <w:t>officer of the Parliamentary Inspector of the Corruption and Crime Commission</w:t>
      </w:r>
      <w:r>
        <w:tab/>
        <w:t>4</w:t>
      </w:r>
    </w:p>
    <w:p>
      <w:pPr>
        <w:pStyle w:val="DefinedTerms"/>
      </w:pPr>
      <w:r>
        <w:t>Parliamentary Inspector of the Corruption and Crime Commission</w:t>
      </w:r>
      <w:r>
        <w:tab/>
        <w:t>4</w:t>
      </w:r>
    </w:p>
    <w:p>
      <w:pPr>
        <w:pStyle w:val="DefinedTerms"/>
      </w:pPr>
      <w:r>
        <w:t>person aggrieved</w:t>
      </w:r>
      <w:r>
        <w:tab/>
        <w:t>4</w:t>
      </w:r>
    </w:p>
    <w:p>
      <w:pPr>
        <w:pStyle w:val="DefinedTerms"/>
      </w:pPr>
      <w:r>
        <w:t>physical assault</w:t>
      </w:r>
      <w:r>
        <w:tab/>
        <w:t>19C</w:t>
      </w:r>
    </w:p>
    <w:p>
      <w:pPr>
        <w:pStyle w:val="DefinedTerms"/>
      </w:pPr>
      <w:r>
        <w:t>principal officer</w:t>
      </w:r>
      <w:r>
        <w:tab/>
        <w:t>4</w:t>
      </w:r>
    </w:p>
    <w:p>
      <w:pPr>
        <w:pStyle w:val="DefinedTerms"/>
      </w:pPr>
      <w:r>
        <w:t>public service officer</w:t>
      </w:r>
      <w:r>
        <w:tab/>
        <w:t>4</w:t>
      </w:r>
    </w:p>
    <w:p>
      <w:pPr>
        <w:pStyle w:val="DefinedTerms"/>
      </w:pPr>
      <w:r>
        <w:t>publish</w:t>
      </w:r>
      <w:r>
        <w:tab/>
        <w:t>19ZJ(1)</w:t>
      </w:r>
    </w:p>
    <w:p>
      <w:pPr>
        <w:pStyle w:val="DefinedTerms"/>
      </w:pPr>
      <w:r>
        <w:t>Registrar</w:t>
      </w:r>
      <w:r>
        <w:tab/>
        <w:t>19ZI(1)</w:t>
      </w:r>
    </w:p>
    <w:p>
      <w:pPr>
        <w:pStyle w:val="DefinedTerms"/>
      </w:pPr>
      <w:r>
        <w:t>relevant authorities</w:t>
      </w:r>
      <w:r>
        <w:tab/>
        <w:t>17A(4)</w:t>
      </w:r>
    </w:p>
    <w:p>
      <w:pPr>
        <w:pStyle w:val="DefinedTerms"/>
      </w:pPr>
      <w:r>
        <w:lastRenderedPageBreak/>
        <w:t>relevant court</w:t>
      </w:r>
      <w:r>
        <w:tab/>
        <w:t>19ZI(1)</w:t>
      </w:r>
    </w:p>
    <w:p>
      <w:pPr>
        <w:pStyle w:val="DefinedTerms"/>
      </w:pPr>
      <w:r>
        <w:t>relevant employee</w:t>
      </w:r>
      <w:r>
        <w:tab/>
        <w:t>19T(4)</w:t>
      </w:r>
    </w:p>
    <w:p>
      <w:pPr>
        <w:pStyle w:val="DefinedTerms"/>
      </w:pPr>
      <w:r>
        <w:t>relevant entity</w:t>
      </w:r>
      <w:r>
        <w:tab/>
        <w:t>4</w:t>
      </w:r>
    </w:p>
    <w:p>
      <w:pPr>
        <w:pStyle w:val="DefinedTerms"/>
      </w:pPr>
      <w:r>
        <w:t>relevant investigation</w:t>
      </w:r>
      <w:r>
        <w:tab/>
        <w:t>19ZG(1)</w:t>
      </w:r>
    </w:p>
    <w:p>
      <w:pPr>
        <w:pStyle w:val="DefinedTerms"/>
      </w:pPr>
      <w:r>
        <w:t>religious body</w:t>
      </w:r>
      <w:r>
        <w:tab/>
        <w:t>4</w:t>
      </w:r>
    </w:p>
    <w:p>
      <w:pPr>
        <w:pStyle w:val="DefinedTerms"/>
      </w:pPr>
      <w:r>
        <w:t>reportable allegation</w:t>
      </w:r>
      <w:r>
        <w:tab/>
        <w:t>4, 19F(1) and (2)</w:t>
      </w:r>
    </w:p>
    <w:p>
      <w:pPr>
        <w:pStyle w:val="DefinedTerms"/>
      </w:pPr>
      <w:r>
        <w:t>reportable conduct</w:t>
      </w:r>
      <w:r>
        <w:tab/>
        <w:t>4, 19G(2)</w:t>
      </w:r>
    </w:p>
    <w:p>
      <w:pPr>
        <w:pStyle w:val="DefinedTerms"/>
      </w:pPr>
      <w:r>
        <w:t>Reportable conduct</w:t>
      </w:r>
      <w:r>
        <w:tab/>
        <w:t>19G(1)</w:t>
      </w:r>
    </w:p>
    <w:p>
      <w:pPr>
        <w:pStyle w:val="DefinedTerms"/>
      </w:pPr>
      <w:r>
        <w:t>reportable conduct information</w:t>
      </w:r>
      <w:r>
        <w:tab/>
        <w:t>22C(1)</w:t>
      </w:r>
    </w:p>
    <w:p>
      <w:pPr>
        <w:pStyle w:val="DefinedTerms"/>
      </w:pPr>
      <w:r>
        <w:t>reportable conduct scheme</w:t>
      </w:r>
      <w:r>
        <w:tab/>
        <w:t>4</w:t>
      </w:r>
    </w:p>
    <w:p>
      <w:pPr>
        <w:pStyle w:val="DefinedTerms"/>
      </w:pPr>
      <w:r>
        <w:t>reportable conviction</w:t>
      </w:r>
      <w:r>
        <w:tab/>
        <w:t>4, 19H(1)</w:t>
      </w:r>
    </w:p>
    <w:p>
      <w:pPr>
        <w:pStyle w:val="DefinedTerms"/>
      </w:pPr>
      <w:r>
        <w:t>responsible Minister</w:t>
      </w:r>
      <w:r>
        <w:tab/>
        <w:t>4</w:t>
      </w:r>
    </w:p>
    <w:p>
      <w:pPr>
        <w:pStyle w:val="DefinedTerms"/>
      </w:pPr>
      <w:r>
        <w:t>sexual misconduct</w:t>
      </w:r>
      <w:r>
        <w:tab/>
        <w:t>19C</w:t>
      </w:r>
    </w:p>
    <w:p>
      <w:pPr>
        <w:pStyle w:val="DefinedTerms"/>
      </w:pPr>
      <w:r>
        <w:t>sexual offence</w:t>
      </w:r>
      <w:r>
        <w:tab/>
        <w:t>19C</w:t>
      </w:r>
    </w:p>
    <w:p>
      <w:pPr>
        <w:pStyle w:val="DefinedTerms"/>
      </w:pPr>
      <w:r>
        <w:t>staff</w:t>
      </w:r>
      <w:r>
        <w:tab/>
        <w:t>4</w:t>
      </w:r>
    </w:p>
    <w:p>
      <w:pPr>
        <w:pStyle w:val="DefinedTerms"/>
      </w:pPr>
      <w:r>
        <w:t>subcontractor</w:t>
      </w:r>
      <w:r>
        <w:tab/>
        <w:t>4</w:t>
      </w:r>
    </w:p>
    <w:p>
      <w:pPr>
        <w:pStyle w:val="DefinedTerms"/>
      </w:pPr>
      <w:r>
        <w:t>tribunal</w:t>
      </w:r>
      <w:r>
        <w:tab/>
        <w:t>4</w:t>
      </w:r>
    </w:p>
    <w:p>
      <w:pPr>
        <w:pStyle w:val="DefinedTerms"/>
      </w:pPr>
      <w:r>
        <w:t>water ombudsman scheme</w:t>
      </w:r>
      <w:r>
        <w:tab/>
        <w:t>34(7)</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10-h0-00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10-h0-00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10-h0-00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10-h0-00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10-h0-00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10-h0-00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Parliamentary Commissioner Act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2" w:name="Schedule"/>
    <w:bookmarkEnd w:id="14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9" w:name="Compilation"/>
    <w:bookmarkEnd w:id="14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3" w:name="DefinedTerms"/>
    <w:bookmarkEnd w:id="15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4" w:name="Coversheet"/>
    <w:bookmarkEnd w:id="1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FB03F9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0113105"/>
    <w:docVar w:name="WAFER_20140122153046" w:val="RemoveTocBookmarks,RemoveUnusedBookmarks,RemoveLanguageTags,UsedStyles,ResetPageSize,UpdateArrangement"/>
    <w:docVar w:name="WAFER_20140122153046_GUID" w:val="be075fa0-c250-49b5-b286-ec4e0f18dbf7"/>
    <w:docVar w:name="WAFER_20140122160735" w:val="RemoveTocBookmarks,RunningHeaders"/>
    <w:docVar w:name="WAFER_20140122160735_GUID" w:val="776999a0-7976-48ce-956b-3285012da513"/>
    <w:docVar w:name="WAFER_20141104172233" w:val="RemoveTocBookmarks,RemoveUnusedBookmarks,RemoveLanguageTags,UsedStyles,ResetPageSize,UpdateArrangement"/>
    <w:docVar w:name="WAFER_20141104172233_GUID" w:val="6eac26c5-09f8-4ae0-bc45-dcf234973bdb"/>
    <w:docVar w:name="WAFER_20150304144528" w:val="ResetPageSize,UpdateArrangement,UpdateNTable"/>
    <w:docVar w:name="WAFER_20150304144528_GUID" w:val="6419c7d9-888b-44d0-8560-23f05f749fe4"/>
    <w:docVar w:name="WAFER_20151109111857" w:val="UpdateStyles,UsedStyles"/>
    <w:docVar w:name="WAFER_20151109111857_GUID" w:val="3a22b1e0-5cee-4738-8186-498bbfac1b18"/>
    <w:docVar w:name="WAFER_20160127142836" w:val="RemoveTocBookmarks,RemoveUnusedBookmarks,RemoveLanguageTags,UsedStyles,RemoveTrackChanges"/>
    <w:docVar w:name="WAFER_20160127142836_GUID" w:val="6eb1cea1-7647-41dc-a451-161b195d478f"/>
    <w:docVar w:name="WAFER_20190920151028" w:val="RemoveTocBookmarks,RemoveUnusedBookmarks,RemoveLanguageTags,ResetPageSize,RunningHeaders,UpdateStyles,UsedStyles"/>
    <w:docVar w:name="WAFER_20190920151028_GUID" w:val="0a82add1-b348-4162-9aa1-616cc4caa8be"/>
    <w:docVar w:name="WAFER_202002111447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44701_GUID" w:val="542eaf72-0d6b-4793-8e33-c1eb22e18f00"/>
    <w:docVar w:name="WAFER_202211251015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25101500_GUID" w:val="3bf95306-cb75-4947-b8c8-1e4dbf1ff600"/>
    <w:docVar w:name="WAFER_202212150859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5085920_GUID" w:val="ad6b1002-c26d-4579-9e55-22bd812d6e11"/>
    <w:docVar w:name="WAFER_202304121230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23035_GUID" w:val="16b84fde-b88a-4296-a492-b2623c204441"/>
    <w:docVar w:name="WAFER_202312201129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20112921_GUID" w:val="038ee64d-022b-4b4a-8cc9-ae5405979f1b"/>
    <w:docVar w:name="WAFER_202312201131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220113105_GUID" w:val="8a878477-5ec4-47ea-be40-63cb39484b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3BABE8BE-DAC5-4522-B17B-A523404A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1967F-1978-4178-AC3F-468B4C6D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27239</Words>
  <Characters>132387</Characters>
  <Application>Microsoft Office Word</Application>
  <DocSecurity>0</DocSecurity>
  <Lines>4011</Lines>
  <Paragraphs>2186</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157440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1971 - 10-h0-00</dc:title>
  <dc:subject/>
  <dc:creator/>
  <cp:keywords/>
  <dc:description/>
  <cp:lastModifiedBy>Master Repository Process</cp:lastModifiedBy>
  <cp:revision>4</cp:revision>
  <cp:lastPrinted>2016-03-16T01:33:00Z</cp:lastPrinted>
  <dcterms:created xsi:type="dcterms:W3CDTF">2023-12-28T06:23:00Z</dcterms:created>
  <dcterms:modified xsi:type="dcterms:W3CDTF">2023-12-28T06:23:00Z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DocumentType">
    <vt:lpwstr>Act</vt:lpwstr>
  </property>
  <property fmtid="{D5CDD505-2E9C-101B-9397-08002B2CF9AE}" pid="4" name="OwlsUID">
    <vt:i4>572</vt:i4>
  </property>
  <property fmtid="{D5CDD505-2E9C-101B-9397-08002B2CF9AE}" pid="5" name="ReprintedAsAt">
    <vt:filetime>2016-03-03T16:00:00Z</vt:filetime>
  </property>
  <property fmtid="{D5CDD505-2E9C-101B-9397-08002B2CF9AE}" pid="6" name="ReprintNo">
    <vt:lpwstr>10</vt:lpwstr>
  </property>
  <property fmtid="{D5CDD505-2E9C-101B-9397-08002B2CF9AE}" pid="7" name="CommencementDate">
    <vt:lpwstr>20240101</vt:lpwstr>
  </property>
  <property fmtid="{D5CDD505-2E9C-101B-9397-08002B2CF9AE}" pid="8" name="CommencementYear">
    <vt:lpwstr>2024</vt:lpwstr>
  </property>
  <property fmtid="{D5CDD505-2E9C-101B-9397-08002B2CF9AE}" pid="9" name="AsAtDate">
    <vt:lpwstr>01 Jan 2024</vt:lpwstr>
  </property>
  <property fmtid="{D5CDD505-2E9C-101B-9397-08002B2CF9AE}" pid="10" name="Suffix">
    <vt:lpwstr>10-h0-00</vt:lpwstr>
  </property>
  <property fmtid="{D5CDD505-2E9C-101B-9397-08002B2CF9AE}" pid="11" name="Official">
    <vt:lpwstr/>
  </property>
</Properties>
</file>