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Fair Trading Act 2010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(Pre-paid Funerals Code of Practice)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(Pre-paid Funerals Code of Practice)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_Toc155688438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_Toc155688439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_Toc155688440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4 deleted</w:t>
      </w:r>
      <w:r>
        <w:tab/>
      </w:r>
      <w:r>
        <w:fldChar w:fldCharType="begin"/>
      </w:r>
      <w:r>
        <w:instrText xml:space="preserve"> PAGEREF _Toc155688441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Fair Trading Act 2010</w:t>
      </w:r>
    </w:p>
    <w:p>
      <w:pPr>
        <w:pStyle w:val="NameofActReg"/>
      </w:pPr>
      <w:r>
        <w:t>Fair Trading (Pre</w:t>
      </w:r>
      <w:r>
        <w:noBreakHyphen/>
        <w:t>paid Funerals Code of Practice) Amendment Regulations 2024</w:t>
      </w:r>
    </w:p>
    <w:p>
      <w:pPr>
        <w:pStyle w:val="MadeBy"/>
      </w:pPr>
      <w:r>
        <w:t>Made by the deputy of the Governor in Executive Council.</w:t>
      </w:r>
    </w:p>
    <w:p>
      <w:pPr>
        <w:pStyle w:val="Heading5"/>
      </w:pPr>
      <w:bookmarkStart w:id="2" w:name="_Toc155345330"/>
      <w:bookmarkStart w:id="3" w:name="_Toc155688438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(Pre</w:t>
      </w:r>
      <w:r>
        <w:rPr>
          <w:i/>
        </w:rPr>
        <w:noBreakHyphen/>
        <w:t>paid Funerals Code of Practice) Amendment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55345331"/>
      <w:bookmarkStart w:id="6" w:name="_Toc15568843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7" w:name="_Toc155345332"/>
      <w:bookmarkStart w:id="8" w:name="_Toc15568844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Fair Trading (Prepaid Funerals Code of Practice) Regulations 2020</w:t>
      </w:r>
      <w:r>
        <w:t>.</w:t>
      </w:r>
    </w:p>
    <w:p>
      <w:pPr>
        <w:pStyle w:val="Heading5"/>
      </w:pPr>
      <w:bookmarkStart w:id="9" w:name="_Toc155345333"/>
      <w:bookmarkStart w:id="10" w:name="_Toc155688441"/>
      <w:r>
        <w:rPr>
          <w:rStyle w:val="CharSectno"/>
        </w:rPr>
        <w:t>4</w:t>
      </w:r>
      <w:r>
        <w:t>.</w:t>
      </w:r>
      <w:r>
        <w:tab/>
        <w:t>Regulation 4 deleted</w:t>
      </w:r>
      <w:bookmarkEnd w:id="9"/>
      <w:bookmarkEnd w:id="10"/>
    </w:p>
    <w:p>
      <w:pPr>
        <w:pStyle w:val="Subsection"/>
        <w:rPr>
          <w:rStyle w:val="DraftersNotes"/>
          <w:b w:val="0"/>
          <w:i w:val="0"/>
          <w:sz w:val="24"/>
        </w:rPr>
      </w:pPr>
      <w:r>
        <w:tab/>
      </w:r>
      <w:r>
        <w:tab/>
        <w:t>Delete regulation 4.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B. D’SA,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05CBE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054EC84C" w14:textId="0E3E1DAC" w:rsidR="00213801" w:rsidRDefault="0021380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CD6041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A66BA11" w14:textId="77777777" w:rsidR="00213801" w:rsidRDefault="0021380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1FCE955" w14:textId="5D54D1C2" w:rsidR="00213801" w:rsidRDefault="0021380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CD6041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E901C79" w14:textId="77777777" w:rsidR="00213801" w:rsidRDefault="00213801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10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10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10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10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10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10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(Pre-paid Funerals Code of Practice)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(Pre-paid Funerals Code of Practice)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(Pre-paid Funerals Code of Practice)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(Pre-paid Funerals Code of Practice)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5110001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3112211335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122113357_GUID" w:val="6412cd8e-40ec-4a73-903f-8e6be7296d65"/>
    <w:docVar w:name="WAFER_2023113009493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130094939_GUID" w:val="f06a369e-859a-403e-9395-9b77fd3cde43"/>
    <w:docVar w:name="WAFER_2024010511000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5110001_GUID" w:val="91ebcc7a-e166-4d0e-8e9a-111a8de222b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64C2F0CF-CC8E-4CE1-8A42-3FF6E5AF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7B9F-CAA6-44AC-975B-99090347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1332</Characters>
  <Application>Microsoft Office Word</Application>
  <DocSecurity>0</DocSecurity>
  <Lines>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(Pre-paid Funerals Code of Practice) Amendment Regulations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2024-01-09T02:51:00Z</dcterms:created>
  <dcterms:modified xsi:type="dcterms:W3CDTF">2024-01-09T02:51:00Z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54594</vt:lpwstr>
  </property>
  <property fmtid="{D5CDD505-2E9C-101B-9397-08002B2CF9AE}" pid="3" name="DocumentType">
    <vt:lpwstr>Reg</vt:lpwstr>
  </property>
  <property fmtid="{D5CDD505-2E9C-101B-9397-08002B2CF9AE}" pid="4" name="AsAtDate">
    <vt:lpwstr>10 Jan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2024/2</vt:lpwstr>
  </property>
  <property fmtid="{D5CDD505-2E9C-101B-9397-08002B2CF9AE}" pid="8" name="PublishDate">
    <vt:lpwstr>10 Jan 2024</vt:lpwstr>
  </property>
  <property fmtid="{D5CDD505-2E9C-101B-9397-08002B2CF9AE}" pid="9" name="CommencementDate">
    <vt:lpwstr>20240110</vt:lpwstr>
  </property>
  <property fmtid="{D5CDD505-2E9C-101B-9397-08002B2CF9AE}" pid="10" name="CommencementAsAt">
    <vt:filetime>2024-01-09T16:00:00Z</vt:filetime>
  </property>
  <property fmtid="{D5CDD505-2E9C-101B-9397-08002B2CF9AE}" pid="11" name="CommencementYear">
    <vt:lpwstr>2024</vt:lpwstr>
  </property>
</Properties>
</file>