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National Gas Access (WA) Act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National Gas Access (WA) Act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_Toc158374529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_Toc158374530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_Toc158374531 \h </w:instrText>
      </w:r>
      <w:r>
        <w:fldChar w:fldCharType="separate"/>
      </w:r>
      <w:r>
        <w:t>1</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_Toc158374532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to coastal waters</w:t>
      </w:r>
      <w:r>
        <w:tab/>
      </w:r>
      <w:r>
        <w:fldChar w:fldCharType="begin"/>
      </w:r>
      <w:r>
        <w:instrText xml:space="preserve"> PAGEREF _Toc158374533 \h </w:instrText>
      </w:r>
      <w:r>
        <w:fldChar w:fldCharType="separate"/>
      </w:r>
      <w:r>
        <w:t>1</w:t>
      </w:r>
      <w:r>
        <w:fldChar w:fldCharType="end"/>
      </w:r>
    </w:p>
    <w:p>
      <w:pPr>
        <w:pStyle w:val="TOC8"/>
        <w:rPr>
          <w:rFonts w:asciiTheme="minorHAnsi" w:eastAsiaTheme="minorEastAsia" w:hAnsiTheme="minorHAnsi" w:cstheme="minorBidi"/>
          <w:szCs w:val="22"/>
        </w:rPr>
      </w:pPr>
      <w:r>
        <w:t>6.</w:t>
      </w:r>
      <w:r>
        <w:tab/>
        <w:t>Extra</w:t>
      </w:r>
      <w:r>
        <w:noBreakHyphen/>
        <w:t>territorial operation</w:t>
      </w:r>
      <w:r>
        <w:tab/>
      </w:r>
      <w:r>
        <w:fldChar w:fldCharType="begin"/>
      </w:r>
      <w:r>
        <w:instrText xml:space="preserve"> PAGEREF _Toc158374534 \h </w:instrText>
      </w:r>
      <w:r>
        <w:fldChar w:fldCharType="separate"/>
      </w:r>
      <w:r>
        <w:t>1</w:t>
      </w:r>
      <w:r>
        <w:fldChar w:fldCharType="end"/>
      </w:r>
    </w:p>
    <w:p>
      <w:pPr>
        <w:pStyle w:val="TOC8"/>
        <w:rPr>
          <w:rFonts w:asciiTheme="minorHAnsi" w:eastAsiaTheme="minorEastAsia" w:hAnsiTheme="minorHAnsi" w:cstheme="minorBidi"/>
          <w:szCs w:val="22"/>
        </w:rPr>
      </w:pPr>
      <w:r>
        <w:rPr>
          <w:bCs/>
        </w:rPr>
        <w:t>6A</w:t>
      </w:r>
      <w:r>
        <w:t>.</w:t>
      </w:r>
      <w:r>
        <w:tab/>
        <w:t>Extension to certain pipelines for hauling gas other than natural gas</w:t>
      </w:r>
      <w:r>
        <w:tab/>
      </w:r>
      <w:r>
        <w:fldChar w:fldCharType="begin"/>
      </w:r>
      <w:r>
        <w:instrText xml:space="preserve"> PAGEREF _Toc158374535 \h </w:instrText>
      </w:r>
      <w:r>
        <w:fldChar w:fldCharType="separate"/>
      </w:r>
      <w:r>
        <w:t>1</w:t>
      </w:r>
      <w:r>
        <w:fldChar w:fldCharType="end"/>
      </w:r>
    </w:p>
    <w:p>
      <w:pPr>
        <w:pStyle w:val="TOC8"/>
        <w:rPr>
          <w:rFonts w:asciiTheme="minorHAnsi" w:eastAsiaTheme="minorEastAsia" w:hAnsiTheme="minorHAnsi" w:cstheme="minorBidi"/>
          <w:szCs w:val="22"/>
        </w:rPr>
      </w:pPr>
      <w:r>
        <w:t>6B.</w:t>
      </w:r>
      <w:r>
        <w:tab/>
      </w:r>
      <w:r>
        <w:rPr>
          <w:i/>
          <w:iCs/>
        </w:rPr>
        <w:t>Interpretation Act 1984</w:t>
      </w:r>
      <w:r>
        <w:t xml:space="preserve"> does not apply</w:t>
      </w:r>
      <w:r>
        <w:tab/>
      </w:r>
      <w:r>
        <w:fldChar w:fldCharType="begin"/>
      </w:r>
      <w:r>
        <w:instrText xml:space="preserve"> PAGEREF _Toc158374536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National Gas Access (Western Australia) Law and its regulations</w:t>
      </w:r>
    </w:p>
    <w:p>
      <w:pPr>
        <w:pStyle w:val="TOC8"/>
        <w:rPr>
          <w:rFonts w:asciiTheme="minorHAnsi" w:eastAsiaTheme="minorEastAsia" w:hAnsiTheme="minorHAnsi" w:cstheme="minorBidi"/>
          <w:szCs w:val="22"/>
        </w:rPr>
      </w:pPr>
      <w:r>
        <w:t>7.</w:t>
      </w:r>
      <w:r>
        <w:tab/>
        <w:t>National Gas Access (Western Australia) Law</w:t>
      </w:r>
      <w:r>
        <w:tab/>
      </w:r>
      <w:r>
        <w:fldChar w:fldCharType="begin"/>
      </w:r>
      <w:r>
        <w:instrText xml:space="preserve"> PAGEREF _Toc158374538 \h </w:instrText>
      </w:r>
      <w:r>
        <w:fldChar w:fldCharType="separate"/>
      </w:r>
      <w:r>
        <w:t>1</w:t>
      </w:r>
      <w:r>
        <w:fldChar w:fldCharType="end"/>
      </w:r>
    </w:p>
    <w:p>
      <w:pPr>
        <w:pStyle w:val="TOC8"/>
        <w:rPr>
          <w:rFonts w:asciiTheme="minorHAnsi" w:eastAsiaTheme="minorEastAsia" w:hAnsiTheme="minorHAnsi" w:cstheme="minorBidi"/>
          <w:szCs w:val="22"/>
        </w:rPr>
      </w:pPr>
      <w:r>
        <w:t>7A.</w:t>
      </w:r>
      <w:r>
        <w:tab/>
        <w:t>Amendments to Schedule to South Australian Act</w:t>
      </w:r>
      <w:r>
        <w:tab/>
      </w:r>
      <w:r>
        <w:fldChar w:fldCharType="begin"/>
      </w:r>
      <w:r>
        <w:instrText xml:space="preserve"> PAGEREF _Toc158374539 \h </w:instrText>
      </w:r>
      <w:r>
        <w:fldChar w:fldCharType="separate"/>
      </w:r>
      <w:r>
        <w:t>1</w:t>
      </w:r>
      <w:r>
        <w:fldChar w:fldCharType="end"/>
      </w:r>
    </w:p>
    <w:p>
      <w:pPr>
        <w:pStyle w:val="TOC8"/>
        <w:rPr>
          <w:rFonts w:asciiTheme="minorHAnsi" w:eastAsiaTheme="minorEastAsia" w:hAnsiTheme="minorHAnsi" w:cstheme="minorBidi"/>
          <w:szCs w:val="22"/>
        </w:rPr>
      </w:pPr>
      <w:r>
        <w:t>7B.</w:t>
      </w:r>
      <w:r>
        <w:tab/>
        <w:t>Regulations amending Schedule 1 consequentially</w:t>
      </w:r>
      <w:r>
        <w:tab/>
      </w:r>
      <w:r>
        <w:fldChar w:fldCharType="begin"/>
      </w:r>
      <w:r>
        <w:instrText xml:space="preserve"> PAGEREF _Toc158374540 \h </w:instrText>
      </w:r>
      <w:r>
        <w:fldChar w:fldCharType="separate"/>
      </w:r>
      <w:r>
        <w:t>1</w:t>
      </w:r>
      <w:r>
        <w:fldChar w:fldCharType="end"/>
      </w:r>
    </w:p>
    <w:p>
      <w:pPr>
        <w:pStyle w:val="TOC8"/>
        <w:rPr>
          <w:rFonts w:asciiTheme="minorHAnsi" w:eastAsiaTheme="minorEastAsia" w:hAnsiTheme="minorHAnsi" w:cstheme="minorBidi"/>
          <w:szCs w:val="22"/>
        </w:rPr>
      </w:pPr>
      <w:r>
        <w:rPr>
          <w:bCs/>
        </w:rPr>
        <w:t>8</w:t>
      </w:r>
      <w:r>
        <w:t>.</w:t>
      </w:r>
      <w:r>
        <w:tab/>
        <w:t>National Gas Access (Western Australia) Regulations</w:t>
      </w:r>
      <w:r>
        <w:tab/>
      </w:r>
      <w:r>
        <w:fldChar w:fldCharType="begin"/>
      </w:r>
      <w:r>
        <w:instrText xml:space="preserve"> PAGEREF _Toc158374541 \h </w:instrText>
      </w:r>
      <w:r>
        <w:fldChar w:fldCharType="separate"/>
      </w:r>
      <w:r>
        <w:t>1</w:t>
      </w:r>
      <w:r>
        <w:fldChar w:fldCharType="end"/>
      </w:r>
    </w:p>
    <w:p>
      <w:pPr>
        <w:pStyle w:val="TOC8"/>
        <w:rPr>
          <w:rFonts w:asciiTheme="minorHAnsi" w:eastAsiaTheme="minorEastAsia" w:hAnsiTheme="minorHAnsi" w:cstheme="minorBidi"/>
          <w:szCs w:val="22"/>
        </w:rPr>
      </w:pPr>
      <w:r>
        <w:t>9.</w:t>
      </w:r>
      <w:r>
        <w:tab/>
        <w:t>Terms used in National Gas Access (Western Australia) Law and its regulations</w:t>
      </w:r>
      <w:r>
        <w:tab/>
      </w:r>
      <w:r>
        <w:fldChar w:fldCharType="begin"/>
      </w:r>
      <w:r>
        <w:instrText xml:space="preserve"> PAGEREF _Toc158374542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Regulations for the National Gas Access (Western Australia) Law</w:t>
      </w:r>
    </w:p>
    <w:p>
      <w:pPr>
        <w:pStyle w:val="TOC8"/>
        <w:rPr>
          <w:rFonts w:asciiTheme="minorHAnsi" w:eastAsiaTheme="minorEastAsia" w:hAnsiTheme="minorHAnsi" w:cstheme="minorBidi"/>
          <w:szCs w:val="22"/>
        </w:rPr>
      </w:pPr>
      <w:r>
        <w:t>10.</w:t>
      </w:r>
      <w:r>
        <w:tab/>
        <w:t>Making regulations</w:t>
      </w:r>
      <w:r>
        <w:tab/>
      </w:r>
      <w:r>
        <w:fldChar w:fldCharType="begin"/>
      </w:r>
      <w:r>
        <w:instrText xml:space="preserve"> PAGEREF _Toc158374544 \h </w:instrText>
      </w:r>
      <w:r>
        <w:fldChar w:fldCharType="separate"/>
      </w:r>
      <w:r>
        <w:t>1</w:t>
      </w:r>
      <w:r>
        <w:fldChar w:fldCharType="end"/>
      </w:r>
    </w:p>
    <w:p>
      <w:pPr>
        <w:pStyle w:val="TOC8"/>
        <w:rPr>
          <w:rFonts w:asciiTheme="minorHAnsi" w:eastAsiaTheme="minorEastAsia" w:hAnsiTheme="minorHAnsi" w:cstheme="minorBidi"/>
          <w:szCs w:val="22"/>
        </w:rPr>
      </w:pPr>
      <w:r>
        <w:t>11.</w:t>
      </w:r>
      <w:r>
        <w:tab/>
        <w:t>Regulations may deal with transitional matters</w:t>
      </w:r>
      <w:r>
        <w:tab/>
      </w:r>
      <w:r>
        <w:fldChar w:fldCharType="begin"/>
      </w:r>
      <w:r>
        <w:instrText xml:space="preserve"> PAGEREF _Toc158374545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Cross vesting of functions and powers</w:t>
      </w:r>
    </w:p>
    <w:p>
      <w:pPr>
        <w:pStyle w:val="TOC8"/>
        <w:rPr>
          <w:rFonts w:asciiTheme="minorHAnsi" w:eastAsiaTheme="minorEastAsia" w:hAnsiTheme="minorHAnsi" w:cstheme="minorBidi"/>
          <w:szCs w:val="22"/>
        </w:rPr>
      </w:pPr>
      <w:r>
        <w:t>12.</w:t>
      </w:r>
      <w:r>
        <w:tab/>
        <w:t>Conferral of powers on Commonwealth Minister and Commonwealth bodies to act in this State</w:t>
      </w:r>
      <w:r>
        <w:tab/>
      </w:r>
      <w:r>
        <w:fldChar w:fldCharType="begin"/>
      </w:r>
      <w:r>
        <w:instrText xml:space="preserve"> PAGEREF _Toc158374547 \h </w:instrText>
      </w:r>
      <w:r>
        <w:fldChar w:fldCharType="separate"/>
      </w:r>
      <w:r>
        <w:t>1</w:t>
      </w:r>
      <w:r>
        <w:fldChar w:fldCharType="end"/>
      </w:r>
    </w:p>
    <w:p>
      <w:pPr>
        <w:pStyle w:val="TOC8"/>
        <w:rPr>
          <w:rFonts w:asciiTheme="minorHAnsi" w:eastAsiaTheme="minorEastAsia" w:hAnsiTheme="minorHAnsi" w:cstheme="minorBidi"/>
          <w:szCs w:val="22"/>
        </w:rPr>
      </w:pPr>
      <w:r>
        <w:t>13.</w:t>
      </w:r>
      <w:r>
        <w:tab/>
        <w:t>Conferral of powers on Ministers of other</w:t>
      </w:r>
      <w:r>
        <w:rPr>
          <w:bCs/>
        </w:rPr>
        <w:t xml:space="preserve"> </w:t>
      </w:r>
      <w:r>
        <w:t>participating States and Territories to act in this State</w:t>
      </w:r>
      <w:r>
        <w:tab/>
      </w:r>
      <w:r>
        <w:fldChar w:fldCharType="begin"/>
      </w:r>
      <w:r>
        <w:instrText xml:space="preserve"> PAGEREF _Toc158374548 \h </w:instrText>
      </w:r>
      <w:r>
        <w:fldChar w:fldCharType="separate"/>
      </w:r>
      <w:r>
        <w:t>1</w:t>
      </w:r>
      <w:r>
        <w:fldChar w:fldCharType="end"/>
      </w:r>
    </w:p>
    <w:p>
      <w:pPr>
        <w:pStyle w:val="TOC8"/>
        <w:rPr>
          <w:rFonts w:asciiTheme="minorHAnsi" w:eastAsiaTheme="minorEastAsia" w:hAnsiTheme="minorHAnsi" w:cstheme="minorBidi"/>
          <w:szCs w:val="22"/>
        </w:rPr>
      </w:pPr>
      <w:r>
        <w:t>14.</w:t>
      </w:r>
      <w:r>
        <w:tab/>
        <w:t>Conferral of functions or powers on State bodies</w:t>
      </w:r>
      <w:r>
        <w:tab/>
      </w:r>
      <w:r>
        <w:fldChar w:fldCharType="begin"/>
      </w:r>
      <w:r>
        <w:instrText xml:space="preserve"> PAGEREF _Toc158374549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15.</w:t>
      </w:r>
      <w:r>
        <w:tab/>
        <w:t>Exemption from taxes</w:t>
      </w:r>
      <w:r>
        <w:tab/>
      </w:r>
      <w:r>
        <w:fldChar w:fldCharType="begin"/>
      </w:r>
      <w:r>
        <w:instrText xml:space="preserve"> PAGEREF _Toc158374551 \h </w:instrText>
      </w:r>
      <w:r>
        <w:fldChar w:fldCharType="separate"/>
      </w:r>
      <w:r>
        <w:t>1</w:t>
      </w:r>
      <w:r>
        <w:fldChar w:fldCharType="end"/>
      </w:r>
    </w:p>
    <w:p>
      <w:pPr>
        <w:pStyle w:val="TOC8"/>
        <w:rPr>
          <w:rFonts w:asciiTheme="minorHAnsi" w:eastAsiaTheme="minorEastAsia" w:hAnsiTheme="minorHAnsi" w:cstheme="minorBidi"/>
          <w:szCs w:val="22"/>
        </w:rPr>
      </w:pPr>
      <w:r>
        <w:t>16.</w:t>
      </w:r>
      <w:r>
        <w:tab/>
        <w:t>Actions in relation to cross boundary pipelines</w:t>
      </w:r>
      <w:r>
        <w:tab/>
      </w:r>
      <w:r>
        <w:fldChar w:fldCharType="begin"/>
      </w:r>
      <w:r>
        <w:instrText xml:space="preserve"> PAGEREF _Toc158374552 \h </w:instrText>
      </w:r>
      <w:r>
        <w:fldChar w:fldCharType="separate"/>
      </w:r>
      <w:r>
        <w:t>1</w:t>
      </w:r>
      <w:r>
        <w:fldChar w:fldCharType="end"/>
      </w:r>
    </w:p>
    <w:p>
      <w:pPr>
        <w:pStyle w:val="TOC8"/>
        <w:rPr>
          <w:rFonts w:asciiTheme="minorHAnsi" w:eastAsiaTheme="minorEastAsia" w:hAnsiTheme="minorHAnsi" w:cstheme="minorBidi"/>
          <w:szCs w:val="22"/>
        </w:rPr>
      </w:pPr>
      <w:r>
        <w:t>17.</w:t>
      </w:r>
      <w:r>
        <w:tab/>
        <w:t>Conferral of functions and powers on Commonwealth bodies</w:t>
      </w:r>
      <w:r>
        <w:tab/>
      </w:r>
      <w:r>
        <w:fldChar w:fldCharType="begin"/>
      </w:r>
      <w:r>
        <w:instrText xml:space="preserve"> PAGEREF _Toc158374553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Other local provisions</w:t>
      </w:r>
    </w:p>
    <w:p>
      <w:pPr>
        <w:pStyle w:val="TOC4"/>
        <w:tabs>
          <w:tab w:val="right" w:leader="dot" w:pos="7077"/>
        </w:tabs>
        <w:rPr>
          <w:rFonts w:asciiTheme="minorHAnsi" w:eastAsiaTheme="minorEastAsia" w:hAnsiTheme="minorHAnsi" w:cstheme="minorBidi"/>
          <w:b w:val="0"/>
          <w:szCs w:val="22"/>
        </w:rPr>
      </w:pPr>
      <w:r>
        <w:t>Division 1 — Economic Regulation Authority</w:t>
      </w:r>
    </w:p>
    <w:p>
      <w:pPr>
        <w:pStyle w:val="TOC8"/>
        <w:rPr>
          <w:rFonts w:asciiTheme="minorHAnsi" w:eastAsiaTheme="minorEastAsia" w:hAnsiTheme="minorHAnsi" w:cstheme="minorBidi"/>
          <w:szCs w:val="22"/>
        </w:rPr>
      </w:pPr>
      <w:r>
        <w:t>18.</w:t>
      </w:r>
      <w:r>
        <w:tab/>
        <w:t>Expertise of Director of Energy Safety to be used</w:t>
      </w:r>
      <w:r>
        <w:tab/>
      </w:r>
      <w:r>
        <w:fldChar w:fldCharType="begin"/>
      </w:r>
      <w:r>
        <w:instrText xml:space="preserve"> PAGEREF _Toc158374556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19</w:t>
      </w:r>
      <w:r>
        <w:rPr>
          <w:snapToGrid w:val="0"/>
        </w:rPr>
        <w:t>.</w:t>
      </w:r>
      <w:r>
        <w:rPr>
          <w:snapToGrid w:val="0"/>
        </w:rPr>
        <w:tab/>
        <w:t>Preservation of certain contracts relating to privatised DBNGP system</w:t>
      </w:r>
      <w:r>
        <w:tab/>
      </w:r>
      <w:r>
        <w:fldChar w:fldCharType="begin"/>
      </w:r>
      <w:r>
        <w:instrText xml:space="preserve"> PAGEREF _Toc158374558 \h </w:instrText>
      </w:r>
      <w:r>
        <w:fldChar w:fldCharType="separate"/>
      </w:r>
      <w:r>
        <w:t>1</w:t>
      </w:r>
      <w:r>
        <w:fldChar w:fldCharType="end"/>
      </w:r>
    </w:p>
    <w:p>
      <w:pPr>
        <w:pStyle w:val="TOC8"/>
        <w:rPr>
          <w:rFonts w:asciiTheme="minorHAnsi" w:eastAsiaTheme="minorEastAsia" w:hAnsiTheme="minorHAnsi" w:cstheme="minorBidi"/>
          <w:szCs w:val="22"/>
        </w:rPr>
      </w:pPr>
      <w:r>
        <w:t>20.</w:t>
      </w:r>
      <w:r>
        <w:tab/>
        <w:t>Transitional provisions for Kalgoorlie to Kambalda pipeline</w:t>
      </w:r>
      <w:r>
        <w:tab/>
      </w:r>
      <w:r>
        <w:fldChar w:fldCharType="begin"/>
      </w:r>
      <w:r>
        <w:instrText xml:space="preserve"> PAGEREF _Toc158374559 \h </w:instrText>
      </w:r>
      <w:r>
        <w:fldChar w:fldCharType="separate"/>
      </w:r>
      <w:r>
        <w:t>1</w:t>
      </w:r>
      <w:r>
        <w:fldChar w:fldCharType="end"/>
      </w:r>
    </w:p>
    <w:p>
      <w:pPr>
        <w:pStyle w:val="TOC8"/>
        <w:rPr>
          <w:rFonts w:asciiTheme="minorHAnsi" w:eastAsiaTheme="minorEastAsia" w:hAnsiTheme="minorHAnsi" w:cstheme="minorBidi"/>
          <w:szCs w:val="22"/>
        </w:rPr>
      </w:pPr>
      <w:r>
        <w:t>21.</w:t>
      </w:r>
      <w:r>
        <w:tab/>
        <w:t>Regulations</w:t>
      </w:r>
      <w:r>
        <w:tab/>
      </w:r>
      <w:r>
        <w:fldChar w:fldCharType="begin"/>
      </w:r>
      <w:r>
        <w:instrText xml:space="preserve"> PAGEREF _Toc158374560 \h </w:instrText>
      </w:r>
      <w:r>
        <w:fldChar w:fldCharType="separate"/>
      </w:r>
      <w:r>
        <w:t>1</w:t>
      </w:r>
      <w:r>
        <w:fldChar w:fldCharType="end"/>
      </w:r>
    </w:p>
    <w:p>
      <w:pPr>
        <w:pStyle w:val="TOC8"/>
        <w:rPr>
          <w:rFonts w:asciiTheme="minorHAnsi" w:eastAsiaTheme="minorEastAsia" w:hAnsiTheme="minorHAnsi" w:cstheme="minorBidi"/>
          <w:szCs w:val="22"/>
        </w:rPr>
      </w:pPr>
      <w:r>
        <w:t>22.</w:t>
      </w:r>
      <w:r>
        <w:tab/>
        <w:t>Review of Act</w:t>
      </w:r>
      <w:r>
        <w:tab/>
      </w:r>
      <w:r>
        <w:fldChar w:fldCharType="begin"/>
      </w:r>
      <w:r>
        <w:instrText xml:space="preserve"> PAGEREF _Toc158374561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Various Acts amended</w:t>
      </w:r>
    </w:p>
    <w:p>
      <w:pPr>
        <w:pStyle w:val="TOC4"/>
        <w:tabs>
          <w:tab w:val="right" w:leader="dot" w:pos="7077"/>
        </w:tabs>
        <w:rPr>
          <w:rFonts w:asciiTheme="minorHAnsi" w:eastAsiaTheme="minorEastAsia" w:hAnsiTheme="minorHAnsi" w:cstheme="minorBidi"/>
          <w:b w:val="0"/>
          <w:szCs w:val="22"/>
        </w:rPr>
      </w:pPr>
      <w:r>
        <w:t>Division 1 — </w:t>
      </w:r>
      <w:r>
        <w:rPr>
          <w:i/>
        </w:rPr>
        <w:t>Gas Pipelines Access (Western Australia) Act 1998</w:t>
      </w:r>
    </w:p>
    <w:p>
      <w:pPr>
        <w:pStyle w:val="TOC8"/>
        <w:rPr>
          <w:rFonts w:asciiTheme="minorHAnsi" w:eastAsiaTheme="minorEastAsia" w:hAnsiTheme="minorHAnsi" w:cstheme="minorBidi"/>
          <w:szCs w:val="22"/>
        </w:rPr>
      </w:pPr>
      <w:r>
        <w:t>23.</w:t>
      </w:r>
      <w:r>
        <w:tab/>
        <w:t>Act amended</w:t>
      </w:r>
      <w:r>
        <w:tab/>
      </w:r>
      <w:r>
        <w:fldChar w:fldCharType="begin"/>
      </w:r>
      <w:r>
        <w:instrText xml:space="preserve"> PAGEREF _Toc158374564 \h </w:instrText>
      </w:r>
      <w:r>
        <w:fldChar w:fldCharType="separate"/>
      </w:r>
      <w:r>
        <w:t>1</w:t>
      </w:r>
      <w:r>
        <w:fldChar w:fldCharType="end"/>
      </w:r>
    </w:p>
    <w:p>
      <w:pPr>
        <w:pStyle w:val="TOC8"/>
        <w:rPr>
          <w:rFonts w:asciiTheme="minorHAnsi" w:eastAsiaTheme="minorEastAsia" w:hAnsiTheme="minorHAnsi" w:cstheme="minorBidi"/>
          <w:szCs w:val="22"/>
        </w:rPr>
      </w:pPr>
      <w:r>
        <w:t>24.</w:t>
      </w:r>
      <w:r>
        <w:tab/>
        <w:t>Long title replaced</w:t>
      </w:r>
      <w:r>
        <w:tab/>
      </w:r>
      <w:r>
        <w:fldChar w:fldCharType="begin"/>
      </w:r>
      <w:r>
        <w:instrText xml:space="preserve"> PAGEREF _Toc158374565 \h </w:instrText>
      </w:r>
      <w:r>
        <w:fldChar w:fldCharType="separate"/>
      </w:r>
      <w:r>
        <w:t>1</w:t>
      </w:r>
      <w:r>
        <w:fldChar w:fldCharType="end"/>
      </w:r>
    </w:p>
    <w:p>
      <w:pPr>
        <w:pStyle w:val="TOC8"/>
        <w:rPr>
          <w:rFonts w:asciiTheme="minorHAnsi" w:eastAsiaTheme="minorEastAsia" w:hAnsiTheme="minorHAnsi" w:cstheme="minorBidi"/>
          <w:szCs w:val="22"/>
        </w:rPr>
      </w:pPr>
      <w:r>
        <w:t>25.</w:t>
      </w:r>
      <w:r>
        <w:tab/>
        <w:t>Preamble deleted</w:t>
      </w:r>
      <w:r>
        <w:tab/>
      </w:r>
      <w:r>
        <w:fldChar w:fldCharType="begin"/>
      </w:r>
      <w:r>
        <w:instrText xml:space="preserve"> PAGEREF _Toc158374566 \h </w:instrText>
      </w:r>
      <w:r>
        <w:fldChar w:fldCharType="separate"/>
      </w:r>
      <w:r>
        <w:t>1</w:t>
      </w:r>
      <w:r>
        <w:fldChar w:fldCharType="end"/>
      </w:r>
    </w:p>
    <w:p>
      <w:pPr>
        <w:pStyle w:val="TOC8"/>
        <w:rPr>
          <w:rFonts w:asciiTheme="minorHAnsi" w:eastAsiaTheme="minorEastAsia" w:hAnsiTheme="minorHAnsi" w:cstheme="minorBidi"/>
          <w:szCs w:val="22"/>
        </w:rPr>
      </w:pPr>
      <w:r>
        <w:t>26.</w:t>
      </w:r>
      <w:r>
        <w:tab/>
        <w:t>Section 1 amended</w:t>
      </w:r>
      <w:r>
        <w:tab/>
      </w:r>
      <w:r>
        <w:fldChar w:fldCharType="begin"/>
      </w:r>
      <w:r>
        <w:instrText xml:space="preserve"> PAGEREF _Toc158374567 \h </w:instrText>
      </w:r>
      <w:r>
        <w:fldChar w:fldCharType="separate"/>
      </w:r>
      <w:r>
        <w:t>1</w:t>
      </w:r>
      <w:r>
        <w:fldChar w:fldCharType="end"/>
      </w:r>
    </w:p>
    <w:p>
      <w:pPr>
        <w:pStyle w:val="TOC8"/>
        <w:rPr>
          <w:rFonts w:asciiTheme="minorHAnsi" w:eastAsiaTheme="minorEastAsia" w:hAnsiTheme="minorHAnsi" w:cstheme="minorBidi"/>
          <w:szCs w:val="22"/>
        </w:rPr>
      </w:pPr>
      <w:r>
        <w:t>27.</w:t>
      </w:r>
      <w:r>
        <w:tab/>
        <w:t>Sections 2 to 4 deleted</w:t>
      </w:r>
      <w:r>
        <w:tab/>
      </w:r>
      <w:r>
        <w:fldChar w:fldCharType="begin"/>
      </w:r>
      <w:r>
        <w:instrText xml:space="preserve"> PAGEREF _Toc158374568 \h </w:instrText>
      </w:r>
      <w:r>
        <w:fldChar w:fldCharType="separate"/>
      </w:r>
      <w:r>
        <w:t>1</w:t>
      </w:r>
      <w:r>
        <w:fldChar w:fldCharType="end"/>
      </w:r>
    </w:p>
    <w:p>
      <w:pPr>
        <w:pStyle w:val="TOC8"/>
        <w:rPr>
          <w:rFonts w:asciiTheme="minorHAnsi" w:eastAsiaTheme="minorEastAsia" w:hAnsiTheme="minorHAnsi" w:cstheme="minorBidi"/>
          <w:szCs w:val="22"/>
        </w:rPr>
      </w:pPr>
      <w:r>
        <w:t>28.</w:t>
      </w:r>
      <w:r>
        <w:tab/>
        <w:t>Section 5 amended</w:t>
      </w:r>
      <w:r>
        <w:tab/>
      </w:r>
      <w:r>
        <w:fldChar w:fldCharType="begin"/>
      </w:r>
      <w:r>
        <w:instrText xml:space="preserve"> PAGEREF _Toc158374569 \h </w:instrText>
      </w:r>
      <w:r>
        <w:fldChar w:fldCharType="separate"/>
      </w:r>
      <w:r>
        <w:t>1</w:t>
      </w:r>
      <w:r>
        <w:fldChar w:fldCharType="end"/>
      </w:r>
    </w:p>
    <w:p>
      <w:pPr>
        <w:pStyle w:val="TOC8"/>
        <w:rPr>
          <w:rFonts w:asciiTheme="minorHAnsi" w:eastAsiaTheme="minorEastAsia" w:hAnsiTheme="minorHAnsi" w:cstheme="minorBidi"/>
          <w:szCs w:val="22"/>
        </w:rPr>
      </w:pPr>
      <w:r>
        <w:t>29.</w:t>
      </w:r>
      <w:r>
        <w:tab/>
        <w:t>Sections 6 to 8 deleted</w:t>
      </w:r>
      <w:r>
        <w:tab/>
      </w:r>
      <w:r>
        <w:fldChar w:fldCharType="begin"/>
      </w:r>
      <w:r>
        <w:instrText xml:space="preserve"> PAGEREF _Toc158374570 \h </w:instrText>
      </w:r>
      <w:r>
        <w:fldChar w:fldCharType="separate"/>
      </w:r>
      <w:r>
        <w:t>1</w:t>
      </w:r>
      <w:r>
        <w:fldChar w:fldCharType="end"/>
      </w:r>
    </w:p>
    <w:p>
      <w:pPr>
        <w:pStyle w:val="TOC8"/>
        <w:rPr>
          <w:rFonts w:asciiTheme="minorHAnsi" w:eastAsiaTheme="minorEastAsia" w:hAnsiTheme="minorHAnsi" w:cstheme="minorBidi"/>
          <w:szCs w:val="22"/>
        </w:rPr>
      </w:pPr>
      <w:r>
        <w:t>30.</w:t>
      </w:r>
      <w:r>
        <w:tab/>
        <w:t>Parts 2 to 5 deleted</w:t>
      </w:r>
      <w:r>
        <w:tab/>
      </w:r>
      <w:r>
        <w:fldChar w:fldCharType="begin"/>
      </w:r>
      <w:r>
        <w:instrText xml:space="preserve"> PAGEREF _Toc158374571 \h </w:instrText>
      </w:r>
      <w:r>
        <w:fldChar w:fldCharType="separate"/>
      </w:r>
      <w:r>
        <w:t>1</w:t>
      </w:r>
      <w:r>
        <w:fldChar w:fldCharType="end"/>
      </w:r>
    </w:p>
    <w:p>
      <w:pPr>
        <w:pStyle w:val="TOC8"/>
        <w:rPr>
          <w:rFonts w:asciiTheme="minorHAnsi" w:eastAsiaTheme="minorEastAsia" w:hAnsiTheme="minorHAnsi" w:cstheme="minorBidi"/>
          <w:szCs w:val="22"/>
        </w:rPr>
      </w:pPr>
      <w:r>
        <w:t>31.</w:t>
      </w:r>
      <w:r>
        <w:tab/>
        <w:t>Part 6 heading replaced</w:t>
      </w:r>
      <w:r>
        <w:tab/>
      </w:r>
      <w:r>
        <w:fldChar w:fldCharType="begin"/>
      </w:r>
      <w:r>
        <w:instrText xml:space="preserve"> PAGEREF _Toc158374572 \h </w:instrText>
      </w:r>
      <w:r>
        <w:fldChar w:fldCharType="separate"/>
      </w:r>
      <w:r>
        <w:t>1</w:t>
      </w:r>
      <w:r>
        <w:fldChar w:fldCharType="end"/>
      </w:r>
    </w:p>
    <w:p>
      <w:pPr>
        <w:pStyle w:val="TOC3"/>
        <w:tabs>
          <w:tab w:val="right" w:leader="dot" w:pos="7077"/>
        </w:tabs>
        <w:rPr>
          <w:rFonts w:asciiTheme="minorHAnsi" w:eastAsiaTheme="minorEastAsia" w:hAnsiTheme="minorHAnsi" w:cstheme="minorBidi"/>
          <w:b w:val="0"/>
          <w:sz w:val="22"/>
          <w:szCs w:val="22"/>
        </w:rPr>
      </w:pPr>
      <w:r>
        <w:lastRenderedPageBreak/>
        <w:t>Part 6</w:t>
      </w:r>
      <w:r>
        <w:rPr>
          <w:b w:val="0"/>
        </w:rPr>
        <w:t> </w:t>
      </w:r>
      <w:r>
        <w:t>—</w:t>
      </w:r>
      <w:r>
        <w:rPr>
          <w:b w:val="0"/>
        </w:rPr>
        <w:t> </w:t>
      </w:r>
      <w:r>
        <w:t>Review board and arbitrator</w:t>
      </w:r>
    </w:p>
    <w:p>
      <w:pPr>
        <w:pStyle w:val="TOC8"/>
        <w:rPr>
          <w:rFonts w:asciiTheme="minorHAnsi" w:eastAsiaTheme="minorEastAsia" w:hAnsiTheme="minorHAnsi" w:cstheme="minorBidi"/>
          <w:szCs w:val="22"/>
        </w:rPr>
      </w:pPr>
      <w:r>
        <w:t>32.</w:t>
      </w:r>
      <w:r>
        <w:tab/>
        <w:t>Part 6 Division 1 deleted</w:t>
      </w:r>
      <w:r>
        <w:tab/>
      </w:r>
      <w:r>
        <w:fldChar w:fldCharType="begin"/>
      </w:r>
      <w:r>
        <w:instrText xml:space="preserve"> PAGEREF _Toc158374574 \h </w:instrText>
      </w:r>
      <w:r>
        <w:fldChar w:fldCharType="separate"/>
      </w:r>
      <w:r>
        <w:t>1</w:t>
      </w:r>
      <w:r>
        <w:fldChar w:fldCharType="end"/>
      </w:r>
    </w:p>
    <w:p>
      <w:pPr>
        <w:pStyle w:val="TOC8"/>
        <w:rPr>
          <w:rFonts w:asciiTheme="minorHAnsi" w:eastAsiaTheme="minorEastAsia" w:hAnsiTheme="minorHAnsi" w:cstheme="minorBidi"/>
          <w:szCs w:val="22"/>
        </w:rPr>
      </w:pPr>
      <w:r>
        <w:t>33.</w:t>
      </w:r>
      <w:r>
        <w:tab/>
        <w:t>Part 6 Division 2 heading replaced</w:t>
      </w:r>
      <w:r>
        <w:tab/>
      </w:r>
      <w:r>
        <w:fldChar w:fldCharType="begin"/>
      </w:r>
      <w:r>
        <w:instrText xml:space="preserve"> PAGEREF _Toc158374575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t>Division 2 — Review board</w:t>
      </w:r>
    </w:p>
    <w:p>
      <w:pPr>
        <w:pStyle w:val="TOC8"/>
        <w:rPr>
          <w:rFonts w:asciiTheme="minorHAnsi" w:eastAsiaTheme="minorEastAsia" w:hAnsiTheme="minorHAnsi" w:cstheme="minorBidi"/>
          <w:szCs w:val="22"/>
        </w:rPr>
      </w:pPr>
      <w:r>
        <w:t>34.</w:t>
      </w:r>
      <w:r>
        <w:tab/>
        <w:t>Section 49 amended</w:t>
      </w:r>
      <w:r>
        <w:tab/>
      </w:r>
      <w:r>
        <w:fldChar w:fldCharType="begin"/>
      </w:r>
      <w:r>
        <w:instrText xml:space="preserve"> PAGEREF _Toc158374577 \h </w:instrText>
      </w:r>
      <w:r>
        <w:fldChar w:fldCharType="separate"/>
      </w:r>
      <w:r>
        <w:t>1</w:t>
      </w:r>
      <w:r>
        <w:fldChar w:fldCharType="end"/>
      </w:r>
    </w:p>
    <w:p>
      <w:pPr>
        <w:pStyle w:val="TOC8"/>
        <w:rPr>
          <w:rFonts w:asciiTheme="minorHAnsi" w:eastAsiaTheme="minorEastAsia" w:hAnsiTheme="minorHAnsi" w:cstheme="minorBidi"/>
          <w:szCs w:val="22"/>
        </w:rPr>
      </w:pPr>
      <w:r>
        <w:t>35.</w:t>
      </w:r>
      <w:r>
        <w:tab/>
        <w:t>Part 6 Division 2 Subdivision 2 heading replaced</w:t>
      </w:r>
      <w:r>
        <w:tab/>
      </w:r>
      <w:r>
        <w:fldChar w:fldCharType="begin"/>
      </w:r>
      <w:r>
        <w:instrText xml:space="preserve"> PAGEREF _Toc158374578 \h </w:instrText>
      </w:r>
      <w:r>
        <w:fldChar w:fldCharType="separate"/>
      </w:r>
      <w:r>
        <w:t>1</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Western Australian Electricity Review Board established</w:t>
      </w:r>
    </w:p>
    <w:p>
      <w:pPr>
        <w:pStyle w:val="TOC8"/>
        <w:rPr>
          <w:rFonts w:asciiTheme="minorHAnsi" w:eastAsiaTheme="minorEastAsia" w:hAnsiTheme="minorHAnsi" w:cstheme="minorBidi"/>
          <w:szCs w:val="22"/>
        </w:rPr>
      </w:pPr>
      <w:r>
        <w:t>36.</w:t>
      </w:r>
      <w:r>
        <w:tab/>
        <w:t>Section 50 amended</w:t>
      </w:r>
      <w:r>
        <w:tab/>
      </w:r>
      <w:r>
        <w:fldChar w:fldCharType="begin"/>
      </w:r>
      <w:r>
        <w:instrText xml:space="preserve"> PAGEREF _Toc158374580 \h </w:instrText>
      </w:r>
      <w:r>
        <w:fldChar w:fldCharType="separate"/>
      </w:r>
      <w:r>
        <w:t>1</w:t>
      </w:r>
      <w:r>
        <w:fldChar w:fldCharType="end"/>
      </w:r>
    </w:p>
    <w:p>
      <w:pPr>
        <w:pStyle w:val="TOC8"/>
        <w:rPr>
          <w:rFonts w:asciiTheme="minorHAnsi" w:eastAsiaTheme="minorEastAsia" w:hAnsiTheme="minorHAnsi" w:cstheme="minorBidi"/>
          <w:szCs w:val="22"/>
        </w:rPr>
      </w:pPr>
      <w:r>
        <w:t>37.</w:t>
      </w:r>
      <w:r>
        <w:tab/>
        <w:t>Section 57 amended</w:t>
      </w:r>
      <w:r>
        <w:tab/>
      </w:r>
      <w:r>
        <w:fldChar w:fldCharType="begin"/>
      </w:r>
      <w:r>
        <w:instrText xml:space="preserve"> PAGEREF _Toc158374581 \h </w:instrText>
      </w:r>
      <w:r>
        <w:fldChar w:fldCharType="separate"/>
      </w:r>
      <w:r>
        <w:t>1</w:t>
      </w:r>
      <w:r>
        <w:fldChar w:fldCharType="end"/>
      </w:r>
    </w:p>
    <w:p>
      <w:pPr>
        <w:pStyle w:val="TOC8"/>
        <w:rPr>
          <w:rFonts w:asciiTheme="minorHAnsi" w:eastAsiaTheme="minorEastAsia" w:hAnsiTheme="minorHAnsi" w:cstheme="minorBidi"/>
          <w:szCs w:val="22"/>
        </w:rPr>
      </w:pPr>
      <w:r>
        <w:t>38.</w:t>
      </w:r>
      <w:r>
        <w:tab/>
        <w:t>Section 59 amended</w:t>
      </w:r>
      <w:r>
        <w:tab/>
      </w:r>
      <w:r>
        <w:fldChar w:fldCharType="begin"/>
      </w:r>
      <w:r>
        <w:instrText xml:space="preserve"> PAGEREF _Toc158374582 \h </w:instrText>
      </w:r>
      <w:r>
        <w:fldChar w:fldCharType="separate"/>
      </w:r>
      <w:r>
        <w:t>1</w:t>
      </w:r>
      <w:r>
        <w:fldChar w:fldCharType="end"/>
      </w:r>
    </w:p>
    <w:p>
      <w:pPr>
        <w:pStyle w:val="TOC8"/>
        <w:rPr>
          <w:rFonts w:asciiTheme="minorHAnsi" w:eastAsiaTheme="minorEastAsia" w:hAnsiTheme="minorHAnsi" w:cstheme="minorBidi"/>
          <w:szCs w:val="22"/>
        </w:rPr>
      </w:pPr>
      <w:r>
        <w:t>39.</w:t>
      </w:r>
      <w:r>
        <w:tab/>
        <w:t>Section 61 amended</w:t>
      </w:r>
      <w:r>
        <w:tab/>
      </w:r>
      <w:r>
        <w:fldChar w:fldCharType="begin"/>
      </w:r>
      <w:r>
        <w:instrText xml:space="preserve"> PAGEREF _Toc158374583 \h </w:instrText>
      </w:r>
      <w:r>
        <w:fldChar w:fldCharType="separate"/>
      </w:r>
      <w:r>
        <w:t>1</w:t>
      </w:r>
      <w:r>
        <w:fldChar w:fldCharType="end"/>
      </w:r>
    </w:p>
    <w:p>
      <w:pPr>
        <w:pStyle w:val="TOC8"/>
        <w:rPr>
          <w:rFonts w:asciiTheme="minorHAnsi" w:eastAsiaTheme="minorEastAsia" w:hAnsiTheme="minorHAnsi" w:cstheme="minorBidi"/>
          <w:szCs w:val="22"/>
        </w:rPr>
      </w:pPr>
      <w:r>
        <w:t>40.</w:t>
      </w:r>
      <w:r>
        <w:tab/>
        <w:t>Part 6 Division 3 Subdivision 2 heading amended</w:t>
      </w:r>
      <w:r>
        <w:tab/>
      </w:r>
      <w:r>
        <w:fldChar w:fldCharType="begin"/>
      </w:r>
      <w:r>
        <w:instrText xml:space="preserve"> PAGEREF _Toc158374584 \h </w:instrText>
      </w:r>
      <w:r>
        <w:fldChar w:fldCharType="separate"/>
      </w:r>
      <w:r>
        <w:t>1</w:t>
      </w:r>
      <w:r>
        <w:fldChar w:fldCharType="end"/>
      </w:r>
    </w:p>
    <w:p>
      <w:pPr>
        <w:pStyle w:val="TOC8"/>
        <w:rPr>
          <w:rFonts w:asciiTheme="minorHAnsi" w:eastAsiaTheme="minorEastAsia" w:hAnsiTheme="minorHAnsi" w:cstheme="minorBidi"/>
          <w:szCs w:val="22"/>
        </w:rPr>
      </w:pPr>
      <w:r>
        <w:t>41.</w:t>
      </w:r>
      <w:r>
        <w:tab/>
        <w:t>Section 62 amended</w:t>
      </w:r>
      <w:r>
        <w:tab/>
      </w:r>
      <w:r>
        <w:fldChar w:fldCharType="begin"/>
      </w:r>
      <w:r>
        <w:instrText xml:space="preserve"> PAGEREF _Toc158374585 \h </w:instrText>
      </w:r>
      <w:r>
        <w:fldChar w:fldCharType="separate"/>
      </w:r>
      <w:r>
        <w:t>1</w:t>
      </w:r>
      <w:r>
        <w:fldChar w:fldCharType="end"/>
      </w:r>
    </w:p>
    <w:p>
      <w:pPr>
        <w:pStyle w:val="TOC8"/>
        <w:rPr>
          <w:rFonts w:asciiTheme="minorHAnsi" w:eastAsiaTheme="minorEastAsia" w:hAnsiTheme="minorHAnsi" w:cstheme="minorBidi"/>
          <w:szCs w:val="22"/>
        </w:rPr>
      </w:pPr>
      <w:r>
        <w:t>42.</w:t>
      </w:r>
      <w:r>
        <w:tab/>
        <w:t>Section 73 amended</w:t>
      </w:r>
      <w:r>
        <w:tab/>
      </w:r>
      <w:r>
        <w:fldChar w:fldCharType="begin"/>
      </w:r>
      <w:r>
        <w:instrText xml:space="preserve"> PAGEREF _Toc158374586 \h </w:instrText>
      </w:r>
      <w:r>
        <w:fldChar w:fldCharType="separate"/>
      </w:r>
      <w:r>
        <w:t>1</w:t>
      </w:r>
      <w:r>
        <w:fldChar w:fldCharType="end"/>
      </w:r>
    </w:p>
    <w:p>
      <w:pPr>
        <w:pStyle w:val="TOC8"/>
        <w:rPr>
          <w:rFonts w:asciiTheme="minorHAnsi" w:eastAsiaTheme="minorEastAsia" w:hAnsiTheme="minorHAnsi" w:cstheme="minorBidi"/>
          <w:szCs w:val="22"/>
        </w:rPr>
      </w:pPr>
      <w:r>
        <w:t>43.</w:t>
      </w:r>
      <w:r>
        <w:tab/>
        <w:t>Section 74 amended</w:t>
      </w:r>
      <w:r>
        <w:tab/>
      </w:r>
      <w:r>
        <w:fldChar w:fldCharType="begin"/>
      </w:r>
      <w:r>
        <w:instrText xml:space="preserve"> PAGEREF _Toc158374587 \h </w:instrText>
      </w:r>
      <w:r>
        <w:fldChar w:fldCharType="separate"/>
      </w:r>
      <w:r>
        <w:t>1</w:t>
      </w:r>
      <w:r>
        <w:fldChar w:fldCharType="end"/>
      </w:r>
    </w:p>
    <w:p>
      <w:pPr>
        <w:pStyle w:val="TOC8"/>
        <w:rPr>
          <w:rFonts w:asciiTheme="minorHAnsi" w:eastAsiaTheme="minorEastAsia" w:hAnsiTheme="minorHAnsi" w:cstheme="minorBidi"/>
          <w:szCs w:val="22"/>
        </w:rPr>
      </w:pPr>
      <w:r>
        <w:t>44.</w:t>
      </w:r>
      <w:r>
        <w:tab/>
        <w:t>Section 76 amended</w:t>
      </w:r>
      <w:r>
        <w:tab/>
      </w:r>
      <w:r>
        <w:fldChar w:fldCharType="begin"/>
      </w:r>
      <w:r>
        <w:instrText xml:space="preserve"> PAGEREF _Toc158374588 \h </w:instrText>
      </w:r>
      <w:r>
        <w:fldChar w:fldCharType="separate"/>
      </w:r>
      <w:r>
        <w:t>1</w:t>
      </w:r>
      <w:r>
        <w:fldChar w:fldCharType="end"/>
      </w:r>
    </w:p>
    <w:p>
      <w:pPr>
        <w:pStyle w:val="TOC8"/>
        <w:rPr>
          <w:rFonts w:asciiTheme="minorHAnsi" w:eastAsiaTheme="minorEastAsia" w:hAnsiTheme="minorHAnsi" w:cstheme="minorBidi"/>
          <w:szCs w:val="22"/>
        </w:rPr>
      </w:pPr>
      <w:r>
        <w:t>45.</w:t>
      </w:r>
      <w:r>
        <w:tab/>
        <w:t>Section 77 amended</w:t>
      </w:r>
      <w:r>
        <w:tab/>
      </w:r>
      <w:r>
        <w:fldChar w:fldCharType="begin"/>
      </w:r>
      <w:r>
        <w:instrText xml:space="preserve"> PAGEREF _Toc158374589 \h </w:instrText>
      </w:r>
      <w:r>
        <w:fldChar w:fldCharType="separate"/>
      </w:r>
      <w:r>
        <w:t>1</w:t>
      </w:r>
      <w:r>
        <w:fldChar w:fldCharType="end"/>
      </w:r>
    </w:p>
    <w:p>
      <w:pPr>
        <w:pStyle w:val="TOC8"/>
        <w:rPr>
          <w:rFonts w:asciiTheme="minorHAnsi" w:eastAsiaTheme="minorEastAsia" w:hAnsiTheme="minorHAnsi" w:cstheme="minorBidi"/>
          <w:szCs w:val="22"/>
        </w:rPr>
      </w:pPr>
      <w:r>
        <w:t>46.</w:t>
      </w:r>
      <w:r>
        <w:tab/>
        <w:t>Section 81 amended</w:t>
      </w:r>
      <w:r>
        <w:tab/>
      </w:r>
      <w:r>
        <w:fldChar w:fldCharType="begin"/>
      </w:r>
      <w:r>
        <w:instrText xml:space="preserve"> PAGEREF _Toc158374590 \h </w:instrText>
      </w:r>
      <w:r>
        <w:fldChar w:fldCharType="separate"/>
      </w:r>
      <w:r>
        <w:t>1</w:t>
      </w:r>
      <w:r>
        <w:fldChar w:fldCharType="end"/>
      </w:r>
    </w:p>
    <w:p>
      <w:pPr>
        <w:pStyle w:val="TOC8"/>
        <w:rPr>
          <w:rFonts w:asciiTheme="minorHAnsi" w:eastAsiaTheme="minorEastAsia" w:hAnsiTheme="minorHAnsi" w:cstheme="minorBidi"/>
          <w:szCs w:val="22"/>
        </w:rPr>
      </w:pPr>
      <w:r>
        <w:t>47.</w:t>
      </w:r>
      <w:r>
        <w:tab/>
        <w:t>Section 82 amended</w:t>
      </w:r>
      <w:r>
        <w:tab/>
      </w:r>
      <w:r>
        <w:fldChar w:fldCharType="begin"/>
      </w:r>
      <w:r>
        <w:instrText xml:space="preserve"> PAGEREF _Toc158374591 \h </w:instrText>
      </w:r>
      <w:r>
        <w:fldChar w:fldCharType="separate"/>
      </w:r>
      <w:r>
        <w:t>1</w:t>
      </w:r>
      <w:r>
        <w:fldChar w:fldCharType="end"/>
      </w:r>
    </w:p>
    <w:p>
      <w:pPr>
        <w:pStyle w:val="TOC8"/>
        <w:rPr>
          <w:rFonts w:asciiTheme="minorHAnsi" w:eastAsiaTheme="minorEastAsia" w:hAnsiTheme="minorHAnsi" w:cstheme="minorBidi"/>
          <w:szCs w:val="22"/>
        </w:rPr>
      </w:pPr>
      <w:r>
        <w:t>48.</w:t>
      </w:r>
      <w:r>
        <w:tab/>
        <w:t>Section 87 deleted</w:t>
      </w:r>
      <w:r>
        <w:tab/>
      </w:r>
      <w:r>
        <w:fldChar w:fldCharType="begin"/>
      </w:r>
      <w:r>
        <w:instrText xml:space="preserve"> PAGEREF _Toc158374592 \h </w:instrText>
      </w:r>
      <w:r>
        <w:fldChar w:fldCharType="separate"/>
      </w:r>
      <w:r>
        <w:t>1</w:t>
      </w:r>
      <w:r>
        <w:fldChar w:fldCharType="end"/>
      </w:r>
    </w:p>
    <w:p>
      <w:pPr>
        <w:pStyle w:val="TOC8"/>
        <w:rPr>
          <w:rFonts w:asciiTheme="minorHAnsi" w:eastAsiaTheme="minorEastAsia" w:hAnsiTheme="minorHAnsi" w:cstheme="minorBidi"/>
          <w:szCs w:val="22"/>
        </w:rPr>
      </w:pPr>
      <w:r>
        <w:t>49.</w:t>
      </w:r>
      <w:r>
        <w:tab/>
        <w:t>Section 88 deleted</w:t>
      </w:r>
      <w:r>
        <w:tab/>
      </w:r>
      <w:r>
        <w:fldChar w:fldCharType="begin"/>
      </w:r>
      <w:r>
        <w:instrText xml:space="preserve"> PAGEREF _Toc158374593 \h </w:instrText>
      </w:r>
      <w:r>
        <w:fldChar w:fldCharType="separate"/>
      </w:r>
      <w:r>
        <w:t>1</w:t>
      </w:r>
      <w:r>
        <w:fldChar w:fldCharType="end"/>
      </w:r>
    </w:p>
    <w:p>
      <w:pPr>
        <w:pStyle w:val="TOC8"/>
        <w:rPr>
          <w:rFonts w:asciiTheme="minorHAnsi" w:eastAsiaTheme="minorEastAsia" w:hAnsiTheme="minorHAnsi" w:cstheme="minorBidi"/>
          <w:szCs w:val="22"/>
        </w:rPr>
      </w:pPr>
      <w:r>
        <w:t>50.</w:t>
      </w:r>
      <w:r>
        <w:tab/>
        <w:t>Parts 7 and 8 deleted</w:t>
      </w:r>
      <w:r>
        <w:tab/>
      </w:r>
      <w:r>
        <w:fldChar w:fldCharType="begin"/>
      </w:r>
      <w:r>
        <w:instrText xml:space="preserve"> PAGEREF _Toc158374594 \h </w:instrText>
      </w:r>
      <w:r>
        <w:fldChar w:fldCharType="separate"/>
      </w:r>
      <w:r>
        <w:t>1</w:t>
      </w:r>
      <w:r>
        <w:fldChar w:fldCharType="end"/>
      </w:r>
    </w:p>
    <w:p>
      <w:pPr>
        <w:pStyle w:val="TOC8"/>
        <w:rPr>
          <w:rFonts w:asciiTheme="minorHAnsi" w:eastAsiaTheme="minorEastAsia" w:hAnsiTheme="minorHAnsi" w:cstheme="minorBidi"/>
          <w:szCs w:val="22"/>
        </w:rPr>
      </w:pPr>
      <w:r>
        <w:t>51.</w:t>
      </w:r>
      <w:r>
        <w:tab/>
        <w:t>Schedules deleted</w:t>
      </w:r>
      <w:r>
        <w:tab/>
      </w:r>
      <w:r>
        <w:fldChar w:fldCharType="begin"/>
      </w:r>
      <w:r>
        <w:instrText xml:space="preserve"> PAGEREF _Toc158374595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Economic Regulation Authority Act 2003</w:t>
      </w:r>
    </w:p>
    <w:p>
      <w:pPr>
        <w:pStyle w:val="TOC8"/>
        <w:rPr>
          <w:rFonts w:asciiTheme="minorHAnsi" w:eastAsiaTheme="minorEastAsia" w:hAnsiTheme="minorHAnsi" w:cstheme="minorBidi"/>
          <w:szCs w:val="22"/>
        </w:rPr>
      </w:pPr>
      <w:r>
        <w:t>52.</w:t>
      </w:r>
      <w:r>
        <w:tab/>
        <w:t>Act amended</w:t>
      </w:r>
      <w:r>
        <w:tab/>
      </w:r>
      <w:r>
        <w:fldChar w:fldCharType="begin"/>
      </w:r>
      <w:r>
        <w:instrText xml:space="preserve"> PAGEREF _Toc158374597 \h </w:instrText>
      </w:r>
      <w:r>
        <w:fldChar w:fldCharType="separate"/>
      </w:r>
      <w:r>
        <w:t>1</w:t>
      </w:r>
      <w:r>
        <w:fldChar w:fldCharType="end"/>
      </w:r>
    </w:p>
    <w:p>
      <w:pPr>
        <w:pStyle w:val="TOC8"/>
        <w:rPr>
          <w:rFonts w:asciiTheme="minorHAnsi" w:eastAsiaTheme="minorEastAsia" w:hAnsiTheme="minorHAnsi" w:cstheme="minorBidi"/>
          <w:szCs w:val="22"/>
        </w:rPr>
      </w:pPr>
      <w:r>
        <w:t>53.</w:t>
      </w:r>
      <w:r>
        <w:tab/>
        <w:t>Section 25 amended</w:t>
      </w:r>
      <w:r>
        <w:tab/>
      </w:r>
      <w:r>
        <w:fldChar w:fldCharType="begin"/>
      </w:r>
      <w:r>
        <w:instrText xml:space="preserve"> PAGEREF _Toc158374598 \h </w:instrText>
      </w:r>
      <w:r>
        <w:fldChar w:fldCharType="separate"/>
      </w:r>
      <w:r>
        <w:t>1</w:t>
      </w:r>
      <w:r>
        <w:fldChar w:fldCharType="end"/>
      </w:r>
    </w:p>
    <w:p>
      <w:pPr>
        <w:pStyle w:val="TOC8"/>
        <w:rPr>
          <w:rFonts w:asciiTheme="minorHAnsi" w:eastAsiaTheme="minorEastAsia" w:hAnsiTheme="minorHAnsi" w:cstheme="minorBidi"/>
          <w:szCs w:val="22"/>
        </w:rPr>
      </w:pPr>
      <w:r>
        <w:t>54.</w:t>
      </w:r>
      <w:r>
        <w:tab/>
        <w:t>Section 28 amended</w:t>
      </w:r>
      <w:r>
        <w:tab/>
      </w:r>
      <w:r>
        <w:fldChar w:fldCharType="begin"/>
      </w:r>
      <w:r>
        <w:instrText xml:space="preserve"> PAGEREF _Toc158374599 \h </w:instrText>
      </w:r>
      <w:r>
        <w:fldChar w:fldCharType="separate"/>
      </w:r>
      <w:r>
        <w:t>1</w:t>
      </w:r>
      <w:r>
        <w:fldChar w:fldCharType="end"/>
      </w:r>
    </w:p>
    <w:p>
      <w:pPr>
        <w:pStyle w:val="TOC8"/>
        <w:rPr>
          <w:rFonts w:asciiTheme="minorHAnsi" w:eastAsiaTheme="minorEastAsia" w:hAnsiTheme="minorHAnsi" w:cstheme="minorBidi"/>
          <w:szCs w:val="22"/>
        </w:rPr>
      </w:pPr>
      <w:r>
        <w:t>55.</w:t>
      </w:r>
      <w:r>
        <w:tab/>
        <w:t>Section 32 amended</w:t>
      </w:r>
      <w:r>
        <w:tab/>
      </w:r>
      <w:r>
        <w:fldChar w:fldCharType="begin"/>
      </w:r>
      <w:r>
        <w:instrText xml:space="preserve"> PAGEREF _Toc158374600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iCs/>
        </w:rPr>
        <w:t>Electricity Industry Act 2004</w:t>
      </w:r>
    </w:p>
    <w:p>
      <w:pPr>
        <w:pStyle w:val="TOC8"/>
        <w:rPr>
          <w:rFonts w:asciiTheme="minorHAnsi" w:eastAsiaTheme="minorEastAsia" w:hAnsiTheme="minorHAnsi" w:cstheme="minorBidi"/>
          <w:szCs w:val="22"/>
        </w:rPr>
      </w:pPr>
      <w:r>
        <w:t>56.</w:t>
      </w:r>
      <w:r>
        <w:tab/>
        <w:t>Act amended</w:t>
      </w:r>
      <w:r>
        <w:tab/>
      </w:r>
      <w:r>
        <w:fldChar w:fldCharType="begin"/>
      </w:r>
      <w:r>
        <w:instrText xml:space="preserve"> PAGEREF _Toc158374602 \h </w:instrText>
      </w:r>
      <w:r>
        <w:fldChar w:fldCharType="separate"/>
      </w:r>
      <w:r>
        <w:t>1</w:t>
      </w:r>
      <w:r>
        <w:fldChar w:fldCharType="end"/>
      </w:r>
    </w:p>
    <w:p>
      <w:pPr>
        <w:pStyle w:val="TOC8"/>
        <w:rPr>
          <w:rFonts w:asciiTheme="minorHAnsi" w:eastAsiaTheme="minorEastAsia" w:hAnsiTheme="minorHAnsi" w:cstheme="minorBidi"/>
          <w:szCs w:val="22"/>
        </w:rPr>
      </w:pPr>
      <w:r>
        <w:t>57.</w:t>
      </w:r>
      <w:r>
        <w:tab/>
        <w:t>Section 3 amended</w:t>
      </w:r>
      <w:r>
        <w:tab/>
      </w:r>
      <w:r>
        <w:fldChar w:fldCharType="begin"/>
      </w:r>
      <w:r>
        <w:instrText xml:space="preserve"> PAGEREF _Toc158374603 \h </w:instrText>
      </w:r>
      <w:r>
        <w:fldChar w:fldCharType="separate"/>
      </w:r>
      <w:r>
        <w:t>1</w:t>
      </w:r>
      <w:r>
        <w:fldChar w:fldCharType="end"/>
      </w:r>
    </w:p>
    <w:p>
      <w:pPr>
        <w:pStyle w:val="TOC8"/>
        <w:rPr>
          <w:rFonts w:asciiTheme="minorHAnsi" w:eastAsiaTheme="minorEastAsia" w:hAnsiTheme="minorHAnsi" w:cstheme="minorBidi"/>
          <w:szCs w:val="22"/>
        </w:rPr>
      </w:pPr>
      <w:r>
        <w:t>58.</w:t>
      </w:r>
      <w:r>
        <w:tab/>
        <w:t>Section 113 deleted</w:t>
      </w:r>
      <w:r>
        <w:tab/>
      </w:r>
      <w:r>
        <w:fldChar w:fldCharType="begin"/>
      </w:r>
      <w:r>
        <w:instrText xml:space="preserve"> PAGEREF _Toc158374604 \h </w:instrText>
      </w:r>
      <w:r>
        <w:fldChar w:fldCharType="separate"/>
      </w:r>
      <w:r>
        <w:t>1</w:t>
      </w:r>
      <w:r>
        <w:fldChar w:fldCharType="end"/>
      </w:r>
    </w:p>
    <w:p>
      <w:pPr>
        <w:pStyle w:val="TOC8"/>
        <w:rPr>
          <w:rFonts w:asciiTheme="minorHAnsi" w:eastAsiaTheme="minorEastAsia" w:hAnsiTheme="minorHAnsi" w:cstheme="minorBidi"/>
          <w:szCs w:val="22"/>
        </w:rPr>
      </w:pPr>
      <w:r>
        <w:t>59.</w:t>
      </w:r>
      <w:r>
        <w:tab/>
        <w:t>Section 125 amended</w:t>
      </w:r>
      <w:r>
        <w:tab/>
      </w:r>
      <w:r>
        <w:fldChar w:fldCharType="begin"/>
      </w:r>
      <w:r>
        <w:instrText xml:space="preserve"> PAGEREF _Toc158374605 \h </w:instrText>
      </w:r>
      <w:r>
        <w:fldChar w:fldCharType="separate"/>
      </w:r>
      <w:r>
        <w:t>1</w:t>
      </w:r>
      <w:r>
        <w:fldChar w:fldCharType="end"/>
      </w:r>
    </w:p>
    <w:p>
      <w:pPr>
        <w:pStyle w:val="TOC8"/>
        <w:rPr>
          <w:rFonts w:asciiTheme="minorHAnsi" w:eastAsiaTheme="minorEastAsia" w:hAnsiTheme="minorHAnsi" w:cstheme="minorBidi"/>
          <w:szCs w:val="22"/>
        </w:rPr>
      </w:pPr>
      <w:r>
        <w:t>60.</w:t>
      </w:r>
      <w:r>
        <w:tab/>
        <w:t>Section 130 amended</w:t>
      </w:r>
      <w:r>
        <w:tab/>
      </w:r>
      <w:r>
        <w:fldChar w:fldCharType="begin"/>
      </w:r>
      <w:r>
        <w:instrText xml:space="preserve"> PAGEREF _Toc158374606 \h </w:instrText>
      </w:r>
      <w:r>
        <w:fldChar w:fldCharType="separate"/>
      </w:r>
      <w:r>
        <w:t>1</w:t>
      </w:r>
      <w:r>
        <w:fldChar w:fldCharType="end"/>
      </w:r>
    </w:p>
    <w:p>
      <w:pPr>
        <w:pStyle w:val="TOC8"/>
        <w:rPr>
          <w:rFonts w:asciiTheme="minorHAnsi" w:eastAsiaTheme="minorEastAsia" w:hAnsiTheme="minorHAnsi" w:cstheme="minorBidi"/>
          <w:szCs w:val="22"/>
        </w:rPr>
      </w:pPr>
      <w:r>
        <w:t>61.</w:t>
      </w:r>
      <w:r>
        <w:tab/>
        <w:t>Section 133 amended</w:t>
      </w:r>
      <w:r>
        <w:tab/>
      </w:r>
      <w:r>
        <w:fldChar w:fldCharType="begin"/>
      </w:r>
      <w:r>
        <w:instrText xml:space="preserve"> PAGEREF _Toc158374607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w:t>
      </w:r>
      <w:r>
        <w:rPr>
          <w:i/>
          <w:iCs/>
        </w:rPr>
        <w:t>Energy Coordination Act 1994</w:t>
      </w:r>
    </w:p>
    <w:p>
      <w:pPr>
        <w:pStyle w:val="TOC8"/>
        <w:keepNext/>
        <w:rPr>
          <w:rFonts w:asciiTheme="minorHAnsi" w:eastAsiaTheme="minorEastAsia" w:hAnsiTheme="minorHAnsi" w:cstheme="minorBidi"/>
          <w:szCs w:val="22"/>
        </w:rPr>
      </w:pPr>
      <w:r>
        <w:t>62.</w:t>
      </w:r>
      <w:r>
        <w:tab/>
        <w:t>Act amended</w:t>
      </w:r>
      <w:r>
        <w:tab/>
      </w:r>
      <w:r>
        <w:fldChar w:fldCharType="begin"/>
      </w:r>
      <w:r>
        <w:instrText xml:space="preserve"> PAGEREF _Toc158374609 \h </w:instrText>
      </w:r>
      <w:r>
        <w:fldChar w:fldCharType="separate"/>
      </w:r>
      <w:r>
        <w:t>1</w:t>
      </w:r>
      <w:r>
        <w:fldChar w:fldCharType="end"/>
      </w:r>
    </w:p>
    <w:p>
      <w:pPr>
        <w:pStyle w:val="TOC8"/>
        <w:rPr>
          <w:rFonts w:asciiTheme="minorHAnsi" w:eastAsiaTheme="minorEastAsia" w:hAnsiTheme="minorHAnsi" w:cstheme="minorBidi"/>
          <w:szCs w:val="22"/>
        </w:rPr>
      </w:pPr>
      <w:r>
        <w:t>63.</w:t>
      </w:r>
      <w:r>
        <w:tab/>
        <w:t>Section 11J deleted</w:t>
      </w:r>
      <w:r>
        <w:tab/>
      </w:r>
      <w:r>
        <w:fldChar w:fldCharType="begin"/>
      </w:r>
      <w:r>
        <w:instrText xml:space="preserve"> PAGEREF _Toc158374610 \h </w:instrText>
      </w:r>
      <w:r>
        <w:fldChar w:fldCharType="separate"/>
      </w:r>
      <w:r>
        <w:t>1</w:t>
      </w:r>
      <w:r>
        <w:fldChar w:fldCharType="end"/>
      </w:r>
    </w:p>
    <w:p>
      <w:pPr>
        <w:pStyle w:val="TOC8"/>
        <w:rPr>
          <w:rFonts w:asciiTheme="minorHAnsi" w:eastAsiaTheme="minorEastAsia" w:hAnsiTheme="minorHAnsi" w:cstheme="minorBidi"/>
          <w:szCs w:val="22"/>
        </w:rPr>
      </w:pPr>
      <w:r>
        <w:t>64.</w:t>
      </w:r>
      <w:r>
        <w:tab/>
        <w:t>Section 11M amended</w:t>
      </w:r>
      <w:r>
        <w:tab/>
      </w:r>
      <w:r>
        <w:fldChar w:fldCharType="begin"/>
      </w:r>
      <w:r>
        <w:instrText xml:space="preserve"> PAGEREF _Toc158374611 \h </w:instrText>
      </w:r>
      <w:r>
        <w:fldChar w:fldCharType="separate"/>
      </w:r>
      <w:r>
        <w:t>1</w:t>
      </w:r>
      <w:r>
        <w:fldChar w:fldCharType="end"/>
      </w:r>
    </w:p>
    <w:p>
      <w:pPr>
        <w:pStyle w:val="TOC8"/>
        <w:rPr>
          <w:rFonts w:asciiTheme="minorHAnsi" w:eastAsiaTheme="minorEastAsia" w:hAnsiTheme="minorHAnsi" w:cstheme="minorBidi"/>
          <w:szCs w:val="22"/>
        </w:rPr>
      </w:pPr>
      <w:r>
        <w:t>65.</w:t>
      </w:r>
      <w:r>
        <w:tab/>
        <w:t>Section 11V amended</w:t>
      </w:r>
      <w:r>
        <w:tab/>
      </w:r>
      <w:r>
        <w:fldChar w:fldCharType="begin"/>
      </w:r>
      <w:r>
        <w:instrText xml:space="preserve"> PAGEREF _Toc158374612 \h </w:instrText>
      </w:r>
      <w:r>
        <w:fldChar w:fldCharType="separate"/>
      </w:r>
      <w:r>
        <w:t>1</w:t>
      </w:r>
      <w:r>
        <w:fldChar w:fldCharType="end"/>
      </w:r>
    </w:p>
    <w:p>
      <w:pPr>
        <w:pStyle w:val="TOC8"/>
        <w:rPr>
          <w:rFonts w:asciiTheme="minorHAnsi" w:eastAsiaTheme="minorEastAsia" w:hAnsiTheme="minorHAnsi" w:cstheme="minorBidi"/>
          <w:szCs w:val="22"/>
        </w:rPr>
      </w:pPr>
      <w:r>
        <w:t>66.</w:t>
      </w:r>
      <w:r>
        <w:tab/>
        <w:t>Section 11ZAC amended</w:t>
      </w:r>
      <w:r>
        <w:tab/>
      </w:r>
      <w:r>
        <w:fldChar w:fldCharType="begin"/>
      </w:r>
      <w:r>
        <w:instrText xml:space="preserve"> PAGEREF _Toc158374613 \h </w:instrText>
      </w:r>
      <w:r>
        <w:fldChar w:fldCharType="separate"/>
      </w:r>
      <w:r>
        <w:t>1</w:t>
      </w:r>
      <w:r>
        <w:fldChar w:fldCharType="end"/>
      </w:r>
    </w:p>
    <w:p>
      <w:pPr>
        <w:pStyle w:val="TOC8"/>
        <w:rPr>
          <w:rFonts w:asciiTheme="minorHAnsi" w:eastAsiaTheme="minorEastAsia" w:hAnsiTheme="minorHAnsi" w:cstheme="minorBidi"/>
          <w:szCs w:val="22"/>
        </w:rPr>
      </w:pPr>
      <w:r>
        <w:t>67.</w:t>
      </w:r>
      <w:r>
        <w:tab/>
        <w:t>Schedule 1A amended</w:t>
      </w:r>
      <w:r>
        <w:tab/>
      </w:r>
      <w:r>
        <w:fldChar w:fldCharType="begin"/>
      </w:r>
      <w:r>
        <w:instrText xml:space="preserve"> PAGEREF _Toc158374614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Cs/>
        </w:rPr>
        <w:t>Other Acts amended</w:t>
      </w:r>
    </w:p>
    <w:p>
      <w:pPr>
        <w:pStyle w:val="TOC8"/>
        <w:rPr>
          <w:rFonts w:asciiTheme="minorHAnsi" w:eastAsiaTheme="minorEastAsia" w:hAnsiTheme="minorHAnsi" w:cstheme="minorBidi"/>
          <w:szCs w:val="22"/>
        </w:rPr>
      </w:pPr>
      <w:r>
        <w:t>68.</w:t>
      </w:r>
      <w:r>
        <w:tab/>
      </w:r>
      <w:r>
        <w:rPr>
          <w:i/>
          <w:iCs/>
        </w:rPr>
        <w:t>Constitution Acts Amendment Act 1899 amended</w:t>
      </w:r>
      <w:r>
        <w:tab/>
      </w:r>
      <w:r>
        <w:fldChar w:fldCharType="begin"/>
      </w:r>
      <w:r>
        <w:instrText xml:space="preserve"> PAGEREF _Toc158374616 \h </w:instrText>
      </w:r>
      <w:r>
        <w:fldChar w:fldCharType="separate"/>
      </w:r>
      <w:r>
        <w:t>1</w:t>
      </w:r>
      <w:r>
        <w:fldChar w:fldCharType="end"/>
      </w:r>
    </w:p>
    <w:p>
      <w:pPr>
        <w:pStyle w:val="TOC8"/>
        <w:rPr>
          <w:rFonts w:asciiTheme="minorHAnsi" w:eastAsiaTheme="minorEastAsia" w:hAnsiTheme="minorHAnsi" w:cstheme="minorBidi"/>
          <w:szCs w:val="22"/>
        </w:rPr>
      </w:pPr>
      <w:r>
        <w:t>69.</w:t>
      </w:r>
      <w:r>
        <w:tab/>
      </w:r>
      <w:r>
        <w:rPr>
          <w:i/>
          <w:iCs/>
        </w:rPr>
        <w:t>Financial Management Act 2006 amended</w:t>
      </w:r>
      <w:r>
        <w:tab/>
      </w:r>
      <w:r>
        <w:fldChar w:fldCharType="begin"/>
      </w:r>
      <w:r>
        <w:instrText xml:space="preserve"> PAGEREF _Toc158374617 \h </w:instrText>
      </w:r>
      <w:r>
        <w:fldChar w:fldCharType="separate"/>
      </w:r>
      <w:r>
        <w:t>1</w:t>
      </w:r>
      <w:r>
        <w:fldChar w:fldCharType="end"/>
      </w:r>
    </w:p>
    <w:p>
      <w:pPr>
        <w:pStyle w:val="TOC8"/>
        <w:rPr>
          <w:rFonts w:asciiTheme="minorHAnsi" w:eastAsiaTheme="minorEastAsia" w:hAnsiTheme="minorHAnsi" w:cstheme="minorBidi"/>
          <w:szCs w:val="22"/>
        </w:rPr>
      </w:pPr>
      <w:r>
        <w:t>70.</w:t>
      </w:r>
      <w:r>
        <w:tab/>
      </w:r>
      <w:r>
        <w:rPr>
          <w:i/>
          <w:iCs/>
        </w:rPr>
        <w:t>Freedom of Information Act 1992 amended</w:t>
      </w:r>
      <w:r>
        <w:tab/>
      </w:r>
      <w:r>
        <w:fldChar w:fldCharType="begin"/>
      </w:r>
      <w:r>
        <w:instrText xml:space="preserve"> PAGEREF _Toc158374618 \h </w:instrText>
      </w:r>
      <w:r>
        <w:fldChar w:fldCharType="separate"/>
      </w:r>
      <w:r>
        <w:t>1</w:t>
      </w:r>
      <w:r>
        <w:fldChar w:fldCharType="end"/>
      </w:r>
    </w:p>
    <w:p>
      <w:pPr>
        <w:pStyle w:val="TOC8"/>
        <w:rPr>
          <w:rFonts w:asciiTheme="minorHAnsi" w:eastAsiaTheme="minorEastAsia" w:hAnsiTheme="minorHAnsi" w:cstheme="minorBidi"/>
          <w:szCs w:val="22"/>
        </w:rPr>
      </w:pPr>
      <w:r>
        <w:t>71.</w:t>
      </w:r>
      <w:r>
        <w:tab/>
      </w:r>
      <w:r>
        <w:rPr>
          <w:i/>
        </w:rPr>
        <w:t>Parliamentary Commissioner Act 1971</w:t>
      </w:r>
      <w:r>
        <w:rPr>
          <w:i/>
          <w:iCs/>
        </w:rPr>
        <w:t xml:space="preserve"> amended</w:t>
      </w:r>
      <w:r>
        <w:tab/>
      </w:r>
      <w:r>
        <w:fldChar w:fldCharType="begin"/>
      </w:r>
      <w:r>
        <w:instrText xml:space="preserve"> PAGEREF _Toc158374619 \h </w:instrText>
      </w:r>
      <w:r>
        <w:fldChar w:fldCharType="separate"/>
      </w:r>
      <w:r>
        <w:t>1</w:t>
      </w:r>
      <w:r>
        <w:fldChar w:fldCharType="end"/>
      </w:r>
    </w:p>
    <w:p>
      <w:pPr>
        <w:pStyle w:val="TOC8"/>
        <w:rPr>
          <w:rFonts w:asciiTheme="minorHAnsi" w:eastAsiaTheme="minorEastAsia" w:hAnsiTheme="minorHAnsi" w:cstheme="minorBidi"/>
          <w:szCs w:val="22"/>
        </w:rPr>
      </w:pPr>
      <w:r>
        <w:t>72.</w:t>
      </w:r>
      <w:r>
        <w:tab/>
      </w:r>
      <w:r>
        <w:rPr>
          <w:i/>
          <w:iCs/>
        </w:rPr>
        <w:t>Petroleum Pipelines Act 1969 amended</w:t>
      </w:r>
      <w:r>
        <w:tab/>
      </w:r>
      <w:r>
        <w:fldChar w:fldCharType="begin"/>
      </w:r>
      <w:r>
        <w:instrText xml:space="preserve"> PAGEREF _Toc158374620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Some modifications to National Gas Law as in Schedule to South Australian Act</w:t>
      </w:r>
    </w:p>
    <w:p>
      <w:pPr>
        <w:pStyle w:val="TOC8"/>
        <w:rPr>
          <w:rFonts w:asciiTheme="minorHAnsi" w:eastAsiaTheme="minorEastAsia" w:hAnsiTheme="minorHAnsi" w:cstheme="minorBidi"/>
          <w:szCs w:val="22"/>
        </w:rPr>
      </w:pPr>
      <w:r>
        <w:t>1.</w:t>
      </w:r>
      <w:r>
        <w:tab/>
        <w:t>Purpose of this Schedule</w:t>
      </w:r>
      <w:r>
        <w:tab/>
      </w:r>
      <w:r>
        <w:fldChar w:fldCharType="begin"/>
      </w:r>
      <w:r>
        <w:instrText xml:space="preserve"> PAGEREF _Toc158374622 \h </w:instrText>
      </w:r>
      <w:r>
        <w:fldChar w:fldCharType="separate"/>
      </w:r>
      <w:r>
        <w:t>1</w:t>
      </w:r>
      <w:r>
        <w:fldChar w:fldCharType="end"/>
      </w:r>
    </w:p>
    <w:p>
      <w:pPr>
        <w:pStyle w:val="TOC8"/>
        <w:rPr>
          <w:rFonts w:asciiTheme="minorHAnsi" w:eastAsiaTheme="minorEastAsia" w:hAnsiTheme="minorHAnsi" w:cstheme="minorBidi"/>
          <w:szCs w:val="22"/>
        </w:rPr>
      </w:pPr>
      <w:r>
        <w:t>2.</w:t>
      </w:r>
      <w:r>
        <w:tab/>
        <w:t>Section 1 modified</w:t>
      </w:r>
      <w:r>
        <w:tab/>
      </w:r>
      <w:r>
        <w:fldChar w:fldCharType="begin"/>
      </w:r>
      <w:r>
        <w:instrText xml:space="preserve"> PAGEREF _Toc158374623 \h </w:instrText>
      </w:r>
      <w:r>
        <w:fldChar w:fldCharType="separate"/>
      </w:r>
      <w:r>
        <w:t>1</w:t>
      </w:r>
      <w:r>
        <w:fldChar w:fldCharType="end"/>
      </w:r>
    </w:p>
    <w:p>
      <w:pPr>
        <w:pStyle w:val="TOC8"/>
        <w:rPr>
          <w:rFonts w:asciiTheme="minorHAnsi" w:eastAsiaTheme="minorEastAsia" w:hAnsiTheme="minorHAnsi" w:cstheme="minorBidi"/>
          <w:szCs w:val="22"/>
        </w:rPr>
      </w:pPr>
      <w:r>
        <w:t>3.</w:t>
      </w:r>
      <w:r>
        <w:tab/>
        <w:t>Section 2 modified</w:t>
      </w:r>
      <w:r>
        <w:tab/>
      </w:r>
      <w:r>
        <w:fldChar w:fldCharType="begin"/>
      </w:r>
      <w:r>
        <w:instrText xml:space="preserve"> PAGEREF _Toc158374624 \h </w:instrText>
      </w:r>
      <w:r>
        <w:fldChar w:fldCharType="separate"/>
      </w:r>
      <w:r>
        <w:t>1</w:t>
      </w:r>
      <w:r>
        <w:fldChar w:fldCharType="end"/>
      </w:r>
    </w:p>
    <w:p>
      <w:pPr>
        <w:pStyle w:val="TOC8"/>
        <w:rPr>
          <w:rFonts w:asciiTheme="minorHAnsi" w:eastAsiaTheme="minorEastAsia" w:hAnsiTheme="minorHAnsi" w:cstheme="minorBidi"/>
          <w:szCs w:val="22"/>
        </w:rPr>
      </w:pPr>
      <w:r>
        <w:t>4.</w:t>
      </w:r>
      <w:r>
        <w:tab/>
        <w:t>Sections 2A and 2B inserted</w:t>
      </w:r>
      <w:r>
        <w:tab/>
      </w:r>
      <w:r>
        <w:fldChar w:fldCharType="begin"/>
      </w:r>
      <w:r>
        <w:instrText xml:space="preserve"> PAGEREF _Toc158374625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2A.</w:t>
      </w:r>
      <w:r>
        <w:rPr>
          <w:noProof/>
        </w:rPr>
        <w:tab/>
        <w:t>Meaning of AER modified</w:t>
      </w:r>
      <w:r>
        <w:rPr>
          <w:noProof/>
        </w:rPr>
        <w:tab/>
      </w:r>
      <w:r>
        <w:rPr>
          <w:noProof/>
        </w:rPr>
        <w:fldChar w:fldCharType="begin"/>
      </w:r>
      <w:r>
        <w:rPr>
          <w:noProof/>
        </w:rPr>
        <w:instrText xml:space="preserve"> PAGEREF _Toc158374626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2B.</w:t>
      </w:r>
      <w:r>
        <w:rPr>
          <w:noProof/>
        </w:rPr>
        <w:tab/>
        <w:t>References to WA application Act</w:t>
      </w:r>
      <w:r>
        <w:rPr>
          <w:noProof/>
        </w:rPr>
        <w:tab/>
      </w:r>
      <w:r>
        <w:rPr>
          <w:noProof/>
        </w:rPr>
        <w:fldChar w:fldCharType="begin"/>
      </w:r>
      <w:r>
        <w:rPr>
          <w:noProof/>
        </w:rPr>
        <w:instrText xml:space="preserve"> PAGEREF _Toc158374627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5.</w:t>
      </w:r>
      <w:r>
        <w:tab/>
        <w:t>Chapter 1 Part 1A inserted</w:t>
      </w:r>
      <w:r>
        <w:tab/>
      </w:r>
      <w:r>
        <w:fldChar w:fldCharType="begin"/>
      </w:r>
      <w:r>
        <w:instrText xml:space="preserve"> PAGEREF _Toc158374628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t>Part 1A</w:t>
      </w:r>
      <w:r>
        <w:rPr>
          <w:b w:val="0"/>
        </w:rPr>
        <w:t> — </w:t>
      </w:r>
      <w:r>
        <w:t>Postponement of Natural Gas Services Bulletin Board provisions</w:t>
      </w:r>
    </w:p>
    <w:p>
      <w:pPr>
        <w:pStyle w:val="TOC9"/>
        <w:rPr>
          <w:rFonts w:asciiTheme="minorHAnsi" w:eastAsiaTheme="minorEastAsia" w:hAnsiTheme="minorHAnsi" w:cstheme="minorBidi"/>
          <w:noProof/>
          <w:sz w:val="22"/>
          <w:szCs w:val="22"/>
        </w:rPr>
      </w:pPr>
      <w:r>
        <w:rPr>
          <w:noProof/>
        </w:rPr>
        <w:t>20A.</w:t>
      </w:r>
      <w:r>
        <w:rPr>
          <w:noProof/>
        </w:rPr>
        <w:tab/>
        <w:t>Minister may fix day on which provisions apply</w:t>
      </w:r>
      <w:r>
        <w:rPr>
          <w:noProof/>
        </w:rPr>
        <w:tab/>
      </w:r>
      <w:r>
        <w:rPr>
          <w:noProof/>
        </w:rPr>
        <w:fldChar w:fldCharType="begin"/>
      </w:r>
      <w:r>
        <w:rPr>
          <w:noProof/>
        </w:rPr>
        <w:instrText xml:space="preserve"> PAGEREF _Toc158374630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5A.</w:t>
      </w:r>
      <w:r>
        <w:tab/>
        <w:t>Section 23A modified</w:t>
      </w:r>
      <w:r>
        <w:tab/>
      </w:r>
      <w:r>
        <w:fldChar w:fldCharType="begin"/>
      </w:r>
      <w:r>
        <w:instrText xml:space="preserve"> PAGEREF _Toc158374631 \h </w:instrText>
      </w:r>
      <w:r>
        <w:fldChar w:fldCharType="separate"/>
      </w:r>
      <w:r>
        <w:t>1</w:t>
      </w:r>
      <w:r>
        <w:fldChar w:fldCharType="end"/>
      </w:r>
    </w:p>
    <w:p>
      <w:pPr>
        <w:pStyle w:val="TOC8"/>
        <w:rPr>
          <w:rFonts w:asciiTheme="minorHAnsi" w:eastAsiaTheme="minorEastAsia" w:hAnsiTheme="minorHAnsi" w:cstheme="minorBidi"/>
          <w:szCs w:val="22"/>
        </w:rPr>
      </w:pPr>
      <w:r>
        <w:t>6.</w:t>
      </w:r>
      <w:r>
        <w:tab/>
        <w:t>Section 29 modified</w:t>
      </w:r>
      <w:r>
        <w:tab/>
      </w:r>
      <w:r>
        <w:fldChar w:fldCharType="begin"/>
      </w:r>
      <w:r>
        <w:instrText xml:space="preserve"> PAGEREF _Toc158374632 \h </w:instrText>
      </w:r>
      <w:r>
        <w:fldChar w:fldCharType="separate"/>
      </w:r>
      <w:r>
        <w:t>1</w:t>
      </w:r>
      <w:r>
        <w:fldChar w:fldCharType="end"/>
      </w:r>
    </w:p>
    <w:p>
      <w:pPr>
        <w:pStyle w:val="TOC8"/>
        <w:rPr>
          <w:rFonts w:asciiTheme="minorHAnsi" w:eastAsiaTheme="minorEastAsia" w:hAnsiTheme="minorHAnsi" w:cstheme="minorBidi"/>
          <w:szCs w:val="22"/>
        </w:rPr>
      </w:pPr>
      <w:r>
        <w:t>7.</w:t>
      </w:r>
      <w:r>
        <w:tab/>
        <w:t>Section 30 modified</w:t>
      </w:r>
      <w:r>
        <w:tab/>
      </w:r>
      <w:r>
        <w:fldChar w:fldCharType="begin"/>
      </w:r>
      <w:r>
        <w:instrText xml:space="preserve"> PAGEREF _Toc158374633 \h </w:instrText>
      </w:r>
      <w:r>
        <w:fldChar w:fldCharType="separate"/>
      </w:r>
      <w:r>
        <w:t>1</w:t>
      </w:r>
      <w:r>
        <w:fldChar w:fldCharType="end"/>
      </w:r>
    </w:p>
    <w:p>
      <w:pPr>
        <w:pStyle w:val="TOC8"/>
        <w:rPr>
          <w:rFonts w:asciiTheme="minorHAnsi" w:eastAsiaTheme="minorEastAsia" w:hAnsiTheme="minorHAnsi" w:cstheme="minorBidi"/>
          <w:szCs w:val="22"/>
        </w:rPr>
      </w:pPr>
      <w:r>
        <w:t>7A.</w:t>
      </w:r>
      <w:r>
        <w:tab/>
        <w:t>Section 30R deleted</w:t>
      </w:r>
      <w:r>
        <w:tab/>
      </w:r>
      <w:r>
        <w:fldChar w:fldCharType="begin"/>
      </w:r>
      <w:r>
        <w:instrText xml:space="preserve"> PAGEREF _Toc158374634 \h </w:instrText>
      </w:r>
      <w:r>
        <w:fldChar w:fldCharType="separate"/>
      </w:r>
      <w:r>
        <w:t>1</w:t>
      </w:r>
      <w:r>
        <w:fldChar w:fldCharType="end"/>
      </w:r>
    </w:p>
    <w:p>
      <w:pPr>
        <w:pStyle w:val="TOC8"/>
        <w:rPr>
          <w:rFonts w:asciiTheme="minorHAnsi" w:eastAsiaTheme="minorEastAsia" w:hAnsiTheme="minorHAnsi" w:cstheme="minorBidi"/>
          <w:szCs w:val="22"/>
        </w:rPr>
      </w:pPr>
      <w:r>
        <w:t>8.</w:t>
      </w:r>
      <w:r>
        <w:tab/>
        <w:t>Chapter 2 Part 1A inserted</w:t>
      </w:r>
      <w:r>
        <w:tab/>
      </w:r>
      <w:r>
        <w:fldChar w:fldCharType="begin"/>
      </w:r>
      <w:r>
        <w:instrText xml:space="preserve"> PAGEREF _Toc158374635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t>Part 1A</w:t>
      </w:r>
      <w:r>
        <w:rPr>
          <w:b w:val="0"/>
        </w:rPr>
        <w:t> — </w:t>
      </w:r>
      <w:r>
        <w:t>Functions and powers of WA arbitrator</w:t>
      </w:r>
    </w:p>
    <w:p>
      <w:pPr>
        <w:pStyle w:val="TOC9"/>
        <w:rPr>
          <w:rFonts w:asciiTheme="minorHAnsi" w:eastAsiaTheme="minorEastAsia" w:hAnsiTheme="minorHAnsi" w:cstheme="minorBidi"/>
          <w:noProof/>
          <w:sz w:val="22"/>
          <w:szCs w:val="22"/>
        </w:rPr>
      </w:pPr>
      <w:r>
        <w:rPr>
          <w:noProof/>
        </w:rPr>
        <w:t>68A.</w:t>
      </w:r>
      <w:r>
        <w:rPr>
          <w:noProof/>
        </w:rPr>
        <w:tab/>
        <w:t>Manner in which WA arbitrator must perform or exercise certain functions or powers</w:t>
      </w:r>
      <w:r>
        <w:rPr>
          <w:noProof/>
        </w:rPr>
        <w:tab/>
      </w:r>
      <w:r>
        <w:rPr>
          <w:noProof/>
        </w:rPr>
        <w:fldChar w:fldCharType="begin"/>
      </w:r>
      <w:r>
        <w:rPr>
          <w:noProof/>
        </w:rPr>
        <w:instrText xml:space="preserve"> PAGEREF _Toc158374637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9.</w:t>
      </w:r>
      <w:r>
        <w:tab/>
        <w:t>Section 181A inserted</w:t>
      </w:r>
      <w:r>
        <w:tab/>
      </w:r>
      <w:r>
        <w:fldChar w:fldCharType="begin"/>
      </w:r>
      <w:r>
        <w:instrText xml:space="preserve"> PAGEREF _Toc158374638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181A.</w:t>
      </w:r>
      <w:r>
        <w:rPr>
          <w:noProof/>
        </w:rPr>
        <w:tab/>
        <w:t>Providing information for certain disputes</w:t>
      </w:r>
      <w:r>
        <w:rPr>
          <w:noProof/>
        </w:rPr>
        <w:tab/>
      </w:r>
      <w:r>
        <w:rPr>
          <w:noProof/>
        </w:rPr>
        <w:fldChar w:fldCharType="begin"/>
      </w:r>
      <w:r>
        <w:rPr>
          <w:noProof/>
        </w:rPr>
        <w:instrText xml:space="preserve"> PAGEREF _Toc158374639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10.</w:t>
      </w:r>
      <w:r>
        <w:tab/>
        <w:t>Section 231 modified</w:t>
      </w:r>
      <w:r>
        <w:tab/>
      </w:r>
      <w:r>
        <w:fldChar w:fldCharType="begin"/>
      </w:r>
      <w:r>
        <w:instrText xml:space="preserve"> PAGEREF _Toc158374640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w:t>
      </w:r>
      <w:r>
        <w:tab/>
        <w:t>Section 240 modified</w:t>
      </w:r>
      <w:r>
        <w:tab/>
      </w:r>
      <w:r>
        <w:fldChar w:fldCharType="begin"/>
      </w:r>
      <w:r>
        <w:instrText xml:space="preserve"> PAGEREF _Toc158374641 \h </w:instrText>
      </w:r>
      <w:r>
        <w:fldChar w:fldCharType="separate"/>
      </w:r>
      <w:r>
        <w:t>1</w:t>
      </w:r>
      <w:r>
        <w:fldChar w:fldCharType="end"/>
      </w:r>
    </w:p>
    <w:p>
      <w:pPr>
        <w:pStyle w:val="TOC8"/>
        <w:rPr>
          <w:rFonts w:asciiTheme="minorHAnsi" w:eastAsiaTheme="minorEastAsia" w:hAnsiTheme="minorHAnsi" w:cstheme="minorBidi"/>
          <w:szCs w:val="22"/>
        </w:rPr>
      </w:pPr>
      <w:r>
        <w:t>12.</w:t>
      </w:r>
      <w:r>
        <w:tab/>
        <w:t>Section 290 modified</w:t>
      </w:r>
      <w:r>
        <w:tab/>
      </w:r>
      <w:r>
        <w:fldChar w:fldCharType="begin"/>
      </w:r>
      <w:r>
        <w:instrText xml:space="preserve"> PAGEREF _Toc158374642 \h </w:instrText>
      </w:r>
      <w:r>
        <w:fldChar w:fldCharType="separate"/>
      </w:r>
      <w:r>
        <w:t>1</w:t>
      </w:r>
      <w:r>
        <w:fldChar w:fldCharType="end"/>
      </w:r>
    </w:p>
    <w:p>
      <w:pPr>
        <w:pStyle w:val="TOC8"/>
        <w:rPr>
          <w:rFonts w:asciiTheme="minorHAnsi" w:eastAsiaTheme="minorEastAsia" w:hAnsiTheme="minorHAnsi" w:cstheme="minorBidi"/>
          <w:szCs w:val="22"/>
        </w:rPr>
      </w:pPr>
      <w:r>
        <w:t>13.</w:t>
      </w:r>
      <w:r>
        <w:tab/>
        <w:t>Section 294 replaced</w:t>
      </w:r>
      <w:r>
        <w:tab/>
      </w:r>
      <w:r>
        <w:fldChar w:fldCharType="begin"/>
      </w:r>
      <w:r>
        <w:instrText xml:space="preserve"> PAGEREF _Toc158374643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294.</w:t>
      </w:r>
      <w:r>
        <w:rPr>
          <w:noProof/>
        </w:rPr>
        <w:tab/>
        <w:t>Initial National Gas Rules for WA</w:t>
      </w:r>
      <w:r>
        <w:rPr>
          <w:noProof/>
        </w:rPr>
        <w:tab/>
      </w:r>
      <w:r>
        <w:rPr>
          <w:noProof/>
        </w:rPr>
        <w:fldChar w:fldCharType="begin"/>
      </w:r>
      <w:r>
        <w:rPr>
          <w:noProof/>
        </w:rPr>
        <w:instrText xml:space="preserve"> PAGEREF _Toc158374644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13A.</w:t>
      </w:r>
      <w:r>
        <w:tab/>
        <w:t>Section 294FC modified</w:t>
      </w:r>
      <w:r>
        <w:tab/>
      </w:r>
      <w:r>
        <w:fldChar w:fldCharType="begin"/>
      </w:r>
      <w:r>
        <w:instrText xml:space="preserve"> PAGEREF _Toc158374645 \h </w:instrText>
      </w:r>
      <w:r>
        <w:fldChar w:fldCharType="separate"/>
      </w:r>
      <w:r>
        <w:t>1</w:t>
      </w:r>
      <w:r>
        <w:fldChar w:fldCharType="end"/>
      </w:r>
    </w:p>
    <w:p>
      <w:pPr>
        <w:pStyle w:val="TOC8"/>
        <w:rPr>
          <w:rFonts w:asciiTheme="minorHAnsi" w:eastAsiaTheme="minorEastAsia" w:hAnsiTheme="minorHAnsi" w:cstheme="minorBidi"/>
          <w:szCs w:val="22"/>
        </w:rPr>
      </w:pPr>
      <w:r>
        <w:t>14.</w:t>
      </w:r>
      <w:r>
        <w:tab/>
        <w:t>Schedule 1 modified</w:t>
      </w:r>
      <w:r>
        <w:tab/>
      </w:r>
      <w:r>
        <w:fldChar w:fldCharType="begin"/>
      </w:r>
      <w:r>
        <w:instrText xml:space="preserve"> PAGEREF _Toc158374646 \h </w:instrText>
      </w:r>
      <w:r>
        <w:fldChar w:fldCharType="separate"/>
      </w:r>
      <w:r>
        <w:t>1</w:t>
      </w:r>
      <w:r>
        <w:fldChar w:fldCharType="end"/>
      </w:r>
    </w:p>
    <w:p>
      <w:pPr>
        <w:pStyle w:val="TOC8"/>
        <w:rPr>
          <w:rFonts w:asciiTheme="minorHAnsi" w:eastAsiaTheme="minorEastAsia" w:hAnsiTheme="minorHAnsi" w:cstheme="minorBidi"/>
          <w:szCs w:val="22"/>
        </w:rPr>
      </w:pPr>
      <w:r>
        <w:t>15.</w:t>
      </w:r>
      <w:r>
        <w:tab/>
        <w:t>Schedule 2 clause 27A inserted</w:t>
      </w:r>
      <w:r>
        <w:tab/>
      </w:r>
      <w:r>
        <w:fldChar w:fldCharType="begin"/>
      </w:r>
      <w:r>
        <w:instrText xml:space="preserve"> PAGEREF _Toc158374647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27A.</w:t>
      </w:r>
      <w:r>
        <w:rPr>
          <w:noProof/>
        </w:rPr>
        <w:tab/>
        <w:t>WA modifications of clause 27</w:t>
      </w:r>
      <w:r>
        <w:rPr>
          <w:noProof/>
        </w:rPr>
        <w:tab/>
      </w:r>
      <w:r>
        <w:rPr>
          <w:noProof/>
        </w:rPr>
        <w:fldChar w:fldCharType="begin"/>
      </w:r>
      <w:r>
        <w:rPr>
          <w:noProof/>
        </w:rPr>
        <w:instrText xml:space="preserve"> PAGEREF _Toc158374648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16.</w:t>
      </w:r>
      <w:r>
        <w:tab/>
        <w:t>Schedule 2 clause 34 modified</w:t>
      </w:r>
      <w:r>
        <w:tab/>
      </w:r>
      <w:r>
        <w:fldChar w:fldCharType="begin"/>
      </w:r>
      <w:r>
        <w:instrText xml:space="preserve"> PAGEREF _Toc158374649 \h </w:instrText>
      </w:r>
      <w:r>
        <w:fldChar w:fldCharType="separate"/>
      </w:r>
      <w:r>
        <w:t>1</w:t>
      </w:r>
      <w:r>
        <w:fldChar w:fldCharType="end"/>
      </w:r>
    </w:p>
    <w:p>
      <w:pPr>
        <w:pStyle w:val="TOC8"/>
        <w:rPr>
          <w:rFonts w:asciiTheme="minorHAnsi" w:eastAsiaTheme="minorEastAsia" w:hAnsiTheme="minorHAnsi" w:cstheme="minorBidi"/>
          <w:szCs w:val="22"/>
        </w:rPr>
      </w:pPr>
      <w:r>
        <w:t>17.</w:t>
      </w:r>
      <w:r>
        <w:tab/>
        <w:t>Schedule 2 clause 50 replaced</w:t>
      </w:r>
      <w:r>
        <w:tab/>
      </w:r>
      <w:r>
        <w:fldChar w:fldCharType="begin"/>
      </w:r>
      <w:r>
        <w:instrText xml:space="preserve"> PAGEREF _Toc158374650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50.</w:t>
      </w:r>
      <w:r>
        <w:rPr>
          <w:noProof/>
        </w:rPr>
        <w:tab/>
        <w:t>Attempts and incitement</w:t>
      </w:r>
      <w:r>
        <w:rPr>
          <w:noProof/>
        </w:rPr>
        <w:tab/>
      </w:r>
      <w:r>
        <w:rPr>
          <w:noProof/>
        </w:rPr>
        <w:fldChar w:fldCharType="begin"/>
      </w:r>
      <w:r>
        <w:rPr>
          <w:noProof/>
        </w:rPr>
        <w:instrText xml:space="preserve"> PAGEREF _Toc158374651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17A.</w:t>
      </w:r>
      <w:r>
        <w:tab/>
        <w:t>Schedule 2 clause 51 modified</w:t>
      </w:r>
      <w:r>
        <w:tab/>
      </w:r>
      <w:r>
        <w:fldChar w:fldCharType="begin"/>
      </w:r>
      <w:r>
        <w:instrText xml:space="preserve"> PAGEREF _Toc158374652 \h </w:instrText>
      </w:r>
      <w:r>
        <w:fldChar w:fldCharType="separate"/>
      </w:r>
      <w:r>
        <w:t>1</w:t>
      </w:r>
      <w:r>
        <w:fldChar w:fldCharType="end"/>
      </w:r>
    </w:p>
    <w:p>
      <w:pPr>
        <w:pStyle w:val="TOC8"/>
        <w:rPr>
          <w:rFonts w:asciiTheme="minorHAnsi" w:eastAsiaTheme="minorEastAsia" w:hAnsiTheme="minorHAnsi" w:cstheme="minorBidi"/>
          <w:szCs w:val="22"/>
        </w:rPr>
      </w:pPr>
      <w:r>
        <w:t>18.</w:t>
      </w:r>
      <w:r>
        <w:tab/>
        <w:t>Schedule 3 modified</w:t>
      </w:r>
      <w:r>
        <w:tab/>
      </w:r>
      <w:r>
        <w:fldChar w:fldCharType="begin"/>
      </w:r>
      <w:r>
        <w:instrText xml:space="preserve"> PAGEREF _Toc158374653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Notes about </w:t>
      </w:r>
      <w:r>
        <w:rPr>
          <w:i/>
          <w:iCs/>
        </w:rPr>
        <w:t>National Gas Access (WA) Act 2009</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_Toc158374655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 — Western Australian National Gas Access Law text</w:t>
      </w:r>
    </w:p>
    <w:p>
      <w:pPr>
        <w:pStyle w:val="TOC2"/>
        <w:tabs>
          <w:tab w:val="right" w:leader="dot" w:pos="7077"/>
        </w:tabs>
        <w:rPr>
          <w:rFonts w:asciiTheme="minorHAnsi" w:eastAsiaTheme="minorEastAsia" w:hAnsiTheme="minorHAnsi" w:cstheme="minorBidi"/>
          <w:b w:val="0"/>
          <w:sz w:val="22"/>
          <w:szCs w:val="22"/>
        </w:rPr>
      </w:pPr>
      <w:r>
        <w:t>Chapter 1 —</w:t>
      </w:r>
      <w:r>
        <w:rPr>
          <w:color w:val="000000"/>
        </w:rPr>
        <w:t xml:space="preserve"> </w:t>
      </w:r>
      <w:r>
        <w:t>Preliminary</w:t>
      </w:r>
    </w:p>
    <w:p>
      <w:pPr>
        <w:pStyle w:val="TOC4"/>
        <w:tabs>
          <w:tab w:val="right" w:leader="dot" w:pos="7077"/>
        </w:tabs>
        <w:rPr>
          <w:rFonts w:asciiTheme="minorHAnsi" w:eastAsiaTheme="minorEastAsia" w:hAnsiTheme="minorHAnsi" w:cstheme="minorBidi"/>
          <w:b w:val="0"/>
          <w:szCs w:val="22"/>
        </w:rPr>
      </w:pPr>
      <w:r>
        <w:t>Part 1 —</w:t>
      </w:r>
      <w:r>
        <w:rPr>
          <w:color w:val="000000"/>
        </w:rPr>
        <w:t xml:space="preserve"> </w:t>
      </w:r>
      <w:r>
        <w:t>Citation and interpretation</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_Toc158374659 \h </w:instrText>
      </w:r>
      <w:r>
        <w:fldChar w:fldCharType="separate"/>
      </w:r>
      <w:r>
        <w:t>1</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_Toc158374660 \h </w:instrText>
      </w:r>
      <w:r>
        <w:fldChar w:fldCharType="separate"/>
      </w:r>
      <w:r>
        <w:t>1</w:t>
      </w:r>
      <w:r>
        <w:fldChar w:fldCharType="end"/>
      </w:r>
    </w:p>
    <w:p>
      <w:pPr>
        <w:pStyle w:val="TOC8"/>
        <w:rPr>
          <w:rFonts w:asciiTheme="minorHAnsi" w:eastAsiaTheme="minorEastAsia" w:hAnsiTheme="minorHAnsi" w:cstheme="minorBidi"/>
          <w:szCs w:val="22"/>
        </w:rPr>
      </w:pPr>
      <w:r>
        <w:t>2A.</w:t>
      </w:r>
      <w:r>
        <w:tab/>
        <w:t>Meaning of AER modified</w:t>
      </w:r>
      <w:r>
        <w:tab/>
      </w:r>
      <w:r>
        <w:fldChar w:fldCharType="begin"/>
      </w:r>
      <w:r>
        <w:instrText xml:space="preserve"> PAGEREF _Toc158374661 \h </w:instrText>
      </w:r>
      <w:r>
        <w:fldChar w:fldCharType="separate"/>
      </w:r>
      <w:r>
        <w:t>1</w:t>
      </w:r>
      <w:r>
        <w:fldChar w:fldCharType="end"/>
      </w:r>
    </w:p>
    <w:p>
      <w:pPr>
        <w:pStyle w:val="TOC8"/>
        <w:rPr>
          <w:rFonts w:asciiTheme="minorHAnsi" w:eastAsiaTheme="minorEastAsia" w:hAnsiTheme="minorHAnsi" w:cstheme="minorBidi"/>
          <w:szCs w:val="22"/>
        </w:rPr>
      </w:pPr>
      <w:r>
        <w:t>2B.</w:t>
      </w:r>
      <w:r>
        <w:tab/>
        <w:t>References to WA application Act</w:t>
      </w:r>
      <w:r>
        <w:tab/>
      </w:r>
      <w:r>
        <w:fldChar w:fldCharType="begin"/>
      </w:r>
      <w:r>
        <w:instrText xml:space="preserve"> PAGEREF _Toc158374662 \h </w:instrText>
      </w:r>
      <w:r>
        <w:fldChar w:fldCharType="separate"/>
      </w:r>
      <w:r>
        <w:t>1</w:t>
      </w:r>
      <w:r>
        <w:fldChar w:fldCharType="end"/>
      </w:r>
    </w:p>
    <w:p>
      <w:pPr>
        <w:pStyle w:val="TOC8"/>
        <w:rPr>
          <w:rFonts w:asciiTheme="minorHAnsi" w:eastAsiaTheme="minorEastAsia" w:hAnsiTheme="minorHAnsi" w:cstheme="minorBidi"/>
          <w:szCs w:val="22"/>
        </w:rPr>
      </w:pPr>
      <w:r>
        <w:t>3.</w:t>
      </w:r>
      <w:r>
        <w:tab/>
        <w:t>Meaning of civil penalty provision</w:t>
      </w:r>
      <w:r>
        <w:tab/>
      </w:r>
      <w:r>
        <w:fldChar w:fldCharType="begin"/>
      </w:r>
      <w:r>
        <w:instrText xml:space="preserve"> PAGEREF _Toc158374663 \h </w:instrText>
      </w:r>
      <w:r>
        <w:fldChar w:fldCharType="separate"/>
      </w:r>
      <w:r>
        <w:t>1</w:t>
      </w:r>
      <w:r>
        <w:fldChar w:fldCharType="end"/>
      </w:r>
    </w:p>
    <w:p>
      <w:pPr>
        <w:pStyle w:val="TOC8"/>
        <w:rPr>
          <w:rFonts w:asciiTheme="minorHAnsi" w:eastAsiaTheme="minorEastAsia" w:hAnsiTheme="minorHAnsi" w:cstheme="minorBidi"/>
          <w:szCs w:val="22"/>
        </w:rPr>
      </w:pPr>
      <w:r>
        <w:t>4.</w:t>
      </w:r>
      <w:r>
        <w:tab/>
        <w:t>Meaning of conduct provision</w:t>
      </w:r>
      <w:r>
        <w:tab/>
      </w:r>
      <w:r>
        <w:fldChar w:fldCharType="begin"/>
      </w:r>
      <w:r>
        <w:instrText xml:space="preserve"> PAGEREF _Toc158374664 \h </w:instrText>
      </w:r>
      <w:r>
        <w:fldChar w:fldCharType="separate"/>
      </w:r>
      <w:r>
        <w:t>1</w:t>
      </w:r>
      <w:r>
        <w:fldChar w:fldCharType="end"/>
      </w:r>
    </w:p>
    <w:p>
      <w:pPr>
        <w:pStyle w:val="TOC8"/>
        <w:rPr>
          <w:rFonts w:asciiTheme="minorHAnsi" w:eastAsiaTheme="minorEastAsia" w:hAnsiTheme="minorHAnsi" w:cstheme="minorBidi"/>
          <w:szCs w:val="22"/>
        </w:rPr>
      </w:pPr>
      <w:r>
        <w:t>5.</w:t>
      </w:r>
      <w:r>
        <w:tab/>
        <w:t>Meaning of prospective user</w:t>
      </w:r>
      <w:r>
        <w:tab/>
      </w:r>
      <w:r>
        <w:fldChar w:fldCharType="begin"/>
      </w:r>
      <w:r>
        <w:instrText xml:space="preserve"> PAGEREF _Toc158374665 \h </w:instrText>
      </w:r>
      <w:r>
        <w:fldChar w:fldCharType="separate"/>
      </w:r>
      <w:r>
        <w:t>1</w:t>
      </w:r>
      <w:r>
        <w:fldChar w:fldCharType="end"/>
      </w:r>
    </w:p>
    <w:p>
      <w:pPr>
        <w:pStyle w:val="TOC8"/>
        <w:rPr>
          <w:rFonts w:asciiTheme="minorHAnsi" w:eastAsiaTheme="minorEastAsia" w:hAnsiTheme="minorHAnsi" w:cstheme="minorBidi"/>
          <w:szCs w:val="22"/>
        </w:rPr>
      </w:pPr>
      <w:r>
        <w:t>6.</w:t>
      </w:r>
      <w:r>
        <w:tab/>
        <w:t>Meaning of regulatory obligation or requirement</w:t>
      </w:r>
      <w:r>
        <w:tab/>
      </w:r>
      <w:r>
        <w:fldChar w:fldCharType="begin"/>
      </w:r>
      <w:r>
        <w:instrText xml:space="preserve"> PAGEREF _Toc158374666 \h </w:instrText>
      </w:r>
      <w:r>
        <w:fldChar w:fldCharType="separate"/>
      </w:r>
      <w:r>
        <w:t>1</w:t>
      </w:r>
      <w:r>
        <w:fldChar w:fldCharType="end"/>
      </w:r>
    </w:p>
    <w:p>
      <w:pPr>
        <w:pStyle w:val="TOC8"/>
        <w:rPr>
          <w:rFonts w:asciiTheme="minorHAnsi" w:eastAsiaTheme="minorEastAsia" w:hAnsiTheme="minorHAnsi" w:cstheme="minorBidi"/>
          <w:szCs w:val="22"/>
        </w:rPr>
      </w:pPr>
      <w:r>
        <w:t>7.</w:t>
      </w:r>
      <w:r>
        <w:tab/>
        <w:t>Meaning of regulatory payment</w:t>
      </w:r>
      <w:r>
        <w:tab/>
      </w:r>
      <w:r>
        <w:fldChar w:fldCharType="begin"/>
      </w:r>
      <w:r>
        <w:instrText xml:space="preserve"> PAGEREF _Toc158374667 \h </w:instrText>
      </w:r>
      <w:r>
        <w:fldChar w:fldCharType="separate"/>
      </w:r>
      <w:r>
        <w:t>1</w:t>
      </w:r>
      <w:r>
        <w:fldChar w:fldCharType="end"/>
      </w:r>
    </w:p>
    <w:p>
      <w:pPr>
        <w:pStyle w:val="TOC8"/>
        <w:rPr>
          <w:rFonts w:asciiTheme="minorHAnsi" w:eastAsiaTheme="minorEastAsia" w:hAnsiTheme="minorHAnsi" w:cstheme="minorBidi"/>
          <w:szCs w:val="22"/>
        </w:rPr>
      </w:pPr>
      <w:r>
        <w:t>8.</w:t>
      </w:r>
      <w:r>
        <w:tab/>
        <w:t>Meaning of service provider</w:t>
      </w:r>
      <w:r>
        <w:tab/>
      </w:r>
      <w:r>
        <w:fldChar w:fldCharType="begin"/>
      </w:r>
      <w:r>
        <w:instrText xml:space="preserve"> PAGEREF _Toc158374668 \h </w:instrText>
      </w:r>
      <w:r>
        <w:fldChar w:fldCharType="separate"/>
      </w:r>
      <w:r>
        <w:t>1</w:t>
      </w:r>
      <w:r>
        <w:fldChar w:fldCharType="end"/>
      </w:r>
    </w:p>
    <w:p>
      <w:pPr>
        <w:pStyle w:val="TOC8"/>
        <w:rPr>
          <w:rFonts w:asciiTheme="minorHAnsi" w:eastAsiaTheme="minorEastAsia" w:hAnsiTheme="minorHAnsi" w:cstheme="minorBidi"/>
          <w:szCs w:val="22"/>
        </w:rPr>
      </w:pPr>
      <w:r>
        <w:t>9.</w:t>
      </w:r>
      <w:r>
        <w:tab/>
        <w:t>Passive owners of scheme pipelines deemed to provide or intend to provide pipeline services</w:t>
      </w:r>
      <w:r>
        <w:tab/>
      </w:r>
      <w:r>
        <w:fldChar w:fldCharType="begin"/>
      </w:r>
      <w:r>
        <w:instrText xml:space="preserve"> PAGEREF _Toc158374669 \h </w:instrText>
      </w:r>
      <w:r>
        <w:fldChar w:fldCharType="separate"/>
      </w:r>
      <w:r>
        <w:t>1</w:t>
      </w:r>
      <w:r>
        <w:fldChar w:fldCharType="end"/>
      </w:r>
    </w:p>
    <w:p>
      <w:pPr>
        <w:pStyle w:val="TOC8"/>
        <w:rPr>
          <w:rFonts w:asciiTheme="minorHAnsi" w:eastAsiaTheme="minorEastAsia" w:hAnsiTheme="minorHAnsi" w:cstheme="minorBidi"/>
          <w:szCs w:val="22"/>
        </w:rPr>
      </w:pPr>
      <w:r>
        <w:t>10.</w:t>
      </w:r>
      <w:r>
        <w:tab/>
        <w:t>Things done by 1 service provider to be treated as being done by all of service provider group</w:t>
      </w:r>
      <w:r>
        <w:tab/>
      </w:r>
      <w:r>
        <w:fldChar w:fldCharType="begin"/>
      </w:r>
      <w:r>
        <w:instrText xml:space="preserve"> PAGEREF _Toc158374670 \h </w:instrText>
      </w:r>
      <w:r>
        <w:fldChar w:fldCharType="separate"/>
      </w:r>
      <w:r>
        <w:t>1</w:t>
      </w:r>
      <w:r>
        <w:fldChar w:fldCharType="end"/>
      </w:r>
    </w:p>
    <w:p>
      <w:pPr>
        <w:pStyle w:val="TOC8"/>
        <w:rPr>
          <w:rFonts w:asciiTheme="minorHAnsi" w:eastAsiaTheme="minorEastAsia" w:hAnsiTheme="minorHAnsi" w:cstheme="minorBidi"/>
          <w:szCs w:val="22"/>
        </w:rPr>
      </w:pPr>
      <w:r>
        <w:t>11.</w:t>
      </w:r>
      <w:r>
        <w:tab/>
        <w:t>Local agents of foreign service providers</w:t>
      </w:r>
      <w:r>
        <w:tab/>
      </w:r>
      <w:r>
        <w:fldChar w:fldCharType="begin"/>
      </w:r>
      <w:r>
        <w:instrText xml:space="preserve"> PAGEREF _Toc158374671 \h </w:instrText>
      </w:r>
      <w:r>
        <w:fldChar w:fldCharType="separate"/>
      </w:r>
      <w:r>
        <w:t>1</w:t>
      </w:r>
      <w:r>
        <w:fldChar w:fldCharType="end"/>
      </w:r>
    </w:p>
    <w:p>
      <w:pPr>
        <w:pStyle w:val="TOC8"/>
        <w:rPr>
          <w:rFonts w:asciiTheme="minorHAnsi" w:eastAsiaTheme="minorEastAsia" w:hAnsiTheme="minorHAnsi" w:cstheme="minorBidi"/>
          <w:szCs w:val="22"/>
        </w:rPr>
      </w:pPr>
      <w:r>
        <w:t>12</w:t>
      </w:r>
      <w:r>
        <w:rPr>
          <w:bCs/>
        </w:rPr>
        <w:t>.</w:t>
      </w:r>
      <w:r>
        <w:rPr>
          <w:bCs/>
        </w:rPr>
        <w:tab/>
      </w:r>
      <w:r>
        <w:t>Commissioning of a pipeline</w:t>
      </w:r>
      <w:r>
        <w:tab/>
      </w:r>
      <w:r>
        <w:fldChar w:fldCharType="begin"/>
      </w:r>
      <w:r>
        <w:instrText xml:space="preserve"> PAGEREF _Toc158374672 \h </w:instrText>
      </w:r>
      <w:r>
        <w:fldChar w:fldCharType="separate"/>
      </w:r>
      <w:r>
        <w:t>1</w:t>
      </w:r>
      <w:r>
        <w:fldChar w:fldCharType="end"/>
      </w:r>
    </w:p>
    <w:p>
      <w:pPr>
        <w:pStyle w:val="TOC8"/>
        <w:rPr>
          <w:rFonts w:asciiTheme="minorHAnsi" w:eastAsiaTheme="minorEastAsia" w:hAnsiTheme="minorHAnsi" w:cstheme="minorBidi"/>
          <w:szCs w:val="22"/>
        </w:rPr>
      </w:pPr>
      <w:r>
        <w:t>13</w:t>
      </w:r>
      <w:r>
        <w:rPr>
          <w:bCs/>
        </w:rPr>
        <w:t>.</w:t>
      </w:r>
      <w:r>
        <w:rPr>
          <w:bCs/>
        </w:rPr>
        <w:tab/>
      </w:r>
      <w:r>
        <w:t>Pipeline classification criterion</w:t>
      </w:r>
      <w:r>
        <w:tab/>
      </w:r>
      <w:r>
        <w:fldChar w:fldCharType="begin"/>
      </w:r>
      <w:r>
        <w:instrText xml:space="preserve"> PAGEREF _Toc158374673 \h </w:instrText>
      </w:r>
      <w:r>
        <w:fldChar w:fldCharType="separate"/>
      </w:r>
      <w:r>
        <w:t>1</w:t>
      </w:r>
      <w:r>
        <w:fldChar w:fldCharType="end"/>
      </w:r>
    </w:p>
    <w:p>
      <w:pPr>
        <w:pStyle w:val="TOC8"/>
        <w:rPr>
          <w:rFonts w:asciiTheme="minorHAnsi" w:eastAsiaTheme="minorEastAsia" w:hAnsiTheme="minorHAnsi" w:cstheme="minorBidi"/>
          <w:szCs w:val="22"/>
        </w:rPr>
      </w:pPr>
      <w:r>
        <w:lastRenderedPageBreak/>
        <w:t>14.</w:t>
      </w:r>
      <w:r>
        <w:rPr>
          <w:bCs/>
        </w:rPr>
        <w:tab/>
      </w:r>
      <w:r>
        <w:t>Jurisdictional determination criteria—cross boundary distribution pipelines</w:t>
      </w:r>
      <w:r>
        <w:tab/>
      </w:r>
      <w:r>
        <w:fldChar w:fldCharType="begin"/>
      </w:r>
      <w:r>
        <w:instrText xml:space="preserve"> PAGEREF _Toc158374674 \h </w:instrText>
      </w:r>
      <w:r>
        <w:fldChar w:fldCharType="separate"/>
      </w:r>
      <w:r>
        <w:t>1</w:t>
      </w:r>
      <w:r>
        <w:fldChar w:fldCharType="end"/>
      </w:r>
    </w:p>
    <w:p>
      <w:pPr>
        <w:pStyle w:val="TOC8"/>
        <w:rPr>
          <w:rFonts w:asciiTheme="minorHAnsi" w:eastAsiaTheme="minorEastAsia" w:hAnsiTheme="minorHAnsi" w:cstheme="minorBidi"/>
          <w:szCs w:val="22"/>
        </w:rPr>
      </w:pPr>
      <w:r>
        <w:t>15.</w:t>
      </w:r>
      <w:r>
        <w:tab/>
        <w:t>Pipeline coverage criteria</w:t>
      </w:r>
      <w:r>
        <w:tab/>
      </w:r>
      <w:r>
        <w:fldChar w:fldCharType="begin"/>
      </w:r>
      <w:r>
        <w:instrText xml:space="preserve"> PAGEREF _Toc158374675 \h </w:instrText>
      </w:r>
      <w:r>
        <w:fldChar w:fldCharType="separate"/>
      </w:r>
      <w:r>
        <w:t>1</w:t>
      </w:r>
      <w:r>
        <w:fldChar w:fldCharType="end"/>
      </w:r>
    </w:p>
    <w:p>
      <w:pPr>
        <w:pStyle w:val="TOC8"/>
        <w:rPr>
          <w:rFonts w:asciiTheme="minorHAnsi" w:eastAsiaTheme="minorEastAsia" w:hAnsiTheme="minorHAnsi" w:cstheme="minorBidi"/>
          <w:szCs w:val="22"/>
        </w:rPr>
      </w:pPr>
      <w:r>
        <w:t>16.</w:t>
      </w:r>
      <w:r>
        <w:tab/>
        <w:t>Form of regulation factors</w:t>
      </w:r>
      <w:r>
        <w:tab/>
      </w:r>
      <w:r>
        <w:fldChar w:fldCharType="begin"/>
      </w:r>
      <w:r>
        <w:instrText xml:space="preserve"> PAGEREF _Toc158374676 \h </w:instrText>
      </w:r>
      <w:r>
        <w:fldChar w:fldCharType="separate"/>
      </w:r>
      <w:r>
        <w:t>1</w:t>
      </w:r>
      <w:r>
        <w:fldChar w:fldCharType="end"/>
      </w:r>
    </w:p>
    <w:p>
      <w:pPr>
        <w:pStyle w:val="TOC8"/>
        <w:rPr>
          <w:rFonts w:asciiTheme="minorHAnsi" w:eastAsiaTheme="minorEastAsia" w:hAnsiTheme="minorHAnsi" w:cstheme="minorBidi"/>
          <w:szCs w:val="22"/>
        </w:rPr>
      </w:pPr>
      <w:r>
        <w:t>17</w:t>
      </w:r>
      <w:r>
        <w:rPr>
          <w:bCs/>
        </w:rPr>
        <w:t>.</w:t>
      </w:r>
      <w:r>
        <w:rPr>
          <w:bCs/>
        </w:rPr>
        <w:tab/>
      </w:r>
      <w:r>
        <w:t>Effect of separate and consolidated access arrangements in certain cases</w:t>
      </w:r>
      <w:r>
        <w:tab/>
      </w:r>
      <w:r>
        <w:fldChar w:fldCharType="begin"/>
      </w:r>
      <w:r>
        <w:instrText xml:space="preserve"> PAGEREF _Toc158374677 \h </w:instrText>
      </w:r>
      <w:r>
        <w:fldChar w:fldCharType="separate"/>
      </w:r>
      <w:r>
        <w:t>1</w:t>
      </w:r>
      <w:r>
        <w:fldChar w:fldCharType="end"/>
      </w:r>
    </w:p>
    <w:p>
      <w:pPr>
        <w:pStyle w:val="TOC8"/>
        <w:rPr>
          <w:rFonts w:asciiTheme="minorHAnsi" w:eastAsiaTheme="minorEastAsia" w:hAnsiTheme="minorHAnsi" w:cstheme="minorBidi"/>
          <w:szCs w:val="22"/>
        </w:rPr>
      </w:pPr>
      <w:r>
        <w:t>18.</w:t>
      </w:r>
      <w:r>
        <w:tab/>
        <w:t>Certain extensions to, or expansion of the capacity of, pipelines to be taken to be part of a covered pipeline</w:t>
      </w:r>
      <w:r>
        <w:tab/>
      </w:r>
      <w:r>
        <w:fldChar w:fldCharType="begin"/>
      </w:r>
      <w:r>
        <w:instrText xml:space="preserve"> PAGEREF _Toc158374678 \h </w:instrText>
      </w:r>
      <w:r>
        <w:fldChar w:fldCharType="separate"/>
      </w:r>
      <w:r>
        <w:t>1</w:t>
      </w:r>
      <w:r>
        <w:fldChar w:fldCharType="end"/>
      </w:r>
    </w:p>
    <w:p>
      <w:pPr>
        <w:pStyle w:val="TOC8"/>
        <w:rPr>
          <w:rFonts w:asciiTheme="minorHAnsi" w:eastAsiaTheme="minorEastAsia" w:hAnsiTheme="minorHAnsi" w:cstheme="minorBidi"/>
          <w:szCs w:val="22"/>
        </w:rPr>
      </w:pPr>
      <w:r>
        <w:t>19</w:t>
      </w:r>
      <w:r>
        <w:rPr>
          <w:bCs/>
        </w:rPr>
        <w:t>.</w:t>
      </w:r>
      <w:r>
        <w:rPr>
          <w:bCs/>
        </w:rPr>
        <w:tab/>
      </w:r>
      <w:r>
        <w:t>Expansions of and extensions to covered pipeline by which light regulation services are provided</w:t>
      </w:r>
      <w:r>
        <w:tab/>
      </w:r>
      <w:r>
        <w:fldChar w:fldCharType="begin"/>
      </w:r>
      <w:r>
        <w:instrText xml:space="preserve"> PAGEREF _Toc158374679 \h </w:instrText>
      </w:r>
      <w:r>
        <w:fldChar w:fldCharType="separate"/>
      </w:r>
      <w:r>
        <w:t>1</w:t>
      </w:r>
      <w:r>
        <w:fldChar w:fldCharType="end"/>
      </w:r>
    </w:p>
    <w:p>
      <w:pPr>
        <w:pStyle w:val="TOC8"/>
        <w:rPr>
          <w:rFonts w:asciiTheme="minorHAnsi" w:eastAsiaTheme="minorEastAsia" w:hAnsiTheme="minorHAnsi" w:cstheme="minorBidi"/>
          <w:szCs w:val="22"/>
        </w:rPr>
      </w:pPr>
      <w:r>
        <w:t>20.</w:t>
      </w:r>
      <w:r>
        <w:tab/>
        <w:t>Interpretation generally</w:t>
      </w:r>
      <w:r>
        <w:tab/>
      </w:r>
      <w:r>
        <w:fldChar w:fldCharType="begin"/>
      </w:r>
      <w:r>
        <w:instrText xml:space="preserve"> PAGEREF _Toc158374680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1A</w:t>
      </w:r>
      <w:r>
        <w:rPr>
          <w:color w:val="000000"/>
        </w:rPr>
        <w:t xml:space="preserve"> </w:t>
      </w:r>
      <w:r>
        <w:t>—</w:t>
      </w:r>
      <w:r>
        <w:rPr>
          <w:color w:val="000000"/>
        </w:rPr>
        <w:t xml:space="preserve"> </w:t>
      </w:r>
      <w:r>
        <w:t>Postponement of Natural Gas Services Bulletin Board provisions</w:t>
      </w:r>
    </w:p>
    <w:p>
      <w:pPr>
        <w:pStyle w:val="TOC8"/>
        <w:rPr>
          <w:rFonts w:asciiTheme="minorHAnsi" w:eastAsiaTheme="minorEastAsia" w:hAnsiTheme="minorHAnsi" w:cstheme="minorBidi"/>
          <w:szCs w:val="22"/>
        </w:rPr>
      </w:pPr>
      <w:r>
        <w:t>20A</w:t>
      </w:r>
      <w:r>
        <w:rPr>
          <w:bCs/>
        </w:rPr>
        <w:t>.</w:t>
      </w:r>
      <w:r>
        <w:rPr>
          <w:bCs/>
        </w:rPr>
        <w:tab/>
      </w:r>
      <w:r>
        <w:t>Minister may fix day on which provisions apply</w:t>
      </w:r>
      <w:r>
        <w:tab/>
      </w:r>
      <w:r>
        <w:fldChar w:fldCharType="begin"/>
      </w:r>
      <w:r>
        <w:instrText xml:space="preserve"> PAGEREF _Toc158374682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w:t>
      </w:r>
      <w:r>
        <w:rPr>
          <w:color w:val="000000"/>
        </w:rPr>
        <w:t xml:space="preserve"> — </w:t>
      </w:r>
      <w:r>
        <w:t>Participating jurisdictions</w:t>
      </w:r>
    </w:p>
    <w:p>
      <w:pPr>
        <w:pStyle w:val="TOC8"/>
        <w:rPr>
          <w:rFonts w:asciiTheme="minorHAnsi" w:eastAsiaTheme="minorEastAsia" w:hAnsiTheme="minorHAnsi" w:cstheme="minorBidi"/>
          <w:szCs w:val="22"/>
        </w:rPr>
      </w:pPr>
      <w:r>
        <w:t>21.</w:t>
      </w:r>
      <w:r>
        <w:tab/>
        <w:t>Participating jurisdictions</w:t>
      </w:r>
      <w:r>
        <w:tab/>
      </w:r>
      <w:r>
        <w:fldChar w:fldCharType="begin"/>
      </w:r>
      <w:r>
        <w:instrText xml:space="preserve"> PAGEREF _Toc158374684 \h </w:instrText>
      </w:r>
      <w:r>
        <w:fldChar w:fldCharType="separate"/>
      </w:r>
      <w:r>
        <w:t>1</w:t>
      </w:r>
      <w:r>
        <w:fldChar w:fldCharType="end"/>
      </w:r>
    </w:p>
    <w:p>
      <w:pPr>
        <w:pStyle w:val="TOC8"/>
        <w:rPr>
          <w:rFonts w:asciiTheme="minorHAnsi" w:eastAsiaTheme="minorEastAsia" w:hAnsiTheme="minorHAnsi" w:cstheme="minorBidi"/>
          <w:szCs w:val="22"/>
        </w:rPr>
      </w:pPr>
      <w:r>
        <w:t>22</w:t>
      </w:r>
      <w:r>
        <w:rPr>
          <w:bCs/>
        </w:rPr>
        <w:t>.</w:t>
      </w:r>
      <w:r>
        <w:rPr>
          <w:bCs/>
        </w:rPr>
        <w:tab/>
      </w:r>
      <w:r>
        <w:t>Ministers of participating jurisdictions</w:t>
      </w:r>
      <w:r>
        <w:tab/>
      </w:r>
      <w:r>
        <w:fldChar w:fldCharType="begin"/>
      </w:r>
      <w:r>
        <w:instrText xml:space="preserve"> PAGEREF _Toc158374685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w:t>
      </w:r>
      <w:r>
        <w:rPr>
          <w:color w:val="000000"/>
        </w:rPr>
        <w:t xml:space="preserve"> — </w:t>
      </w:r>
      <w:r>
        <w:t>National gas objective and principles</w:t>
      </w:r>
    </w:p>
    <w:p>
      <w:pPr>
        <w:pStyle w:val="TOC6"/>
        <w:tabs>
          <w:tab w:val="right" w:leader="dot" w:pos="7077"/>
        </w:tabs>
        <w:rPr>
          <w:rFonts w:asciiTheme="minorHAnsi" w:eastAsiaTheme="minorEastAsia" w:hAnsiTheme="minorHAnsi" w:cstheme="minorBidi"/>
          <w:b w:val="0"/>
          <w:sz w:val="22"/>
          <w:szCs w:val="22"/>
        </w:rPr>
      </w:pPr>
      <w:r>
        <w:t>Division 1 — National gas objective</w:t>
      </w:r>
    </w:p>
    <w:p>
      <w:pPr>
        <w:pStyle w:val="TOC8"/>
        <w:rPr>
          <w:rFonts w:asciiTheme="minorHAnsi" w:eastAsiaTheme="minorEastAsia" w:hAnsiTheme="minorHAnsi" w:cstheme="minorBidi"/>
          <w:szCs w:val="22"/>
        </w:rPr>
      </w:pPr>
      <w:r>
        <w:t>23.</w:t>
      </w:r>
      <w:r>
        <w:tab/>
        <w:t>National gas objective</w:t>
      </w:r>
      <w:r>
        <w:tab/>
      </w:r>
      <w:r>
        <w:fldChar w:fldCharType="begin"/>
      </w:r>
      <w:r>
        <w:instrText xml:space="preserve"> PAGEREF _Toc158374688 \h </w:instrText>
      </w:r>
      <w:r>
        <w:fldChar w:fldCharType="separate"/>
      </w:r>
      <w:r>
        <w:t>1</w:t>
      </w:r>
      <w:r>
        <w:fldChar w:fldCharType="end"/>
      </w:r>
    </w:p>
    <w:p>
      <w:pPr>
        <w:pStyle w:val="TOC8"/>
        <w:rPr>
          <w:rFonts w:asciiTheme="minorHAnsi" w:eastAsiaTheme="minorEastAsia" w:hAnsiTheme="minorHAnsi" w:cstheme="minorBidi"/>
          <w:szCs w:val="22"/>
        </w:rPr>
      </w:pPr>
      <w:r>
        <w:t>23A.</w:t>
      </w:r>
      <w:r>
        <w:tab/>
        <w:t>Regulations may prescribe matters for national gas objective</w:t>
      </w:r>
      <w:r>
        <w:tab/>
      </w:r>
      <w:r>
        <w:fldChar w:fldCharType="begin"/>
      </w:r>
      <w:r>
        <w:instrText xml:space="preserve"> PAGEREF _Toc158374689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Revenue and pricing principles</w:t>
      </w:r>
    </w:p>
    <w:p>
      <w:pPr>
        <w:pStyle w:val="TOC8"/>
        <w:rPr>
          <w:rFonts w:asciiTheme="minorHAnsi" w:eastAsiaTheme="minorEastAsia" w:hAnsiTheme="minorHAnsi" w:cstheme="minorBidi"/>
          <w:szCs w:val="22"/>
        </w:rPr>
      </w:pPr>
      <w:r>
        <w:t>24</w:t>
      </w:r>
      <w:r>
        <w:rPr>
          <w:bCs/>
        </w:rPr>
        <w:t>.</w:t>
      </w:r>
      <w:r>
        <w:rPr>
          <w:bCs/>
        </w:rPr>
        <w:tab/>
      </w:r>
      <w:r>
        <w:t>Revenue and pricing principles</w:t>
      </w:r>
      <w:r>
        <w:tab/>
      </w:r>
      <w:r>
        <w:fldChar w:fldCharType="begin"/>
      </w:r>
      <w:r>
        <w:instrText xml:space="preserve"> PAGEREF _Toc158374691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MCE policy principles</w:t>
      </w:r>
    </w:p>
    <w:p>
      <w:pPr>
        <w:pStyle w:val="TOC8"/>
        <w:rPr>
          <w:rFonts w:asciiTheme="minorHAnsi" w:eastAsiaTheme="minorEastAsia" w:hAnsiTheme="minorHAnsi" w:cstheme="minorBidi"/>
          <w:szCs w:val="22"/>
        </w:rPr>
      </w:pPr>
      <w:r>
        <w:t>25</w:t>
      </w:r>
      <w:r>
        <w:rPr>
          <w:bCs/>
        </w:rPr>
        <w:t>.</w:t>
      </w:r>
      <w:r>
        <w:rPr>
          <w:bCs/>
        </w:rPr>
        <w:tab/>
      </w:r>
      <w:r>
        <w:t>MCE statements of policy principles</w:t>
      </w:r>
      <w:r>
        <w:tab/>
      </w:r>
      <w:r>
        <w:fldChar w:fldCharType="begin"/>
      </w:r>
      <w:r>
        <w:instrText xml:space="preserve"> PAGEREF _Toc158374693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 — Operation and effect of National Gas Rules</w:t>
      </w:r>
    </w:p>
    <w:p>
      <w:pPr>
        <w:pStyle w:val="TOC8"/>
        <w:rPr>
          <w:rFonts w:asciiTheme="minorHAnsi" w:eastAsiaTheme="minorEastAsia" w:hAnsiTheme="minorHAnsi" w:cstheme="minorBidi"/>
          <w:szCs w:val="22"/>
        </w:rPr>
      </w:pPr>
      <w:r>
        <w:t>26.</w:t>
      </w:r>
      <w:r>
        <w:tab/>
        <w:t>National Gas Rules to have force of law</w:t>
      </w:r>
      <w:r>
        <w:tab/>
      </w:r>
      <w:r>
        <w:fldChar w:fldCharType="begin"/>
      </w:r>
      <w:r>
        <w:instrText xml:space="preserve"> PAGEREF _Toc158374695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2 — Functions and powers of gas market regulatory entities</w:t>
      </w:r>
    </w:p>
    <w:p>
      <w:pPr>
        <w:pStyle w:val="TOC4"/>
        <w:tabs>
          <w:tab w:val="right" w:leader="dot" w:pos="7077"/>
        </w:tabs>
        <w:rPr>
          <w:rFonts w:asciiTheme="minorHAnsi" w:eastAsiaTheme="minorEastAsia" w:hAnsiTheme="minorHAnsi" w:cstheme="minorBidi"/>
          <w:b w:val="0"/>
          <w:szCs w:val="22"/>
        </w:rPr>
      </w:pPr>
      <w:r>
        <w:t>Part 1 — Functions and powers of the Australian Energy Regulator</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27.</w:t>
      </w:r>
      <w:r>
        <w:rPr>
          <w:bCs/>
        </w:rPr>
        <w:tab/>
      </w:r>
      <w:r>
        <w:t>Functions and powers of the AER</w:t>
      </w:r>
      <w:r>
        <w:tab/>
      </w:r>
      <w:r>
        <w:fldChar w:fldCharType="begin"/>
      </w:r>
      <w:r>
        <w:instrText xml:space="preserve"> PAGEREF _Toc158374699 \h </w:instrText>
      </w:r>
      <w:r>
        <w:fldChar w:fldCharType="separate"/>
      </w:r>
      <w:r>
        <w:t>1</w:t>
      </w:r>
      <w:r>
        <w:fldChar w:fldCharType="end"/>
      </w:r>
    </w:p>
    <w:p>
      <w:pPr>
        <w:pStyle w:val="TOC8"/>
        <w:rPr>
          <w:rFonts w:asciiTheme="minorHAnsi" w:eastAsiaTheme="minorEastAsia" w:hAnsiTheme="minorHAnsi" w:cstheme="minorBidi"/>
          <w:szCs w:val="22"/>
        </w:rPr>
      </w:pPr>
      <w:r>
        <w:lastRenderedPageBreak/>
        <w:t>28.</w:t>
      </w:r>
      <w:r>
        <w:tab/>
        <w:t>Manner in which AER must perform or exercise AER economic regulatory functions or powers</w:t>
      </w:r>
      <w:r>
        <w:tab/>
      </w:r>
      <w:r>
        <w:fldChar w:fldCharType="begin"/>
      </w:r>
      <w:r>
        <w:instrText xml:space="preserve"> PAGEREF _Toc158374700 \h </w:instrText>
      </w:r>
      <w:r>
        <w:fldChar w:fldCharType="separate"/>
      </w:r>
      <w:r>
        <w:t>1</w:t>
      </w:r>
      <w:r>
        <w:fldChar w:fldCharType="end"/>
      </w:r>
    </w:p>
    <w:p>
      <w:pPr>
        <w:pStyle w:val="TOC8"/>
        <w:rPr>
          <w:rFonts w:asciiTheme="minorHAnsi" w:eastAsiaTheme="minorEastAsia" w:hAnsiTheme="minorHAnsi" w:cstheme="minorBidi"/>
          <w:szCs w:val="22"/>
        </w:rPr>
      </w:pPr>
      <w:r>
        <w:t>29.</w:t>
      </w:r>
      <w:r>
        <w:tab/>
        <w:t>Delegations</w:t>
      </w:r>
      <w:r>
        <w:tab/>
      </w:r>
      <w:r>
        <w:fldChar w:fldCharType="begin"/>
      </w:r>
      <w:r>
        <w:instrText xml:space="preserve"> PAGEREF _Toc158374701 \h </w:instrText>
      </w:r>
      <w:r>
        <w:fldChar w:fldCharType="separate"/>
      </w:r>
      <w:r>
        <w:t>1</w:t>
      </w:r>
      <w:r>
        <w:fldChar w:fldCharType="end"/>
      </w:r>
    </w:p>
    <w:p>
      <w:pPr>
        <w:pStyle w:val="TOC8"/>
        <w:rPr>
          <w:rFonts w:asciiTheme="minorHAnsi" w:eastAsiaTheme="minorEastAsia" w:hAnsiTheme="minorHAnsi" w:cstheme="minorBidi"/>
          <w:szCs w:val="22"/>
        </w:rPr>
      </w:pPr>
      <w:r>
        <w:t>30.</w:t>
      </w:r>
      <w:r>
        <w:tab/>
        <w:t>Confidentiality</w:t>
      </w:r>
      <w:r>
        <w:tab/>
      </w:r>
      <w:r>
        <w:fldChar w:fldCharType="begin"/>
      </w:r>
      <w:r>
        <w:instrText xml:space="preserve"> PAGEREF _Toc158374702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1A—Rate of return instrument</w:t>
      </w:r>
    </w:p>
    <w:p>
      <w:pPr>
        <w:pStyle w:val="TOC6"/>
        <w:tabs>
          <w:tab w:val="right" w:leader="dot" w:pos="7077"/>
        </w:tabs>
        <w:rPr>
          <w:rFonts w:asciiTheme="minorHAnsi" w:eastAsiaTheme="minorEastAsia" w:hAnsiTheme="minorHAnsi" w:cstheme="minorBidi"/>
          <w:b w:val="0"/>
          <w:sz w:val="22"/>
          <w:szCs w:val="22"/>
        </w:rPr>
      </w:pPr>
      <w:r>
        <w:t>Subdivision 1—Preliminary</w:t>
      </w:r>
    </w:p>
    <w:p>
      <w:pPr>
        <w:pStyle w:val="TOC8"/>
        <w:rPr>
          <w:rFonts w:asciiTheme="minorHAnsi" w:eastAsiaTheme="minorEastAsia" w:hAnsiTheme="minorHAnsi" w:cstheme="minorBidi"/>
          <w:szCs w:val="22"/>
        </w:rPr>
      </w:pPr>
      <w:r>
        <w:t>30A.</w:t>
      </w:r>
      <w:r>
        <w:tab/>
        <w:t>Definitions</w:t>
      </w:r>
      <w:r>
        <w:tab/>
      </w:r>
      <w:r>
        <w:fldChar w:fldCharType="begin"/>
      </w:r>
      <w:r>
        <w:instrText xml:space="preserve"> PAGEREF _Toc158374705 \h </w:instrText>
      </w:r>
      <w:r>
        <w:fldChar w:fldCharType="separate"/>
      </w:r>
      <w:r>
        <w:t>1</w:t>
      </w:r>
      <w:r>
        <w:fldChar w:fldCharType="end"/>
      </w:r>
    </w:p>
    <w:p>
      <w:pPr>
        <w:pStyle w:val="TOC8"/>
        <w:rPr>
          <w:rFonts w:asciiTheme="minorHAnsi" w:eastAsiaTheme="minorEastAsia" w:hAnsiTheme="minorHAnsi" w:cstheme="minorBidi"/>
          <w:szCs w:val="22"/>
        </w:rPr>
      </w:pPr>
      <w:r>
        <w:t>30B.</w:t>
      </w:r>
      <w:r>
        <w:tab/>
        <w:t>Rate of return instrument has force of law</w:t>
      </w:r>
      <w:r>
        <w:tab/>
      </w:r>
      <w:r>
        <w:fldChar w:fldCharType="begin"/>
      </w:r>
      <w:r>
        <w:instrText xml:space="preserve"> PAGEREF _Toc158374706 \h </w:instrText>
      </w:r>
      <w:r>
        <w:fldChar w:fldCharType="separate"/>
      </w:r>
      <w:r>
        <w:t>1</w:t>
      </w:r>
      <w:r>
        <w:fldChar w:fldCharType="end"/>
      </w:r>
    </w:p>
    <w:p>
      <w:pPr>
        <w:pStyle w:val="TOC8"/>
        <w:rPr>
          <w:rFonts w:asciiTheme="minorHAnsi" w:eastAsiaTheme="minorEastAsia" w:hAnsiTheme="minorHAnsi" w:cstheme="minorBidi"/>
          <w:szCs w:val="22"/>
        </w:rPr>
      </w:pPr>
      <w:r>
        <w:t>30C.</w:t>
      </w:r>
      <w:r>
        <w:tab/>
        <w:t>Rate of return instrument is binding on AER and covered pipeline service providers</w:t>
      </w:r>
      <w:r>
        <w:tab/>
      </w:r>
      <w:r>
        <w:fldChar w:fldCharType="begin"/>
      </w:r>
      <w:r>
        <w:instrText xml:space="preserve"> PAGEREF _Toc158374707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2—Requirement to make rate of return instrument</w:t>
      </w:r>
    </w:p>
    <w:p>
      <w:pPr>
        <w:pStyle w:val="TOC8"/>
        <w:rPr>
          <w:rFonts w:asciiTheme="minorHAnsi" w:eastAsiaTheme="minorEastAsia" w:hAnsiTheme="minorHAnsi" w:cstheme="minorBidi"/>
          <w:szCs w:val="22"/>
        </w:rPr>
      </w:pPr>
      <w:r>
        <w:t>30D.</w:t>
      </w:r>
      <w:r>
        <w:tab/>
        <w:t>AER to make rate of return instrument</w:t>
      </w:r>
      <w:r>
        <w:tab/>
      </w:r>
      <w:r>
        <w:fldChar w:fldCharType="begin"/>
      </w:r>
      <w:r>
        <w:instrText xml:space="preserve"> PAGEREF _Toc158374709 \h </w:instrText>
      </w:r>
      <w:r>
        <w:fldChar w:fldCharType="separate"/>
      </w:r>
      <w:r>
        <w:t>1</w:t>
      </w:r>
      <w:r>
        <w:fldChar w:fldCharType="end"/>
      </w:r>
    </w:p>
    <w:p>
      <w:pPr>
        <w:pStyle w:val="TOC8"/>
        <w:rPr>
          <w:rFonts w:asciiTheme="minorHAnsi" w:eastAsiaTheme="minorEastAsia" w:hAnsiTheme="minorHAnsi" w:cstheme="minorBidi"/>
          <w:szCs w:val="22"/>
        </w:rPr>
      </w:pPr>
      <w:r>
        <w:t>30E.</w:t>
      </w:r>
      <w:r>
        <w:tab/>
        <w:t>Content of rate of return instrument</w:t>
      </w:r>
      <w:r>
        <w:tab/>
      </w:r>
      <w:r>
        <w:fldChar w:fldCharType="begin"/>
      </w:r>
      <w:r>
        <w:instrText xml:space="preserve"> PAGEREF _Toc158374710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3—Consultation requirements</w:t>
      </w:r>
    </w:p>
    <w:p>
      <w:pPr>
        <w:pStyle w:val="TOC8"/>
        <w:rPr>
          <w:rFonts w:asciiTheme="minorHAnsi" w:eastAsiaTheme="minorEastAsia" w:hAnsiTheme="minorHAnsi" w:cstheme="minorBidi"/>
          <w:szCs w:val="22"/>
        </w:rPr>
      </w:pPr>
      <w:r>
        <w:t>30F.</w:t>
      </w:r>
      <w:r>
        <w:tab/>
        <w:t>Process for making rate of return instrument</w:t>
      </w:r>
      <w:r>
        <w:tab/>
      </w:r>
      <w:r>
        <w:fldChar w:fldCharType="begin"/>
      </w:r>
      <w:r>
        <w:instrText xml:space="preserve"> PAGEREF _Toc158374712 \h </w:instrText>
      </w:r>
      <w:r>
        <w:fldChar w:fldCharType="separate"/>
      </w:r>
      <w:r>
        <w:t>1</w:t>
      </w:r>
      <w:r>
        <w:fldChar w:fldCharType="end"/>
      </w:r>
    </w:p>
    <w:p>
      <w:pPr>
        <w:pStyle w:val="TOC8"/>
        <w:rPr>
          <w:rFonts w:asciiTheme="minorHAnsi" w:eastAsiaTheme="minorEastAsia" w:hAnsiTheme="minorHAnsi" w:cstheme="minorBidi"/>
          <w:szCs w:val="22"/>
        </w:rPr>
      </w:pPr>
      <w:r>
        <w:t>30G.</w:t>
      </w:r>
      <w:r>
        <w:tab/>
        <w:t>Other matters AER must have regard to in making instrument</w:t>
      </w:r>
      <w:r>
        <w:tab/>
      </w:r>
      <w:r>
        <w:fldChar w:fldCharType="begin"/>
      </w:r>
      <w:r>
        <w:instrText xml:space="preserve"> PAGEREF _Toc158374713 \h </w:instrText>
      </w:r>
      <w:r>
        <w:fldChar w:fldCharType="separate"/>
      </w:r>
      <w:r>
        <w:t>1</w:t>
      </w:r>
      <w:r>
        <w:fldChar w:fldCharType="end"/>
      </w:r>
    </w:p>
    <w:p>
      <w:pPr>
        <w:pStyle w:val="TOC8"/>
        <w:rPr>
          <w:rFonts w:asciiTheme="minorHAnsi" w:eastAsiaTheme="minorEastAsia" w:hAnsiTheme="minorHAnsi" w:cstheme="minorBidi"/>
          <w:szCs w:val="22"/>
        </w:rPr>
      </w:pPr>
      <w:r>
        <w:t>30H.</w:t>
      </w:r>
      <w:r>
        <w:tab/>
        <w:t>Requirements before publishing draft instrument</w:t>
      </w:r>
      <w:r>
        <w:tab/>
      </w:r>
      <w:r>
        <w:fldChar w:fldCharType="begin"/>
      </w:r>
      <w:r>
        <w:instrText xml:space="preserve"> PAGEREF _Toc158374714 \h </w:instrText>
      </w:r>
      <w:r>
        <w:fldChar w:fldCharType="separate"/>
      </w:r>
      <w:r>
        <w:t>1</w:t>
      </w:r>
      <w:r>
        <w:fldChar w:fldCharType="end"/>
      </w:r>
    </w:p>
    <w:p>
      <w:pPr>
        <w:pStyle w:val="TOC8"/>
        <w:rPr>
          <w:rFonts w:asciiTheme="minorHAnsi" w:eastAsiaTheme="minorEastAsia" w:hAnsiTheme="minorHAnsi" w:cstheme="minorBidi"/>
          <w:szCs w:val="22"/>
        </w:rPr>
      </w:pPr>
      <w:r>
        <w:t>30I.</w:t>
      </w:r>
      <w:r>
        <w:tab/>
        <w:t>Consumer reference group</w:t>
      </w:r>
      <w:r>
        <w:tab/>
      </w:r>
      <w:r>
        <w:fldChar w:fldCharType="begin"/>
      </w:r>
      <w:r>
        <w:instrText xml:space="preserve"> PAGEREF _Toc158374715 \h </w:instrText>
      </w:r>
      <w:r>
        <w:fldChar w:fldCharType="separate"/>
      </w:r>
      <w:r>
        <w:t>1</w:t>
      </w:r>
      <w:r>
        <w:fldChar w:fldCharType="end"/>
      </w:r>
    </w:p>
    <w:p>
      <w:pPr>
        <w:pStyle w:val="TOC8"/>
        <w:rPr>
          <w:rFonts w:asciiTheme="minorHAnsi" w:eastAsiaTheme="minorEastAsia" w:hAnsiTheme="minorHAnsi" w:cstheme="minorBidi"/>
          <w:szCs w:val="22"/>
        </w:rPr>
      </w:pPr>
      <w:r>
        <w:t>30J.</w:t>
      </w:r>
      <w:r>
        <w:tab/>
        <w:t>Publication of draft instrument and other information</w:t>
      </w:r>
      <w:r>
        <w:tab/>
      </w:r>
      <w:r>
        <w:fldChar w:fldCharType="begin"/>
      </w:r>
      <w:r>
        <w:instrText xml:space="preserve"> PAGEREF _Toc158374716 \h </w:instrText>
      </w:r>
      <w:r>
        <w:fldChar w:fldCharType="separate"/>
      </w:r>
      <w:r>
        <w:t>1</w:t>
      </w:r>
      <w:r>
        <w:fldChar w:fldCharType="end"/>
      </w:r>
    </w:p>
    <w:p>
      <w:pPr>
        <w:pStyle w:val="TOC8"/>
        <w:rPr>
          <w:rFonts w:asciiTheme="minorHAnsi" w:eastAsiaTheme="minorEastAsia" w:hAnsiTheme="minorHAnsi" w:cstheme="minorBidi"/>
          <w:szCs w:val="22"/>
        </w:rPr>
      </w:pPr>
      <w:r>
        <w:t>30K.</w:t>
      </w:r>
      <w:r>
        <w:tab/>
        <w:t>Report about draft instrument by independent panel</w:t>
      </w:r>
      <w:r>
        <w:tab/>
      </w:r>
      <w:r>
        <w:fldChar w:fldCharType="begin"/>
      </w:r>
      <w:r>
        <w:instrText xml:space="preserve"> PAGEREF _Toc158374717 \h </w:instrText>
      </w:r>
      <w:r>
        <w:fldChar w:fldCharType="separate"/>
      </w:r>
      <w:r>
        <w:t>1</w:t>
      </w:r>
      <w:r>
        <w:fldChar w:fldCharType="end"/>
      </w:r>
    </w:p>
    <w:p>
      <w:pPr>
        <w:pStyle w:val="TOC8"/>
        <w:rPr>
          <w:rFonts w:asciiTheme="minorHAnsi" w:eastAsiaTheme="minorEastAsia" w:hAnsiTheme="minorHAnsi" w:cstheme="minorBidi"/>
          <w:szCs w:val="22"/>
        </w:rPr>
      </w:pPr>
      <w:r>
        <w:t>30L.</w:t>
      </w:r>
      <w:r>
        <w:tab/>
        <w:t>Publication of explanatory information</w:t>
      </w:r>
      <w:r>
        <w:tab/>
      </w:r>
      <w:r>
        <w:fldChar w:fldCharType="begin"/>
      </w:r>
      <w:r>
        <w:instrText xml:space="preserve"> PAGEREF _Toc158374718 \h </w:instrText>
      </w:r>
      <w:r>
        <w:fldChar w:fldCharType="separate"/>
      </w:r>
      <w:r>
        <w:t>1</w:t>
      </w:r>
      <w:r>
        <w:fldChar w:fldCharType="end"/>
      </w:r>
    </w:p>
    <w:p>
      <w:pPr>
        <w:pStyle w:val="TOC8"/>
        <w:rPr>
          <w:rFonts w:asciiTheme="minorHAnsi" w:eastAsiaTheme="minorEastAsia" w:hAnsiTheme="minorHAnsi" w:cstheme="minorBidi"/>
          <w:szCs w:val="22"/>
        </w:rPr>
      </w:pPr>
      <w:r>
        <w:t>30M.</w:t>
      </w:r>
      <w:r>
        <w:tab/>
        <w:t>Failure to comply does not affect validity</w:t>
      </w:r>
      <w:r>
        <w:tab/>
      </w:r>
      <w:r>
        <w:fldChar w:fldCharType="begin"/>
      </w:r>
      <w:r>
        <w:instrText xml:space="preserve"> PAGEREF _Toc158374719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4—Publication, review and other matters</w:t>
      </w:r>
    </w:p>
    <w:p>
      <w:pPr>
        <w:pStyle w:val="TOC8"/>
        <w:rPr>
          <w:rFonts w:asciiTheme="minorHAnsi" w:eastAsiaTheme="minorEastAsia" w:hAnsiTheme="minorHAnsi" w:cstheme="minorBidi"/>
          <w:szCs w:val="22"/>
        </w:rPr>
      </w:pPr>
      <w:r>
        <w:t>30N.</w:t>
      </w:r>
      <w:r>
        <w:tab/>
        <w:t>Publication of rate of return instrument</w:t>
      </w:r>
      <w:r>
        <w:tab/>
      </w:r>
      <w:r>
        <w:fldChar w:fldCharType="begin"/>
      </w:r>
      <w:r>
        <w:instrText xml:space="preserve"> PAGEREF _Toc158374721 \h </w:instrText>
      </w:r>
      <w:r>
        <w:fldChar w:fldCharType="separate"/>
      </w:r>
      <w:r>
        <w:t>1</w:t>
      </w:r>
      <w:r>
        <w:fldChar w:fldCharType="end"/>
      </w:r>
    </w:p>
    <w:p>
      <w:pPr>
        <w:pStyle w:val="TOC8"/>
        <w:rPr>
          <w:rFonts w:asciiTheme="minorHAnsi" w:eastAsiaTheme="minorEastAsia" w:hAnsiTheme="minorHAnsi" w:cstheme="minorBidi"/>
          <w:szCs w:val="22"/>
        </w:rPr>
      </w:pPr>
      <w:r>
        <w:t>30O.</w:t>
      </w:r>
      <w:r>
        <w:tab/>
        <w:t>Commencement and duration of instrument</w:t>
      </w:r>
      <w:r>
        <w:tab/>
      </w:r>
      <w:r>
        <w:fldChar w:fldCharType="begin"/>
      </w:r>
      <w:r>
        <w:instrText xml:space="preserve"> PAGEREF _Toc158374722 \h </w:instrText>
      </w:r>
      <w:r>
        <w:fldChar w:fldCharType="separate"/>
      </w:r>
      <w:r>
        <w:t>1</w:t>
      </w:r>
      <w:r>
        <w:fldChar w:fldCharType="end"/>
      </w:r>
    </w:p>
    <w:p>
      <w:pPr>
        <w:pStyle w:val="TOC8"/>
        <w:rPr>
          <w:rFonts w:asciiTheme="minorHAnsi" w:eastAsiaTheme="minorEastAsia" w:hAnsiTheme="minorHAnsi" w:cstheme="minorBidi"/>
          <w:szCs w:val="22"/>
        </w:rPr>
      </w:pPr>
      <w:r>
        <w:t>30P.</w:t>
      </w:r>
      <w:r>
        <w:tab/>
        <w:t>Review and replacement of instrument</w:t>
      </w:r>
      <w:r>
        <w:tab/>
      </w:r>
      <w:r>
        <w:fldChar w:fldCharType="begin"/>
      </w:r>
      <w:r>
        <w:instrText xml:space="preserve"> PAGEREF _Toc158374723 \h </w:instrText>
      </w:r>
      <w:r>
        <w:fldChar w:fldCharType="separate"/>
      </w:r>
      <w:r>
        <w:t>1</w:t>
      </w:r>
      <w:r>
        <w:fldChar w:fldCharType="end"/>
      </w:r>
    </w:p>
    <w:p>
      <w:pPr>
        <w:pStyle w:val="TOC8"/>
        <w:rPr>
          <w:rFonts w:asciiTheme="minorHAnsi" w:eastAsiaTheme="minorEastAsia" w:hAnsiTheme="minorHAnsi" w:cstheme="minorBidi"/>
          <w:szCs w:val="22"/>
        </w:rPr>
      </w:pPr>
      <w:r>
        <w:t>30Q.</w:t>
      </w:r>
      <w:r>
        <w:tab/>
        <w:t>Application of instrument</w:t>
      </w:r>
      <w:r>
        <w:tab/>
      </w:r>
      <w:r>
        <w:fldChar w:fldCharType="begin"/>
      </w:r>
      <w:r>
        <w:instrText xml:space="preserve"> PAGEREF _Toc158374724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5—Confidentiality of information</w:t>
      </w:r>
    </w:p>
    <w:p>
      <w:pPr>
        <w:pStyle w:val="TOC8"/>
        <w:rPr>
          <w:rFonts w:asciiTheme="minorHAnsi" w:eastAsiaTheme="minorEastAsia" w:hAnsiTheme="minorHAnsi" w:cstheme="minorBidi"/>
          <w:szCs w:val="22"/>
        </w:rPr>
      </w:pPr>
      <w:r>
        <w:t>30S.</w:t>
      </w:r>
      <w:r>
        <w:tab/>
        <w:t>Confidentiality</w:t>
      </w:r>
      <w:r>
        <w:tab/>
      </w:r>
      <w:r>
        <w:fldChar w:fldCharType="begin"/>
      </w:r>
      <w:r>
        <w:instrText xml:space="preserve"> PAGEREF _Toc158374726 \h </w:instrText>
      </w:r>
      <w:r>
        <w:fldChar w:fldCharType="separate"/>
      </w:r>
      <w:r>
        <w:t>1</w:t>
      </w:r>
      <w:r>
        <w:fldChar w:fldCharType="end"/>
      </w:r>
    </w:p>
    <w:p>
      <w:pPr>
        <w:pStyle w:val="TOC8"/>
        <w:rPr>
          <w:rFonts w:asciiTheme="minorHAnsi" w:eastAsiaTheme="minorEastAsia" w:hAnsiTheme="minorHAnsi" w:cstheme="minorBidi"/>
          <w:szCs w:val="22"/>
        </w:rPr>
      </w:pPr>
      <w:r>
        <w:t>30T.</w:t>
      </w:r>
      <w:r>
        <w:tab/>
        <w:t>Disclosure of information given in confidence</w:t>
      </w:r>
      <w:r>
        <w:tab/>
      </w:r>
      <w:r>
        <w:fldChar w:fldCharType="begin"/>
      </w:r>
      <w:r>
        <w:instrText xml:space="preserve"> PAGEREF _Toc158374727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Search warrants</w:t>
      </w:r>
    </w:p>
    <w:p>
      <w:pPr>
        <w:pStyle w:val="TOC8"/>
        <w:rPr>
          <w:rFonts w:asciiTheme="minorHAnsi" w:eastAsiaTheme="minorEastAsia" w:hAnsiTheme="minorHAnsi" w:cstheme="minorBidi"/>
          <w:szCs w:val="22"/>
        </w:rPr>
      </w:pPr>
      <w:r>
        <w:t>31.</w:t>
      </w:r>
      <w:r>
        <w:tab/>
        <w:t>Definitions</w:t>
      </w:r>
      <w:r>
        <w:tab/>
      </w:r>
      <w:r>
        <w:fldChar w:fldCharType="begin"/>
      </w:r>
      <w:r>
        <w:instrText xml:space="preserve"> PAGEREF _Toc158374729 \h </w:instrText>
      </w:r>
      <w:r>
        <w:fldChar w:fldCharType="separate"/>
      </w:r>
      <w:r>
        <w:t>1</w:t>
      </w:r>
      <w:r>
        <w:fldChar w:fldCharType="end"/>
      </w:r>
    </w:p>
    <w:p>
      <w:pPr>
        <w:pStyle w:val="TOC8"/>
        <w:rPr>
          <w:rFonts w:asciiTheme="minorHAnsi" w:eastAsiaTheme="minorEastAsia" w:hAnsiTheme="minorHAnsi" w:cstheme="minorBidi"/>
          <w:szCs w:val="22"/>
        </w:rPr>
      </w:pPr>
      <w:r>
        <w:t>32.</w:t>
      </w:r>
      <w:r>
        <w:tab/>
        <w:t>Authorised person</w:t>
      </w:r>
      <w:r>
        <w:tab/>
      </w:r>
      <w:r>
        <w:fldChar w:fldCharType="begin"/>
      </w:r>
      <w:r>
        <w:instrText xml:space="preserve"> PAGEREF _Toc158374730 \h </w:instrText>
      </w:r>
      <w:r>
        <w:fldChar w:fldCharType="separate"/>
      </w:r>
      <w:r>
        <w:t>1</w:t>
      </w:r>
      <w:r>
        <w:fldChar w:fldCharType="end"/>
      </w:r>
    </w:p>
    <w:p>
      <w:pPr>
        <w:pStyle w:val="TOC8"/>
        <w:rPr>
          <w:rFonts w:asciiTheme="minorHAnsi" w:eastAsiaTheme="minorEastAsia" w:hAnsiTheme="minorHAnsi" w:cstheme="minorBidi"/>
          <w:szCs w:val="22"/>
        </w:rPr>
      </w:pPr>
      <w:r>
        <w:t>33.</w:t>
      </w:r>
      <w:r>
        <w:tab/>
        <w:t>Identity cards</w:t>
      </w:r>
      <w:r>
        <w:tab/>
      </w:r>
      <w:r>
        <w:fldChar w:fldCharType="begin"/>
      </w:r>
      <w:r>
        <w:instrText xml:space="preserve"> PAGEREF _Toc158374731 \h </w:instrText>
      </w:r>
      <w:r>
        <w:fldChar w:fldCharType="separate"/>
      </w:r>
      <w:r>
        <w:t>1</w:t>
      </w:r>
      <w:r>
        <w:fldChar w:fldCharType="end"/>
      </w:r>
    </w:p>
    <w:p>
      <w:pPr>
        <w:pStyle w:val="TOC8"/>
        <w:rPr>
          <w:rFonts w:asciiTheme="minorHAnsi" w:eastAsiaTheme="minorEastAsia" w:hAnsiTheme="minorHAnsi" w:cstheme="minorBidi"/>
          <w:szCs w:val="22"/>
        </w:rPr>
      </w:pPr>
      <w:r>
        <w:lastRenderedPageBreak/>
        <w:t>34.</w:t>
      </w:r>
      <w:r>
        <w:tab/>
        <w:t>Return of identity cards</w:t>
      </w:r>
      <w:r>
        <w:tab/>
      </w:r>
      <w:r>
        <w:fldChar w:fldCharType="begin"/>
      </w:r>
      <w:r>
        <w:instrText xml:space="preserve"> PAGEREF _Toc158374732 \h </w:instrText>
      </w:r>
      <w:r>
        <w:fldChar w:fldCharType="separate"/>
      </w:r>
      <w:r>
        <w:t>1</w:t>
      </w:r>
      <w:r>
        <w:fldChar w:fldCharType="end"/>
      </w:r>
    </w:p>
    <w:p>
      <w:pPr>
        <w:pStyle w:val="TOC8"/>
        <w:rPr>
          <w:rFonts w:asciiTheme="minorHAnsi" w:eastAsiaTheme="minorEastAsia" w:hAnsiTheme="minorHAnsi" w:cstheme="minorBidi"/>
          <w:szCs w:val="22"/>
        </w:rPr>
      </w:pPr>
      <w:r>
        <w:t>35.</w:t>
      </w:r>
      <w:r>
        <w:tab/>
        <w:t>Search warrant</w:t>
      </w:r>
      <w:r>
        <w:tab/>
      </w:r>
      <w:r>
        <w:fldChar w:fldCharType="begin"/>
      </w:r>
      <w:r>
        <w:instrText xml:space="preserve"> PAGEREF _Toc158374733 \h </w:instrText>
      </w:r>
      <w:r>
        <w:fldChar w:fldCharType="separate"/>
      </w:r>
      <w:r>
        <w:t>1</w:t>
      </w:r>
      <w:r>
        <w:fldChar w:fldCharType="end"/>
      </w:r>
    </w:p>
    <w:p>
      <w:pPr>
        <w:pStyle w:val="TOC8"/>
        <w:rPr>
          <w:rFonts w:asciiTheme="minorHAnsi" w:eastAsiaTheme="minorEastAsia" w:hAnsiTheme="minorHAnsi" w:cstheme="minorBidi"/>
          <w:szCs w:val="22"/>
        </w:rPr>
      </w:pPr>
      <w:r>
        <w:t>36.</w:t>
      </w:r>
      <w:r>
        <w:tab/>
        <w:t>Announcement of entry and details of warrant to be given to occupier or other person at premises</w:t>
      </w:r>
      <w:r>
        <w:tab/>
      </w:r>
      <w:r>
        <w:fldChar w:fldCharType="begin"/>
      </w:r>
      <w:r>
        <w:instrText xml:space="preserve"> PAGEREF _Toc158374734 \h </w:instrText>
      </w:r>
      <w:r>
        <w:fldChar w:fldCharType="separate"/>
      </w:r>
      <w:r>
        <w:t>1</w:t>
      </w:r>
      <w:r>
        <w:fldChar w:fldCharType="end"/>
      </w:r>
    </w:p>
    <w:p>
      <w:pPr>
        <w:pStyle w:val="TOC8"/>
        <w:rPr>
          <w:rFonts w:asciiTheme="minorHAnsi" w:eastAsiaTheme="minorEastAsia" w:hAnsiTheme="minorHAnsi" w:cstheme="minorBidi"/>
          <w:szCs w:val="22"/>
        </w:rPr>
      </w:pPr>
      <w:r>
        <w:t>37.</w:t>
      </w:r>
      <w:r>
        <w:tab/>
        <w:t>Immediate entry permitted in certain cases</w:t>
      </w:r>
      <w:r>
        <w:tab/>
      </w:r>
      <w:r>
        <w:fldChar w:fldCharType="begin"/>
      </w:r>
      <w:r>
        <w:instrText xml:space="preserve"> PAGEREF _Toc158374735 \h </w:instrText>
      </w:r>
      <w:r>
        <w:fldChar w:fldCharType="separate"/>
      </w:r>
      <w:r>
        <w:t>1</w:t>
      </w:r>
      <w:r>
        <w:fldChar w:fldCharType="end"/>
      </w:r>
    </w:p>
    <w:p>
      <w:pPr>
        <w:pStyle w:val="TOC8"/>
        <w:rPr>
          <w:rFonts w:asciiTheme="minorHAnsi" w:eastAsiaTheme="minorEastAsia" w:hAnsiTheme="minorHAnsi" w:cstheme="minorBidi"/>
          <w:szCs w:val="22"/>
        </w:rPr>
      </w:pPr>
      <w:r>
        <w:t>38.</w:t>
      </w:r>
      <w:r>
        <w:tab/>
        <w:t>Copies of seized documents</w:t>
      </w:r>
      <w:r>
        <w:tab/>
      </w:r>
      <w:r>
        <w:fldChar w:fldCharType="begin"/>
      </w:r>
      <w:r>
        <w:instrText xml:space="preserve"> PAGEREF _Toc158374736 \h </w:instrText>
      </w:r>
      <w:r>
        <w:fldChar w:fldCharType="separate"/>
      </w:r>
      <w:r>
        <w:t>1</w:t>
      </w:r>
      <w:r>
        <w:fldChar w:fldCharType="end"/>
      </w:r>
    </w:p>
    <w:p>
      <w:pPr>
        <w:pStyle w:val="TOC8"/>
        <w:rPr>
          <w:rFonts w:asciiTheme="minorHAnsi" w:eastAsiaTheme="minorEastAsia" w:hAnsiTheme="minorHAnsi" w:cstheme="minorBidi"/>
          <w:szCs w:val="22"/>
        </w:rPr>
      </w:pPr>
      <w:r>
        <w:t>39.</w:t>
      </w:r>
      <w:r>
        <w:tab/>
        <w:t>Retention and return of seized documents or things</w:t>
      </w:r>
      <w:r>
        <w:tab/>
      </w:r>
      <w:r>
        <w:fldChar w:fldCharType="begin"/>
      </w:r>
      <w:r>
        <w:instrText xml:space="preserve"> PAGEREF _Toc158374737 \h </w:instrText>
      </w:r>
      <w:r>
        <w:fldChar w:fldCharType="separate"/>
      </w:r>
      <w:r>
        <w:t>1</w:t>
      </w:r>
      <w:r>
        <w:fldChar w:fldCharType="end"/>
      </w:r>
    </w:p>
    <w:p>
      <w:pPr>
        <w:pStyle w:val="TOC8"/>
        <w:rPr>
          <w:rFonts w:asciiTheme="minorHAnsi" w:eastAsiaTheme="minorEastAsia" w:hAnsiTheme="minorHAnsi" w:cstheme="minorBidi"/>
          <w:szCs w:val="22"/>
        </w:rPr>
      </w:pPr>
      <w:r>
        <w:t>40.</w:t>
      </w:r>
      <w:r>
        <w:tab/>
        <w:t>Extension of period of retention of documents or things seized</w:t>
      </w:r>
      <w:r>
        <w:tab/>
      </w:r>
      <w:r>
        <w:fldChar w:fldCharType="begin"/>
      </w:r>
      <w:r>
        <w:instrText xml:space="preserve"> PAGEREF _Toc158374738 \h </w:instrText>
      </w:r>
      <w:r>
        <w:fldChar w:fldCharType="separate"/>
      </w:r>
      <w:r>
        <w:t>1</w:t>
      </w:r>
      <w:r>
        <w:fldChar w:fldCharType="end"/>
      </w:r>
    </w:p>
    <w:p>
      <w:pPr>
        <w:pStyle w:val="TOC8"/>
        <w:rPr>
          <w:rFonts w:asciiTheme="minorHAnsi" w:eastAsiaTheme="minorEastAsia" w:hAnsiTheme="minorHAnsi" w:cstheme="minorBidi"/>
          <w:szCs w:val="22"/>
        </w:rPr>
      </w:pPr>
      <w:r>
        <w:t>41.</w:t>
      </w:r>
      <w:r>
        <w:tab/>
        <w:t>Obstruction of persons authorised to enter</w:t>
      </w:r>
      <w:r>
        <w:tab/>
      </w:r>
      <w:r>
        <w:fldChar w:fldCharType="begin"/>
      </w:r>
      <w:r>
        <w:instrText xml:space="preserve"> PAGEREF _Toc158374739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General information gathering powers</w:t>
      </w:r>
    </w:p>
    <w:p>
      <w:pPr>
        <w:pStyle w:val="TOC8"/>
        <w:rPr>
          <w:rFonts w:asciiTheme="minorHAnsi" w:eastAsiaTheme="minorEastAsia" w:hAnsiTheme="minorHAnsi" w:cstheme="minorBidi"/>
          <w:szCs w:val="22"/>
        </w:rPr>
      </w:pPr>
      <w:r>
        <w:t>42.</w:t>
      </w:r>
      <w:r>
        <w:tab/>
        <w:t>Power to obtain information and documents in relation to performance and exercise of functions and powers</w:t>
      </w:r>
      <w:r>
        <w:tab/>
      </w:r>
      <w:r>
        <w:fldChar w:fldCharType="begin"/>
      </w:r>
      <w:r>
        <w:instrText xml:space="preserve"> PAGEREF _Toc158374741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Regulatory information notices and general regulatory information orders</w:t>
      </w:r>
    </w:p>
    <w:p>
      <w:pPr>
        <w:pStyle w:val="TOC6"/>
        <w:tabs>
          <w:tab w:val="right" w:leader="dot" w:pos="7077"/>
        </w:tabs>
        <w:rPr>
          <w:rFonts w:asciiTheme="minorHAnsi" w:eastAsiaTheme="minorEastAsia" w:hAnsiTheme="minorHAnsi" w:cstheme="minorBidi"/>
          <w:b w:val="0"/>
          <w:sz w:val="22"/>
          <w:szCs w:val="22"/>
        </w:rPr>
      </w:pPr>
      <w:r>
        <w:t>Subdivision 1 — Interpretation</w:t>
      </w:r>
    </w:p>
    <w:p>
      <w:pPr>
        <w:pStyle w:val="TOC8"/>
        <w:rPr>
          <w:rFonts w:asciiTheme="minorHAnsi" w:eastAsiaTheme="minorEastAsia" w:hAnsiTheme="minorHAnsi" w:cstheme="minorBidi"/>
          <w:szCs w:val="22"/>
        </w:rPr>
      </w:pPr>
      <w:r>
        <w:t>43.</w:t>
      </w:r>
      <w:r>
        <w:tab/>
        <w:t>Definitions</w:t>
      </w:r>
      <w:r>
        <w:tab/>
      </w:r>
      <w:r>
        <w:fldChar w:fldCharType="begin"/>
      </w:r>
      <w:r>
        <w:instrText xml:space="preserve"> PAGEREF _Toc158374744 \h </w:instrText>
      </w:r>
      <w:r>
        <w:fldChar w:fldCharType="separate"/>
      </w:r>
      <w:r>
        <w:t>1</w:t>
      </w:r>
      <w:r>
        <w:fldChar w:fldCharType="end"/>
      </w:r>
    </w:p>
    <w:p>
      <w:pPr>
        <w:pStyle w:val="TOC8"/>
        <w:rPr>
          <w:rFonts w:asciiTheme="minorHAnsi" w:eastAsiaTheme="minorEastAsia" w:hAnsiTheme="minorHAnsi" w:cstheme="minorBidi"/>
          <w:szCs w:val="22"/>
        </w:rPr>
      </w:pPr>
      <w:r>
        <w:t>44.</w:t>
      </w:r>
      <w:r>
        <w:tab/>
        <w:t>Meaning of contributing service</w:t>
      </w:r>
      <w:r>
        <w:tab/>
      </w:r>
      <w:r>
        <w:fldChar w:fldCharType="begin"/>
      </w:r>
      <w:r>
        <w:instrText xml:space="preserve"> PAGEREF _Toc158374745 \h </w:instrText>
      </w:r>
      <w:r>
        <w:fldChar w:fldCharType="separate"/>
      </w:r>
      <w:r>
        <w:t>1</w:t>
      </w:r>
      <w:r>
        <w:fldChar w:fldCharType="end"/>
      </w:r>
    </w:p>
    <w:p>
      <w:pPr>
        <w:pStyle w:val="TOC8"/>
        <w:rPr>
          <w:rFonts w:asciiTheme="minorHAnsi" w:eastAsiaTheme="minorEastAsia" w:hAnsiTheme="minorHAnsi" w:cstheme="minorBidi"/>
          <w:szCs w:val="22"/>
        </w:rPr>
      </w:pPr>
      <w:r>
        <w:t>45.</w:t>
      </w:r>
      <w:r>
        <w:tab/>
        <w:t>Meaning of general regulatory information order</w:t>
      </w:r>
      <w:r>
        <w:tab/>
      </w:r>
      <w:r>
        <w:fldChar w:fldCharType="begin"/>
      </w:r>
      <w:r>
        <w:instrText xml:space="preserve"> PAGEREF _Toc158374746 \h </w:instrText>
      </w:r>
      <w:r>
        <w:fldChar w:fldCharType="separate"/>
      </w:r>
      <w:r>
        <w:t>1</w:t>
      </w:r>
      <w:r>
        <w:fldChar w:fldCharType="end"/>
      </w:r>
    </w:p>
    <w:p>
      <w:pPr>
        <w:pStyle w:val="TOC8"/>
        <w:rPr>
          <w:rFonts w:asciiTheme="minorHAnsi" w:eastAsiaTheme="minorEastAsia" w:hAnsiTheme="minorHAnsi" w:cstheme="minorBidi"/>
          <w:szCs w:val="22"/>
        </w:rPr>
      </w:pPr>
      <w:r>
        <w:t>46.</w:t>
      </w:r>
      <w:r>
        <w:tab/>
        <w:t>Meaning of regulatory information notice</w:t>
      </w:r>
      <w:r>
        <w:tab/>
      </w:r>
      <w:r>
        <w:fldChar w:fldCharType="begin"/>
      </w:r>
      <w:r>
        <w:instrText xml:space="preserve"> PAGEREF _Toc158374747 \h </w:instrText>
      </w:r>
      <w:r>
        <w:fldChar w:fldCharType="separate"/>
      </w:r>
      <w:r>
        <w:t>1</w:t>
      </w:r>
      <w:r>
        <w:fldChar w:fldCharType="end"/>
      </w:r>
    </w:p>
    <w:p>
      <w:pPr>
        <w:pStyle w:val="TOC8"/>
        <w:rPr>
          <w:rFonts w:asciiTheme="minorHAnsi" w:eastAsiaTheme="minorEastAsia" w:hAnsiTheme="minorHAnsi" w:cstheme="minorBidi"/>
          <w:szCs w:val="22"/>
        </w:rPr>
      </w:pPr>
      <w:r>
        <w:t>47.</w:t>
      </w:r>
      <w:r>
        <w:tab/>
        <w:t>Division does not limit operation of information gathering powers under Division 3</w:t>
      </w:r>
      <w:r>
        <w:tab/>
      </w:r>
      <w:r>
        <w:fldChar w:fldCharType="begin"/>
      </w:r>
      <w:r>
        <w:instrText xml:space="preserve"> PAGEREF _Toc158374748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Serving and making of regulatory information instruments</w:t>
      </w:r>
    </w:p>
    <w:p>
      <w:pPr>
        <w:pStyle w:val="TOC8"/>
        <w:rPr>
          <w:rFonts w:asciiTheme="minorHAnsi" w:eastAsiaTheme="minorEastAsia" w:hAnsiTheme="minorHAnsi" w:cstheme="minorBidi"/>
          <w:szCs w:val="22"/>
        </w:rPr>
      </w:pPr>
      <w:r>
        <w:t>48.</w:t>
      </w:r>
      <w:r>
        <w:tab/>
        <w:t>Service and making of regulatory information instrument</w:t>
      </w:r>
      <w:r>
        <w:tab/>
      </w:r>
      <w:r>
        <w:fldChar w:fldCharType="begin"/>
      </w:r>
      <w:r>
        <w:instrText xml:space="preserve"> PAGEREF _Toc158374750 \h </w:instrText>
      </w:r>
      <w:r>
        <w:fldChar w:fldCharType="separate"/>
      </w:r>
      <w:r>
        <w:t>1</w:t>
      </w:r>
      <w:r>
        <w:fldChar w:fldCharType="end"/>
      </w:r>
    </w:p>
    <w:p>
      <w:pPr>
        <w:pStyle w:val="TOC8"/>
        <w:rPr>
          <w:rFonts w:asciiTheme="minorHAnsi" w:eastAsiaTheme="minorEastAsia" w:hAnsiTheme="minorHAnsi" w:cstheme="minorBidi"/>
          <w:szCs w:val="22"/>
        </w:rPr>
      </w:pPr>
      <w:r>
        <w:t>49.</w:t>
      </w:r>
      <w:r>
        <w:tab/>
        <w:t>Additional matters to be considered for related provider regulatory information instruments</w:t>
      </w:r>
      <w:r>
        <w:tab/>
      </w:r>
      <w:r>
        <w:fldChar w:fldCharType="begin"/>
      </w:r>
      <w:r>
        <w:instrText xml:space="preserve"> PAGEREF _Toc158374751 \h </w:instrText>
      </w:r>
      <w:r>
        <w:fldChar w:fldCharType="separate"/>
      </w:r>
      <w:r>
        <w:t>1</w:t>
      </w:r>
      <w:r>
        <w:fldChar w:fldCharType="end"/>
      </w:r>
    </w:p>
    <w:p>
      <w:pPr>
        <w:pStyle w:val="TOC8"/>
        <w:rPr>
          <w:rFonts w:asciiTheme="minorHAnsi" w:eastAsiaTheme="minorEastAsia" w:hAnsiTheme="minorHAnsi" w:cstheme="minorBidi"/>
          <w:szCs w:val="22"/>
        </w:rPr>
      </w:pPr>
      <w:r>
        <w:t>50.</w:t>
      </w:r>
      <w:r>
        <w:tab/>
        <w:t>AER must consult before publishing a general regulatory information order</w:t>
      </w:r>
      <w:r>
        <w:tab/>
      </w:r>
      <w:r>
        <w:fldChar w:fldCharType="begin"/>
      </w:r>
      <w:r>
        <w:instrText xml:space="preserve"> PAGEREF _Toc158374752 \h </w:instrText>
      </w:r>
      <w:r>
        <w:fldChar w:fldCharType="separate"/>
      </w:r>
      <w:r>
        <w:t>1</w:t>
      </w:r>
      <w:r>
        <w:fldChar w:fldCharType="end"/>
      </w:r>
    </w:p>
    <w:p>
      <w:pPr>
        <w:pStyle w:val="TOC8"/>
        <w:rPr>
          <w:rFonts w:asciiTheme="minorHAnsi" w:eastAsiaTheme="minorEastAsia" w:hAnsiTheme="minorHAnsi" w:cstheme="minorBidi"/>
          <w:szCs w:val="22"/>
        </w:rPr>
      </w:pPr>
      <w:r>
        <w:t>51.</w:t>
      </w:r>
      <w:r>
        <w:tab/>
        <w:t>Publication requirements for general regulatory information orders</w:t>
      </w:r>
      <w:r>
        <w:tab/>
      </w:r>
      <w:r>
        <w:fldChar w:fldCharType="begin"/>
      </w:r>
      <w:r>
        <w:instrText xml:space="preserve"> PAGEREF _Toc158374753 \h </w:instrText>
      </w:r>
      <w:r>
        <w:fldChar w:fldCharType="separate"/>
      </w:r>
      <w:r>
        <w:t>1</w:t>
      </w:r>
      <w:r>
        <w:fldChar w:fldCharType="end"/>
      </w:r>
    </w:p>
    <w:p>
      <w:pPr>
        <w:pStyle w:val="TOC8"/>
        <w:rPr>
          <w:rFonts w:asciiTheme="minorHAnsi" w:eastAsiaTheme="minorEastAsia" w:hAnsiTheme="minorHAnsi" w:cstheme="minorBidi"/>
          <w:szCs w:val="22"/>
        </w:rPr>
      </w:pPr>
      <w:r>
        <w:t>52.</w:t>
      </w:r>
      <w:r>
        <w:tab/>
        <w:t>Opportunity to be heard before regulatory information notice is served</w:t>
      </w:r>
      <w:r>
        <w:tab/>
      </w:r>
      <w:r>
        <w:fldChar w:fldCharType="begin"/>
      </w:r>
      <w:r>
        <w:instrText xml:space="preserve"> PAGEREF _Toc158374754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Form and content of regulatory information instruments</w:t>
      </w:r>
    </w:p>
    <w:p>
      <w:pPr>
        <w:pStyle w:val="TOC8"/>
        <w:rPr>
          <w:rFonts w:asciiTheme="minorHAnsi" w:eastAsiaTheme="minorEastAsia" w:hAnsiTheme="minorHAnsi" w:cstheme="minorBidi"/>
          <w:szCs w:val="22"/>
        </w:rPr>
      </w:pPr>
      <w:r>
        <w:t>53.</w:t>
      </w:r>
      <w:r>
        <w:tab/>
        <w:t>Form and content of regulatory information instrument</w:t>
      </w:r>
      <w:r>
        <w:tab/>
      </w:r>
      <w:r>
        <w:fldChar w:fldCharType="begin"/>
      </w:r>
      <w:r>
        <w:instrText xml:space="preserve"> PAGEREF _Toc158374756 \h </w:instrText>
      </w:r>
      <w:r>
        <w:fldChar w:fldCharType="separate"/>
      </w:r>
      <w:r>
        <w:t>1</w:t>
      </w:r>
      <w:r>
        <w:fldChar w:fldCharType="end"/>
      </w:r>
    </w:p>
    <w:p>
      <w:pPr>
        <w:pStyle w:val="TOC8"/>
        <w:rPr>
          <w:rFonts w:asciiTheme="minorHAnsi" w:eastAsiaTheme="minorEastAsia" w:hAnsiTheme="minorHAnsi" w:cstheme="minorBidi"/>
          <w:szCs w:val="22"/>
        </w:rPr>
      </w:pPr>
      <w:r>
        <w:lastRenderedPageBreak/>
        <w:t>54.</w:t>
      </w:r>
      <w:r>
        <w:tab/>
        <w:t>Further provision about the information that may be described in a regulatory information instrument</w:t>
      </w:r>
      <w:r>
        <w:tab/>
      </w:r>
      <w:r>
        <w:fldChar w:fldCharType="begin"/>
      </w:r>
      <w:r>
        <w:instrText xml:space="preserve"> PAGEREF _Toc158374757 \h </w:instrText>
      </w:r>
      <w:r>
        <w:fldChar w:fldCharType="separate"/>
      </w:r>
      <w:r>
        <w:t>1</w:t>
      </w:r>
      <w:r>
        <w:fldChar w:fldCharType="end"/>
      </w:r>
    </w:p>
    <w:p>
      <w:pPr>
        <w:pStyle w:val="TOC8"/>
        <w:rPr>
          <w:rFonts w:asciiTheme="minorHAnsi" w:eastAsiaTheme="minorEastAsia" w:hAnsiTheme="minorHAnsi" w:cstheme="minorBidi"/>
          <w:szCs w:val="22"/>
        </w:rPr>
      </w:pPr>
      <w:r>
        <w:t>55.</w:t>
      </w:r>
      <w:r>
        <w:tab/>
        <w:t>Further provision about manner in which information must be provided to AER or kept</w:t>
      </w:r>
      <w:r>
        <w:tab/>
      </w:r>
      <w:r>
        <w:fldChar w:fldCharType="begin"/>
      </w:r>
      <w:r>
        <w:instrText xml:space="preserve"> PAGEREF _Toc158374758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Compliance with regulatory information instruments</w:t>
      </w:r>
    </w:p>
    <w:p>
      <w:pPr>
        <w:pStyle w:val="TOC8"/>
        <w:rPr>
          <w:rFonts w:asciiTheme="minorHAnsi" w:eastAsiaTheme="minorEastAsia" w:hAnsiTheme="minorHAnsi" w:cstheme="minorBidi"/>
          <w:szCs w:val="22"/>
        </w:rPr>
      </w:pPr>
      <w:r>
        <w:t>56.</w:t>
      </w:r>
      <w:r>
        <w:tab/>
        <w:t>Compliance with regulatory information notice that is served</w:t>
      </w:r>
      <w:r>
        <w:tab/>
      </w:r>
      <w:r>
        <w:fldChar w:fldCharType="begin"/>
      </w:r>
      <w:r>
        <w:instrText xml:space="preserve"> PAGEREF _Toc158374760 \h </w:instrText>
      </w:r>
      <w:r>
        <w:fldChar w:fldCharType="separate"/>
      </w:r>
      <w:r>
        <w:t>1</w:t>
      </w:r>
      <w:r>
        <w:fldChar w:fldCharType="end"/>
      </w:r>
    </w:p>
    <w:p>
      <w:pPr>
        <w:pStyle w:val="TOC8"/>
        <w:rPr>
          <w:rFonts w:asciiTheme="minorHAnsi" w:eastAsiaTheme="minorEastAsia" w:hAnsiTheme="minorHAnsi" w:cstheme="minorBidi"/>
          <w:szCs w:val="22"/>
        </w:rPr>
      </w:pPr>
      <w:r>
        <w:t>57.</w:t>
      </w:r>
      <w:r>
        <w:tab/>
        <w:t>Compliance with general regulatory information order</w:t>
      </w:r>
      <w:r>
        <w:tab/>
      </w:r>
      <w:r>
        <w:fldChar w:fldCharType="begin"/>
      </w:r>
      <w:r>
        <w:instrText xml:space="preserve"> PAGEREF _Toc158374761 \h </w:instrText>
      </w:r>
      <w:r>
        <w:fldChar w:fldCharType="separate"/>
      </w:r>
      <w:r>
        <w:t>1</w:t>
      </w:r>
      <w:r>
        <w:fldChar w:fldCharType="end"/>
      </w:r>
    </w:p>
    <w:p>
      <w:pPr>
        <w:pStyle w:val="TOC8"/>
        <w:rPr>
          <w:rFonts w:asciiTheme="minorHAnsi" w:eastAsiaTheme="minorEastAsia" w:hAnsiTheme="minorHAnsi" w:cstheme="minorBidi"/>
          <w:szCs w:val="22"/>
        </w:rPr>
      </w:pPr>
      <w:r>
        <w:t>58.</w:t>
      </w:r>
      <w:r>
        <w:tab/>
        <w:t>Exemptions from compliance with general regulatory information order</w:t>
      </w:r>
      <w:r>
        <w:tab/>
      </w:r>
      <w:r>
        <w:fldChar w:fldCharType="begin"/>
      </w:r>
      <w:r>
        <w:instrText xml:space="preserve"> PAGEREF _Toc158374762 \h </w:instrText>
      </w:r>
      <w:r>
        <w:fldChar w:fldCharType="separate"/>
      </w:r>
      <w:r>
        <w:t>1</w:t>
      </w:r>
      <w:r>
        <w:fldChar w:fldCharType="end"/>
      </w:r>
    </w:p>
    <w:p>
      <w:pPr>
        <w:pStyle w:val="TOC8"/>
        <w:rPr>
          <w:rFonts w:asciiTheme="minorHAnsi" w:eastAsiaTheme="minorEastAsia" w:hAnsiTheme="minorHAnsi" w:cstheme="minorBidi"/>
          <w:szCs w:val="22"/>
        </w:rPr>
      </w:pPr>
      <w:r>
        <w:t>59.</w:t>
      </w:r>
      <w:r>
        <w:tab/>
        <w:t>Assumptions where there is non</w:t>
      </w:r>
      <w:r>
        <w:noBreakHyphen/>
        <w:t>compliance with regulatory information instrument</w:t>
      </w:r>
      <w:r>
        <w:tab/>
      </w:r>
      <w:r>
        <w:fldChar w:fldCharType="begin"/>
      </w:r>
      <w:r>
        <w:instrText xml:space="preserve"> PAGEREF _Toc158374763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General</w:t>
      </w:r>
    </w:p>
    <w:p>
      <w:pPr>
        <w:pStyle w:val="TOC8"/>
        <w:rPr>
          <w:rFonts w:asciiTheme="minorHAnsi" w:eastAsiaTheme="minorEastAsia" w:hAnsiTheme="minorHAnsi" w:cstheme="minorBidi"/>
          <w:szCs w:val="22"/>
        </w:rPr>
      </w:pPr>
      <w:r>
        <w:t>60.</w:t>
      </w:r>
      <w:r>
        <w:tab/>
        <w:t>Providing to AER false and misleading information</w:t>
      </w:r>
      <w:r>
        <w:tab/>
      </w:r>
      <w:r>
        <w:fldChar w:fldCharType="begin"/>
      </w:r>
      <w:r>
        <w:instrText xml:space="preserve"> PAGEREF _Toc158374765 \h </w:instrText>
      </w:r>
      <w:r>
        <w:fldChar w:fldCharType="separate"/>
      </w:r>
      <w:r>
        <w:t>1</w:t>
      </w:r>
      <w:r>
        <w:fldChar w:fldCharType="end"/>
      </w:r>
    </w:p>
    <w:p>
      <w:pPr>
        <w:pStyle w:val="TOC8"/>
        <w:rPr>
          <w:rFonts w:asciiTheme="minorHAnsi" w:eastAsiaTheme="minorEastAsia" w:hAnsiTheme="minorHAnsi" w:cstheme="minorBidi"/>
          <w:szCs w:val="22"/>
        </w:rPr>
      </w:pPr>
      <w:r>
        <w:t>61.</w:t>
      </w:r>
      <w:r>
        <w:tab/>
        <w:t>Person cannot rely on duty of confidence to avoid compliance with regulatory information instrument</w:t>
      </w:r>
      <w:r>
        <w:tab/>
      </w:r>
      <w:r>
        <w:fldChar w:fldCharType="begin"/>
      </w:r>
      <w:r>
        <w:instrText xml:space="preserve"> PAGEREF _Toc158374766 \h </w:instrText>
      </w:r>
      <w:r>
        <w:fldChar w:fldCharType="separate"/>
      </w:r>
      <w:r>
        <w:t>1</w:t>
      </w:r>
      <w:r>
        <w:fldChar w:fldCharType="end"/>
      </w:r>
    </w:p>
    <w:p>
      <w:pPr>
        <w:pStyle w:val="TOC8"/>
        <w:rPr>
          <w:rFonts w:asciiTheme="minorHAnsi" w:eastAsiaTheme="minorEastAsia" w:hAnsiTheme="minorHAnsi" w:cstheme="minorBidi"/>
          <w:szCs w:val="22"/>
        </w:rPr>
      </w:pPr>
      <w:r>
        <w:t>62.</w:t>
      </w:r>
      <w:r>
        <w:tab/>
        <w:t>Legal professional privilege not affected</w:t>
      </w:r>
      <w:r>
        <w:tab/>
      </w:r>
      <w:r>
        <w:fldChar w:fldCharType="begin"/>
      </w:r>
      <w:r>
        <w:instrText xml:space="preserve"> PAGEREF _Toc158374767 \h </w:instrText>
      </w:r>
      <w:r>
        <w:fldChar w:fldCharType="separate"/>
      </w:r>
      <w:r>
        <w:t>1</w:t>
      </w:r>
      <w:r>
        <w:fldChar w:fldCharType="end"/>
      </w:r>
    </w:p>
    <w:p>
      <w:pPr>
        <w:pStyle w:val="TOC8"/>
        <w:rPr>
          <w:rFonts w:asciiTheme="minorHAnsi" w:eastAsiaTheme="minorEastAsia" w:hAnsiTheme="minorHAnsi" w:cstheme="minorBidi"/>
          <w:szCs w:val="22"/>
        </w:rPr>
      </w:pPr>
      <w:r>
        <w:t>63.</w:t>
      </w:r>
      <w:r>
        <w:tab/>
        <w:t>Protection against self</w:t>
      </w:r>
      <w:r>
        <w:noBreakHyphen/>
        <w:t>incrimination</w:t>
      </w:r>
      <w:r>
        <w:tab/>
      </w:r>
      <w:r>
        <w:fldChar w:fldCharType="begin"/>
      </w:r>
      <w:r>
        <w:instrText xml:space="preserve"> PAGEREF _Toc158374768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Service provider performance reports</w:t>
      </w:r>
    </w:p>
    <w:p>
      <w:pPr>
        <w:pStyle w:val="TOC8"/>
        <w:rPr>
          <w:rFonts w:asciiTheme="minorHAnsi" w:eastAsiaTheme="minorEastAsia" w:hAnsiTheme="minorHAnsi" w:cstheme="minorBidi"/>
          <w:szCs w:val="22"/>
        </w:rPr>
      </w:pPr>
      <w:r>
        <w:t>64.</w:t>
      </w:r>
      <w:r>
        <w:tab/>
        <w:t>Preparation of service provider performance reports</w:t>
      </w:r>
      <w:r>
        <w:tab/>
      </w:r>
      <w:r>
        <w:fldChar w:fldCharType="begin"/>
      </w:r>
      <w:r>
        <w:instrText xml:space="preserve"> PAGEREF _Toc158374770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Miscellaneous matters</w:t>
      </w:r>
    </w:p>
    <w:p>
      <w:pPr>
        <w:pStyle w:val="TOC8"/>
        <w:rPr>
          <w:rFonts w:asciiTheme="minorHAnsi" w:eastAsiaTheme="minorEastAsia" w:hAnsiTheme="minorHAnsi" w:cstheme="minorBidi"/>
          <w:szCs w:val="22"/>
        </w:rPr>
      </w:pPr>
      <w:r>
        <w:t>65.</w:t>
      </w:r>
      <w:r>
        <w:tab/>
        <w:t>Consideration by the AER of submissions or comments made to it under this Law or the Rules</w:t>
      </w:r>
      <w:r>
        <w:tab/>
      </w:r>
      <w:r>
        <w:fldChar w:fldCharType="begin"/>
      </w:r>
      <w:r>
        <w:instrText xml:space="preserve"> PAGEREF _Toc158374772 \h </w:instrText>
      </w:r>
      <w:r>
        <w:fldChar w:fldCharType="separate"/>
      </w:r>
      <w:r>
        <w:t>1</w:t>
      </w:r>
      <w:r>
        <w:fldChar w:fldCharType="end"/>
      </w:r>
    </w:p>
    <w:p>
      <w:pPr>
        <w:pStyle w:val="TOC8"/>
        <w:rPr>
          <w:rFonts w:asciiTheme="minorHAnsi" w:eastAsiaTheme="minorEastAsia" w:hAnsiTheme="minorHAnsi" w:cstheme="minorBidi"/>
          <w:szCs w:val="22"/>
        </w:rPr>
      </w:pPr>
      <w:r>
        <w:t>66.</w:t>
      </w:r>
      <w:r>
        <w:tab/>
        <w:t>Use of information provided under a notice under Division 3 or a regulatory information instrument</w:t>
      </w:r>
      <w:r>
        <w:tab/>
      </w:r>
      <w:r>
        <w:fldChar w:fldCharType="begin"/>
      </w:r>
      <w:r>
        <w:instrText xml:space="preserve"> PAGEREF _Toc158374773 \h </w:instrText>
      </w:r>
      <w:r>
        <w:fldChar w:fldCharType="separate"/>
      </w:r>
      <w:r>
        <w:t>1</w:t>
      </w:r>
      <w:r>
        <w:fldChar w:fldCharType="end"/>
      </w:r>
    </w:p>
    <w:p>
      <w:pPr>
        <w:pStyle w:val="TOC8"/>
        <w:rPr>
          <w:rFonts w:asciiTheme="minorHAnsi" w:eastAsiaTheme="minorEastAsia" w:hAnsiTheme="minorHAnsi" w:cstheme="minorBidi"/>
          <w:szCs w:val="22"/>
        </w:rPr>
      </w:pPr>
      <w:r>
        <w:t>67.</w:t>
      </w:r>
      <w:r>
        <w:tab/>
        <w:t>AER to inform certain persons of decisions not to investigate breaches, institute proceedings or serve infringement notices</w:t>
      </w:r>
      <w:r>
        <w:tab/>
      </w:r>
      <w:r>
        <w:fldChar w:fldCharType="begin"/>
      </w:r>
      <w:r>
        <w:instrText xml:space="preserve"> PAGEREF _Toc158374774 \h </w:instrText>
      </w:r>
      <w:r>
        <w:fldChar w:fldCharType="separate"/>
      </w:r>
      <w:r>
        <w:t>1</w:t>
      </w:r>
      <w:r>
        <w:fldChar w:fldCharType="end"/>
      </w:r>
    </w:p>
    <w:p>
      <w:pPr>
        <w:pStyle w:val="TOC8"/>
        <w:rPr>
          <w:rFonts w:asciiTheme="minorHAnsi" w:eastAsiaTheme="minorEastAsia" w:hAnsiTheme="minorHAnsi" w:cstheme="minorBidi"/>
          <w:szCs w:val="22"/>
        </w:rPr>
      </w:pPr>
      <w:r>
        <w:t>68.</w:t>
      </w:r>
      <w:r>
        <w:tab/>
        <w:t>AER enforcement guidelines</w:t>
      </w:r>
      <w:r>
        <w:tab/>
      </w:r>
      <w:r>
        <w:fldChar w:fldCharType="begin"/>
      </w:r>
      <w:r>
        <w:instrText xml:space="preserve"> PAGEREF _Toc158374775 \h </w:instrText>
      </w:r>
      <w:r>
        <w:fldChar w:fldCharType="separate"/>
      </w:r>
      <w:r>
        <w:t>1</w:t>
      </w:r>
      <w:r>
        <w:fldChar w:fldCharType="end"/>
      </w:r>
    </w:p>
    <w:p>
      <w:pPr>
        <w:pStyle w:val="TOC8"/>
        <w:rPr>
          <w:rFonts w:asciiTheme="minorHAnsi" w:eastAsiaTheme="minorEastAsia" w:hAnsiTheme="minorHAnsi" w:cstheme="minorBidi"/>
          <w:szCs w:val="22"/>
        </w:rPr>
      </w:pPr>
      <w:r>
        <w:t>68C.</w:t>
      </w:r>
      <w:r>
        <w:tab/>
        <w:t>Record of designated reviewable regulatory decisions</w:t>
      </w:r>
      <w:r>
        <w:tab/>
      </w:r>
      <w:r>
        <w:fldChar w:fldCharType="begin"/>
      </w:r>
      <w:r>
        <w:instrText xml:space="preserve"> PAGEREF _Toc158374776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1A — Functions and powers of WA arbitrator</w:t>
      </w:r>
    </w:p>
    <w:p>
      <w:pPr>
        <w:pStyle w:val="TOC8"/>
        <w:rPr>
          <w:rFonts w:asciiTheme="minorHAnsi" w:eastAsiaTheme="minorEastAsia" w:hAnsiTheme="minorHAnsi" w:cstheme="minorBidi"/>
          <w:szCs w:val="22"/>
        </w:rPr>
      </w:pPr>
      <w:r>
        <w:t>68A.</w:t>
      </w:r>
      <w:r>
        <w:tab/>
        <w:t>Manner in which WA arbitrator must perform or exercise certain functions or powers</w:t>
      </w:r>
      <w:r>
        <w:tab/>
      </w:r>
      <w:r>
        <w:fldChar w:fldCharType="begin"/>
      </w:r>
      <w:r>
        <w:instrText xml:space="preserve"> PAGEREF _Toc158374778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2 — Functions and powers of the Australian Energy Market Commission</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69.</w:t>
      </w:r>
      <w:r>
        <w:tab/>
        <w:t>Functions and powers of the AEMC</w:t>
      </w:r>
      <w:r>
        <w:tab/>
      </w:r>
      <w:r>
        <w:fldChar w:fldCharType="begin"/>
      </w:r>
      <w:r>
        <w:instrText xml:space="preserve"> PAGEREF _Toc158374781 \h </w:instrText>
      </w:r>
      <w:r>
        <w:fldChar w:fldCharType="separate"/>
      </w:r>
      <w:r>
        <w:t>1</w:t>
      </w:r>
      <w:r>
        <w:fldChar w:fldCharType="end"/>
      </w:r>
    </w:p>
    <w:p>
      <w:pPr>
        <w:pStyle w:val="TOC8"/>
        <w:rPr>
          <w:rFonts w:asciiTheme="minorHAnsi" w:eastAsiaTheme="minorEastAsia" w:hAnsiTheme="minorHAnsi" w:cstheme="minorBidi"/>
          <w:szCs w:val="22"/>
        </w:rPr>
      </w:pPr>
      <w:r>
        <w:t>70.</w:t>
      </w:r>
      <w:r>
        <w:tab/>
        <w:t>Delegations</w:t>
      </w:r>
      <w:r>
        <w:tab/>
      </w:r>
      <w:r>
        <w:fldChar w:fldCharType="begin"/>
      </w:r>
      <w:r>
        <w:instrText xml:space="preserve"> PAGEREF _Toc158374782 \h </w:instrText>
      </w:r>
      <w:r>
        <w:fldChar w:fldCharType="separate"/>
      </w:r>
      <w:r>
        <w:t>1</w:t>
      </w:r>
      <w:r>
        <w:fldChar w:fldCharType="end"/>
      </w:r>
    </w:p>
    <w:p>
      <w:pPr>
        <w:pStyle w:val="TOC8"/>
        <w:rPr>
          <w:rFonts w:asciiTheme="minorHAnsi" w:eastAsiaTheme="minorEastAsia" w:hAnsiTheme="minorHAnsi" w:cstheme="minorBidi"/>
          <w:szCs w:val="22"/>
        </w:rPr>
      </w:pPr>
      <w:r>
        <w:t>71.</w:t>
      </w:r>
      <w:r>
        <w:tab/>
        <w:t>Confidentiality</w:t>
      </w:r>
      <w:r>
        <w:tab/>
      </w:r>
      <w:r>
        <w:fldChar w:fldCharType="begin"/>
      </w:r>
      <w:r>
        <w:instrText xml:space="preserve"> PAGEREF _Toc158374783 \h </w:instrText>
      </w:r>
      <w:r>
        <w:fldChar w:fldCharType="separate"/>
      </w:r>
      <w:r>
        <w:t>1</w:t>
      </w:r>
      <w:r>
        <w:fldChar w:fldCharType="end"/>
      </w:r>
    </w:p>
    <w:p>
      <w:pPr>
        <w:pStyle w:val="TOC8"/>
        <w:rPr>
          <w:rFonts w:asciiTheme="minorHAnsi" w:eastAsiaTheme="minorEastAsia" w:hAnsiTheme="minorHAnsi" w:cstheme="minorBidi"/>
          <w:szCs w:val="22"/>
        </w:rPr>
      </w:pPr>
      <w:r>
        <w:t>72.</w:t>
      </w:r>
      <w:r>
        <w:tab/>
        <w:t>AEMC must have regard to national gas objective</w:t>
      </w:r>
      <w:r>
        <w:tab/>
      </w:r>
      <w:r>
        <w:fldChar w:fldCharType="begin"/>
      </w:r>
      <w:r>
        <w:instrText xml:space="preserve"> PAGEREF _Toc158374784 \h </w:instrText>
      </w:r>
      <w:r>
        <w:fldChar w:fldCharType="separate"/>
      </w:r>
      <w:r>
        <w:t>1</w:t>
      </w:r>
      <w:r>
        <w:fldChar w:fldCharType="end"/>
      </w:r>
    </w:p>
    <w:p>
      <w:pPr>
        <w:pStyle w:val="TOC8"/>
        <w:rPr>
          <w:rFonts w:asciiTheme="minorHAnsi" w:eastAsiaTheme="minorEastAsia" w:hAnsiTheme="minorHAnsi" w:cstheme="minorBidi"/>
          <w:szCs w:val="22"/>
        </w:rPr>
      </w:pPr>
      <w:r>
        <w:t>72A.</w:t>
      </w:r>
      <w:r>
        <w:tab/>
        <w:t>Targets statement for greenhouse gas emissions targets</w:t>
      </w:r>
      <w:r>
        <w:tab/>
      </w:r>
      <w:r>
        <w:fldChar w:fldCharType="begin"/>
      </w:r>
      <w:r>
        <w:instrText xml:space="preserve"> PAGEREF _Toc158374785 \h </w:instrText>
      </w:r>
      <w:r>
        <w:fldChar w:fldCharType="separate"/>
      </w:r>
      <w:r>
        <w:t>1</w:t>
      </w:r>
      <w:r>
        <w:fldChar w:fldCharType="end"/>
      </w:r>
    </w:p>
    <w:p>
      <w:pPr>
        <w:pStyle w:val="TOC8"/>
        <w:rPr>
          <w:rFonts w:asciiTheme="minorHAnsi" w:eastAsiaTheme="minorEastAsia" w:hAnsiTheme="minorHAnsi" w:cstheme="minorBidi"/>
          <w:szCs w:val="22"/>
        </w:rPr>
      </w:pPr>
      <w:r>
        <w:t>73.</w:t>
      </w:r>
      <w:r>
        <w:tab/>
        <w:t>AEMC must have regard to MCE statements of policy principles in relation to Rule making and reviews</w:t>
      </w:r>
      <w:r>
        <w:tab/>
      </w:r>
      <w:r>
        <w:fldChar w:fldCharType="begin"/>
      </w:r>
      <w:r>
        <w:instrText xml:space="preserve"> PAGEREF _Toc158374786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Rule making functions and powers of the AEMC</w:t>
      </w:r>
    </w:p>
    <w:p>
      <w:pPr>
        <w:pStyle w:val="TOC8"/>
        <w:rPr>
          <w:rFonts w:asciiTheme="minorHAnsi" w:eastAsiaTheme="minorEastAsia" w:hAnsiTheme="minorHAnsi" w:cstheme="minorBidi"/>
          <w:szCs w:val="22"/>
        </w:rPr>
      </w:pPr>
      <w:r>
        <w:t>74.</w:t>
      </w:r>
      <w:r>
        <w:tab/>
        <w:t>Subject matter for National Gas Rules</w:t>
      </w:r>
      <w:r>
        <w:tab/>
      </w:r>
      <w:r>
        <w:fldChar w:fldCharType="begin"/>
      </w:r>
      <w:r>
        <w:instrText xml:space="preserve"> PAGEREF _Toc158374788 \h </w:instrText>
      </w:r>
      <w:r>
        <w:fldChar w:fldCharType="separate"/>
      </w:r>
      <w:r>
        <w:t>1</w:t>
      </w:r>
      <w:r>
        <w:fldChar w:fldCharType="end"/>
      </w:r>
    </w:p>
    <w:p>
      <w:pPr>
        <w:pStyle w:val="TOC8"/>
        <w:rPr>
          <w:rFonts w:asciiTheme="minorHAnsi" w:eastAsiaTheme="minorEastAsia" w:hAnsiTheme="minorHAnsi" w:cstheme="minorBidi"/>
          <w:szCs w:val="22"/>
        </w:rPr>
      </w:pPr>
      <w:r>
        <w:t>75.</w:t>
      </w:r>
      <w:r>
        <w:tab/>
        <w:t>Rules relating to MCE or Ministers of participating jurisdictions require MCE consent</w:t>
      </w:r>
      <w:r>
        <w:tab/>
      </w:r>
      <w:r>
        <w:fldChar w:fldCharType="begin"/>
      </w:r>
      <w:r>
        <w:instrText xml:space="preserve"> PAGEREF _Toc158374789 \h </w:instrText>
      </w:r>
      <w:r>
        <w:fldChar w:fldCharType="separate"/>
      </w:r>
      <w:r>
        <w:t>1</w:t>
      </w:r>
      <w:r>
        <w:fldChar w:fldCharType="end"/>
      </w:r>
    </w:p>
    <w:p>
      <w:pPr>
        <w:pStyle w:val="TOC8"/>
        <w:rPr>
          <w:rFonts w:asciiTheme="minorHAnsi" w:eastAsiaTheme="minorEastAsia" w:hAnsiTheme="minorHAnsi" w:cstheme="minorBidi"/>
          <w:szCs w:val="22"/>
        </w:rPr>
      </w:pPr>
      <w:r>
        <w:t>76.</w:t>
      </w:r>
      <w:r>
        <w:tab/>
        <w:t>AEMC must not make Rules that create criminal offences or impose civil penalties for breaches</w:t>
      </w:r>
      <w:r>
        <w:tab/>
      </w:r>
      <w:r>
        <w:fldChar w:fldCharType="begin"/>
      </w:r>
      <w:r>
        <w:instrText xml:space="preserve"> PAGEREF _Toc158374790 \h </w:instrText>
      </w:r>
      <w:r>
        <w:fldChar w:fldCharType="separate"/>
      </w:r>
      <w:r>
        <w:t>1</w:t>
      </w:r>
      <w:r>
        <w:fldChar w:fldCharType="end"/>
      </w:r>
    </w:p>
    <w:p>
      <w:pPr>
        <w:pStyle w:val="TOC8"/>
        <w:rPr>
          <w:rFonts w:asciiTheme="minorHAnsi" w:eastAsiaTheme="minorEastAsia" w:hAnsiTheme="minorHAnsi" w:cstheme="minorBidi"/>
          <w:szCs w:val="22"/>
        </w:rPr>
      </w:pPr>
      <w:r>
        <w:t>77.</w:t>
      </w:r>
      <w:r>
        <w:tab/>
        <w:t>Documents etc applied, adopted and incorporated by Rules to be publicly available</w:t>
      </w:r>
      <w:r>
        <w:tab/>
      </w:r>
      <w:r>
        <w:fldChar w:fldCharType="begin"/>
      </w:r>
      <w:r>
        <w:instrText xml:space="preserve"> PAGEREF _Toc158374791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Committees, panels and working groups of the AEMC</w:t>
      </w:r>
    </w:p>
    <w:p>
      <w:pPr>
        <w:pStyle w:val="TOC8"/>
        <w:rPr>
          <w:rFonts w:asciiTheme="minorHAnsi" w:eastAsiaTheme="minorEastAsia" w:hAnsiTheme="minorHAnsi" w:cstheme="minorBidi"/>
          <w:szCs w:val="22"/>
        </w:rPr>
      </w:pPr>
      <w:r>
        <w:t>78.</w:t>
      </w:r>
      <w:r>
        <w:tab/>
        <w:t>Establishment of committees, panels and working groups</w:t>
      </w:r>
      <w:r>
        <w:tab/>
      </w:r>
      <w:r>
        <w:fldChar w:fldCharType="begin"/>
      </w:r>
      <w:r>
        <w:instrText xml:space="preserve"> PAGEREF _Toc158374793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MCE directed reviews</w:t>
      </w:r>
    </w:p>
    <w:p>
      <w:pPr>
        <w:pStyle w:val="TOC8"/>
        <w:rPr>
          <w:rFonts w:asciiTheme="minorHAnsi" w:eastAsiaTheme="minorEastAsia" w:hAnsiTheme="minorHAnsi" w:cstheme="minorBidi"/>
          <w:szCs w:val="22"/>
        </w:rPr>
      </w:pPr>
      <w:r>
        <w:t>79.</w:t>
      </w:r>
      <w:r>
        <w:tab/>
        <w:t>MCE directions</w:t>
      </w:r>
      <w:r>
        <w:tab/>
      </w:r>
      <w:r>
        <w:fldChar w:fldCharType="begin"/>
      </w:r>
      <w:r>
        <w:instrText xml:space="preserve"> PAGEREF _Toc158374795 \h </w:instrText>
      </w:r>
      <w:r>
        <w:fldChar w:fldCharType="separate"/>
      </w:r>
      <w:r>
        <w:t>1</w:t>
      </w:r>
      <w:r>
        <w:fldChar w:fldCharType="end"/>
      </w:r>
    </w:p>
    <w:p>
      <w:pPr>
        <w:pStyle w:val="TOC8"/>
        <w:rPr>
          <w:rFonts w:asciiTheme="minorHAnsi" w:eastAsiaTheme="minorEastAsia" w:hAnsiTheme="minorHAnsi" w:cstheme="minorBidi"/>
          <w:szCs w:val="22"/>
        </w:rPr>
      </w:pPr>
      <w:r>
        <w:t>80.</w:t>
      </w:r>
      <w:r>
        <w:tab/>
        <w:t>Terms of reference</w:t>
      </w:r>
      <w:r>
        <w:tab/>
      </w:r>
      <w:r>
        <w:fldChar w:fldCharType="begin"/>
      </w:r>
      <w:r>
        <w:instrText xml:space="preserve"> PAGEREF _Toc158374796 \h </w:instrText>
      </w:r>
      <w:r>
        <w:fldChar w:fldCharType="separate"/>
      </w:r>
      <w:r>
        <w:t>1</w:t>
      </w:r>
      <w:r>
        <w:fldChar w:fldCharType="end"/>
      </w:r>
    </w:p>
    <w:p>
      <w:pPr>
        <w:pStyle w:val="TOC8"/>
        <w:rPr>
          <w:rFonts w:asciiTheme="minorHAnsi" w:eastAsiaTheme="minorEastAsia" w:hAnsiTheme="minorHAnsi" w:cstheme="minorBidi"/>
          <w:szCs w:val="22"/>
        </w:rPr>
      </w:pPr>
      <w:r>
        <w:t>81.</w:t>
      </w:r>
      <w:r>
        <w:tab/>
        <w:t>Notice of MCE directed review</w:t>
      </w:r>
      <w:r>
        <w:tab/>
      </w:r>
      <w:r>
        <w:fldChar w:fldCharType="begin"/>
      </w:r>
      <w:r>
        <w:instrText xml:space="preserve"> PAGEREF _Toc158374797 \h </w:instrText>
      </w:r>
      <w:r>
        <w:fldChar w:fldCharType="separate"/>
      </w:r>
      <w:r>
        <w:t>1</w:t>
      </w:r>
      <w:r>
        <w:fldChar w:fldCharType="end"/>
      </w:r>
    </w:p>
    <w:p>
      <w:pPr>
        <w:pStyle w:val="TOC8"/>
        <w:rPr>
          <w:rFonts w:asciiTheme="minorHAnsi" w:eastAsiaTheme="minorEastAsia" w:hAnsiTheme="minorHAnsi" w:cstheme="minorBidi"/>
          <w:szCs w:val="22"/>
        </w:rPr>
      </w:pPr>
      <w:r>
        <w:t>82.</w:t>
      </w:r>
      <w:r>
        <w:tab/>
        <w:t>Conduct of MCE directed review</w:t>
      </w:r>
      <w:r>
        <w:tab/>
      </w:r>
      <w:r>
        <w:fldChar w:fldCharType="begin"/>
      </w:r>
      <w:r>
        <w:instrText xml:space="preserve"> PAGEREF _Toc158374798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Other reviews</w:t>
      </w:r>
    </w:p>
    <w:p>
      <w:pPr>
        <w:pStyle w:val="TOC8"/>
        <w:rPr>
          <w:rFonts w:asciiTheme="minorHAnsi" w:eastAsiaTheme="minorEastAsia" w:hAnsiTheme="minorHAnsi" w:cstheme="minorBidi"/>
          <w:szCs w:val="22"/>
        </w:rPr>
      </w:pPr>
      <w:r>
        <w:t>83.</w:t>
      </w:r>
      <w:r>
        <w:tab/>
        <w:t>Rule reviews by the AEMC</w:t>
      </w:r>
      <w:r>
        <w:tab/>
      </w:r>
      <w:r>
        <w:fldChar w:fldCharType="begin"/>
      </w:r>
      <w:r>
        <w:instrText xml:space="preserve"> PAGEREF _Toc158374800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Miscellaneous matters</w:t>
      </w:r>
    </w:p>
    <w:p>
      <w:pPr>
        <w:pStyle w:val="TOC8"/>
        <w:rPr>
          <w:rFonts w:asciiTheme="minorHAnsi" w:eastAsiaTheme="minorEastAsia" w:hAnsiTheme="minorHAnsi" w:cstheme="minorBidi"/>
          <w:szCs w:val="22"/>
        </w:rPr>
      </w:pPr>
      <w:r>
        <w:t>83A.</w:t>
      </w:r>
      <w:r>
        <w:tab/>
        <w:t>Special information and transparency requirements relating to non</w:t>
      </w:r>
      <w:r>
        <w:noBreakHyphen/>
        <w:t>scheme pipelines</w:t>
      </w:r>
      <w:r>
        <w:tab/>
      </w:r>
      <w:r>
        <w:fldChar w:fldCharType="begin"/>
      </w:r>
      <w:r>
        <w:instrText xml:space="preserve"> PAGEREF _Toc158374802 \h </w:instrText>
      </w:r>
      <w:r>
        <w:fldChar w:fldCharType="separate"/>
      </w:r>
      <w:r>
        <w:t>1</w:t>
      </w:r>
      <w:r>
        <w:fldChar w:fldCharType="end"/>
      </w:r>
    </w:p>
    <w:p>
      <w:pPr>
        <w:pStyle w:val="TOC8"/>
        <w:rPr>
          <w:rFonts w:asciiTheme="minorHAnsi" w:eastAsiaTheme="minorEastAsia" w:hAnsiTheme="minorHAnsi" w:cstheme="minorBidi"/>
          <w:szCs w:val="22"/>
        </w:rPr>
      </w:pPr>
      <w:r>
        <w:t>84.</w:t>
      </w:r>
      <w:r>
        <w:tab/>
        <w:t>AEMC must publish and make available up to date versions of Rules</w:t>
      </w:r>
      <w:r>
        <w:tab/>
      </w:r>
      <w:r>
        <w:fldChar w:fldCharType="begin"/>
      </w:r>
      <w:r>
        <w:instrText xml:space="preserve"> PAGEREF _Toc158374803 \h </w:instrText>
      </w:r>
      <w:r>
        <w:fldChar w:fldCharType="separate"/>
      </w:r>
      <w:r>
        <w:t>1</w:t>
      </w:r>
      <w:r>
        <w:fldChar w:fldCharType="end"/>
      </w:r>
    </w:p>
    <w:p>
      <w:pPr>
        <w:pStyle w:val="TOC8"/>
        <w:rPr>
          <w:rFonts w:asciiTheme="minorHAnsi" w:eastAsiaTheme="minorEastAsia" w:hAnsiTheme="minorHAnsi" w:cstheme="minorBidi"/>
          <w:szCs w:val="22"/>
        </w:rPr>
      </w:pPr>
      <w:r>
        <w:t>85.</w:t>
      </w:r>
      <w:r>
        <w:tab/>
        <w:t>Fees</w:t>
      </w:r>
      <w:r>
        <w:tab/>
      </w:r>
      <w:r>
        <w:fldChar w:fldCharType="begin"/>
      </w:r>
      <w:r>
        <w:instrText xml:space="preserve"> PAGEREF _Toc158374804 \h </w:instrText>
      </w:r>
      <w:r>
        <w:fldChar w:fldCharType="separate"/>
      </w:r>
      <w:r>
        <w:t>1</w:t>
      </w:r>
      <w:r>
        <w:fldChar w:fldCharType="end"/>
      </w:r>
    </w:p>
    <w:p>
      <w:pPr>
        <w:pStyle w:val="TOC8"/>
        <w:rPr>
          <w:rFonts w:asciiTheme="minorHAnsi" w:eastAsiaTheme="minorEastAsia" w:hAnsiTheme="minorHAnsi" w:cstheme="minorBidi"/>
          <w:szCs w:val="22"/>
        </w:rPr>
      </w:pPr>
      <w:r>
        <w:lastRenderedPageBreak/>
        <w:t>86.</w:t>
      </w:r>
      <w:r>
        <w:tab/>
        <w:t>Immunity from personal liability of AEMC officials</w:t>
      </w:r>
      <w:r>
        <w:tab/>
      </w:r>
      <w:r>
        <w:fldChar w:fldCharType="begin"/>
      </w:r>
      <w:r>
        <w:instrText xml:space="preserve"> PAGEREF _Toc158374805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 — Functions and powers of Ministers of participating jurisdictions</w:t>
      </w:r>
    </w:p>
    <w:p>
      <w:pPr>
        <w:pStyle w:val="TOC8"/>
        <w:rPr>
          <w:rFonts w:asciiTheme="minorHAnsi" w:eastAsiaTheme="minorEastAsia" w:hAnsiTheme="minorHAnsi" w:cstheme="minorBidi"/>
          <w:szCs w:val="22"/>
        </w:rPr>
      </w:pPr>
      <w:r>
        <w:t>87.</w:t>
      </w:r>
      <w:r>
        <w:tab/>
        <w:t>Functions and powers of Minister of this participating jurisdiction under this Law</w:t>
      </w:r>
      <w:r>
        <w:tab/>
      </w:r>
      <w:r>
        <w:fldChar w:fldCharType="begin"/>
      </w:r>
      <w:r>
        <w:instrText xml:space="preserve"> PAGEREF _Toc158374807 \h </w:instrText>
      </w:r>
      <w:r>
        <w:fldChar w:fldCharType="separate"/>
      </w:r>
      <w:r>
        <w:t>1</w:t>
      </w:r>
      <w:r>
        <w:fldChar w:fldCharType="end"/>
      </w:r>
    </w:p>
    <w:p>
      <w:pPr>
        <w:pStyle w:val="TOC8"/>
        <w:rPr>
          <w:rFonts w:asciiTheme="minorHAnsi" w:eastAsiaTheme="minorEastAsia" w:hAnsiTheme="minorHAnsi" w:cstheme="minorBidi"/>
          <w:szCs w:val="22"/>
        </w:rPr>
      </w:pPr>
      <w:r>
        <w:t>88.</w:t>
      </w:r>
      <w:r>
        <w:tab/>
        <w:t>Functions and powers of Commonwealth Minister under this Law</w:t>
      </w:r>
      <w:r>
        <w:tab/>
      </w:r>
      <w:r>
        <w:fldChar w:fldCharType="begin"/>
      </w:r>
      <w:r>
        <w:instrText xml:space="preserve"> PAGEREF _Toc158374808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 — Functions and powers of the NCC</w:t>
      </w:r>
    </w:p>
    <w:p>
      <w:pPr>
        <w:pStyle w:val="TOC8"/>
        <w:rPr>
          <w:rFonts w:asciiTheme="minorHAnsi" w:eastAsiaTheme="minorEastAsia" w:hAnsiTheme="minorHAnsi" w:cstheme="minorBidi"/>
          <w:szCs w:val="22"/>
        </w:rPr>
      </w:pPr>
      <w:r>
        <w:t>89.</w:t>
      </w:r>
      <w:r>
        <w:tab/>
        <w:t>Functions and powers of NCC under this Law</w:t>
      </w:r>
      <w:r>
        <w:tab/>
      </w:r>
      <w:r>
        <w:fldChar w:fldCharType="begin"/>
      </w:r>
      <w:r>
        <w:instrText xml:space="preserve"> PAGEREF _Toc158374810 \h </w:instrText>
      </w:r>
      <w:r>
        <w:fldChar w:fldCharType="separate"/>
      </w:r>
      <w:r>
        <w:t>1</w:t>
      </w:r>
      <w:r>
        <w:fldChar w:fldCharType="end"/>
      </w:r>
    </w:p>
    <w:p>
      <w:pPr>
        <w:pStyle w:val="TOC8"/>
        <w:rPr>
          <w:rFonts w:asciiTheme="minorHAnsi" w:eastAsiaTheme="minorEastAsia" w:hAnsiTheme="minorHAnsi" w:cstheme="minorBidi"/>
          <w:szCs w:val="22"/>
        </w:rPr>
      </w:pPr>
      <w:r>
        <w:t>90.</w:t>
      </w:r>
      <w:r>
        <w:tab/>
        <w:t>Confidentiality</w:t>
      </w:r>
      <w:r>
        <w:tab/>
      </w:r>
      <w:r>
        <w:fldChar w:fldCharType="begin"/>
      </w:r>
      <w:r>
        <w:instrText xml:space="preserve"> PAGEREF _Toc158374811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5 — Functions and powers of Tribunal</w:t>
      </w:r>
    </w:p>
    <w:p>
      <w:pPr>
        <w:pStyle w:val="TOC8"/>
        <w:rPr>
          <w:rFonts w:asciiTheme="minorHAnsi" w:eastAsiaTheme="minorEastAsia" w:hAnsiTheme="minorHAnsi" w:cstheme="minorBidi"/>
          <w:szCs w:val="22"/>
        </w:rPr>
      </w:pPr>
      <w:r>
        <w:t>91.</w:t>
      </w:r>
      <w:r>
        <w:tab/>
        <w:t>Functions and powers of Tribunal under this Law</w:t>
      </w:r>
      <w:r>
        <w:tab/>
      </w:r>
      <w:r>
        <w:fldChar w:fldCharType="begin"/>
      </w:r>
      <w:r>
        <w:instrText xml:space="preserve"> PAGEREF _Toc158374813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3 — Coverage and classification of pipelines</w:t>
      </w:r>
    </w:p>
    <w:p>
      <w:pPr>
        <w:pStyle w:val="TOC4"/>
        <w:tabs>
          <w:tab w:val="right" w:leader="dot" w:pos="7077"/>
        </w:tabs>
        <w:rPr>
          <w:rFonts w:asciiTheme="minorHAnsi" w:eastAsiaTheme="minorEastAsia" w:hAnsiTheme="minorHAnsi" w:cstheme="minorBidi"/>
          <w:b w:val="0"/>
          <w:szCs w:val="22"/>
        </w:rPr>
      </w:pPr>
      <w:r>
        <w:t>Part 1 — Coverage of pipelines</w:t>
      </w:r>
    </w:p>
    <w:p>
      <w:pPr>
        <w:pStyle w:val="TOC6"/>
        <w:tabs>
          <w:tab w:val="right" w:leader="dot" w:pos="7077"/>
        </w:tabs>
        <w:rPr>
          <w:rFonts w:asciiTheme="minorHAnsi" w:eastAsiaTheme="minorEastAsia" w:hAnsiTheme="minorHAnsi" w:cstheme="minorBidi"/>
          <w:b w:val="0"/>
          <w:sz w:val="22"/>
          <w:szCs w:val="22"/>
        </w:rPr>
      </w:pPr>
      <w:r>
        <w:t>Division 1 — Coverage determinations</w:t>
      </w:r>
    </w:p>
    <w:p>
      <w:pPr>
        <w:pStyle w:val="TOC8"/>
        <w:rPr>
          <w:rFonts w:asciiTheme="minorHAnsi" w:eastAsiaTheme="minorEastAsia" w:hAnsiTheme="minorHAnsi" w:cstheme="minorBidi"/>
          <w:szCs w:val="22"/>
        </w:rPr>
      </w:pPr>
      <w:r>
        <w:t>92.</w:t>
      </w:r>
      <w:r>
        <w:tab/>
        <w:t>Application for recommendation that a pipeline be a covered pipeline</w:t>
      </w:r>
      <w:r>
        <w:tab/>
      </w:r>
      <w:r>
        <w:fldChar w:fldCharType="begin"/>
      </w:r>
      <w:r>
        <w:instrText xml:space="preserve"> PAGEREF _Toc158374817 \h </w:instrText>
      </w:r>
      <w:r>
        <w:fldChar w:fldCharType="separate"/>
      </w:r>
      <w:r>
        <w:t>1</w:t>
      </w:r>
      <w:r>
        <w:fldChar w:fldCharType="end"/>
      </w:r>
    </w:p>
    <w:p>
      <w:pPr>
        <w:pStyle w:val="TOC8"/>
        <w:rPr>
          <w:rFonts w:asciiTheme="minorHAnsi" w:eastAsiaTheme="minorEastAsia" w:hAnsiTheme="minorHAnsi" w:cstheme="minorBidi"/>
          <w:szCs w:val="22"/>
        </w:rPr>
      </w:pPr>
      <w:r>
        <w:t>93.</w:t>
      </w:r>
      <w:r>
        <w:tab/>
        <w:t>Application to be dealt with in accordance with the Rules</w:t>
      </w:r>
      <w:r>
        <w:tab/>
      </w:r>
      <w:r>
        <w:fldChar w:fldCharType="begin"/>
      </w:r>
      <w:r>
        <w:instrText xml:space="preserve"> PAGEREF _Toc158374818 \h </w:instrText>
      </w:r>
      <w:r>
        <w:fldChar w:fldCharType="separate"/>
      </w:r>
      <w:r>
        <w:t>1</w:t>
      </w:r>
      <w:r>
        <w:fldChar w:fldCharType="end"/>
      </w:r>
    </w:p>
    <w:p>
      <w:pPr>
        <w:pStyle w:val="TOC8"/>
        <w:rPr>
          <w:rFonts w:asciiTheme="minorHAnsi" w:eastAsiaTheme="minorEastAsia" w:hAnsiTheme="minorHAnsi" w:cstheme="minorBidi"/>
          <w:szCs w:val="22"/>
        </w:rPr>
      </w:pPr>
      <w:r>
        <w:t>94.</w:t>
      </w:r>
      <w:r>
        <w:tab/>
        <w:t>NCC may defer consideration of application in</w:t>
      </w:r>
      <w:r>
        <w:rPr>
          <w:bCs/>
          <w:color w:val="000000"/>
        </w:rPr>
        <w:t xml:space="preserve"> certain cases</w:t>
      </w:r>
      <w:r>
        <w:tab/>
      </w:r>
      <w:r>
        <w:fldChar w:fldCharType="begin"/>
      </w:r>
      <w:r>
        <w:instrText xml:space="preserve"> PAGEREF _Toc158374819 \h </w:instrText>
      </w:r>
      <w:r>
        <w:fldChar w:fldCharType="separate"/>
      </w:r>
      <w:r>
        <w:t>1</w:t>
      </w:r>
      <w:r>
        <w:fldChar w:fldCharType="end"/>
      </w:r>
    </w:p>
    <w:p>
      <w:pPr>
        <w:pStyle w:val="TOC8"/>
        <w:rPr>
          <w:rFonts w:asciiTheme="minorHAnsi" w:eastAsiaTheme="minorEastAsia" w:hAnsiTheme="minorHAnsi" w:cstheme="minorBidi"/>
          <w:szCs w:val="22"/>
        </w:rPr>
      </w:pPr>
      <w:r>
        <w:t>95.</w:t>
      </w:r>
      <w:r>
        <w:tab/>
        <w:t>NCC coverage recommendation</w:t>
      </w:r>
      <w:r>
        <w:tab/>
      </w:r>
      <w:r>
        <w:fldChar w:fldCharType="begin"/>
      </w:r>
      <w:r>
        <w:instrText xml:space="preserve"> PAGEREF _Toc158374820 \h </w:instrText>
      </w:r>
      <w:r>
        <w:fldChar w:fldCharType="separate"/>
      </w:r>
      <w:r>
        <w:t>1</w:t>
      </w:r>
      <w:r>
        <w:fldChar w:fldCharType="end"/>
      </w:r>
    </w:p>
    <w:p>
      <w:pPr>
        <w:pStyle w:val="TOC8"/>
        <w:rPr>
          <w:rFonts w:asciiTheme="minorHAnsi" w:eastAsiaTheme="minorEastAsia" w:hAnsiTheme="minorHAnsi" w:cstheme="minorBidi"/>
          <w:szCs w:val="22"/>
        </w:rPr>
      </w:pPr>
      <w:r>
        <w:t>96.</w:t>
      </w:r>
      <w:r>
        <w:tab/>
        <w:t>NCC must not make coverage recommendation if tender approval decision becomes irrevocable</w:t>
      </w:r>
      <w:r>
        <w:tab/>
      </w:r>
      <w:r>
        <w:fldChar w:fldCharType="begin"/>
      </w:r>
      <w:r>
        <w:instrText xml:space="preserve"> PAGEREF _Toc158374821 \h </w:instrText>
      </w:r>
      <w:r>
        <w:fldChar w:fldCharType="separate"/>
      </w:r>
      <w:r>
        <w:t>1</w:t>
      </w:r>
      <w:r>
        <w:fldChar w:fldCharType="end"/>
      </w:r>
    </w:p>
    <w:p>
      <w:pPr>
        <w:pStyle w:val="TOC8"/>
        <w:rPr>
          <w:rFonts w:asciiTheme="minorHAnsi" w:eastAsiaTheme="minorEastAsia" w:hAnsiTheme="minorHAnsi" w:cstheme="minorBidi"/>
          <w:szCs w:val="22"/>
        </w:rPr>
      </w:pPr>
      <w:r>
        <w:t>97.</w:t>
      </w:r>
      <w:r>
        <w:tab/>
        <w:t>Principles governing the making of a coverage recommendation</w:t>
      </w:r>
      <w:r>
        <w:tab/>
      </w:r>
      <w:r>
        <w:fldChar w:fldCharType="begin"/>
      </w:r>
      <w:r>
        <w:instrText xml:space="preserve"> PAGEREF _Toc158374822 \h </w:instrText>
      </w:r>
      <w:r>
        <w:fldChar w:fldCharType="separate"/>
      </w:r>
      <w:r>
        <w:t>1</w:t>
      </w:r>
      <w:r>
        <w:fldChar w:fldCharType="end"/>
      </w:r>
    </w:p>
    <w:p>
      <w:pPr>
        <w:pStyle w:val="TOC8"/>
        <w:rPr>
          <w:rFonts w:asciiTheme="minorHAnsi" w:eastAsiaTheme="minorEastAsia" w:hAnsiTheme="minorHAnsi" w:cstheme="minorBidi"/>
          <w:szCs w:val="22"/>
        </w:rPr>
      </w:pPr>
      <w:r>
        <w:t>98.</w:t>
      </w:r>
      <w:r>
        <w:tab/>
        <w:t>Initial classification decision to be made as part of recommendation</w:t>
      </w:r>
      <w:r>
        <w:tab/>
      </w:r>
      <w:r>
        <w:fldChar w:fldCharType="begin"/>
      </w:r>
      <w:r>
        <w:instrText xml:space="preserve"> PAGEREF _Toc158374823 \h </w:instrText>
      </w:r>
      <w:r>
        <w:fldChar w:fldCharType="separate"/>
      </w:r>
      <w:r>
        <w:t>1</w:t>
      </w:r>
      <w:r>
        <w:fldChar w:fldCharType="end"/>
      </w:r>
    </w:p>
    <w:p>
      <w:pPr>
        <w:pStyle w:val="TOC8"/>
        <w:rPr>
          <w:rFonts w:asciiTheme="minorHAnsi" w:eastAsiaTheme="minorEastAsia" w:hAnsiTheme="minorHAnsi" w:cstheme="minorBidi"/>
          <w:szCs w:val="22"/>
        </w:rPr>
      </w:pPr>
      <w:r>
        <w:t>99.</w:t>
      </w:r>
      <w:r>
        <w:tab/>
        <w:t>Relevant Minister’s determination on application</w:t>
      </w:r>
      <w:r>
        <w:tab/>
      </w:r>
      <w:r>
        <w:fldChar w:fldCharType="begin"/>
      </w:r>
      <w:r>
        <w:instrText xml:space="preserve"> PAGEREF _Toc158374824 \h </w:instrText>
      </w:r>
      <w:r>
        <w:fldChar w:fldCharType="separate"/>
      </w:r>
      <w:r>
        <w:t>1</w:t>
      </w:r>
      <w:r>
        <w:fldChar w:fldCharType="end"/>
      </w:r>
    </w:p>
    <w:p>
      <w:pPr>
        <w:pStyle w:val="TOC8"/>
        <w:rPr>
          <w:rFonts w:asciiTheme="minorHAnsi" w:eastAsiaTheme="minorEastAsia" w:hAnsiTheme="minorHAnsi" w:cstheme="minorBidi"/>
          <w:szCs w:val="22"/>
        </w:rPr>
      </w:pPr>
      <w:r>
        <w:t>100.</w:t>
      </w:r>
      <w:r>
        <w:tab/>
        <w:t>Principles governing the making of a coverage determination or decision not to do so</w:t>
      </w:r>
      <w:r>
        <w:tab/>
      </w:r>
      <w:r>
        <w:fldChar w:fldCharType="begin"/>
      </w:r>
      <w:r>
        <w:instrText xml:space="preserve"> PAGEREF _Toc158374825 \h </w:instrText>
      </w:r>
      <w:r>
        <w:fldChar w:fldCharType="separate"/>
      </w:r>
      <w:r>
        <w:t>1</w:t>
      </w:r>
      <w:r>
        <w:fldChar w:fldCharType="end"/>
      </w:r>
    </w:p>
    <w:p>
      <w:pPr>
        <w:pStyle w:val="TOC8"/>
        <w:rPr>
          <w:rFonts w:asciiTheme="minorHAnsi" w:eastAsiaTheme="minorEastAsia" w:hAnsiTheme="minorHAnsi" w:cstheme="minorBidi"/>
          <w:szCs w:val="22"/>
        </w:rPr>
      </w:pPr>
      <w:r>
        <w:t>101.</w:t>
      </w:r>
      <w:r>
        <w:tab/>
        <w:t>Operation and effect of coverage determination</w:t>
      </w:r>
      <w:r>
        <w:tab/>
      </w:r>
      <w:r>
        <w:fldChar w:fldCharType="begin"/>
      </w:r>
      <w:r>
        <w:instrText xml:space="preserve"> PAGEREF _Toc158374826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Coverage revocation determinations</w:t>
      </w:r>
    </w:p>
    <w:p>
      <w:pPr>
        <w:pStyle w:val="TOC8"/>
        <w:rPr>
          <w:rFonts w:asciiTheme="minorHAnsi" w:eastAsiaTheme="minorEastAsia" w:hAnsiTheme="minorHAnsi" w:cstheme="minorBidi"/>
          <w:szCs w:val="22"/>
        </w:rPr>
      </w:pPr>
      <w:r>
        <w:t>102.</w:t>
      </w:r>
      <w:r>
        <w:tab/>
        <w:t>Application for a determination that a pipeline no longer be a covered pipeline</w:t>
      </w:r>
      <w:r>
        <w:tab/>
      </w:r>
      <w:r>
        <w:fldChar w:fldCharType="begin"/>
      </w:r>
      <w:r>
        <w:instrText xml:space="preserve"> PAGEREF _Toc158374828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103.</w:t>
      </w:r>
      <w:r>
        <w:tab/>
        <w:t>Application to be dealt with in accordance with the Rules</w:t>
      </w:r>
      <w:r>
        <w:tab/>
      </w:r>
      <w:r>
        <w:fldChar w:fldCharType="begin"/>
      </w:r>
      <w:r>
        <w:instrText xml:space="preserve"> PAGEREF _Toc158374829 \h </w:instrText>
      </w:r>
      <w:r>
        <w:fldChar w:fldCharType="separate"/>
      </w:r>
      <w:r>
        <w:t>1</w:t>
      </w:r>
      <w:r>
        <w:fldChar w:fldCharType="end"/>
      </w:r>
    </w:p>
    <w:p>
      <w:pPr>
        <w:pStyle w:val="TOC8"/>
        <w:rPr>
          <w:rFonts w:asciiTheme="minorHAnsi" w:eastAsiaTheme="minorEastAsia" w:hAnsiTheme="minorHAnsi" w:cstheme="minorBidi"/>
          <w:szCs w:val="22"/>
        </w:rPr>
      </w:pPr>
      <w:r>
        <w:t>104.</w:t>
      </w:r>
      <w:r>
        <w:tab/>
        <w:t>NCC coverage revocation recommendation</w:t>
      </w:r>
      <w:r>
        <w:tab/>
      </w:r>
      <w:r>
        <w:fldChar w:fldCharType="begin"/>
      </w:r>
      <w:r>
        <w:instrText xml:space="preserve"> PAGEREF _Toc158374830 \h </w:instrText>
      </w:r>
      <w:r>
        <w:fldChar w:fldCharType="separate"/>
      </w:r>
      <w:r>
        <w:t>1</w:t>
      </w:r>
      <w:r>
        <w:fldChar w:fldCharType="end"/>
      </w:r>
    </w:p>
    <w:p>
      <w:pPr>
        <w:pStyle w:val="TOC8"/>
        <w:rPr>
          <w:rFonts w:asciiTheme="minorHAnsi" w:eastAsiaTheme="minorEastAsia" w:hAnsiTheme="minorHAnsi" w:cstheme="minorBidi"/>
          <w:szCs w:val="22"/>
        </w:rPr>
      </w:pPr>
      <w:r>
        <w:t>105.</w:t>
      </w:r>
      <w:r>
        <w:tab/>
        <w:t>Principles governing the making of a coverage revocation recommendation</w:t>
      </w:r>
      <w:r>
        <w:tab/>
      </w:r>
      <w:r>
        <w:fldChar w:fldCharType="begin"/>
      </w:r>
      <w:r>
        <w:instrText xml:space="preserve"> PAGEREF _Toc158374831 \h </w:instrText>
      </w:r>
      <w:r>
        <w:fldChar w:fldCharType="separate"/>
      </w:r>
      <w:r>
        <w:t>1</w:t>
      </w:r>
      <w:r>
        <w:fldChar w:fldCharType="end"/>
      </w:r>
    </w:p>
    <w:p>
      <w:pPr>
        <w:pStyle w:val="TOC8"/>
        <w:rPr>
          <w:rFonts w:asciiTheme="minorHAnsi" w:eastAsiaTheme="minorEastAsia" w:hAnsiTheme="minorHAnsi" w:cstheme="minorBidi"/>
          <w:szCs w:val="22"/>
        </w:rPr>
      </w:pPr>
      <w:r>
        <w:t>106.</w:t>
      </w:r>
      <w:r>
        <w:tab/>
        <w:t>Relevant Minister’s determination on application</w:t>
      </w:r>
      <w:r>
        <w:tab/>
      </w:r>
      <w:r>
        <w:fldChar w:fldCharType="begin"/>
      </w:r>
      <w:r>
        <w:instrText xml:space="preserve"> PAGEREF _Toc158374832 \h </w:instrText>
      </w:r>
      <w:r>
        <w:fldChar w:fldCharType="separate"/>
      </w:r>
      <w:r>
        <w:t>1</w:t>
      </w:r>
      <w:r>
        <w:fldChar w:fldCharType="end"/>
      </w:r>
    </w:p>
    <w:p>
      <w:pPr>
        <w:pStyle w:val="TOC8"/>
        <w:rPr>
          <w:rFonts w:asciiTheme="minorHAnsi" w:eastAsiaTheme="minorEastAsia" w:hAnsiTheme="minorHAnsi" w:cstheme="minorBidi"/>
          <w:szCs w:val="22"/>
        </w:rPr>
      </w:pPr>
      <w:r>
        <w:t>107.</w:t>
      </w:r>
      <w:r>
        <w:tab/>
        <w:t>Principles governing the making of a coverage revocation determination or decision not to do so</w:t>
      </w:r>
      <w:r>
        <w:tab/>
      </w:r>
      <w:r>
        <w:fldChar w:fldCharType="begin"/>
      </w:r>
      <w:r>
        <w:instrText xml:space="preserve"> PAGEREF _Toc158374833 \h </w:instrText>
      </w:r>
      <w:r>
        <w:fldChar w:fldCharType="separate"/>
      </w:r>
      <w:r>
        <w:t>1</w:t>
      </w:r>
      <w:r>
        <w:fldChar w:fldCharType="end"/>
      </w:r>
    </w:p>
    <w:p>
      <w:pPr>
        <w:pStyle w:val="TOC8"/>
        <w:rPr>
          <w:rFonts w:asciiTheme="minorHAnsi" w:eastAsiaTheme="minorEastAsia" w:hAnsiTheme="minorHAnsi" w:cstheme="minorBidi"/>
          <w:szCs w:val="22"/>
        </w:rPr>
      </w:pPr>
      <w:r>
        <w:t>108.</w:t>
      </w:r>
      <w:r>
        <w:tab/>
        <w:t>Operation and effect of coverage revocation determination</w:t>
      </w:r>
      <w:r>
        <w:tab/>
      </w:r>
      <w:r>
        <w:fldChar w:fldCharType="begin"/>
      </w:r>
      <w:r>
        <w:instrText xml:space="preserve"> PAGEREF _Toc158374834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 — Light regulation of covered pipeline services</w:t>
      </w:r>
    </w:p>
    <w:p>
      <w:pPr>
        <w:pStyle w:val="TOC6"/>
        <w:tabs>
          <w:tab w:val="right" w:leader="dot" w:pos="7077"/>
        </w:tabs>
        <w:rPr>
          <w:rFonts w:asciiTheme="minorHAnsi" w:eastAsiaTheme="minorEastAsia" w:hAnsiTheme="minorHAnsi" w:cstheme="minorBidi"/>
          <w:b w:val="0"/>
          <w:sz w:val="22"/>
          <w:szCs w:val="22"/>
        </w:rPr>
      </w:pPr>
      <w:r>
        <w:t>Division 1 — Making of light regulation determinations</w:t>
      </w:r>
    </w:p>
    <w:p>
      <w:pPr>
        <w:pStyle w:val="TOC6"/>
        <w:tabs>
          <w:tab w:val="right" w:leader="dot" w:pos="7077"/>
        </w:tabs>
        <w:rPr>
          <w:rFonts w:asciiTheme="minorHAnsi" w:eastAsiaTheme="minorEastAsia" w:hAnsiTheme="minorHAnsi" w:cstheme="minorBidi"/>
          <w:b w:val="0"/>
          <w:sz w:val="22"/>
          <w:szCs w:val="22"/>
        </w:rPr>
      </w:pPr>
      <w:r>
        <w:t>Subdivision 1 — Decisions when pipeline is not a covered pipeline</w:t>
      </w:r>
    </w:p>
    <w:p>
      <w:pPr>
        <w:pStyle w:val="TOC8"/>
        <w:rPr>
          <w:rFonts w:asciiTheme="minorHAnsi" w:eastAsiaTheme="minorEastAsia" w:hAnsiTheme="minorHAnsi" w:cstheme="minorBidi"/>
          <w:szCs w:val="22"/>
        </w:rPr>
      </w:pPr>
      <w:r>
        <w:t>109.</w:t>
      </w:r>
      <w:r>
        <w:tab/>
        <w:t>Application of Subdivision</w:t>
      </w:r>
      <w:r>
        <w:tab/>
      </w:r>
      <w:r>
        <w:fldChar w:fldCharType="begin"/>
      </w:r>
      <w:r>
        <w:instrText xml:space="preserve"> PAGEREF _Toc158374838 \h </w:instrText>
      </w:r>
      <w:r>
        <w:fldChar w:fldCharType="separate"/>
      </w:r>
      <w:r>
        <w:t>1</w:t>
      </w:r>
      <w:r>
        <w:fldChar w:fldCharType="end"/>
      </w:r>
    </w:p>
    <w:p>
      <w:pPr>
        <w:pStyle w:val="TOC8"/>
        <w:rPr>
          <w:rFonts w:asciiTheme="minorHAnsi" w:eastAsiaTheme="minorEastAsia" w:hAnsiTheme="minorHAnsi" w:cstheme="minorBidi"/>
          <w:szCs w:val="22"/>
        </w:rPr>
      </w:pPr>
      <w:r>
        <w:t>110.</w:t>
      </w:r>
      <w:r>
        <w:tab/>
        <w:t>NCC’s decision on light regulation of pipeline services</w:t>
      </w:r>
      <w:r>
        <w:tab/>
      </w:r>
      <w:r>
        <w:fldChar w:fldCharType="begin"/>
      </w:r>
      <w:r>
        <w:instrText xml:space="preserve"> PAGEREF _Toc158374839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Decisions when pipeline is a covered pipeline</w:t>
      </w:r>
    </w:p>
    <w:p>
      <w:pPr>
        <w:pStyle w:val="TOC8"/>
        <w:rPr>
          <w:rFonts w:asciiTheme="minorHAnsi" w:eastAsiaTheme="minorEastAsia" w:hAnsiTheme="minorHAnsi" w:cstheme="minorBidi"/>
          <w:szCs w:val="22"/>
        </w:rPr>
      </w:pPr>
      <w:r>
        <w:t>111.</w:t>
      </w:r>
      <w:r>
        <w:tab/>
        <w:t>Application of Subdivision</w:t>
      </w:r>
      <w:r>
        <w:tab/>
      </w:r>
      <w:r>
        <w:fldChar w:fldCharType="begin"/>
      </w:r>
      <w:r>
        <w:instrText xml:space="preserve"> PAGEREF _Toc158374841 \h </w:instrText>
      </w:r>
      <w:r>
        <w:fldChar w:fldCharType="separate"/>
      </w:r>
      <w:r>
        <w:t>1</w:t>
      </w:r>
      <w:r>
        <w:fldChar w:fldCharType="end"/>
      </w:r>
    </w:p>
    <w:p>
      <w:pPr>
        <w:pStyle w:val="TOC8"/>
        <w:rPr>
          <w:rFonts w:asciiTheme="minorHAnsi" w:eastAsiaTheme="minorEastAsia" w:hAnsiTheme="minorHAnsi" w:cstheme="minorBidi"/>
          <w:szCs w:val="22"/>
        </w:rPr>
      </w:pPr>
      <w:r>
        <w:t>112.</w:t>
      </w:r>
      <w:r>
        <w:tab/>
        <w:t>Application</w:t>
      </w:r>
      <w:r>
        <w:tab/>
      </w:r>
      <w:r>
        <w:fldChar w:fldCharType="begin"/>
      </w:r>
      <w:r>
        <w:instrText xml:space="preserve"> PAGEREF _Toc158374842 \h </w:instrText>
      </w:r>
      <w:r>
        <w:fldChar w:fldCharType="separate"/>
      </w:r>
      <w:r>
        <w:t>1</w:t>
      </w:r>
      <w:r>
        <w:fldChar w:fldCharType="end"/>
      </w:r>
    </w:p>
    <w:p>
      <w:pPr>
        <w:pStyle w:val="TOC8"/>
        <w:rPr>
          <w:rFonts w:asciiTheme="minorHAnsi" w:eastAsiaTheme="minorEastAsia" w:hAnsiTheme="minorHAnsi" w:cstheme="minorBidi"/>
          <w:szCs w:val="22"/>
        </w:rPr>
      </w:pPr>
      <w:r>
        <w:t>113.</w:t>
      </w:r>
      <w:r>
        <w:tab/>
        <w:t>Application to be dealt with in accordance with the Rules</w:t>
      </w:r>
      <w:r>
        <w:tab/>
      </w:r>
      <w:r>
        <w:fldChar w:fldCharType="begin"/>
      </w:r>
      <w:r>
        <w:instrText xml:space="preserve"> PAGEREF _Toc158374843 \h </w:instrText>
      </w:r>
      <w:r>
        <w:fldChar w:fldCharType="separate"/>
      </w:r>
      <w:r>
        <w:t>1</w:t>
      </w:r>
      <w:r>
        <w:fldChar w:fldCharType="end"/>
      </w:r>
    </w:p>
    <w:p>
      <w:pPr>
        <w:pStyle w:val="TOC8"/>
        <w:rPr>
          <w:rFonts w:asciiTheme="minorHAnsi" w:eastAsiaTheme="minorEastAsia" w:hAnsiTheme="minorHAnsi" w:cstheme="minorBidi"/>
          <w:szCs w:val="22"/>
        </w:rPr>
      </w:pPr>
      <w:r>
        <w:t>114.</w:t>
      </w:r>
      <w:r>
        <w:tab/>
        <w:t>NCC’s decision on light regulation of pipeline services</w:t>
      </w:r>
      <w:r>
        <w:tab/>
      </w:r>
      <w:r>
        <w:fldChar w:fldCharType="begin"/>
      </w:r>
      <w:r>
        <w:instrText xml:space="preserve"> PAGEREF _Toc158374844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Operation and effect of light regulation determinations</w:t>
      </w:r>
    </w:p>
    <w:p>
      <w:pPr>
        <w:pStyle w:val="TOC8"/>
        <w:rPr>
          <w:rFonts w:asciiTheme="minorHAnsi" w:eastAsiaTheme="minorEastAsia" w:hAnsiTheme="minorHAnsi" w:cstheme="minorBidi"/>
          <w:szCs w:val="22"/>
        </w:rPr>
      </w:pPr>
      <w:r>
        <w:t>115.</w:t>
      </w:r>
      <w:r>
        <w:tab/>
        <w:t>When light regulation determinations take effect</w:t>
      </w:r>
      <w:r>
        <w:tab/>
      </w:r>
      <w:r>
        <w:fldChar w:fldCharType="begin"/>
      </w:r>
      <w:r>
        <w:instrText xml:space="preserve"> PAGEREF _Toc158374846 \h </w:instrText>
      </w:r>
      <w:r>
        <w:fldChar w:fldCharType="separate"/>
      </w:r>
      <w:r>
        <w:t>1</w:t>
      </w:r>
      <w:r>
        <w:fldChar w:fldCharType="end"/>
      </w:r>
    </w:p>
    <w:p>
      <w:pPr>
        <w:pStyle w:val="TOC8"/>
        <w:rPr>
          <w:rFonts w:asciiTheme="minorHAnsi" w:eastAsiaTheme="minorEastAsia" w:hAnsiTheme="minorHAnsi" w:cstheme="minorBidi"/>
          <w:szCs w:val="22"/>
        </w:rPr>
      </w:pPr>
      <w:r>
        <w:t>116.</w:t>
      </w:r>
      <w:r>
        <w:tab/>
        <w:t>Submission of limited access arrangement for light regulation services</w:t>
      </w:r>
      <w:r>
        <w:tab/>
      </w:r>
      <w:r>
        <w:fldChar w:fldCharType="begin"/>
      </w:r>
      <w:r>
        <w:instrText xml:space="preserve"> PAGEREF _Toc158374847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Revocation of light regulation determinations</w:t>
      </w:r>
    </w:p>
    <w:p>
      <w:pPr>
        <w:pStyle w:val="TOC6"/>
        <w:tabs>
          <w:tab w:val="right" w:leader="dot" w:pos="7077"/>
        </w:tabs>
        <w:rPr>
          <w:rFonts w:asciiTheme="minorHAnsi" w:eastAsiaTheme="minorEastAsia" w:hAnsiTheme="minorHAnsi" w:cstheme="minorBidi"/>
          <w:b w:val="0"/>
          <w:sz w:val="22"/>
          <w:szCs w:val="22"/>
        </w:rPr>
      </w:pPr>
      <w:r>
        <w:t>Subdivision 1 — On advice from service providers</w:t>
      </w:r>
    </w:p>
    <w:p>
      <w:pPr>
        <w:pStyle w:val="TOC8"/>
        <w:rPr>
          <w:rFonts w:asciiTheme="minorHAnsi" w:eastAsiaTheme="minorEastAsia" w:hAnsiTheme="minorHAnsi" w:cstheme="minorBidi"/>
          <w:szCs w:val="22"/>
        </w:rPr>
      </w:pPr>
      <w:r>
        <w:t>117.</w:t>
      </w:r>
      <w:r>
        <w:tab/>
        <w:t>Advice by service provider that light regulation services should cease to be light regulation services</w:t>
      </w:r>
      <w:r>
        <w:tab/>
      </w:r>
      <w:r>
        <w:fldChar w:fldCharType="begin"/>
      </w:r>
      <w:r>
        <w:instrText xml:space="preserve"> PAGEREF _Toc158374850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On application by persons other than service providers</w:t>
      </w:r>
    </w:p>
    <w:p>
      <w:pPr>
        <w:pStyle w:val="TOC8"/>
        <w:rPr>
          <w:rFonts w:asciiTheme="minorHAnsi" w:eastAsiaTheme="minorEastAsia" w:hAnsiTheme="minorHAnsi" w:cstheme="minorBidi"/>
          <w:szCs w:val="22"/>
        </w:rPr>
      </w:pPr>
      <w:r>
        <w:t>118.</w:t>
      </w:r>
      <w:r>
        <w:tab/>
        <w:t>Application (other than by service provider) for revocation of light regulation determinations</w:t>
      </w:r>
      <w:r>
        <w:tab/>
      </w:r>
      <w:r>
        <w:fldChar w:fldCharType="begin"/>
      </w:r>
      <w:r>
        <w:instrText xml:space="preserve"> PAGEREF _Toc158374852 \h </w:instrText>
      </w:r>
      <w:r>
        <w:fldChar w:fldCharType="separate"/>
      </w:r>
      <w:r>
        <w:t>1</w:t>
      </w:r>
      <w:r>
        <w:fldChar w:fldCharType="end"/>
      </w:r>
    </w:p>
    <w:p>
      <w:pPr>
        <w:pStyle w:val="TOC8"/>
        <w:rPr>
          <w:rFonts w:asciiTheme="minorHAnsi" w:eastAsiaTheme="minorEastAsia" w:hAnsiTheme="minorHAnsi" w:cstheme="minorBidi"/>
          <w:szCs w:val="22"/>
        </w:rPr>
      </w:pPr>
      <w:r>
        <w:t>119.</w:t>
      </w:r>
      <w:r>
        <w:tab/>
        <w:t>Decisions on applications made around time of applications for coverage revocation determinations</w:t>
      </w:r>
      <w:r>
        <w:tab/>
      </w:r>
      <w:r>
        <w:fldChar w:fldCharType="begin"/>
      </w:r>
      <w:r>
        <w:instrText xml:space="preserve"> PAGEREF _Toc158374853 \h </w:instrText>
      </w:r>
      <w:r>
        <w:fldChar w:fldCharType="separate"/>
      </w:r>
      <w:r>
        <w:t>1</w:t>
      </w:r>
      <w:r>
        <w:fldChar w:fldCharType="end"/>
      </w:r>
    </w:p>
    <w:p>
      <w:pPr>
        <w:pStyle w:val="TOC8"/>
        <w:rPr>
          <w:rFonts w:asciiTheme="minorHAnsi" w:eastAsiaTheme="minorEastAsia" w:hAnsiTheme="minorHAnsi" w:cstheme="minorBidi"/>
          <w:szCs w:val="22"/>
        </w:rPr>
      </w:pPr>
      <w:r>
        <w:t>120.</w:t>
      </w:r>
      <w:r>
        <w:tab/>
        <w:t>NCC decision on application where no application for a coverage revocation recommendation</w:t>
      </w:r>
      <w:r>
        <w:tab/>
      </w:r>
      <w:r>
        <w:fldChar w:fldCharType="begin"/>
      </w:r>
      <w:r>
        <w:instrText xml:space="preserve"> PAGEREF _Toc158374854 \h </w:instrText>
      </w:r>
      <w:r>
        <w:fldChar w:fldCharType="separate"/>
      </w:r>
      <w:r>
        <w:t>1</w:t>
      </w:r>
      <w:r>
        <w:fldChar w:fldCharType="end"/>
      </w:r>
    </w:p>
    <w:p>
      <w:pPr>
        <w:pStyle w:val="TOC8"/>
        <w:rPr>
          <w:rFonts w:asciiTheme="minorHAnsi" w:eastAsiaTheme="minorEastAsia" w:hAnsiTheme="minorHAnsi" w:cstheme="minorBidi"/>
          <w:szCs w:val="22"/>
        </w:rPr>
      </w:pPr>
      <w:r>
        <w:t>121.</w:t>
      </w:r>
      <w:r>
        <w:tab/>
        <w:t>Operation and effect of decision of NCC under this Division</w:t>
      </w:r>
      <w:r>
        <w:tab/>
      </w:r>
      <w:r>
        <w:fldChar w:fldCharType="begin"/>
      </w:r>
      <w:r>
        <w:instrText xml:space="preserve"> PAGEREF _Toc158374855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Principles governing light regulation determinations</w:t>
      </w:r>
    </w:p>
    <w:p>
      <w:pPr>
        <w:pStyle w:val="TOC8"/>
        <w:rPr>
          <w:rFonts w:asciiTheme="minorHAnsi" w:eastAsiaTheme="minorEastAsia" w:hAnsiTheme="minorHAnsi" w:cstheme="minorBidi"/>
          <w:szCs w:val="22"/>
        </w:rPr>
      </w:pPr>
      <w:r>
        <w:t>122.</w:t>
      </w:r>
      <w:r>
        <w:tab/>
        <w:t>Principles governing the making or revoking of light regulation determinations</w:t>
      </w:r>
      <w:r>
        <w:tab/>
      </w:r>
      <w:r>
        <w:fldChar w:fldCharType="begin"/>
      </w:r>
      <w:r>
        <w:instrText xml:space="preserve"> PAGEREF _Toc158374857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Revocation if coverage determination not made</w:t>
      </w:r>
    </w:p>
    <w:p>
      <w:pPr>
        <w:pStyle w:val="TOC8"/>
        <w:rPr>
          <w:rFonts w:asciiTheme="minorHAnsi" w:eastAsiaTheme="minorEastAsia" w:hAnsiTheme="minorHAnsi" w:cstheme="minorBidi"/>
          <w:szCs w:val="22"/>
        </w:rPr>
      </w:pPr>
      <w:r>
        <w:t>123.</w:t>
      </w:r>
      <w:r>
        <w:tab/>
        <w:t>Light regulation determination revoked if coverage determination not made</w:t>
      </w:r>
      <w:r>
        <w:tab/>
      </w:r>
      <w:r>
        <w:fldChar w:fldCharType="begin"/>
      </w:r>
      <w:r>
        <w:instrText xml:space="preserve"> PAGEREF _Toc158374859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Effect of pipeline ceasing to be covered pipeline</w:t>
      </w:r>
    </w:p>
    <w:p>
      <w:pPr>
        <w:pStyle w:val="TOC8"/>
        <w:rPr>
          <w:rFonts w:asciiTheme="minorHAnsi" w:eastAsiaTheme="minorEastAsia" w:hAnsiTheme="minorHAnsi" w:cstheme="minorBidi"/>
          <w:szCs w:val="22"/>
        </w:rPr>
      </w:pPr>
      <w:r>
        <w:t>124.</w:t>
      </w:r>
      <w:r>
        <w:tab/>
        <w:t>Light regulation services cease to be such services on cessation of coverage of pipeline</w:t>
      </w:r>
      <w:r>
        <w:tab/>
      </w:r>
      <w:r>
        <w:fldChar w:fldCharType="begin"/>
      </w:r>
      <w:r>
        <w:instrText xml:space="preserve"> PAGEREF _Toc158374861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AER reviews into designated pipelines</w:t>
      </w:r>
    </w:p>
    <w:p>
      <w:pPr>
        <w:pStyle w:val="TOC8"/>
        <w:rPr>
          <w:rFonts w:asciiTheme="minorHAnsi" w:eastAsiaTheme="minorEastAsia" w:hAnsiTheme="minorHAnsi" w:cstheme="minorBidi"/>
          <w:szCs w:val="22"/>
        </w:rPr>
      </w:pPr>
      <w:r>
        <w:t>125.</w:t>
      </w:r>
      <w:r>
        <w:tab/>
        <w:t>AER reviews</w:t>
      </w:r>
      <w:r>
        <w:tab/>
      </w:r>
      <w:r>
        <w:fldChar w:fldCharType="begin"/>
      </w:r>
      <w:r>
        <w:instrText xml:space="preserve"> PAGEREF _Toc158374863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 — Coverage of pipelines the subject of tender process</w:t>
      </w:r>
    </w:p>
    <w:p>
      <w:pPr>
        <w:pStyle w:val="TOC8"/>
        <w:rPr>
          <w:rFonts w:asciiTheme="minorHAnsi" w:eastAsiaTheme="minorEastAsia" w:hAnsiTheme="minorHAnsi" w:cstheme="minorBidi"/>
          <w:szCs w:val="22"/>
        </w:rPr>
      </w:pPr>
      <w:r>
        <w:t>126.</w:t>
      </w:r>
      <w:r>
        <w:tab/>
        <w:t>Tender approval pipelines deemed to be covered pipelines</w:t>
      </w:r>
      <w:r>
        <w:tab/>
      </w:r>
      <w:r>
        <w:fldChar w:fldCharType="begin"/>
      </w:r>
      <w:r>
        <w:instrText xml:space="preserve"> PAGEREF _Toc158374865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 — Coverage following approval of voluntary access arrangement</w:t>
      </w:r>
    </w:p>
    <w:p>
      <w:pPr>
        <w:pStyle w:val="TOC8"/>
        <w:rPr>
          <w:rFonts w:asciiTheme="minorHAnsi" w:eastAsiaTheme="minorEastAsia" w:hAnsiTheme="minorHAnsi" w:cstheme="minorBidi"/>
          <w:szCs w:val="22"/>
        </w:rPr>
      </w:pPr>
      <w:r>
        <w:t>127.</w:t>
      </w:r>
      <w:r>
        <w:tab/>
        <w:t>Certain pipelines become covered pipelines on approval of voluntary access arrangement</w:t>
      </w:r>
      <w:r>
        <w:tab/>
      </w:r>
      <w:r>
        <w:fldChar w:fldCharType="begin"/>
      </w:r>
      <w:r>
        <w:instrText xml:space="preserve"> PAGEREF _Toc158374867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5 — Reclassification of pipelines</w:t>
      </w:r>
    </w:p>
    <w:p>
      <w:pPr>
        <w:pStyle w:val="TOC8"/>
        <w:rPr>
          <w:rFonts w:asciiTheme="minorHAnsi" w:eastAsiaTheme="minorEastAsia" w:hAnsiTheme="minorHAnsi" w:cstheme="minorBidi"/>
          <w:szCs w:val="22"/>
        </w:rPr>
      </w:pPr>
      <w:r>
        <w:t>128.</w:t>
      </w:r>
      <w:r>
        <w:tab/>
        <w:t>Service provider may apply for reclassification of pipeline</w:t>
      </w:r>
      <w:r>
        <w:tab/>
      </w:r>
      <w:r>
        <w:fldChar w:fldCharType="begin"/>
      </w:r>
      <w:r>
        <w:instrText xml:space="preserve"> PAGEREF _Toc158374869 \h </w:instrText>
      </w:r>
      <w:r>
        <w:fldChar w:fldCharType="separate"/>
      </w:r>
      <w:r>
        <w:t>1</w:t>
      </w:r>
      <w:r>
        <w:fldChar w:fldCharType="end"/>
      </w:r>
    </w:p>
    <w:p>
      <w:pPr>
        <w:pStyle w:val="TOC8"/>
        <w:rPr>
          <w:rFonts w:asciiTheme="minorHAnsi" w:eastAsiaTheme="minorEastAsia" w:hAnsiTheme="minorHAnsi" w:cstheme="minorBidi"/>
          <w:szCs w:val="22"/>
        </w:rPr>
      </w:pPr>
      <w:r>
        <w:t>129.</w:t>
      </w:r>
      <w:r>
        <w:tab/>
        <w:t>Reclassification decision</w:t>
      </w:r>
      <w:r>
        <w:tab/>
      </w:r>
      <w:r>
        <w:fldChar w:fldCharType="begin"/>
      </w:r>
      <w:r>
        <w:instrText xml:space="preserve"> PAGEREF _Toc158374870 \h </w:instrText>
      </w:r>
      <w:r>
        <w:fldChar w:fldCharType="separate"/>
      </w:r>
      <w:r>
        <w:t>1</w:t>
      </w:r>
      <w:r>
        <w:fldChar w:fldCharType="end"/>
      </w:r>
    </w:p>
    <w:p>
      <w:pPr>
        <w:pStyle w:val="TOC8"/>
        <w:rPr>
          <w:rFonts w:asciiTheme="minorHAnsi" w:eastAsiaTheme="minorEastAsia" w:hAnsiTheme="minorHAnsi" w:cstheme="minorBidi"/>
          <w:szCs w:val="22"/>
        </w:rPr>
      </w:pPr>
      <w:r>
        <w:t>130.</w:t>
      </w:r>
      <w:r>
        <w:tab/>
        <w:t>Effect of reclassification decision</w:t>
      </w:r>
      <w:r>
        <w:tab/>
      </w:r>
      <w:r>
        <w:fldChar w:fldCharType="begin"/>
      </w:r>
      <w:r>
        <w:instrText xml:space="preserve"> PAGEREF _Toc158374871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4 — General requirements for provision of covered pipeline services</w:t>
      </w:r>
    </w:p>
    <w:p>
      <w:pPr>
        <w:pStyle w:val="TOC4"/>
        <w:tabs>
          <w:tab w:val="right" w:leader="dot" w:pos="7077"/>
        </w:tabs>
        <w:rPr>
          <w:rFonts w:asciiTheme="minorHAnsi" w:eastAsiaTheme="minorEastAsia" w:hAnsiTheme="minorHAnsi" w:cstheme="minorBidi"/>
          <w:b w:val="0"/>
          <w:szCs w:val="22"/>
        </w:rPr>
      </w:pPr>
      <w:r>
        <w:t>Part 1 — General duties for provision of pipeline services by covered pipelines</w:t>
      </w:r>
    </w:p>
    <w:p>
      <w:pPr>
        <w:pStyle w:val="TOC8"/>
        <w:rPr>
          <w:rFonts w:asciiTheme="minorHAnsi" w:eastAsiaTheme="minorEastAsia" w:hAnsiTheme="minorHAnsi" w:cstheme="minorBidi"/>
          <w:szCs w:val="22"/>
        </w:rPr>
      </w:pPr>
      <w:r>
        <w:t>131.</w:t>
      </w:r>
      <w:r>
        <w:tab/>
        <w:t>Service provider must be legal entity of a specified kind to provide pipeline services by covered pipeline</w:t>
      </w:r>
      <w:r>
        <w:tab/>
      </w:r>
      <w:r>
        <w:fldChar w:fldCharType="begin"/>
      </w:r>
      <w:r>
        <w:instrText xml:space="preserve"> PAGEREF _Toc158374874 \h </w:instrText>
      </w:r>
      <w:r>
        <w:fldChar w:fldCharType="separate"/>
      </w:r>
      <w:r>
        <w:t>1</w:t>
      </w:r>
      <w:r>
        <w:fldChar w:fldCharType="end"/>
      </w:r>
    </w:p>
    <w:p>
      <w:pPr>
        <w:pStyle w:val="TOC8"/>
        <w:rPr>
          <w:rFonts w:asciiTheme="minorHAnsi" w:eastAsiaTheme="minorEastAsia" w:hAnsiTheme="minorHAnsi" w:cstheme="minorBidi"/>
          <w:szCs w:val="22"/>
        </w:rPr>
      </w:pPr>
      <w:r>
        <w:t>132.</w:t>
      </w:r>
      <w:r>
        <w:tab/>
        <w:t>Submission of full access arrangement or revisions to applicable full access arrangements</w:t>
      </w:r>
      <w:r>
        <w:tab/>
      </w:r>
      <w:r>
        <w:fldChar w:fldCharType="begin"/>
      </w:r>
      <w:r>
        <w:instrText xml:space="preserve"> PAGEREF _Toc158374875 \h </w:instrText>
      </w:r>
      <w:r>
        <w:fldChar w:fldCharType="separate"/>
      </w:r>
      <w:r>
        <w:t>1</w:t>
      </w:r>
      <w:r>
        <w:fldChar w:fldCharType="end"/>
      </w:r>
    </w:p>
    <w:p>
      <w:pPr>
        <w:pStyle w:val="TOC8"/>
        <w:rPr>
          <w:rFonts w:asciiTheme="minorHAnsi" w:eastAsiaTheme="minorEastAsia" w:hAnsiTheme="minorHAnsi" w:cstheme="minorBidi"/>
          <w:szCs w:val="22"/>
        </w:rPr>
      </w:pPr>
      <w:r>
        <w:t>133.</w:t>
      </w:r>
      <w:r>
        <w:tab/>
        <w:t>Preventing or hindering access</w:t>
      </w:r>
      <w:r>
        <w:tab/>
      </w:r>
      <w:r>
        <w:fldChar w:fldCharType="begin"/>
      </w:r>
      <w:r>
        <w:instrText xml:space="preserve"> PAGEREF _Toc158374876 \h </w:instrText>
      </w:r>
      <w:r>
        <w:fldChar w:fldCharType="separate"/>
      </w:r>
      <w:r>
        <w:t>1</w:t>
      </w:r>
      <w:r>
        <w:fldChar w:fldCharType="end"/>
      </w:r>
    </w:p>
    <w:p>
      <w:pPr>
        <w:pStyle w:val="TOC8"/>
        <w:rPr>
          <w:rFonts w:asciiTheme="minorHAnsi" w:eastAsiaTheme="minorEastAsia" w:hAnsiTheme="minorHAnsi" w:cstheme="minorBidi"/>
          <w:szCs w:val="22"/>
        </w:rPr>
      </w:pPr>
      <w:r>
        <w:t>134.</w:t>
      </w:r>
      <w:r>
        <w:tab/>
        <w:t>Supply and haulage of natural gas</w:t>
      </w:r>
      <w:r>
        <w:tab/>
      </w:r>
      <w:r>
        <w:fldChar w:fldCharType="begin"/>
      </w:r>
      <w:r>
        <w:instrText xml:space="preserve"> PAGEREF _Toc158374877 \h </w:instrText>
      </w:r>
      <w:r>
        <w:fldChar w:fldCharType="separate"/>
      </w:r>
      <w:r>
        <w:t>1</w:t>
      </w:r>
      <w:r>
        <w:fldChar w:fldCharType="end"/>
      </w:r>
    </w:p>
    <w:p>
      <w:pPr>
        <w:pStyle w:val="TOC8"/>
        <w:rPr>
          <w:rFonts w:asciiTheme="minorHAnsi" w:eastAsiaTheme="minorEastAsia" w:hAnsiTheme="minorHAnsi" w:cstheme="minorBidi"/>
          <w:szCs w:val="22"/>
        </w:rPr>
      </w:pPr>
      <w:r>
        <w:t>135.</w:t>
      </w:r>
      <w:r>
        <w:tab/>
        <w:t>Covered pipeline service provider must comply with queuing requirements</w:t>
      </w:r>
      <w:r>
        <w:tab/>
      </w:r>
      <w:r>
        <w:fldChar w:fldCharType="begin"/>
      </w:r>
      <w:r>
        <w:instrText xml:space="preserve"> PAGEREF _Toc158374878 \h </w:instrText>
      </w:r>
      <w:r>
        <w:fldChar w:fldCharType="separate"/>
      </w:r>
      <w:r>
        <w:t>1</w:t>
      </w:r>
      <w:r>
        <w:fldChar w:fldCharType="end"/>
      </w:r>
    </w:p>
    <w:p>
      <w:pPr>
        <w:pStyle w:val="TOC8"/>
        <w:rPr>
          <w:rFonts w:asciiTheme="minorHAnsi" w:eastAsiaTheme="minorEastAsia" w:hAnsiTheme="minorHAnsi" w:cstheme="minorBidi"/>
          <w:szCs w:val="22"/>
        </w:rPr>
      </w:pPr>
      <w:r>
        <w:t>136.</w:t>
      </w:r>
      <w:r>
        <w:tab/>
        <w:t>Covered pipeline service provider providing light regulation services must not price discriminate</w:t>
      </w:r>
      <w:r>
        <w:tab/>
      </w:r>
      <w:r>
        <w:fldChar w:fldCharType="begin"/>
      </w:r>
      <w:r>
        <w:instrText xml:space="preserve"> PAGEREF _Toc158374879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 — Structural and operational separation requirements (ring fencing)</w:t>
      </w:r>
    </w:p>
    <w:p>
      <w:pPr>
        <w:pStyle w:val="TOC6"/>
        <w:tabs>
          <w:tab w:val="right" w:leader="dot" w:pos="7077"/>
        </w:tabs>
        <w:rPr>
          <w:rFonts w:asciiTheme="minorHAnsi" w:eastAsiaTheme="minorEastAsia" w:hAnsiTheme="minorHAnsi" w:cstheme="minorBidi"/>
          <w:b w:val="0"/>
          <w:sz w:val="22"/>
          <w:szCs w:val="22"/>
        </w:rPr>
      </w:pPr>
      <w:r>
        <w:t>Division 1 — Interpretation</w:t>
      </w:r>
    </w:p>
    <w:p>
      <w:pPr>
        <w:pStyle w:val="TOC8"/>
        <w:rPr>
          <w:rFonts w:asciiTheme="minorHAnsi" w:eastAsiaTheme="minorEastAsia" w:hAnsiTheme="minorHAnsi" w:cstheme="minorBidi"/>
          <w:szCs w:val="22"/>
        </w:rPr>
      </w:pPr>
      <w:r>
        <w:t>137.</w:t>
      </w:r>
      <w:r>
        <w:tab/>
        <w:t>Definitions</w:t>
      </w:r>
      <w:r>
        <w:tab/>
      </w:r>
      <w:r>
        <w:fldChar w:fldCharType="begin"/>
      </w:r>
      <w:r>
        <w:instrText xml:space="preserve"> PAGEREF _Toc158374882 \h </w:instrText>
      </w:r>
      <w:r>
        <w:fldChar w:fldCharType="separate"/>
      </w:r>
      <w:r>
        <w:t>1</w:t>
      </w:r>
      <w:r>
        <w:fldChar w:fldCharType="end"/>
      </w:r>
    </w:p>
    <w:p>
      <w:pPr>
        <w:pStyle w:val="TOC8"/>
        <w:rPr>
          <w:rFonts w:asciiTheme="minorHAnsi" w:eastAsiaTheme="minorEastAsia" w:hAnsiTheme="minorHAnsi" w:cstheme="minorBidi"/>
          <w:szCs w:val="22"/>
        </w:rPr>
      </w:pPr>
      <w:r>
        <w:t>138.</w:t>
      </w:r>
      <w:r>
        <w:tab/>
        <w:t>Meaning of marketing staff</w:t>
      </w:r>
      <w:r>
        <w:tab/>
      </w:r>
      <w:r>
        <w:fldChar w:fldCharType="begin"/>
      </w:r>
      <w:r>
        <w:instrText xml:space="preserve"> PAGEREF _Toc158374883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Minimum ring fencing requirements</w:t>
      </w:r>
    </w:p>
    <w:p>
      <w:pPr>
        <w:pStyle w:val="TOC8"/>
        <w:rPr>
          <w:rFonts w:asciiTheme="minorHAnsi" w:eastAsiaTheme="minorEastAsia" w:hAnsiTheme="minorHAnsi" w:cstheme="minorBidi"/>
          <w:szCs w:val="22"/>
        </w:rPr>
      </w:pPr>
      <w:r>
        <w:t>139.</w:t>
      </w:r>
      <w:r>
        <w:tab/>
        <w:t>Carrying on of related businesses prohibited</w:t>
      </w:r>
      <w:r>
        <w:tab/>
      </w:r>
      <w:r>
        <w:fldChar w:fldCharType="begin"/>
      </w:r>
      <w:r>
        <w:instrText xml:space="preserve"> PAGEREF _Toc158374885 \h </w:instrText>
      </w:r>
      <w:r>
        <w:fldChar w:fldCharType="separate"/>
      </w:r>
      <w:r>
        <w:t>1</w:t>
      </w:r>
      <w:r>
        <w:fldChar w:fldCharType="end"/>
      </w:r>
    </w:p>
    <w:p>
      <w:pPr>
        <w:pStyle w:val="TOC8"/>
        <w:rPr>
          <w:rFonts w:asciiTheme="minorHAnsi" w:eastAsiaTheme="minorEastAsia" w:hAnsiTheme="minorHAnsi" w:cstheme="minorBidi"/>
          <w:szCs w:val="22"/>
        </w:rPr>
      </w:pPr>
      <w:r>
        <w:t>140.</w:t>
      </w:r>
      <w:r>
        <w:tab/>
        <w:t>Marketing staff and the taking part in related businesses</w:t>
      </w:r>
      <w:r>
        <w:tab/>
      </w:r>
      <w:r>
        <w:fldChar w:fldCharType="begin"/>
      </w:r>
      <w:r>
        <w:instrText xml:space="preserve"> PAGEREF _Toc158374886 \h </w:instrText>
      </w:r>
      <w:r>
        <w:fldChar w:fldCharType="separate"/>
      </w:r>
      <w:r>
        <w:t>1</w:t>
      </w:r>
      <w:r>
        <w:fldChar w:fldCharType="end"/>
      </w:r>
    </w:p>
    <w:p>
      <w:pPr>
        <w:pStyle w:val="TOC8"/>
        <w:rPr>
          <w:rFonts w:asciiTheme="minorHAnsi" w:eastAsiaTheme="minorEastAsia" w:hAnsiTheme="minorHAnsi" w:cstheme="minorBidi"/>
          <w:szCs w:val="22"/>
        </w:rPr>
      </w:pPr>
      <w:r>
        <w:t>141.</w:t>
      </w:r>
      <w:r>
        <w:tab/>
        <w:t>Accounts that must be prepared, maintained and kept</w:t>
      </w:r>
      <w:r>
        <w:tab/>
      </w:r>
      <w:r>
        <w:fldChar w:fldCharType="begin"/>
      </w:r>
      <w:r>
        <w:instrText xml:space="preserve"> PAGEREF _Toc158374887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Additional ring fencing requirements</w:t>
      </w:r>
    </w:p>
    <w:p>
      <w:pPr>
        <w:pStyle w:val="TOC8"/>
        <w:rPr>
          <w:rFonts w:asciiTheme="minorHAnsi" w:eastAsiaTheme="minorEastAsia" w:hAnsiTheme="minorHAnsi" w:cstheme="minorBidi"/>
          <w:szCs w:val="22"/>
        </w:rPr>
      </w:pPr>
      <w:r>
        <w:t>142.</w:t>
      </w:r>
      <w:r>
        <w:tab/>
        <w:t>Division does not limit operation of Division 2</w:t>
      </w:r>
      <w:r>
        <w:tab/>
      </w:r>
      <w:r>
        <w:fldChar w:fldCharType="begin"/>
      </w:r>
      <w:r>
        <w:instrText xml:space="preserve"> PAGEREF _Toc158374889 \h </w:instrText>
      </w:r>
      <w:r>
        <w:fldChar w:fldCharType="separate"/>
      </w:r>
      <w:r>
        <w:t>1</w:t>
      </w:r>
      <w:r>
        <w:fldChar w:fldCharType="end"/>
      </w:r>
    </w:p>
    <w:p>
      <w:pPr>
        <w:pStyle w:val="TOC8"/>
        <w:rPr>
          <w:rFonts w:asciiTheme="minorHAnsi" w:eastAsiaTheme="minorEastAsia" w:hAnsiTheme="minorHAnsi" w:cstheme="minorBidi"/>
          <w:szCs w:val="22"/>
        </w:rPr>
      </w:pPr>
      <w:r>
        <w:t>143.</w:t>
      </w:r>
      <w:r>
        <w:tab/>
        <w:t>AER ring fencing determinations</w:t>
      </w:r>
      <w:r>
        <w:tab/>
      </w:r>
      <w:r>
        <w:fldChar w:fldCharType="begin"/>
      </w:r>
      <w:r>
        <w:instrText xml:space="preserve"> PAGEREF _Toc158374890 \h </w:instrText>
      </w:r>
      <w:r>
        <w:fldChar w:fldCharType="separate"/>
      </w:r>
      <w:r>
        <w:t>1</w:t>
      </w:r>
      <w:r>
        <w:fldChar w:fldCharType="end"/>
      </w:r>
    </w:p>
    <w:p>
      <w:pPr>
        <w:pStyle w:val="TOC8"/>
        <w:rPr>
          <w:rFonts w:asciiTheme="minorHAnsi" w:eastAsiaTheme="minorEastAsia" w:hAnsiTheme="minorHAnsi" w:cstheme="minorBidi"/>
          <w:szCs w:val="22"/>
        </w:rPr>
      </w:pPr>
      <w:r>
        <w:t>144.</w:t>
      </w:r>
      <w:r>
        <w:tab/>
        <w:t>AER to have regard to likely compliance costs of additional ring fencing requirements</w:t>
      </w:r>
      <w:r>
        <w:tab/>
      </w:r>
      <w:r>
        <w:fldChar w:fldCharType="begin"/>
      </w:r>
      <w:r>
        <w:instrText xml:space="preserve"> PAGEREF _Toc158374891 \h </w:instrText>
      </w:r>
      <w:r>
        <w:fldChar w:fldCharType="separate"/>
      </w:r>
      <w:r>
        <w:t>1</w:t>
      </w:r>
      <w:r>
        <w:fldChar w:fldCharType="end"/>
      </w:r>
    </w:p>
    <w:p>
      <w:pPr>
        <w:pStyle w:val="TOC8"/>
        <w:rPr>
          <w:rFonts w:asciiTheme="minorHAnsi" w:eastAsiaTheme="minorEastAsia" w:hAnsiTheme="minorHAnsi" w:cstheme="minorBidi"/>
          <w:szCs w:val="22"/>
        </w:rPr>
      </w:pPr>
      <w:r>
        <w:t>145.</w:t>
      </w:r>
      <w:r>
        <w:tab/>
        <w:t>Types of ring fencing requirements that may be specified in an AER ring fencing determination</w:t>
      </w:r>
      <w:r>
        <w:tab/>
      </w:r>
      <w:r>
        <w:fldChar w:fldCharType="begin"/>
      </w:r>
      <w:r>
        <w:instrText xml:space="preserve"> PAGEREF _Toc158374892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AER ring fencing exemptions</w:t>
      </w:r>
    </w:p>
    <w:p>
      <w:pPr>
        <w:pStyle w:val="TOC8"/>
        <w:rPr>
          <w:rFonts w:asciiTheme="minorHAnsi" w:eastAsiaTheme="minorEastAsia" w:hAnsiTheme="minorHAnsi" w:cstheme="minorBidi"/>
          <w:szCs w:val="22"/>
        </w:rPr>
      </w:pPr>
      <w:r>
        <w:t>146.</w:t>
      </w:r>
      <w:r>
        <w:tab/>
        <w:t>Exemptions from minimum ring fencing requirements</w:t>
      </w:r>
      <w:r>
        <w:tab/>
      </w:r>
      <w:r>
        <w:fldChar w:fldCharType="begin"/>
      </w:r>
      <w:r>
        <w:instrText xml:space="preserve"> PAGEREF _Toc158374894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5 — Associate contracts</w:t>
      </w:r>
    </w:p>
    <w:p>
      <w:pPr>
        <w:pStyle w:val="TOC8"/>
        <w:rPr>
          <w:rFonts w:asciiTheme="minorHAnsi" w:eastAsiaTheme="minorEastAsia" w:hAnsiTheme="minorHAnsi" w:cstheme="minorBidi"/>
          <w:szCs w:val="22"/>
        </w:rPr>
      </w:pPr>
      <w:r>
        <w:t>147.</w:t>
      </w:r>
      <w:r>
        <w:tab/>
        <w:t>Service provider must not enter into or give effect to associate contracts that have anti</w:t>
      </w:r>
      <w:r>
        <w:noBreakHyphen/>
        <w:t>competitive effect</w:t>
      </w:r>
      <w:r>
        <w:tab/>
      </w:r>
      <w:r>
        <w:fldChar w:fldCharType="begin"/>
      </w:r>
      <w:r>
        <w:instrText xml:space="preserve"> PAGEREF _Toc158374896 \h </w:instrText>
      </w:r>
      <w:r>
        <w:fldChar w:fldCharType="separate"/>
      </w:r>
      <w:r>
        <w:t>1</w:t>
      </w:r>
      <w:r>
        <w:fldChar w:fldCharType="end"/>
      </w:r>
    </w:p>
    <w:p>
      <w:pPr>
        <w:pStyle w:val="TOC8"/>
        <w:rPr>
          <w:rFonts w:asciiTheme="minorHAnsi" w:eastAsiaTheme="minorEastAsia" w:hAnsiTheme="minorHAnsi" w:cstheme="minorBidi"/>
          <w:szCs w:val="22"/>
        </w:rPr>
      </w:pPr>
      <w:r>
        <w:t>148.</w:t>
      </w:r>
      <w:r>
        <w:tab/>
        <w:t>Service provider must not enter into or give effect to associate contracts inconsistent with competitive parity rule</w:t>
      </w:r>
      <w:r>
        <w:tab/>
      </w:r>
      <w:r>
        <w:fldChar w:fldCharType="begin"/>
      </w:r>
      <w:r>
        <w:instrText xml:space="preserve"> PAGEREF _Toc158374897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5 — Greenfields pipeline incentives</w:t>
      </w:r>
    </w:p>
    <w:p>
      <w:pPr>
        <w:pStyle w:val="TOC4"/>
        <w:tabs>
          <w:tab w:val="right" w:leader="dot" w:pos="7077"/>
        </w:tabs>
        <w:rPr>
          <w:rFonts w:asciiTheme="minorHAnsi" w:eastAsiaTheme="minorEastAsia" w:hAnsiTheme="minorHAnsi" w:cstheme="minorBidi"/>
          <w:b w:val="0"/>
          <w:szCs w:val="22"/>
        </w:rPr>
      </w:pPr>
      <w:r>
        <w:t>Part 1 — Interpretation</w:t>
      </w:r>
    </w:p>
    <w:p>
      <w:pPr>
        <w:pStyle w:val="TOC8"/>
        <w:rPr>
          <w:rFonts w:asciiTheme="minorHAnsi" w:eastAsiaTheme="minorEastAsia" w:hAnsiTheme="minorHAnsi" w:cstheme="minorBidi"/>
          <w:szCs w:val="22"/>
        </w:rPr>
      </w:pPr>
      <w:r>
        <w:t>149.</w:t>
      </w:r>
      <w:r>
        <w:tab/>
        <w:t>Definitions</w:t>
      </w:r>
      <w:r>
        <w:tab/>
      </w:r>
      <w:r>
        <w:fldChar w:fldCharType="begin"/>
      </w:r>
      <w:r>
        <w:instrText xml:space="preserve"> PAGEREF _Toc158374900 \h </w:instrText>
      </w:r>
      <w:r>
        <w:fldChar w:fldCharType="separate"/>
      </w:r>
      <w:r>
        <w:t>1</w:t>
      </w:r>
      <w:r>
        <w:fldChar w:fldCharType="end"/>
      </w:r>
    </w:p>
    <w:p>
      <w:pPr>
        <w:pStyle w:val="TOC8"/>
        <w:rPr>
          <w:rFonts w:asciiTheme="minorHAnsi" w:eastAsiaTheme="minorEastAsia" w:hAnsiTheme="minorHAnsi" w:cstheme="minorBidi"/>
          <w:szCs w:val="22"/>
        </w:rPr>
      </w:pPr>
      <w:r>
        <w:t>150.</w:t>
      </w:r>
      <w:r>
        <w:tab/>
        <w:t>International pipeline to be a transmission pipeline for purposes of Chapter</w:t>
      </w:r>
      <w:r>
        <w:tab/>
      </w:r>
      <w:r>
        <w:fldChar w:fldCharType="begin"/>
      </w:r>
      <w:r>
        <w:instrText xml:space="preserve"> PAGEREF _Toc158374901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 — 15</w:t>
      </w:r>
      <w:r>
        <w:noBreakHyphen/>
        <w:t>year no</w:t>
      </w:r>
      <w:r>
        <w:noBreakHyphen/>
        <w:t>coverage determinations</w:t>
      </w:r>
    </w:p>
    <w:p>
      <w:pPr>
        <w:pStyle w:val="TOC8"/>
        <w:rPr>
          <w:rFonts w:asciiTheme="minorHAnsi" w:eastAsiaTheme="minorEastAsia" w:hAnsiTheme="minorHAnsi" w:cstheme="minorBidi"/>
          <w:szCs w:val="22"/>
        </w:rPr>
      </w:pPr>
      <w:r>
        <w:t>151.</w:t>
      </w:r>
      <w:r>
        <w:tab/>
        <w:t>Application for 15</w:t>
      </w:r>
      <w:r>
        <w:noBreakHyphen/>
        <w:t>year no</w:t>
      </w:r>
      <w:r>
        <w:noBreakHyphen/>
        <w:t>coverage determination for proposed pipeline</w:t>
      </w:r>
      <w:r>
        <w:tab/>
      </w:r>
      <w:r>
        <w:fldChar w:fldCharType="begin"/>
      </w:r>
      <w:r>
        <w:instrText xml:space="preserve"> PAGEREF _Toc158374903 \h </w:instrText>
      </w:r>
      <w:r>
        <w:fldChar w:fldCharType="separate"/>
      </w:r>
      <w:r>
        <w:t>1</w:t>
      </w:r>
      <w:r>
        <w:fldChar w:fldCharType="end"/>
      </w:r>
    </w:p>
    <w:p>
      <w:pPr>
        <w:pStyle w:val="TOC8"/>
        <w:rPr>
          <w:rFonts w:asciiTheme="minorHAnsi" w:eastAsiaTheme="minorEastAsia" w:hAnsiTheme="minorHAnsi" w:cstheme="minorBidi"/>
          <w:szCs w:val="22"/>
        </w:rPr>
      </w:pPr>
      <w:r>
        <w:t>152.</w:t>
      </w:r>
      <w:r>
        <w:tab/>
        <w:t>Application to be dealt with in accordance with the Rules</w:t>
      </w:r>
      <w:r>
        <w:tab/>
      </w:r>
      <w:r>
        <w:fldChar w:fldCharType="begin"/>
      </w:r>
      <w:r>
        <w:instrText xml:space="preserve"> PAGEREF _Toc158374904 \h </w:instrText>
      </w:r>
      <w:r>
        <w:fldChar w:fldCharType="separate"/>
      </w:r>
      <w:r>
        <w:t>1</w:t>
      </w:r>
      <w:r>
        <w:fldChar w:fldCharType="end"/>
      </w:r>
    </w:p>
    <w:p>
      <w:pPr>
        <w:pStyle w:val="TOC8"/>
        <w:rPr>
          <w:rFonts w:asciiTheme="minorHAnsi" w:eastAsiaTheme="minorEastAsia" w:hAnsiTheme="minorHAnsi" w:cstheme="minorBidi"/>
          <w:szCs w:val="22"/>
        </w:rPr>
      </w:pPr>
      <w:r>
        <w:t>153.</w:t>
      </w:r>
      <w:r>
        <w:tab/>
        <w:t>No</w:t>
      </w:r>
      <w:r>
        <w:noBreakHyphen/>
        <w:t>coverage recommendation</w:t>
      </w:r>
      <w:r>
        <w:tab/>
      </w:r>
      <w:r>
        <w:fldChar w:fldCharType="begin"/>
      </w:r>
      <w:r>
        <w:instrText xml:space="preserve"> PAGEREF _Toc158374905 \h </w:instrText>
      </w:r>
      <w:r>
        <w:fldChar w:fldCharType="separate"/>
      </w:r>
      <w:r>
        <w:t>1</w:t>
      </w:r>
      <w:r>
        <w:fldChar w:fldCharType="end"/>
      </w:r>
    </w:p>
    <w:p>
      <w:pPr>
        <w:pStyle w:val="TOC8"/>
        <w:rPr>
          <w:rFonts w:asciiTheme="minorHAnsi" w:eastAsiaTheme="minorEastAsia" w:hAnsiTheme="minorHAnsi" w:cstheme="minorBidi"/>
          <w:szCs w:val="22"/>
        </w:rPr>
      </w:pPr>
      <w:r>
        <w:t>154.</w:t>
      </w:r>
      <w:r>
        <w:tab/>
        <w:t>Principles governing the making of a no</w:t>
      </w:r>
      <w:r>
        <w:noBreakHyphen/>
        <w:t>coverage recommendation</w:t>
      </w:r>
      <w:r>
        <w:tab/>
      </w:r>
      <w:r>
        <w:fldChar w:fldCharType="begin"/>
      </w:r>
      <w:r>
        <w:instrText xml:space="preserve"> PAGEREF _Toc158374906 \h </w:instrText>
      </w:r>
      <w:r>
        <w:fldChar w:fldCharType="separate"/>
      </w:r>
      <w:r>
        <w:t>1</w:t>
      </w:r>
      <w:r>
        <w:fldChar w:fldCharType="end"/>
      </w:r>
    </w:p>
    <w:p>
      <w:pPr>
        <w:pStyle w:val="TOC8"/>
        <w:rPr>
          <w:rFonts w:asciiTheme="minorHAnsi" w:eastAsiaTheme="minorEastAsia" w:hAnsiTheme="minorHAnsi" w:cstheme="minorBidi"/>
          <w:szCs w:val="22"/>
        </w:rPr>
      </w:pPr>
      <w:r>
        <w:t>155.</w:t>
      </w:r>
      <w:r>
        <w:tab/>
        <w:t>Initial classification decision to be made as part of recommendation</w:t>
      </w:r>
      <w:r>
        <w:tab/>
      </w:r>
      <w:r>
        <w:fldChar w:fldCharType="begin"/>
      </w:r>
      <w:r>
        <w:instrText xml:space="preserve"> PAGEREF _Toc158374907 \h </w:instrText>
      </w:r>
      <w:r>
        <w:fldChar w:fldCharType="separate"/>
      </w:r>
      <w:r>
        <w:t>1</w:t>
      </w:r>
      <w:r>
        <w:fldChar w:fldCharType="end"/>
      </w:r>
    </w:p>
    <w:p>
      <w:pPr>
        <w:pStyle w:val="TOC8"/>
        <w:rPr>
          <w:rFonts w:asciiTheme="minorHAnsi" w:eastAsiaTheme="minorEastAsia" w:hAnsiTheme="minorHAnsi" w:cstheme="minorBidi"/>
          <w:szCs w:val="22"/>
        </w:rPr>
      </w:pPr>
      <w:r>
        <w:t>156.</w:t>
      </w:r>
      <w:r>
        <w:tab/>
        <w:t>Relevant Minister’s determination on application</w:t>
      </w:r>
      <w:r>
        <w:tab/>
      </w:r>
      <w:r>
        <w:fldChar w:fldCharType="begin"/>
      </w:r>
      <w:r>
        <w:instrText xml:space="preserve"> PAGEREF _Toc158374908 \h </w:instrText>
      </w:r>
      <w:r>
        <w:fldChar w:fldCharType="separate"/>
      </w:r>
      <w:r>
        <w:t>1</w:t>
      </w:r>
      <w:r>
        <w:fldChar w:fldCharType="end"/>
      </w:r>
    </w:p>
    <w:p>
      <w:pPr>
        <w:pStyle w:val="TOC8"/>
        <w:rPr>
          <w:rFonts w:asciiTheme="minorHAnsi" w:eastAsiaTheme="minorEastAsia" w:hAnsiTheme="minorHAnsi" w:cstheme="minorBidi"/>
          <w:szCs w:val="22"/>
        </w:rPr>
      </w:pPr>
      <w:r>
        <w:t>157.</w:t>
      </w:r>
      <w:r>
        <w:tab/>
        <w:t>Principles governing the making of a 15</w:t>
      </w:r>
      <w:r>
        <w:noBreakHyphen/>
        <w:t>year no</w:t>
      </w:r>
      <w:r>
        <w:noBreakHyphen/>
        <w:t>coverage determination or decision not to do so</w:t>
      </w:r>
      <w:r>
        <w:tab/>
      </w:r>
      <w:r>
        <w:fldChar w:fldCharType="begin"/>
      </w:r>
      <w:r>
        <w:instrText xml:space="preserve"> PAGEREF _Toc158374909 \h </w:instrText>
      </w:r>
      <w:r>
        <w:fldChar w:fldCharType="separate"/>
      </w:r>
      <w:r>
        <w:t>1</w:t>
      </w:r>
      <w:r>
        <w:fldChar w:fldCharType="end"/>
      </w:r>
    </w:p>
    <w:p>
      <w:pPr>
        <w:pStyle w:val="TOC8"/>
        <w:rPr>
          <w:rFonts w:asciiTheme="minorHAnsi" w:eastAsiaTheme="minorEastAsia" w:hAnsiTheme="minorHAnsi" w:cstheme="minorBidi"/>
          <w:szCs w:val="22"/>
        </w:rPr>
      </w:pPr>
      <w:r>
        <w:t>158.</w:t>
      </w:r>
      <w:r>
        <w:tab/>
        <w:t>Effect of 15</w:t>
      </w:r>
      <w:r>
        <w:noBreakHyphen/>
        <w:t>year no</w:t>
      </w:r>
      <w:r>
        <w:noBreakHyphen/>
        <w:t>coverage determination</w:t>
      </w:r>
      <w:r>
        <w:tab/>
      </w:r>
      <w:r>
        <w:fldChar w:fldCharType="begin"/>
      </w:r>
      <w:r>
        <w:instrText xml:space="preserve"> PAGEREF _Toc158374910 \h </w:instrText>
      </w:r>
      <w:r>
        <w:fldChar w:fldCharType="separate"/>
      </w:r>
      <w:r>
        <w:t>1</w:t>
      </w:r>
      <w:r>
        <w:fldChar w:fldCharType="end"/>
      </w:r>
    </w:p>
    <w:p>
      <w:pPr>
        <w:pStyle w:val="TOC8"/>
        <w:rPr>
          <w:rFonts w:asciiTheme="minorHAnsi" w:eastAsiaTheme="minorEastAsia" w:hAnsiTheme="minorHAnsi" w:cstheme="minorBidi"/>
          <w:szCs w:val="22"/>
        </w:rPr>
      </w:pPr>
      <w:r>
        <w:t>159.</w:t>
      </w:r>
      <w:r>
        <w:tab/>
        <w:t>Consequences of Minister deciding against making 15</w:t>
      </w:r>
      <w:r>
        <w:noBreakHyphen/>
        <w:t>year no</w:t>
      </w:r>
      <w:r>
        <w:noBreakHyphen/>
        <w:t>coverage determination for international pipeline</w:t>
      </w:r>
      <w:r>
        <w:tab/>
      </w:r>
      <w:r>
        <w:fldChar w:fldCharType="begin"/>
      </w:r>
      <w:r>
        <w:instrText xml:space="preserve"> PAGEREF _Toc158374911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 — Price regulation exemptions</w:t>
      </w:r>
    </w:p>
    <w:p>
      <w:pPr>
        <w:pStyle w:val="TOC6"/>
        <w:tabs>
          <w:tab w:val="right" w:leader="dot" w:pos="7077"/>
        </w:tabs>
        <w:rPr>
          <w:rFonts w:asciiTheme="minorHAnsi" w:eastAsiaTheme="minorEastAsia" w:hAnsiTheme="minorHAnsi" w:cstheme="minorBidi"/>
          <w:b w:val="0"/>
          <w:sz w:val="22"/>
          <w:szCs w:val="22"/>
        </w:rPr>
      </w:pPr>
      <w:r>
        <w:t>Division 1 — Application for price regulation exemption</w:t>
      </w:r>
    </w:p>
    <w:p>
      <w:pPr>
        <w:pStyle w:val="TOC8"/>
        <w:rPr>
          <w:rFonts w:asciiTheme="minorHAnsi" w:eastAsiaTheme="minorEastAsia" w:hAnsiTheme="minorHAnsi" w:cstheme="minorBidi"/>
          <w:szCs w:val="22"/>
        </w:rPr>
      </w:pPr>
      <w:r>
        <w:t>160.</w:t>
      </w:r>
      <w:r>
        <w:tab/>
        <w:t>Application for price regulation exemption</w:t>
      </w:r>
      <w:r>
        <w:tab/>
      </w:r>
      <w:r>
        <w:fldChar w:fldCharType="begin"/>
      </w:r>
      <w:r>
        <w:instrText xml:space="preserve"> PAGEREF _Toc158374914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Recommendations by NCC</w:t>
      </w:r>
    </w:p>
    <w:p>
      <w:pPr>
        <w:pStyle w:val="TOC8"/>
        <w:rPr>
          <w:rFonts w:asciiTheme="minorHAnsi" w:eastAsiaTheme="minorEastAsia" w:hAnsiTheme="minorHAnsi" w:cstheme="minorBidi"/>
          <w:szCs w:val="22"/>
        </w:rPr>
      </w:pPr>
      <w:r>
        <w:t>161.</w:t>
      </w:r>
      <w:r>
        <w:tab/>
        <w:t>Application to be dealt with in accordance with the Rules</w:t>
      </w:r>
      <w:r>
        <w:tab/>
      </w:r>
      <w:r>
        <w:fldChar w:fldCharType="begin"/>
      </w:r>
      <w:r>
        <w:instrText xml:space="preserve"> PAGEREF _Toc158374916 \h </w:instrText>
      </w:r>
      <w:r>
        <w:fldChar w:fldCharType="separate"/>
      </w:r>
      <w:r>
        <w:t>1</w:t>
      </w:r>
      <w:r>
        <w:fldChar w:fldCharType="end"/>
      </w:r>
    </w:p>
    <w:p>
      <w:pPr>
        <w:pStyle w:val="TOC8"/>
        <w:keepNext/>
        <w:rPr>
          <w:rFonts w:asciiTheme="minorHAnsi" w:eastAsiaTheme="minorEastAsia" w:hAnsiTheme="minorHAnsi" w:cstheme="minorBidi"/>
          <w:szCs w:val="22"/>
        </w:rPr>
      </w:pPr>
      <w:r>
        <w:lastRenderedPageBreak/>
        <w:t>162.</w:t>
      </w:r>
      <w:r>
        <w:tab/>
        <w:t>NCC’s recommendation</w:t>
      </w:r>
      <w:r>
        <w:tab/>
      </w:r>
      <w:r>
        <w:fldChar w:fldCharType="begin"/>
      </w:r>
      <w:r>
        <w:instrText xml:space="preserve"> PAGEREF _Toc158374917 \h </w:instrText>
      </w:r>
      <w:r>
        <w:fldChar w:fldCharType="separate"/>
      </w:r>
      <w:r>
        <w:t>1</w:t>
      </w:r>
      <w:r>
        <w:fldChar w:fldCharType="end"/>
      </w:r>
    </w:p>
    <w:p>
      <w:pPr>
        <w:pStyle w:val="TOC8"/>
        <w:rPr>
          <w:rFonts w:asciiTheme="minorHAnsi" w:eastAsiaTheme="minorEastAsia" w:hAnsiTheme="minorHAnsi" w:cstheme="minorBidi"/>
          <w:szCs w:val="22"/>
        </w:rPr>
      </w:pPr>
      <w:r>
        <w:t>163.</w:t>
      </w:r>
      <w:r>
        <w:tab/>
        <w:t>General principle governing NCC’s recommendation</w:t>
      </w:r>
      <w:r>
        <w:tab/>
      </w:r>
      <w:r>
        <w:fldChar w:fldCharType="begin"/>
      </w:r>
      <w:r>
        <w:instrText xml:space="preserve"> PAGEREF _Toc158374918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Making and effect of price regulation exemption</w:t>
      </w:r>
    </w:p>
    <w:p>
      <w:pPr>
        <w:pStyle w:val="TOC8"/>
        <w:rPr>
          <w:rFonts w:asciiTheme="minorHAnsi" w:eastAsiaTheme="minorEastAsia" w:hAnsiTheme="minorHAnsi" w:cstheme="minorBidi"/>
          <w:szCs w:val="22"/>
        </w:rPr>
      </w:pPr>
      <w:r>
        <w:t>164.</w:t>
      </w:r>
      <w:r>
        <w:tab/>
        <w:t>Making of price regulation exemption</w:t>
      </w:r>
      <w:r>
        <w:tab/>
      </w:r>
      <w:r>
        <w:fldChar w:fldCharType="begin"/>
      </w:r>
      <w:r>
        <w:instrText xml:space="preserve"> PAGEREF _Toc158374920 \h </w:instrText>
      </w:r>
      <w:r>
        <w:fldChar w:fldCharType="separate"/>
      </w:r>
      <w:r>
        <w:t>1</w:t>
      </w:r>
      <w:r>
        <w:fldChar w:fldCharType="end"/>
      </w:r>
    </w:p>
    <w:p>
      <w:pPr>
        <w:pStyle w:val="TOC8"/>
        <w:rPr>
          <w:rFonts w:asciiTheme="minorHAnsi" w:eastAsiaTheme="minorEastAsia" w:hAnsiTheme="minorHAnsi" w:cstheme="minorBidi"/>
          <w:szCs w:val="22"/>
        </w:rPr>
      </w:pPr>
      <w:r>
        <w:t>165.</w:t>
      </w:r>
      <w:r>
        <w:tab/>
        <w:t>Principles governing the making of a price regulation exemption</w:t>
      </w:r>
      <w:r>
        <w:tab/>
      </w:r>
      <w:r>
        <w:fldChar w:fldCharType="begin"/>
      </w:r>
      <w:r>
        <w:instrText xml:space="preserve"> PAGEREF _Toc158374921 \h </w:instrText>
      </w:r>
      <w:r>
        <w:fldChar w:fldCharType="separate"/>
      </w:r>
      <w:r>
        <w:t>1</w:t>
      </w:r>
      <w:r>
        <w:fldChar w:fldCharType="end"/>
      </w:r>
    </w:p>
    <w:p>
      <w:pPr>
        <w:pStyle w:val="TOC8"/>
        <w:rPr>
          <w:rFonts w:asciiTheme="minorHAnsi" w:eastAsiaTheme="minorEastAsia" w:hAnsiTheme="minorHAnsi" w:cstheme="minorBidi"/>
          <w:szCs w:val="22"/>
        </w:rPr>
      </w:pPr>
      <w:r>
        <w:t>166.</w:t>
      </w:r>
      <w:r>
        <w:tab/>
        <w:t>Conditions applying to a price regulation exemption</w:t>
      </w:r>
      <w:r>
        <w:tab/>
      </w:r>
      <w:r>
        <w:fldChar w:fldCharType="begin"/>
      </w:r>
      <w:r>
        <w:instrText xml:space="preserve"> PAGEREF _Toc158374922 \h </w:instrText>
      </w:r>
      <w:r>
        <w:fldChar w:fldCharType="separate"/>
      </w:r>
      <w:r>
        <w:t>1</w:t>
      </w:r>
      <w:r>
        <w:fldChar w:fldCharType="end"/>
      </w:r>
    </w:p>
    <w:p>
      <w:pPr>
        <w:pStyle w:val="TOC8"/>
        <w:rPr>
          <w:rFonts w:asciiTheme="minorHAnsi" w:eastAsiaTheme="minorEastAsia" w:hAnsiTheme="minorHAnsi" w:cstheme="minorBidi"/>
          <w:szCs w:val="22"/>
        </w:rPr>
      </w:pPr>
      <w:r>
        <w:t>167.</w:t>
      </w:r>
      <w:r>
        <w:tab/>
        <w:t>Effect of price regulation exemption</w:t>
      </w:r>
      <w:r>
        <w:tab/>
      </w:r>
      <w:r>
        <w:fldChar w:fldCharType="begin"/>
      </w:r>
      <w:r>
        <w:instrText xml:space="preserve"> PAGEREF _Toc158374923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Limited access arrangements</w:t>
      </w:r>
    </w:p>
    <w:p>
      <w:pPr>
        <w:pStyle w:val="TOC8"/>
        <w:rPr>
          <w:rFonts w:asciiTheme="minorHAnsi" w:eastAsiaTheme="minorEastAsia" w:hAnsiTheme="minorHAnsi" w:cstheme="minorBidi"/>
          <w:szCs w:val="22"/>
        </w:rPr>
      </w:pPr>
      <w:r>
        <w:t>168.</w:t>
      </w:r>
      <w:r>
        <w:tab/>
        <w:t>Limited access arrangements for pipeline services provided by international pipeline to which a price regulation exemption applies</w:t>
      </w:r>
      <w:r>
        <w:tab/>
      </w:r>
      <w:r>
        <w:fldChar w:fldCharType="begin"/>
      </w:r>
      <w:r>
        <w:instrText xml:space="preserve"> PAGEREF _Toc158374925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Other matters</w:t>
      </w:r>
    </w:p>
    <w:p>
      <w:pPr>
        <w:pStyle w:val="TOC8"/>
        <w:rPr>
          <w:rFonts w:asciiTheme="minorHAnsi" w:eastAsiaTheme="minorEastAsia" w:hAnsiTheme="minorHAnsi" w:cstheme="minorBidi"/>
          <w:szCs w:val="22"/>
        </w:rPr>
      </w:pPr>
      <w:r>
        <w:t>169.</w:t>
      </w:r>
      <w:r>
        <w:tab/>
        <w:t>Other obligations to which service provider is subject</w:t>
      </w:r>
      <w:r>
        <w:tab/>
      </w:r>
      <w:r>
        <w:fldChar w:fldCharType="begin"/>
      </w:r>
      <w:r>
        <w:instrText xml:space="preserve"> PAGEREF _Toc158374927 \h </w:instrText>
      </w:r>
      <w:r>
        <w:fldChar w:fldCharType="separate"/>
      </w:r>
      <w:r>
        <w:t>1</w:t>
      </w:r>
      <w:r>
        <w:fldChar w:fldCharType="end"/>
      </w:r>
    </w:p>
    <w:p>
      <w:pPr>
        <w:pStyle w:val="TOC8"/>
        <w:rPr>
          <w:rFonts w:asciiTheme="minorHAnsi" w:eastAsiaTheme="minorEastAsia" w:hAnsiTheme="minorHAnsi" w:cstheme="minorBidi"/>
          <w:szCs w:val="22"/>
        </w:rPr>
      </w:pPr>
      <w:r>
        <w:t>170.</w:t>
      </w:r>
      <w:r>
        <w:tab/>
        <w:t>Service provider must not price discriminate in providing international pipeline services</w:t>
      </w:r>
      <w:r>
        <w:tab/>
      </w:r>
      <w:r>
        <w:fldChar w:fldCharType="begin"/>
      </w:r>
      <w:r>
        <w:instrText xml:space="preserve"> PAGEREF _Toc158374928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 — Extended or modified application of greenfields pipeline incentive</w:t>
      </w:r>
    </w:p>
    <w:p>
      <w:pPr>
        <w:pStyle w:val="TOC8"/>
        <w:rPr>
          <w:rFonts w:asciiTheme="minorHAnsi" w:eastAsiaTheme="minorEastAsia" w:hAnsiTheme="minorHAnsi" w:cstheme="minorBidi"/>
          <w:szCs w:val="22"/>
        </w:rPr>
      </w:pPr>
      <w:r>
        <w:t>171.</w:t>
      </w:r>
      <w:r>
        <w:tab/>
        <w:t>Requirement for conformity between pipeline description and pipeline as constructed</w:t>
      </w:r>
      <w:r>
        <w:tab/>
      </w:r>
      <w:r>
        <w:fldChar w:fldCharType="begin"/>
      </w:r>
      <w:r>
        <w:instrText xml:space="preserve"> PAGEREF _Toc158374930 \h </w:instrText>
      </w:r>
      <w:r>
        <w:fldChar w:fldCharType="separate"/>
      </w:r>
      <w:r>
        <w:t>1</w:t>
      </w:r>
      <w:r>
        <w:fldChar w:fldCharType="end"/>
      </w:r>
    </w:p>
    <w:p>
      <w:pPr>
        <w:pStyle w:val="TOC8"/>
        <w:rPr>
          <w:rFonts w:asciiTheme="minorHAnsi" w:eastAsiaTheme="minorEastAsia" w:hAnsiTheme="minorHAnsi" w:cstheme="minorBidi"/>
          <w:szCs w:val="22"/>
        </w:rPr>
      </w:pPr>
      <w:r>
        <w:t>172.</w:t>
      </w:r>
      <w:r>
        <w:tab/>
        <w:t>Power of relevant Minister to amend pipeline description</w:t>
      </w:r>
      <w:r>
        <w:tab/>
      </w:r>
      <w:r>
        <w:fldChar w:fldCharType="begin"/>
      </w:r>
      <w:r>
        <w:instrText xml:space="preserve"> PAGEREF _Toc158374931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5 — Early termination of greenfields pipeline incentive</w:t>
      </w:r>
    </w:p>
    <w:p>
      <w:pPr>
        <w:pStyle w:val="TOC8"/>
        <w:rPr>
          <w:rFonts w:asciiTheme="minorHAnsi" w:eastAsiaTheme="minorEastAsia" w:hAnsiTheme="minorHAnsi" w:cstheme="minorBidi"/>
          <w:szCs w:val="22"/>
        </w:rPr>
      </w:pPr>
      <w:r>
        <w:t>173.</w:t>
      </w:r>
      <w:r>
        <w:tab/>
        <w:t>Greenfields pipeline incentive may lapse</w:t>
      </w:r>
      <w:r>
        <w:tab/>
      </w:r>
      <w:r>
        <w:fldChar w:fldCharType="begin"/>
      </w:r>
      <w:r>
        <w:instrText xml:space="preserve"> PAGEREF _Toc158374933 \h </w:instrText>
      </w:r>
      <w:r>
        <w:fldChar w:fldCharType="separate"/>
      </w:r>
      <w:r>
        <w:t>1</w:t>
      </w:r>
      <w:r>
        <w:fldChar w:fldCharType="end"/>
      </w:r>
    </w:p>
    <w:p>
      <w:pPr>
        <w:pStyle w:val="TOC8"/>
        <w:rPr>
          <w:rFonts w:asciiTheme="minorHAnsi" w:eastAsiaTheme="minorEastAsia" w:hAnsiTheme="minorHAnsi" w:cstheme="minorBidi"/>
          <w:szCs w:val="22"/>
        </w:rPr>
      </w:pPr>
      <w:r>
        <w:t>174.</w:t>
      </w:r>
      <w:r>
        <w:tab/>
        <w:t>Revocation by consent</w:t>
      </w:r>
      <w:r>
        <w:tab/>
      </w:r>
      <w:r>
        <w:fldChar w:fldCharType="begin"/>
      </w:r>
      <w:r>
        <w:instrText xml:space="preserve"> PAGEREF _Toc158374934 \h </w:instrText>
      </w:r>
      <w:r>
        <w:fldChar w:fldCharType="separate"/>
      </w:r>
      <w:r>
        <w:t>1</w:t>
      </w:r>
      <w:r>
        <w:fldChar w:fldCharType="end"/>
      </w:r>
    </w:p>
    <w:p>
      <w:pPr>
        <w:pStyle w:val="TOC8"/>
        <w:rPr>
          <w:rFonts w:asciiTheme="minorHAnsi" w:eastAsiaTheme="minorEastAsia" w:hAnsiTheme="minorHAnsi" w:cstheme="minorBidi"/>
          <w:szCs w:val="22"/>
        </w:rPr>
      </w:pPr>
      <w:r>
        <w:t>175.</w:t>
      </w:r>
      <w:r>
        <w:tab/>
        <w:t>Revocation for misrepresentation</w:t>
      </w:r>
      <w:r>
        <w:tab/>
      </w:r>
      <w:r>
        <w:fldChar w:fldCharType="begin"/>
      </w:r>
      <w:r>
        <w:instrText xml:space="preserve"> PAGEREF _Toc158374935 \h </w:instrText>
      </w:r>
      <w:r>
        <w:fldChar w:fldCharType="separate"/>
      </w:r>
      <w:r>
        <w:t>1</w:t>
      </w:r>
      <w:r>
        <w:fldChar w:fldCharType="end"/>
      </w:r>
    </w:p>
    <w:p>
      <w:pPr>
        <w:pStyle w:val="TOC8"/>
        <w:rPr>
          <w:rFonts w:asciiTheme="minorHAnsi" w:eastAsiaTheme="minorEastAsia" w:hAnsiTheme="minorHAnsi" w:cstheme="minorBidi"/>
          <w:szCs w:val="22"/>
        </w:rPr>
      </w:pPr>
      <w:r>
        <w:t>176.</w:t>
      </w:r>
      <w:r>
        <w:tab/>
        <w:t>Revocation for breach of condition to which a price regulation exemption is subject</w:t>
      </w:r>
      <w:r>
        <w:tab/>
      </w:r>
      <w:r>
        <w:fldChar w:fldCharType="begin"/>
      </w:r>
      <w:r>
        <w:instrText xml:space="preserve"> PAGEREF _Toc158374936 \h </w:instrText>
      </w:r>
      <w:r>
        <w:fldChar w:fldCharType="separate"/>
      </w:r>
      <w:r>
        <w:t>1</w:t>
      </w:r>
      <w:r>
        <w:fldChar w:fldCharType="end"/>
      </w:r>
    </w:p>
    <w:p>
      <w:pPr>
        <w:pStyle w:val="TOC8"/>
        <w:rPr>
          <w:rFonts w:asciiTheme="minorHAnsi" w:eastAsiaTheme="minorEastAsia" w:hAnsiTheme="minorHAnsi" w:cstheme="minorBidi"/>
          <w:szCs w:val="22"/>
        </w:rPr>
      </w:pPr>
      <w:r>
        <w:t>177.</w:t>
      </w:r>
      <w:r>
        <w:tab/>
        <w:t>Exhaustive provision for termination of greenfields pipeline incentive</w:t>
      </w:r>
      <w:r>
        <w:tab/>
      </w:r>
      <w:r>
        <w:fldChar w:fldCharType="begin"/>
      </w:r>
      <w:r>
        <w:instrText xml:space="preserve"> PAGEREF _Toc158374937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6 — Access disputes—scheme pipelines</w:t>
      </w:r>
    </w:p>
    <w:p>
      <w:pPr>
        <w:pStyle w:val="TOC4"/>
        <w:tabs>
          <w:tab w:val="right" w:leader="dot" w:pos="7077"/>
        </w:tabs>
        <w:rPr>
          <w:rFonts w:asciiTheme="minorHAnsi" w:eastAsiaTheme="minorEastAsia" w:hAnsiTheme="minorHAnsi" w:cstheme="minorBidi"/>
          <w:b w:val="0"/>
          <w:szCs w:val="22"/>
        </w:rPr>
      </w:pPr>
      <w:r>
        <w:t>Part 1 — Interpretation and application</w:t>
      </w:r>
    </w:p>
    <w:p>
      <w:pPr>
        <w:pStyle w:val="TOC8"/>
        <w:rPr>
          <w:rFonts w:asciiTheme="minorHAnsi" w:eastAsiaTheme="minorEastAsia" w:hAnsiTheme="minorHAnsi" w:cstheme="minorBidi"/>
          <w:szCs w:val="22"/>
        </w:rPr>
      </w:pPr>
      <w:r>
        <w:t>178.</w:t>
      </w:r>
      <w:r>
        <w:tab/>
        <w:t>Definitions</w:t>
      </w:r>
      <w:r>
        <w:tab/>
      </w:r>
      <w:r>
        <w:fldChar w:fldCharType="begin"/>
      </w:r>
      <w:r>
        <w:instrText xml:space="preserve"> PAGEREF _Toc158374940 \h </w:instrText>
      </w:r>
      <w:r>
        <w:fldChar w:fldCharType="separate"/>
      </w:r>
      <w:r>
        <w:t>1</w:t>
      </w:r>
      <w:r>
        <w:fldChar w:fldCharType="end"/>
      </w:r>
    </w:p>
    <w:p>
      <w:pPr>
        <w:pStyle w:val="TOC8"/>
        <w:rPr>
          <w:rFonts w:asciiTheme="minorHAnsi" w:eastAsiaTheme="minorEastAsia" w:hAnsiTheme="minorHAnsi" w:cstheme="minorBidi"/>
          <w:szCs w:val="22"/>
        </w:rPr>
      </w:pPr>
      <w:r>
        <w:t>179.</w:t>
      </w:r>
      <w:r>
        <w:tab/>
        <w:t>Chapter does not limit how disputes about access may be raised or dealt with</w:t>
      </w:r>
      <w:r>
        <w:tab/>
      </w:r>
      <w:r>
        <w:fldChar w:fldCharType="begin"/>
      </w:r>
      <w:r>
        <w:instrText xml:space="preserve"> PAGEREF _Toc158374941 \h </w:instrText>
      </w:r>
      <w:r>
        <w:fldChar w:fldCharType="separate"/>
      </w:r>
      <w:r>
        <w:t>1</w:t>
      </w:r>
      <w:r>
        <w:fldChar w:fldCharType="end"/>
      </w:r>
    </w:p>
    <w:p>
      <w:pPr>
        <w:pStyle w:val="TOC8"/>
        <w:rPr>
          <w:rFonts w:asciiTheme="minorHAnsi" w:eastAsiaTheme="minorEastAsia" w:hAnsiTheme="minorHAnsi" w:cstheme="minorBidi"/>
          <w:szCs w:val="22"/>
        </w:rPr>
      </w:pPr>
      <w:r>
        <w:t>180.</w:t>
      </w:r>
      <w:r>
        <w:tab/>
        <w:t>No price or revenue regulation for access disputes relating to international pipeline services</w:t>
      </w:r>
      <w:r>
        <w:tab/>
      </w:r>
      <w:r>
        <w:fldChar w:fldCharType="begin"/>
      </w:r>
      <w:r>
        <w:instrText xml:space="preserve"> PAGEREF _Toc158374942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 — Notification of access dispute</w:t>
      </w:r>
    </w:p>
    <w:p>
      <w:pPr>
        <w:pStyle w:val="TOC8"/>
        <w:rPr>
          <w:rFonts w:asciiTheme="minorHAnsi" w:eastAsiaTheme="minorEastAsia" w:hAnsiTheme="minorHAnsi" w:cstheme="minorBidi"/>
          <w:szCs w:val="22"/>
        </w:rPr>
      </w:pPr>
      <w:r>
        <w:t>181.</w:t>
      </w:r>
      <w:r>
        <w:tab/>
        <w:t>Notification of access dispute</w:t>
      </w:r>
      <w:r>
        <w:tab/>
      </w:r>
      <w:r>
        <w:fldChar w:fldCharType="begin"/>
      </w:r>
      <w:r>
        <w:instrText xml:space="preserve"> PAGEREF _Toc158374944 \h </w:instrText>
      </w:r>
      <w:r>
        <w:fldChar w:fldCharType="separate"/>
      </w:r>
      <w:r>
        <w:t>1</w:t>
      </w:r>
      <w:r>
        <w:fldChar w:fldCharType="end"/>
      </w:r>
    </w:p>
    <w:p>
      <w:pPr>
        <w:pStyle w:val="TOC8"/>
        <w:rPr>
          <w:rFonts w:asciiTheme="minorHAnsi" w:eastAsiaTheme="minorEastAsia" w:hAnsiTheme="minorHAnsi" w:cstheme="minorBidi"/>
          <w:szCs w:val="22"/>
        </w:rPr>
      </w:pPr>
      <w:r>
        <w:t>181A.</w:t>
      </w:r>
      <w:r>
        <w:tab/>
        <w:t>Providing information for certain disputes</w:t>
      </w:r>
      <w:r>
        <w:tab/>
      </w:r>
      <w:r>
        <w:fldChar w:fldCharType="begin"/>
      </w:r>
      <w:r>
        <w:instrText xml:space="preserve"> PAGEREF _Toc158374945 \h </w:instrText>
      </w:r>
      <w:r>
        <w:fldChar w:fldCharType="separate"/>
      </w:r>
      <w:r>
        <w:t>1</w:t>
      </w:r>
      <w:r>
        <w:fldChar w:fldCharType="end"/>
      </w:r>
    </w:p>
    <w:p>
      <w:pPr>
        <w:pStyle w:val="TOC8"/>
        <w:rPr>
          <w:rFonts w:asciiTheme="minorHAnsi" w:eastAsiaTheme="minorEastAsia" w:hAnsiTheme="minorHAnsi" w:cstheme="minorBidi"/>
          <w:szCs w:val="22"/>
        </w:rPr>
      </w:pPr>
      <w:r>
        <w:t>182.</w:t>
      </w:r>
      <w:r>
        <w:tab/>
        <w:t>Withdrawal of notification</w:t>
      </w:r>
      <w:r>
        <w:tab/>
      </w:r>
      <w:r>
        <w:fldChar w:fldCharType="begin"/>
      </w:r>
      <w:r>
        <w:instrText xml:space="preserve"> PAGEREF _Toc158374946 \h </w:instrText>
      </w:r>
      <w:r>
        <w:fldChar w:fldCharType="separate"/>
      </w:r>
      <w:r>
        <w:t>1</w:t>
      </w:r>
      <w:r>
        <w:fldChar w:fldCharType="end"/>
      </w:r>
    </w:p>
    <w:p>
      <w:pPr>
        <w:pStyle w:val="TOC8"/>
        <w:rPr>
          <w:rFonts w:asciiTheme="minorHAnsi" w:eastAsiaTheme="minorEastAsia" w:hAnsiTheme="minorHAnsi" w:cstheme="minorBidi"/>
          <w:szCs w:val="22"/>
        </w:rPr>
      </w:pPr>
      <w:r>
        <w:t>183.</w:t>
      </w:r>
      <w:r>
        <w:tab/>
        <w:t>Parties to an access dispute</w:t>
      </w:r>
      <w:r>
        <w:tab/>
      </w:r>
      <w:r>
        <w:fldChar w:fldCharType="begin"/>
      </w:r>
      <w:r>
        <w:instrText xml:space="preserve"> PAGEREF _Toc158374947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 — Access determinations</w:t>
      </w:r>
    </w:p>
    <w:p>
      <w:pPr>
        <w:pStyle w:val="TOC8"/>
        <w:rPr>
          <w:rFonts w:asciiTheme="minorHAnsi" w:eastAsiaTheme="minorEastAsia" w:hAnsiTheme="minorHAnsi" w:cstheme="minorBidi"/>
          <w:szCs w:val="22"/>
        </w:rPr>
      </w:pPr>
      <w:r>
        <w:t>184.</w:t>
      </w:r>
      <w:r>
        <w:tab/>
        <w:t>Determination of access dispute</w:t>
      </w:r>
      <w:r>
        <w:tab/>
      </w:r>
      <w:r>
        <w:fldChar w:fldCharType="begin"/>
      </w:r>
      <w:r>
        <w:instrText xml:space="preserve"> PAGEREF _Toc158374949 \h </w:instrText>
      </w:r>
      <w:r>
        <w:fldChar w:fldCharType="separate"/>
      </w:r>
      <w:r>
        <w:t>1</w:t>
      </w:r>
      <w:r>
        <w:fldChar w:fldCharType="end"/>
      </w:r>
    </w:p>
    <w:p>
      <w:pPr>
        <w:pStyle w:val="TOC8"/>
        <w:rPr>
          <w:rFonts w:asciiTheme="minorHAnsi" w:eastAsiaTheme="minorEastAsia" w:hAnsiTheme="minorHAnsi" w:cstheme="minorBidi"/>
          <w:szCs w:val="22"/>
        </w:rPr>
      </w:pPr>
      <w:r>
        <w:t>185.</w:t>
      </w:r>
      <w:r>
        <w:tab/>
        <w:t>Dispute resolution body may require parties to mediate, conciliate or engage in an alternative dispute resolution process</w:t>
      </w:r>
      <w:r>
        <w:tab/>
      </w:r>
      <w:r>
        <w:fldChar w:fldCharType="begin"/>
      </w:r>
      <w:r>
        <w:instrText xml:space="preserve"> PAGEREF _Toc158374950 \h </w:instrText>
      </w:r>
      <w:r>
        <w:fldChar w:fldCharType="separate"/>
      </w:r>
      <w:r>
        <w:t>1</w:t>
      </w:r>
      <w:r>
        <w:fldChar w:fldCharType="end"/>
      </w:r>
    </w:p>
    <w:p>
      <w:pPr>
        <w:pStyle w:val="TOC8"/>
        <w:rPr>
          <w:rFonts w:asciiTheme="minorHAnsi" w:eastAsiaTheme="minorEastAsia" w:hAnsiTheme="minorHAnsi" w:cstheme="minorBidi"/>
          <w:szCs w:val="22"/>
        </w:rPr>
      </w:pPr>
      <w:r>
        <w:t>186.</w:t>
      </w:r>
      <w:r>
        <w:tab/>
        <w:t>Dispute resolution body may terminate access dispute in certain cases</w:t>
      </w:r>
      <w:r>
        <w:tab/>
      </w:r>
      <w:r>
        <w:fldChar w:fldCharType="begin"/>
      </w:r>
      <w:r>
        <w:instrText xml:space="preserve"> PAGEREF _Toc158374951 \h </w:instrText>
      </w:r>
      <w:r>
        <w:fldChar w:fldCharType="separate"/>
      </w:r>
      <w:r>
        <w:t>1</w:t>
      </w:r>
      <w:r>
        <w:fldChar w:fldCharType="end"/>
      </w:r>
    </w:p>
    <w:p>
      <w:pPr>
        <w:pStyle w:val="TOC8"/>
        <w:rPr>
          <w:rFonts w:asciiTheme="minorHAnsi" w:eastAsiaTheme="minorEastAsia" w:hAnsiTheme="minorHAnsi" w:cstheme="minorBidi"/>
          <w:szCs w:val="22"/>
        </w:rPr>
      </w:pPr>
      <w:r>
        <w:t>187.</w:t>
      </w:r>
      <w:r>
        <w:tab/>
        <w:t>No access determination if dispute resolution body considers there is genuine competition</w:t>
      </w:r>
      <w:r>
        <w:tab/>
      </w:r>
      <w:r>
        <w:fldChar w:fldCharType="begin"/>
      </w:r>
      <w:r>
        <w:instrText xml:space="preserve"> PAGEREF _Toc158374952 \h </w:instrText>
      </w:r>
      <w:r>
        <w:fldChar w:fldCharType="separate"/>
      </w:r>
      <w:r>
        <w:t>1</w:t>
      </w:r>
      <w:r>
        <w:fldChar w:fldCharType="end"/>
      </w:r>
    </w:p>
    <w:p>
      <w:pPr>
        <w:pStyle w:val="TOC8"/>
        <w:rPr>
          <w:rFonts w:asciiTheme="minorHAnsi" w:eastAsiaTheme="minorEastAsia" w:hAnsiTheme="minorHAnsi" w:cstheme="minorBidi"/>
          <w:szCs w:val="22"/>
        </w:rPr>
      </w:pPr>
      <w:r>
        <w:t>188.</w:t>
      </w:r>
      <w:r>
        <w:tab/>
        <w:t>Restrictions on access determinations</w:t>
      </w:r>
      <w:r>
        <w:tab/>
      </w:r>
      <w:r>
        <w:fldChar w:fldCharType="begin"/>
      </w:r>
      <w:r>
        <w:instrText xml:space="preserve"> PAGEREF _Toc158374953 \h </w:instrText>
      </w:r>
      <w:r>
        <w:fldChar w:fldCharType="separate"/>
      </w:r>
      <w:r>
        <w:t>1</w:t>
      </w:r>
      <w:r>
        <w:fldChar w:fldCharType="end"/>
      </w:r>
    </w:p>
    <w:p>
      <w:pPr>
        <w:pStyle w:val="TOC8"/>
        <w:rPr>
          <w:rFonts w:asciiTheme="minorHAnsi" w:eastAsiaTheme="minorEastAsia" w:hAnsiTheme="minorHAnsi" w:cstheme="minorBidi"/>
          <w:szCs w:val="22"/>
        </w:rPr>
      </w:pPr>
      <w:r>
        <w:t>189.</w:t>
      </w:r>
      <w:r>
        <w:tab/>
        <w:t>Access determination must give effect to applicable access arrangement</w:t>
      </w:r>
      <w:r>
        <w:tab/>
      </w:r>
      <w:r>
        <w:fldChar w:fldCharType="begin"/>
      </w:r>
      <w:r>
        <w:instrText xml:space="preserve"> PAGEREF _Toc158374954 \h </w:instrText>
      </w:r>
      <w:r>
        <w:fldChar w:fldCharType="separate"/>
      </w:r>
      <w:r>
        <w:t>1</w:t>
      </w:r>
      <w:r>
        <w:fldChar w:fldCharType="end"/>
      </w:r>
    </w:p>
    <w:p>
      <w:pPr>
        <w:pStyle w:val="TOC8"/>
        <w:rPr>
          <w:rFonts w:asciiTheme="minorHAnsi" w:eastAsiaTheme="minorEastAsia" w:hAnsiTheme="minorHAnsi" w:cstheme="minorBidi"/>
          <w:szCs w:val="22"/>
        </w:rPr>
      </w:pPr>
      <w:r>
        <w:t>190.</w:t>
      </w:r>
      <w:r>
        <w:tab/>
        <w:t>Access determinations and past contributions of capital to fund installations or the construction of new facilities</w:t>
      </w:r>
      <w:r>
        <w:tab/>
      </w:r>
      <w:r>
        <w:fldChar w:fldCharType="begin"/>
      </w:r>
      <w:r>
        <w:instrText xml:space="preserve"> PAGEREF _Toc158374955 \h </w:instrText>
      </w:r>
      <w:r>
        <w:fldChar w:fldCharType="separate"/>
      </w:r>
      <w:r>
        <w:t>1</w:t>
      </w:r>
      <w:r>
        <w:fldChar w:fldCharType="end"/>
      </w:r>
    </w:p>
    <w:p>
      <w:pPr>
        <w:pStyle w:val="TOC8"/>
        <w:rPr>
          <w:rFonts w:asciiTheme="minorHAnsi" w:eastAsiaTheme="minorEastAsia" w:hAnsiTheme="minorHAnsi" w:cstheme="minorBidi"/>
          <w:szCs w:val="22"/>
        </w:rPr>
      </w:pPr>
      <w:r>
        <w:t>191.</w:t>
      </w:r>
      <w:r>
        <w:tab/>
        <w:t>Rules may allow determination that varies applicable access arrangement for installation of a new facility</w:t>
      </w:r>
      <w:r>
        <w:tab/>
      </w:r>
      <w:r>
        <w:fldChar w:fldCharType="begin"/>
      </w:r>
      <w:r>
        <w:instrText xml:space="preserve"> PAGEREF _Toc158374956 \h </w:instrText>
      </w:r>
      <w:r>
        <w:fldChar w:fldCharType="separate"/>
      </w:r>
      <w:r>
        <w:t>1</w:t>
      </w:r>
      <w:r>
        <w:fldChar w:fldCharType="end"/>
      </w:r>
    </w:p>
    <w:p>
      <w:pPr>
        <w:pStyle w:val="TOC8"/>
        <w:rPr>
          <w:rFonts w:asciiTheme="minorHAnsi" w:eastAsiaTheme="minorEastAsia" w:hAnsiTheme="minorHAnsi" w:cstheme="minorBidi"/>
          <w:szCs w:val="22"/>
        </w:rPr>
      </w:pPr>
      <w:r>
        <w:t>192.</w:t>
      </w:r>
      <w:r>
        <w:tab/>
        <w:t>Access determinations need not require the provision of a pipeline service</w:t>
      </w:r>
      <w:r>
        <w:tab/>
      </w:r>
      <w:r>
        <w:fldChar w:fldCharType="begin"/>
      </w:r>
      <w:r>
        <w:instrText xml:space="preserve"> PAGEREF _Toc158374957 \h </w:instrText>
      </w:r>
      <w:r>
        <w:fldChar w:fldCharType="separate"/>
      </w:r>
      <w:r>
        <w:t>1</w:t>
      </w:r>
      <w:r>
        <w:fldChar w:fldCharType="end"/>
      </w:r>
    </w:p>
    <w:p>
      <w:pPr>
        <w:pStyle w:val="TOC8"/>
        <w:rPr>
          <w:rFonts w:asciiTheme="minorHAnsi" w:eastAsiaTheme="minorEastAsia" w:hAnsiTheme="minorHAnsi" w:cstheme="minorBidi"/>
          <w:szCs w:val="22"/>
        </w:rPr>
      </w:pPr>
      <w:r>
        <w:t>193.</w:t>
      </w:r>
      <w:r>
        <w:tab/>
        <w:t>Content of access determinations</w:t>
      </w:r>
      <w:r>
        <w:tab/>
      </w:r>
      <w:r>
        <w:fldChar w:fldCharType="begin"/>
      </w:r>
      <w:r>
        <w:instrText xml:space="preserve"> PAGEREF _Toc158374958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 — Variation of access determinations</w:t>
      </w:r>
    </w:p>
    <w:p>
      <w:pPr>
        <w:pStyle w:val="TOC8"/>
        <w:rPr>
          <w:rFonts w:asciiTheme="minorHAnsi" w:eastAsiaTheme="minorEastAsia" w:hAnsiTheme="minorHAnsi" w:cstheme="minorBidi"/>
          <w:szCs w:val="22"/>
        </w:rPr>
      </w:pPr>
      <w:r>
        <w:t>194.</w:t>
      </w:r>
      <w:r>
        <w:tab/>
        <w:t>Variation of access determination</w:t>
      </w:r>
      <w:r>
        <w:tab/>
      </w:r>
      <w:r>
        <w:fldChar w:fldCharType="begin"/>
      </w:r>
      <w:r>
        <w:instrText xml:space="preserve"> PAGEREF _Toc158374960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5 — Compliance with access determinations</w:t>
      </w:r>
    </w:p>
    <w:p>
      <w:pPr>
        <w:pStyle w:val="TOC8"/>
        <w:rPr>
          <w:rFonts w:asciiTheme="minorHAnsi" w:eastAsiaTheme="minorEastAsia" w:hAnsiTheme="minorHAnsi" w:cstheme="minorBidi"/>
          <w:szCs w:val="22"/>
        </w:rPr>
      </w:pPr>
      <w:r>
        <w:t>195.</w:t>
      </w:r>
      <w:r>
        <w:tab/>
        <w:t>Compliance with access determination</w:t>
      </w:r>
      <w:r>
        <w:tab/>
      </w:r>
      <w:r>
        <w:fldChar w:fldCharType="begin"/>
      </w:r>
      <w:r>
        <w:instrText xml:space="preserve"> PAGEREF _Toc158374962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6 — Access dispute hearing procedure</w:t>
      </w:r>
    </w:p>
    <w:p>
      <w:pPr>
        <w:pStyle w:val="TOC8"/>
        <w:rPr>
          <w:rFonts w:asciiTheme="minorHAnsi" w:eastAsiaTheme="minorEastAsia" w:hAnsiTheme="minorHAnsi" w:cstheme="minorBidi"/>
          <w:szCs w:val="22"/>
        </w:rPr>
      </w:pPr>
      <w:r>
        <w:t>196.</w:t>
      </w:r>
      <w:r>
        <w:tab/>
        <w:t>Hearing to be in private</w:t>
      </w:r>
      <w:r>
        <w:tab/>
      </w:r>
      <w:r>
        <w:fldChar w:fldCharType="begin"/>
      </w:r>
      <w:r>
        <w:instrText xml:space="preserve"> PAGEREF _Toc158374964 \h </w:instrText>
      </w:r>
      <w:r>
        <w:fldChar w:fldCharType="separate"/>
      </w:r>
      <w:r>
        <w:t>1</w:t>
      </w:r>
      <w:r>
        <w:fldChar w:fldCharType="end"/>
      </w:r>
    </w:p>
    <w:p>
      <w:pPr>
        <w:pStyle w:val="TOC8"/>
        <w:rPr>
          <w:rFonts w:asciiTheme="minorHAnsi" w:eastAsiaTheme="minorEastAsia" w:hAnsiTheme="minorHAnsi" w:cstheme="minorBidi"/>
          <w:szCs w:val="22"/>
        </w:rPr>
      </w:pPr>
      <w:r>
        <w:t>197.</w:t>
      </w:r>
      <w:r>
        <w:tab/>
        <w:t>Right to representation</w:t>
      </w:r>
      <w:r>
        <w:tab/>
      </w:r>
      <w:r>
        <w:fldChar w:fldCharType="begin"/>
      </w:r>
      <w:r>
        <w:instrText xml:space="preserve"> PAGEREF _Toc158374965 \h </w:instrText>
      </w:r>
      <w:r>
        <w:fldChar w:fldCharType="separate"/>
      </w:r>
      <w:r>
        <w:t>1</w:t>
      </w:r>
      <w:r>
        <w:fldChar w:fldCharType="end"/>
      </w:r>
    </w:p>
    <w:p>
      <w:pPr>
        <w:pStyle w:val="TOC8"/>
        <w:rPr>
          <w:rFonts w:asciiTheme="minorHAnsi" w:eastAsiaTheme="minorEastAsia" w:hAnsiTheme="minorHAnsi" w:cstheme="minorBidi"/>
          <w:szCs w:val="22"/>
        </w:rPr>
      </w:pPr>
      <w:r>
        <w:t>198.</w:t>
      </w:r>
      <w:r>
        <w:tab/>
        <w:t>Procedure of dispute resolution body</w:t>
      </w:r>
      <w:r>
        <w:tab/>
      </w:r>
      <w:r>
        <w:fldChar w:fldCharType="begin"/>
      </w:r>
      <w:r>
        <w:instrText xml:space="preserve"> PAGEREF _Toc158374966 \h </w:instrText>
      </w:r>
      <w:r>
        <w:fldChar w:fldCharType="separate"/>
      </w:r>
      <w:r>
        <w:t>1</w:t>
      </w:r>
      <w:r>
        <w:fldChar w:fldCharType="end"/>
      </w:r>
    </w:p>
    <w:p>
      <w:pPr>
        <w:pStyle w:val="TOC8"/>
        <w:rPr>
          <w:rFonts w:asciiTheme="minorHAnsi" w:eastAsiaTheme="minorEastAsia" w:hAnsiTheme="minorHAnsi" w:cstheme="minorBidi"/>
          <w:szCs w:val="22"/>
        </w:rPr>
      </w:pPr>
      <w:r>
        <w:t>199.</w:t>
      </w:r>
      <w:r>
        <w:tab/>
        <w:t>Particular powers of dispute resolution body in a hearing</w:t>
      </w:r>
      <w:r>
        <w:tab/>
      </w:r>
      <w:r>
        <w:fldChar w:fldCharType="begin"/>
      </w:r>
      <w:r>
        <w:instrText xml:space="preserve"> PAGEREF _Toc158374967 \h </w:instrText>
      </w:r>
      <w:r>
        <w:fldChar w:fldCharType="separate"/>
      </w:r>
      <w:r>
        <w:t>1</w:t>
      </w:r>
      <w:r>
        <w:fldChar w:fldCharType="end"/>
      </w:r>
    </w:p>
    <w:p>
      <w:pPr>
        <w:pStyle w:val="TOC8"/>
        <w:rPr>
          <w:rFonts w:asciiTheme="minorHAnsi" w:eastAsiaTheme="minorEastAsia" w:hAnsiTheme="minorHAnsi" w:cstheme="minorBidi"/>
          <w:szCs w:val="22"/>
        </w:rPr>
      </w:pPr>
      <w:r>
        <w:t>200.</w:t>
      </w:r>
      <w:r>
        <w:tab/>
        <w:t>Disclosure of information</w:t>
      </w:r>
      <w:r>
        <w:tab/>
      </w:r>
      <w:r>
        <w:fldChar w:fldCharType="begin"/>
      </w:r>
      <w:r>
        <w:instrText xml:space="preserve"> PAGEREF _Toc158374968 \h </w:instrText>
      </w:r>
      <w:r>
        <w:fldChar w:fldCharType="separate"/>
      </w:r>
      <w:r>
        <w:t>1</w:t>
      </w:r>
      <w:r>
        <w:fldChar w:fldCharType="end"/>
      </w:r>
    </w:p>
    <w:p>
      <w:pPr>
        <w:pStyle w:val="TOC8"/>
        <w:rPr>
          <w:rFonts w:asciiTheme="minorHAnsi" w:eastAsiaTheme="minorEastAsia" w:hAnsiTheme="minorHAnsi" w:cstheme="minorBidi"/>
          <w:szCs w:val="22"/>
        </w:rPr>
      </w:pPr>
      <w:r>
        <w:t>201.</w:t>
      </w:r>
      <w:r>
        <w:tab/>
        <w:t>Power to take evidence on oath or affirmation</w:t>
      </w:r>
      <w:r>
        <w:tab/>
      </w:r>
      <w:r>
        <w:fldChar w:fldCharType="begin"/>
      </w:r>
      <w:r>
        <w:instrText xml:space="preserve"> PAGEREF _Toc158374969 \h </w:instrText>
      </w:r>
      <w:r>
        <w:fldChar w:fldCharType="separate"/>
      </w:r>
      <w:r>
        <w:t>1</w:t>
      </w:r>
      <w:r>
        <w:fldChar w:fldCharType="end"/>
      </w:r>
    </w:p>
    <w:p>
      <w:pPr>
        <w:pStyle w:val="TOC8"/>
        <w:rPr>
          <w:rFonts w:asciiTheme="minorHAnsi" w:eastAsiaTheme="minorEastAsia" w:hAnsiTheme="minorHAnsi" w:cstheme="minorBidi"/>
          <w:szCs w:val="22"/>
        </w:rPr>
      </w:pPr>
      <w:r>
        <w:t>202.</w:t>
      </w:r>
      <w:r>
        <w:tab/>
        <w:t>Failing to attend as a witness</w:t>
      </w:r>
      <w:r>
        <w:tab/>
      </w:r>
      <w:r>
        <w:fldChar w:fldCharType="begin"/>
      </w:r>
      <w:r>
        <w:instrText xml:space="preserve"> PAGEREF _Toc158374970 \h </w:instrText>
      </w:r>
      <w:r>
        <w:fldChar w:fldCharType="separate"/>
      </w:r>
      <w:r>
        <w:t>1</w:t>
      </w:r>
      <w:r>
        <w:fldChar w:fldCharType="end"/>
      </w:r>
    </w:p>
    <w:p>
      <w:pPr>
        <w:pStyle w:val="TOC8"/>
        <w:rPr>
          <w:rFonts w:asciiTheme="minorHAnsi" w:eastAsiaTheme="minorEastAsia" w:hAnsiTheme="minorHAnsi" w:cstheme="minorBidi"/>
          <w:szCs w:val="22"/>
        </w:rPr>
      </w:pPr>
      <w:r>
        <w:t>203.</w:t>
      </w:r>
      <w:r>
        <w:tab/>
        <w:t>Failing to answer questions etc</w:t>
      </w:r>
      <w:r>
        <w:tab/>
      </w:r>
      <w:r>
        <w:fldChar w:fldCharType="begin"/>
      </w:r>
      <w:r>
        <w:instrText xml:space="preserve"> PAGEREF _Toc158374971 \h </w:instrText>
      </w:r>
      <w:r>
        <w:fldChar w:fldCharType="separate"/>
      </w:r>
      <w:r>
        <w:t>1</w:t>
      </w:r>
      <w:r>
        <w:fldChar w:fldCharType="end"/>
      </w:r>
    </w:p>
    <w:p>
      <w:pPr>
        <w:pStyle w:val="TOC8"/>
        <w:rPr>
          <w:rFonts w:asciiTheme="minorHAnsi" w:eastAsiaTheme="minorEastAsia" w:hAnsiTheme="minorHAnsi" w:cstheme="minorBidi"/>
          <w:szCs w:val="22"/>
        </w:rPr>
      </w:pPr>
      <w:r>
        <w:t>204.</w:t>
      </w:r>
      <w:r>
        <w:tab/>
        <w:t>Intimidation etc</w:t>
      </w:r>
      <w:r>
        <w:tab/>
      </w:r>
      <w:r>
        <w:fldChar w:fldCharType="begin"/>
      </w:r>
      <w:r>
        <w:instrText xml:space="preserve"> PAGEREF _Toc158374972 \h </w:instrText>
      </w:r>
      <w:r>
        <w:fldChar w:fldCharType="separate"/>
      </w:r>
      <w:r>
        <w:t>1</w:t>
      </w:r>
      <w:r>
        <w:fldChar w:fldCharType="end"/>
      </w:r>
    </w:p>
    <w:p>
      <w:pPr>
        <w:pStyle w:val="TOC8"/>
        <w:rPr>
          <w:rFonts w:asciiTheme="minorHAnsi" w:eastAsiaTheme="minorEastAsia" w:hAnsiTheme="minorHAnsi" w:cstheme="minorBidi"/>
          <w:szCs w:val="22"/>
        </w:rPr>
      </w:pPr>
      <w:r>
        <w:t>205.</w:t>
      </w:r>
      <w:r>
        <w:tab/>
        <w:t>Party may request dispute resolution body to treat material as confidential</w:t>
      </w:r>
      <w:r>
        <w:tab/>
      </w:r>
      <w:r>
        <w:fldChar w:fldCharType="begin"/>
      </w:r>
      <w:r>
        <w:instrText xml:space="preserve"> PAGEREF _Toc158374973 \h </w:instrText>
      </w:r>
      <w:r>
        <w:fldChar w:fldCharType="separate"/>
      </w:r>
      <w:r>
        <w:t>1</w:t>
      </w:r>
      <w:r>
        <w:fldChar w:fldCharType="end"/>
      </w:r>
    </w:p>
    <w:p>
      <w:pPr>
        <w:pStyle w:val="TOC8"/>
        <w:rPr>
          <w:rFonts w:asciiTheme="minorHAnsi" w:eastAsiaTheme="minorEastAsia" w:hAnsiTheme="minorHAnsi" w:cstheme="minorBidi"/>
          <w:szCs w:val="22"/>
        </w:rPr>
      </w:pPr>
      <w:r>
        <w:t>206.</w:t>
      </w:r>
      <w:r>
        <w:tab/>
        <w:t>Costs</w:t>
      </w:r>
      <w:r>
        <w:tab/>
      </w:r>
      <w:r>
        <w:fldChar w:fldCharType="begin"/>
      </w:r>
      <w:r>
        <w:instrText xml:space="preserve"> PAGEREF _Toc158374974 \h </w:instrText>
      </w:r>
      <w:r>
        <w:fldChar w:fldCharType="separate"/>
      </w:r>
      <w:r>
        <w:t>1</w:t>
      </w:r>
      <w:r>
        <w:fldChar w:fldCharType="end"/>
      </w:r>
    </w:p>
    <w:p>
      <w:pPr>
        <w:pStyle w:val="TOC8"/>
        <w:rPr>
          <w:rFonts w:asciiTheme="minorHAnsi" w:eastAsiaTheme="minorEastAsia" w:hAnsiTheme="minorHAnsi" w:cstheme="minorBidi"/>
          <w:szCs w:val="22"/>
        </w:rPr>
      </w:pPr>
      <w:r>
        <w:t>207.</w:t>
      </w:r>
      <w:r>
        <w:tab/>
        <w:t>Outstanding costs are a debt due to party awarded the costs</w:t>
      </w:r>
      <w:r>
        <w:tab/>
      </w:r>
      <w:r>
        <w:fldChar w:fldCharType="begin"/>
      </w:r>
      <w:r>
        <w:instrText xml:space="preserve"> PAGEREF _Toc158374975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7 — Joint access dispute hearings</w:t>
      </w:r>
    </w:p>
    <w:p>
      <w:pPr>
        <w:pStyle w:val="TOC8"/>
        <w:rPr>
          <w:rFonts w:asciiTheme="minorHAnsi" w:eastAsiaTheme="minorEastAsia" w:hAnsiTheme="minorHAnsi" w:cstheme="minorBidi"/>
          <w:szCs w:val="22"/>
        </w:rPr>
      </w:pPr>
      <w:r>
        <w:t>208.</w:t>
      </w:r>
      <w:r>
        <w:tab/>
        <w:t>Definition</w:t>
      </w:r>
      <w:r>
        <w:tab/>
      </w:r>
      <w:r>
        <w:fldChar w:fldCharType="begin"/>
      </w:r>
      <w:r>
        <w:instrText xml:space="preserve"> PAGEREF _Toc158374977 \h </w:instrText>
      </w:r>
      <w:r>
        <w:fldChar w:fldCharType="separate"/>
      </w:r>
      <w:r>
        <w:t>1</w:t>
      </w:r>
      <w:r>
        <w:fldChar w:fldCharType="end"/>
      </w:r>
    </w:p>
    <w:p>
      <w:pPr>
        <w:pStyle w:val="TOC8"/>
        <w:rPr>
          <w:rFonts w:asciiTheme="minorHAnsi" w:eastAsiaTheme="minorEastAsia" w:hAnsiTheme="minorHAnsi" w:cstheme="minorBidi"/>
          <w:szCs w:val="22"/>
        </w:rPr>
      </w:pPr>
      <w:r>
        <w:t>209.</w:t>
      </w:r>
      <w:r>
        <w:tab/>
        <w:t>Joint dispute hearing</w:t>
      </w:r>
      <w:r>
        <w:tab/>
      </w:r>
      <w:r>
        <w:fldChar w:fldCharType="begin"/>
      </w:r>
      <w:r>
        <w:instrText xml:space="preserve"> PAGEREF _Toc158374978 \h </w:instrText>
      </w:r>
      <w:r>
        <w:fldChar w:fldCharType="separate"/>
      </w:r>
      <w:r>
        <w:t>1</w:t>
      </w:r>
      <w:r>
        <w:fldChar w:fldCharType="end"/>
      </w:r>
    </w:p>
    <w:p>
      <w:pPr>
        <w:pStyle w:val="TOC8"/>
        <w:rPr>
          <w:rFonts w:asciiTheme="minorHAnsi" w:eastAsiaTheme="minorEastAsia" w:hAnsiTheme="minorHAnsi" w:cstheme="minorBidi"/>
          <w:szCs w:val="22"/>
        </w:rPr>
      </w:pPr>
      <w:r>
        <w:t>210.</w:t>
      </w:r>
      <w:r>
        <w:tab/>
        <w:t>Consulting the parties</w:t>
      </w:r>
      <w:r>
        <w:tab/>
      </w:r>
      <w:r>
        <w:fldChar w:fldCharType="begin"/>
      </w:r>
      <w:r>
        <w:instrText xml:space="preserve"> PAGEREF _Toc158374979 \h </w:instrText>
      </w:r>
      <w:r>
        <w:fldChar w:fldCharType="separate"/>
      </w:r>
      <w:r>
        <w:t>1</w:t>
      </w:r>
      <w:r>
        <w:fldChar w:fldCharType="end"/>
      </w:r>
    </w:p>
    <w:p>
      <w:pPr>
        <w:pStyle w:val="TOC8"/>
        <w:rPr>
          <w:rFonts w:asciiTheme="minorHAnsi" w:eastAsiaTheme="minorEastAsia" w:hAnsiTheme="minorHAnsi" w:cstheme="minorBidi"/>
          <w:szCs w:val="22"/>
        </w:rPr>
      </w:pPr>
      <w:r>
        <w:t>211.</w:t>
      </w:r>
      <w:r>
        <w:tab/>
        <w:t>Constitution and procedure of dispute resolution body for joint dispute hearings</w:t>
      </w:r>
      <w:r>
        <w:tab/>
      </w:r>
      <w:r>
        <w:fldChar w:fldCharType="begin"/>
      </w:r>
      <w:r>
        <w:instrText xml:space="preserve"> PAGEREF _Toc158374980 \h </w:instrText>
      </w:r>
      <w:r>
        <w:fldChar w:fldCharType="separate"/>
      </w:r>
      <w:r>
        <w:t>1</w:t>
      </w:r>
      <w:r>
        <w:fldChar w:fldCharType="end"/>
      </w:r>
    </w:p>
    <w:p>
      <w:pPr>
        <w:pStyle w:val="TOC8"/>
        <w:rPr>
          <w:rFonts w:asciiTheme="minorHAnsi" w:eastAsiaTheme="minorEastAsia" w:hAnsiTheme="minorHAnsi" w:cstheme="minorBidi"/>
          <w:szCs w:val="22"/>
        </w:rPr>
      </w:pPr>
      <w:r>
        <w:t>212.</w:t>
      </w:r>
      <w:r>
        <w:tab/>
        <w:t>Record of proceedings etc</w:t>
      </w:r>
      <w:r>
        <w:tab/>
      </w:r>
      <w:r>
        <w:fldChar w:fldCharType="begin"/>
      </w:r>
      <w:r>
        <w:instrText xml:space="preserve"> PAGEREF _Toc158374981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8 — Miscellaneous matters</w:t>
      </w:r>
    </w:p>
    <w:p>
      <w:pPr>
        <w:pStyle w:val="TOC8"/>
        <w:rPr>
          <w:rFonts w:asciiTheme="minorHAnsi" w:eastAsiaTheme="minorEastAsia" w:hAnsiTheme="minorHAnsi" w:cstheme="minorBidi"/>
          <w:szCs w:val="22"/>
        </w:rPr>
      </w:pPr>
      <w:r>
        <w:t>213.</w:t>
      </w:r>
      <w:r>
        <w:tab/>
        <w:t>Correction of access determinations for clerical mistakes etc</w:t>
      </w:r>
      <w:r>
        <w:tab/>
      </w:r>
      <w:r>
        <w:fldChar w:fldCharType="begin"/>
      </w:r>
      <w:r>
        <w:instrText xml:space="preserve"> PAGEREF _Toc158374983 \h </w:instrText>
      </w:r>
      <w:r>
        <w:fldChar w:fldCharType="separate"/>
      </w:r>
      <w:r>
        <w:t>1</w:t>
      </w:r>
      <w:r>
        <w:fldChar w:fldCharType="end"/>
      </w:r>
    </w:p>
    <w:p>
      <w:pPr>
        <w:pStyle w:val="TOC8"/>
        <w:rPr>
          <w:rFonts w:asciiTheme="minorHAnsi" w:eastAsiaTheme="minorEastAsia" w:hAnsiTheme="minorHAnsi" w:cstheme="minorBidi"/>
          <w:szCs w:val="22"/>
        </w:rPr>
      </w:pPr>
      <w:r>
        <w:t>214.</w:t>
      </w:r>
      <w:r>
        <w:tab/>
        <w:t>Reservation of capacity during an access dispute</w:t>
      </w:r>
      <w:r>
        <w:tab/>
      </w:r>
      <w:r>
        <w:fldChar w:fldCharType="begin"/>
      </w:r>
      <w:r>
        <w:instrText xml:space="preserve"> PAGEREF _Toc158374984 \h </w:instrText>
      </w:r>
      <w:r>
        <w:fldChar w:fldCharType="separate"/>
      </w:r>
      <w:r>
        <w:t>1</w:t>
      </w:r>
      <w:r>
        <w:fldChar w:fldCharType="end"/>
      </w:r>
    </w:p>
    <w:p>
      <w:pPr>
        <w:pStyle w:val="TOC8"/>
        <w:rPr>
          <w:rFonts w:asciiTheme="minorHAnsi" w:eastAsiaTheme="minorEastAsia" w:hAnsiTheme="minorHAnsi" w:cstheme="minorBidi"/>
          <w:szCs w:val="22"/>
        </w:rPr>
      </w:pPr>
      <w:r>
        <w:t>215.</w:t>
      </w:r>
      <w:r>
        <w:tab/>
        <w:t>Subsequent service providers bound by access determinations</w:t>
      </w:r>
      <w:r>
        <w:tab/>
      </w:r>
      <w:r>
        <w:fldChar w:fldCharType="begin"/>
      </w:r>
      <w:r>
        <w:instrText xml:space="preserve"> PAGEREF _Toc158374985 \h </w:instrText>
      </w:r>
      <w:r>
        <w:fldChar w:fldCharType="separate"/>
      </w:r>
      <w:r>
        <w:t>1</w:t>
      </w:r>
      <w:r>
        <w:fldChar w:fldCharType="end"/>
      </w:r>
    </w:p>
    <w:p>
      <w:pPr>
        <w:pStyle w:val="TOC8"/>
        <w:rPr>
          <w:rFonts w:asciiTheme="minorHAnsi" w:eastAsiaTheme="minorEastAsia" w:hAnsiTheme="minorHAnsi" w:cstheme="minorBidi"/>
          <w:szCs w:val="22"/>
        </w:rPr>
      </w:pPr>
      <w:r>
        <w:t>216.</w:t>
      </w:r>
      <w:r>
        <w:tab/>
        <w:t>Regulations about the costs to be paid by parties to access dispute</w:t>
      </w:r>
      <w:r>
        <w:tab/>
      </w:r>
      <w:r>
        <w:fldChar w:fldCharType="begin"/>
      </w:r>
      <w:r>
        <w:instrText xml:space="preserve"> PAGEREF _Toc158374986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6A—Access disputes—non-scheme pipelines</w:t>
      </w:r>
    </w:p>
    <w:p>
      <w:pPr>
        <w:pStyle w:val="TOC4"/>
        <w:tabs>
          <w:tab w:val="right" w:leader="dot" w:pos="7077"/>
        </w:tabs>
        <w:rPr>
          <w:rFonts w:asciiTheme="minorHAnsi" w:eastAsiaTheme="minorEastAsia" w:hAnsiTheme="minorHAnsi" w:cstheme="minorBidi"/>
          <w:b w:val="0"/>
          <w:szCs w:val="22"/>
        </w:rPr>
      </w:pPr>
      <w:r>
        <w:t>Part 1—Interpretation and application</w:t>
      </w:r>
    </w:p>
    <w:p>
      <w:pPr>
        <w:pStyle w:val="TOC8"/>
        <w:rPr>
          <w:rFonts w:asciiTheme="minorHAnsi" w:eastAsiaTheme="minorEastAsia" w:hAnsiTheme="minorHAnsi" w:cstheme="minorBidi"/>
          <w:szCs w:val="22"/>
        </w:rPr>
      </w:pPr>
      <w:r>
        <w:t>216A.</w:t>
      </w:r>
      <w:r>
        <w:tab/>
        <w:t>Definitions</w:t>
      </w:r>
      <w:r>
        <w:tab/>
      </w:r>
      <w:r>
        <w:fldChar w:fldCharType="begin"/>
      </w:r>
      <w:r>
        <w:instrText xml:space="preserve"> PAGEREF _Toc158374989 \h </w:instrText>
      </w:r>
      <w:r>
        <w:fldChar w:fldCharType="separate"/>
      </w:r>
      <w:r>
        <w:t>1</w:t>
      </w:r>
      <w:r>
        <w:fldChar w:fldCharType="end"/>
      </w:r>
    </w:p>
    <w:p>
      <w:pPr>
        <w:pStyle w:val="TOC8"/>
        <w:rPr>
          <w:rFonts w:asciiTheme="minorHAnsi" w:eastAsiaTheme="minorEastAsia" w:hAnsiTheme="minorHAnsi" w:cstheme="minorBidi"/>
          <w:szCs w:val="22"/>
        </w:rPr>
      </w:pPr>
      <w:r>
        <w:lastRenderedPageBreak/>
        <w:t>216B.</w:t>
      </w:r>
      <w:r>
        <w:tab/>
        <w:t>Meaning of prospective user</w:t>
      </w:r>
      <w:r>
        <w:tab/>
      </w:r>
      <w:r>
        <w:fldChar w:fldCharType="begin"/>
      </w:r>
      <w:r>
        <w:instrText xml:space="preserve"> PAGEREF _Toc158374990 \h </w:instrText>
      </w:r>
      <w:r>
        <w:fldChar w:fldCharType="separate"/>
      </w:r>
      <w:r>
        <w:t>1</w:t>
      </w:r>
      <w:r>
        <w:fldChar w:fldCharType="end"/>
      </w:r>
    </w:p>
    <w:p>
      <w:pPr>
        <w:pStyle w:val="TOC8"/>
        <w:rPr>
          <w:rFonts w:asciiTheme="minorHAnsi" w:eastAsiaTheme="minorEastAsia" w:hAnsiTheme="minorHAnsi" w:cstheme="minorBidi"/>
          <w:szCs w:val="22"/>
        </w:rPr>
      </w:pPr>
      <w:r>
        <w:t>216C.</w:t>
      </w:r>
      <w:r>
        <w:tab/>
        <w:t>Application of Chapter</w:t>
      </w:r>
      <w:r>
        <w:tab/>
      </w:r>
      <w:r>
        <w:fldChar w:fldCharType="begin"/>
      </w:r>
      <w:r>
        <w:instrText xml:space="preserve"> PAGEREF _Toc158374991 \h </w:instrText>
      </w:r>
      <w:r>
        <w:fldChar w:fldCharType="separate"/>
      </w:r>
      <w:r>
        <w:t>1</w:t>
      </w:r>
      <w:r>
        <w:fldChar w:fldCharType="end"/>
      </w:r>
    </w:p>
    <w:p>
      <w:pPr>
        <w:pStyle w:val="TOC8"/>
        <w:rPr>
          <w:rFonts w:asciiTheme="minorHAnsi" w:eastAsiaTheme="minorEastAsia" w:hAnsiTheme="minorHAnsi" w:cstheme="minorBidi"/>
          <w:szCs w:val="22"/>
        </w:rPr>
      </w:pPr>
      <w:r>
        <w:t>216D.</w:t>
      </w:r>
      <w:r>
        <w:tab/>
        <w:t>Application of this Chapter to disputes arising under Rules</w:t>
      </w:r>
      <w:r>
        <w:tab/>
      </w:r>
      <w:r>
        <w:fldChar w:fldCharType="begin"/>
      </w:r>
      <w:r>
        <w:instrText xml:space="preserve"> PAGEREF _Toc158374992 \h </w:instrText>
      </w:r>
      <w:r>
        <w:fldChar w:fldCharType="separate"/>
      </w:r>
      <w:r>
        <w:t>1</w:t>
      </w:r>
      <w:r>
        <w:fldChar w:fldCharType="end"/>
      </w:r>
    </w:p>
    <w:p>
      <w:pPr>
        <w:pStyle w:val="TOC8"/>
        <w:rPr>
          <w:rFonts w:asciiTheme="minorHAnsi" w:eastAsiaTheme="minorEastAsia" w:hAnsiTheme="minorHAnsi" w:cstheme="minorBidi"/>
          <w:szCs w:val="22"/>
        </w:rPr>
      </w:pPr>
      <w:r>
        <w:t>216E.</w:t>
      </w:r>
      <w:r>
        <w:tab/>
        <w:t>Chapter does not limit how disputes about access may be raised or dealt with</w:t>
      </w:r>
      <w:r>
        <w:tab/>
      </w:r>
      <w:r>
        <w:fldChar w:fldCharType="begin"/>
      </w:r>
      <w:r>
        <w:instrText xml:space="preserve"> PAGEREF _Toc158374993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2—Negotiation of access</w:t>
      </w:r>
    </w:p>
    <w:p>
      <w:pPr>
        <w:pStyle w:val="TOC8"/>
        <w:rPr>
          <w:rFonts w:asciiTheme="minorHAnsi" w:eastAsiaTheme="minorEastAsia" w:hAnsiTheme="minorHAnsi" w:cstheme="minorBidi"/>
          <w:szCs w:val="22"/>
        </w:rPr>
      </w:pPr>
      <w:r>
        <w:t>216F.</w:t>
      </w:r>
      <w:r>
        <w:tab/>
        <w:t>Access proposals</w:t>
      </w:r>
      <w:r>
        <w:tab/>
      </w:r>
      <w:r>
        <w:fldChar w:fldCharType="begin"/>
      </w:r>
      <w:r>
        <w:instrText xml:space="preserve"> PAGEREF _Toc158374995 \h </w:instrText>
      </w:r>
      <w:r>
        <w:fldChar w:fldCharType="separate"/>
      </w:r>
      <w:r>
        <w:t>1</w:t>
      </w:r>
      <w:r>
        <w:fldChar w:fldCharType="end"/>
      </w:r>
    </w:p>
    <w:p>
      <w:pPr>
        <w:pStyle w:val="TOC8"/>
        <w:rPr>
          <w:rFonts w:asciiTheme="minorHAnsi" w:eastAsiaTheme="minorEastAsia" w:hAnsiTheme="minorHAnsi" w:cstheme="minorBidi"/>
          <w:szCs w:val="22"/>
        </w:rPr>
      </w:pPr>
      <w:r>
        <w:t>216G.</w:t>
      </w:r>
      <w:r>
        <w:tab/>
        <w:t>Duty to negotiate in good faith</w:t>
      </w:r>
      <w:r>
        <w:tab/>
      </w:r>
      <w:r>
        <w:fldChar w:fldCharType="begin"/>
      </w:r>
      <w:r>
        <w:instrText xml:space="preserve"> PAGEREF _Toc158374996 \h </w:instrText>
      </w:r>
      <w:r>
        <w:fldChar w:fldCharType="separate"/>
      </w:r>
      <w:r>
        <w:t>1</w:t>
      </w:r>
      <w:r>
        <w:fldChar w:fldCharType="end"/>
      </w:r>
    </w:p>
    <w:p>
      <w:pPr>
        <w:pStyle w:val="TOC8"/>
        <w:rPr>
          <w:rFonts w:asciiTheme="minorHAnsi" w:eastAsiaTheme="minorEastAsia" w:hAnsiTheme="minorHAnsi" w:cstheme="minorBidi"/>
          <w:szCs w:val="22"/>
        </w:rPr>
      </w:pPr>
      <w:r>
        <w:t>216H.</w:t>
      </w:r>
      <w:r>
        <w:tab/>
        <w:t>Notification of access dispute</w:t>
      </w:r>
      <w:r>
        <w:tab/>
      </w:r>
      <w:r>
        <w:fldChar w:fldCharType="begin"/>
      </w:r>
      <w:r>
        <w:instrText xml:space="preserve"> PAGEREF _Toc158374997 \h </w:instrText>
      </w:r>
      <w:r>
        <w:fldChar w:fldCharType="separate"/>
      </w:r>
      <w:r>
        <w:t>1</w:t>
      </w:r>
      <w:r>
        <w:fldChar w:fldCharType="end"/>
      </w:r>
    </w:p>
    <w:p>
      <w:pPr>
        <w:pStyle w:val="TOC8"/>
        <w:rPr>
          <w:rFonts w:asciiTheme="minorHAnsi" w:eastAsiaTheme="minorEastAsia" w:hAnsiTheme="minorHAnsi" w:cstheme="minorBidi"/>
          <w:szCs w:val="22"/>
        </w:rPr>
      </w:pPr>
      <w:r>
        <w:t>216I.</w:t>
      </w:r>
      <w:r>
        <w:tab/>
        <w:t>Parties to an access dispute</w:t>
      </w:r>
      <w:r>
        <w:tab/>
      </w:r>
      <w:r>
        <w:fldChar w:fldCharType="begin"/>
      </w:r>
      <w:r>
        <w:instrText xml:space="preserve"> PAGEREF _Toc158374998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3—Reference of dispute to arbitration</w:t>
      </w:r>
    </w:p>
    <w:p>
      <w:pPr>
        <w:pStyle w:val="TOC8"/>
        <w:rPr>
          <w:rFonts w:asciiTheme="minorHAnsi" w:eastAsiaTheme="minorEastAsia" w:hAnsiTheme="minorHAnsi" w:cstheme="minorBidi"/>
          <w:szCs w:val="22"/>
        </w:rPr>
      </w:pPr>
      <w:r>
        <w:t>216J.</w:t>
      </w:r>
      <w:r>
        <w:tab/>
        <w:t>Reference of dispute</w:t>
      </w:r>
      <w:r>
        <w:tab/>
      </w:r>
      <w:r>
        <w:fldChar w:fldCharType="begin"/>
      </w:r>
      <w:r>
        <w:instrText xml:space="preserve"> PAGEREF _Toc158375000 \h </w:instrText>
      </w:r>
      <w:r>
        <w:fldChar w:fldCharType="separate"/>
      </w:r>
      <w:r>
        <w:t>1</w:t>
      </w:r>
      <w:r>
        <w:fldChar w:fldCharType="end"/>
      </w:r>
    </w:p>
    <w:p>
      <w:pPr>
        <w:pStyle w:val="TOC8"/>
        <w:rPr>
          <w:rFonts w:asciiTheme="minorHAnsi" w:eastAsiaTheme="minorEastAsia" w:hAnsiTheme="minorHAnsi" w:cstheme="minorBidi"/>
          <w:szCs w:val="22"/>
        </w:rPr>
      </w:pPr>
      <w:r>
        <w:t>216K.</w:t>
      </w:r>
      <w:r>
        <w:tab/>
        <w:t>Selection of arbitrator</w:t>
      </w:r>
      <w:r>
        <w:tab/>
      </w:r>
      <w:r>
        <w:fldChar w:fldCharType="begin"/>
      </w:r>
      <w:r>
        <w:instrText xml:space="preserve"> PAGEREF _Toc158375001 \h </w:instrText>
      </w:r>
      <w:r>
        <w:fldChar w:fldCharType="separate"/>
      </w:r>
      <w:r>
        <w:t>1</w:t>
      </w:r>
      <w:r>
        <w:fldChar w:fldCharType="end"/>
      </w:r>
    </w:p>
    <w:p>
      <w:pPr>
        <w:pStyle w:val="TOC8"/>
        <w:rPr>
          <w:rFonts w:asciiTheme="minorHAnsi" w:eastAsiaTheme="minorEastAsia" w:hAnsiTheme="minorHAnsi" w:cstheme="minorBidi"/>
          <w:szCs w:val="22"/>
        </w:rPr>
      </w:pPr>
      <w:r>
        <w:t>216L.</w:t>
      </w:r>
      <w:r>
        <w:tab/>
        <w:t>Determination of access dispute</w:t>
      </w:r>
      <w:r>
        <w:tab/>
      </w:r>
      <w:r>
        <w:fldChar w:fldCharType="begin"/>
      </w:r>
      <w:r>
        <w:instrText xml:space="preserve"> PAGEREF _Toc158375002 \h </w:instrText>
      </w:r>
      <w:r>
        <w:fldChar w:fldCharType="separate"/>
      </w:r>
      <w:r>
        <w:t>1</w:t>
      </w:r>
      <w:r>
        <w:fldChar w:fldCharType="end"/>
      </w:r>
    </w:p>
    <w:p>
      <w:pPr>
        <w:pStyle w:val="TOC8"/>
        <w:rPr>
          <w:rFonts w:asciiTheme="minorHAnsi" w:eastAsiaTheme="minorEastAsia" w:hAnsiTheme="minorHAnsi" w:cstheme="minorBidi"/>
          <w:szCs w:val="22"/>
        </w:rPr>
      </w:pPr>
      <w:r>
        <w:t>216M.</w:t>
      </w:r>
      <w:r>
        <w:tab/>
        <w:t>Principles to be taken into account</w:t>
      </w:r>
      <w:r>
        <w:tab/>
      </w:r>
      <w:r>
        <w:fldChar w:fldCharType="begin"/>
      </w:r>
      <w:r>
        <w:instrText xml:space="preserve"> PAGEREF _Toc158375003 \h </w:instrText>
      </w:r>
      <w:r>
        <w:fldChar w:fldCharType="separate"/>
      </w:r>
      <w:r>
        <w:t>1</w:t>
      </w:r>
      <w:r>
        <w:fldChar w:fldCharType="end"/>
      </w:r>
    </w:p>
    <w:p>
      <w:pPr>
        <w:pStyle w:val="TOC8"/>
        <w:rPr>
          <w:rFonts w:asciiTheme="minorHAnsi" w:eastAsiaTheme="minorEastAsia" w:hAnsiTheme="minorHAnsi" w:cstheme="minorBidi"/>
          <w:szCs w:val="22"/>
        </w:rPr>
      </w:pPr>
      <w:r>
        <w:t>216N.</w:t>
      </w:r>
      <w:r>
        <w:tab/>
        <w:t>Restrictions on access determinations</w:t>
      </w:r>
      <w:r>
        <w:tab/>
      </w:r>
      <w:r>
        <w:fldChar w:fldCharType="begin"/>
      </w:r>
      <w:r>
        <w:instrText xml:space="preserve"> PAGEREF _Toc158375004 \h </w:instrText>
      </w:r>
      <w:r>
        <w:fldChar w:fldCharType="separate"/>
      </w:r>
      <w:r>
        <w:t>1</w:t>
      </w:r>
      <w:r>
        <w:fldChar w:fldCharType="end"/>
      </w:r>
    </w:p>
    <w:p>
      <w:pPr>
        <w:pStyle w:val="TOC8"/>
        <w:rPr>
          <w:rFonts w:asciiTheme="minorHAnsi" w:eastAsiaTheme="minorEastAsia" w:hAnsiTheme="minorHAnsi" w:cstheme="minorBidi"/>
          <w:szCs w:val="22"/>
        </w:rPr>
      </w:pPr>
      <w:r>
        <w:t>216O.</w:t>
      </w:r>
      <w:r>
        <w:tab/>
        <w:t>Arbitrator's power to terminate arbitration</w:t>
      </w:r>
      <w:r>
        <w:tab/>
      </w:r>
      <w:r>
        <w:fldChar w:fldCharType="begin"/>
      </w:r>
      <w:r>
        <w:instrText xml:space="preserve"> PAGEREF _Toc158375005 \h </w:instrText>
      </w:r>
      <w:r>
        <w:fldChar w:fldCharType="separate"/>
      </w:r>
      <w:r>
        <w:t>1</w:t>
      </w:r>
      <w:r>
        <w:fldChar w:fldCharType="end"/>
      </w:r>
    </w:p>
    <w:p>
      <w:pPr>
        <w:pStyle w:val="TOC8"/>
        <w:rPr>
          <w:rFonts w:asciiTheme="minorHAnsi" w:eastAsiaTheme="minorEastAsia" w:hAnsiTheme="minorHAnsi" w:cstheme="minorBidi"/>
          <w:szCs w:val="22"/>
        </w:rPr>
      </w:pPr>
      <w:r>
        <w:t>216P.</w:t>
      </w:r>
      <w:r>
        <w:tab/>
        <w:t>Access seeker's right to terminate arbitration</w:t>
      </w:r>
      <w:r>
        <w:tab/>
      </w:r>
      <w:r>
        <w:fldChar w:fldCharType="begin"/>
      </w:r>
      <w:r>
        <w:instrText xml:space="preserve"> PAGEREF _Toc158375006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4—Compliance with access determinations</w:t>
      </w:r>
    </w:p>
    <w:p>
      <w:pPr>
        <w:pStyle w:val="TOC8"/>
        <w:rPr>
          <w:rFonts w:asciiTheme="minorHAnsi" w:eastAsiaTheme="minorEastAsia" w:hAnsiTheme="minorHAnsi" w:cstheme="minorBidi"/>
          <w:szCs w:val="22"/>
        </w:rPr>
      </w:pPr>
      <w:r>
        <w:t>216Q.</w:t>
      </w:r>
      <w:r>
        <w:tab/>
        <w:t>Compliance with access determinations</w:t>
      </w:r>
      <w:r>
        <w:tab/>
      </w:r>
      <w:r>
        <w:fldChar w:fldCharType="begin"/>
      </w:r>
      <w:r>
        <w:instrText xml:space="preserve"> PAGEREF _Toc158375008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5—Variation of access determinations</w:t>
      </w:r>
    </w:p>
    <w:p>
      <w:pPr>
        <w:pStyle w:val="TOC8"/>
        <w:rPr>
          <w:rFonts w:asciiTheme="minorHAnsi" w:eastAsiaTheme="minorEastAsia" w:hAnsiTheme="minorHAnsi" w:cstheme="minorBidi"/>
          <w:szCs w:val="22"/>
        </w:rPr>
      </w:pPr>
      <w:r>
        <w:t>216R.</w:t>
      </w:r>
      <w:r>
        <w:tab/>
        <w:t>Variation of access determinations</w:t>
      </w:r>
      <w:r>
        <w:tab/>
      </w:r>
      <w:r>
        <w:fldChar w:fldCharType="begin"/>
      </w:r>
      <w:r>
        <w:instrText xml:space="preserve"> PAGEREF _Toc158375010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6—Hearing procedures</w:t>
      </w:r>
    </w:p>
    <w:p>
      <w:pPr>
        <w:pStyle w:val="TOC8"/>
        <w:rPr>
          <w:rFonts w:asciiTheme="minorHAnsi" w:eastAsiaTheme="minorEastAsia" w:hAnsiTheme="minorHAnsi" w:cstheme="minorBidi"/>
          <w:szCs w:val="22"/>
        </w:rPr>
      </w:pPr>
      <w:r>
        <w:t>216S.</w:t>
      </w:r>
      <w:r>
        <w:tab/>
        <w:t>Hearing procedures</w:t>
      </w:r>
      <w:r>
        <w:tab/>
      </w:r>
      <w:r>
        <w:fldChar w:fldCharType="begin"/>
      </w:r>
      <w:r>
        <w:instrText xml:space="preserve"> PAGEREF _Toc158375012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7—Miscellaneous matters</w:t>
      </w:r>
    </w:p>
    <w:p>
      <w:pPr>
        <w:pStyle w:val="TOC8"/>
        <w:rPr>
          <w:rFonts w:asciiTheme="minorHAnsi" w:eastAsiaTheme="minorEastAsia" w:hAnsiTheme="minorHAnsi" w:cstheme="minorBidi"/>
          <w:szCs w:val="22"/>
        </w:rPr>
      </w:pPr>
      <w:r>
        <w:t>216T.</w:t>
      </w:r>
      <w:r>
        <w:tab/>
        <w:t>Correction of access determinations for clerical mistakes etc</w:t>
      </w:r>
      <w:r>
        <w:tab/>
      </w:r>
      <w:r>
        <w:fldChar w:fldCharType="begin"/>
      </w:r>
      <w:r>
        <w:instrText xml:space="preserve"> PAGEREF _Toc158375014 \h </w:instrText>
      </w:r>
      <w:r>
        <w:fldChar w:fldCharType="separate"/>
      </w:r>
      <w:r>
        <w:t>1</w:t>
      </w:r>
      <w:r>
        <w:fldChar w:fldCharType="end"/>
      </w:r>
    </w:p>
    <w:p>
      <w:pPr>
        <w:pStyle w:val="TOC8"/>
        <w:rPr>
          <w:rFonts w:asciiTheme="minorHAnsi" w:eastAsiaTheme="minorEastAsia" w:hAnsiTheme="minorHAnsi" w:cstheme="minorBidi"/>
          <w:szCs w:val="22"/>
        </w:rPr>
      </w:pPr>
      <w:r>
        <w:t>216U.</w:t>
      </w:r>
      <w:r>
        <w:tab/>
        <w:t>Reservation of capacity during an access dispute</w:t>
      </w:r>
      <w:r>
        <w:tab/>
      </w:r>
      <w:r>
        <w:fldChar w:fldCharType="begin"/>
      </w:r>
      <w:r>
        <w:instrText xml:space="preserve"> PAGEREF _Toc158375015 \h </w:instrText>
      </w:r>
      <w:r>
        <w:fldChar w:fldCharType="separate"/>
      </w:r>
      <w:r>
        <w:t>1</w:t>
      </w:r>
      <w:r>
        <w:fldChar w:fldCharType="end"/>
      </w:r>
    </w:p>
    <w:p>
      <w:pPr>
        <w:pStyle w:val="TOC8"/>
        <w:rPr>
          <w:rFonts w:asciiTheme="minorHAnsi" w:eastAsiaTheme="minorEastAsia" w:hAnsiTheme="minorHAnsi" w:cstheme="minorBidi"/>
          <w:szCs w:val="22"/>
        </w:rPr>
      </w:pPr>
      <w:r>
        <w:t>216V.</w:t>
      </w:r>
      <w:r>
        <w:tab/>
        <w:t>Costs of arbitration</w:t>
      </w:r>
      <w:r>
        <w:tab/>
      </w:r>
      <w:r>
        <w:fldChar w:fldCharType="begin"/>
      </w:r>
      <w:r>
        <w:instrText xml:space="preserve"> PAGEREF _Toc158375016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7 — The Natural Gas Services Bulletin Board</w:t>
      </w:r>
    </w:p>
    <w:p>
      <w:pPr>
        <w:pStyle w:val="TOC4"/>
        <w:tabs>
          <w:tab w:val="right" w:leader="dot" w:pos="7077"/>
        </w:tabs>
        <w:rPr>
          <w:rFonts w:asciiTheme="minorHAnsi" w:eastAsiaTheme="minorEastAsia" w:hAnsiTheme="minorHAnsi" w:cstheme="minorBidi"/>
          <w:b w:val="0"/>
          <w:szCs w:val="22"/>
        </w:rPr>
      </w:pPr>
      <w:r>
        <w:t>Part 1 — The Bulletin Board Operator</w:t>
      </w:r>
    </w:p>
    <w:p>
      <w:pPr>
        <w:pStyle w:val="TOC8"/>
        <w:rPr>
          <w:rFonts w:asciiTheme="minorHAnsi" w:eastAsiaTheme="minorEastAsia" w:hAnsiTheme="minorHAnsi" w:cstheme="minorBidi"/>
          <w:szCs w:val="22"/>
        </w:rPr>
      </w:pPr>
      <w:r>
        <w:t>217.</w:t>
      </w:r>
      <w:r>
        <w:tab/>
        <w:t>The Bulletin Board operator</w:t>
      </w:r>
      <w:r>
        <w:tab/>
      </w:r>
      <w:r>
        <w:fldChar w:fldCharType="begin"/>
      </w:r>
      <w:r>
        <w:instrText xml:space="preserve"> PAGEREF _Toc158375019 \h </w:instrText>
      </w:r>
      <w:r>
        <w:fldChar w:fldCharType="separate"/>
      </w:r>
      <w:r>
        <w:t>1</w:t>
      </w:r>
      <w:r>
        <w:fldChar w:fldCharType="end"/>
      </w:r>
    </w:p>
    <w:p>
      <w:pPr>
        <w:pStyle w:val="TOC8"/>
        <w:rPr>
          <w:rFonts w:asciiTheme="minorHAnsi" w:eastAsiaTheme="minorEastAsia" w:hAnsiTheme="minorHAnsi" w:cstheme="minorBidi"/>
          <w:szCs w:val="22"/>
        </w:rPr>
      </w:pPr>
      <w:r>
        <w:t>218.</w:t>
      </w:r>
      <w:r>
        <w:tab/>
        <w:t>Obligation to establish and maintain the Natural Gas Services Bulletin Board</w:t>
      </w:r>
      <w:r>
        <w:tab/>
      </w:r>
      <w:r>
        <w:fldChar w:fldCharType="begin"/>
      </w:r>
      <w:r>
        <w:instrText xml:space="preserve"> PAGEREF _Toc158375020 \h </w:instrText>
      </w:r>
      <w:r>
        <w:fldChar w:fldCharType="separate"/>
      </w:r>
      <w:r>
        <w:t>1</w:t>
      </w:r>
      <w:r>
        <w:fldChar w:fldCharType="end"/>
      </w:r>
    </w:p>
    <w:p>
      <w:pPr>
        <w:pStyle w:val="TOC8"/>
        <w:rPr>
          <w:rFonts w:asciiTheme="minorHAnsi" w:eastAsiaTheme="minorEastAsia" w:hAnsiTheme="minorHAnsi" w:cstheme="minorBidi"/>
          <w:szCs w:val="22"/>
        </w:rPr>
      </w:pPr>
      <w:r>
        <w:t>219.</w:t>
      </w:r>
      <w:r>
        <w:tab/>
        <w:t>Other functions of the Bulletin Board operator</w:t>
      </w:r>
      <w:r>
        <w:tab/>
      </w:r>
      <w:r>
        <w:fldChar w:fldCharType="begin"/>
      </w:r>
      <w:r>
        <w:instrText xml:space="preserve"> PAGEREF _Toc158375021 \h </w:instrText>
      </w:r>
      <w:r>
        <w:fldChar w:fldCharType="separate"/>
      </w:r>
      <w:r>
        <w:t>1</w:t>
      </w:r>
      <w:r>
        <w:fldChar w:fldCharType="end"/>
      </w:r>
    </w:p>
    <w:p>
      <w:pPr>
        <w:pStyle w:val="TOC8"/>
        <w:rPr>
          <w:rFonts w:asciiTheme="minorHAnsi" w:eastAsiaTheme="minorEastAsia" w:hAnsiTheme="minorHAnsi" w:cstheme="minorBidi"/>
          <w:szCs w:val="22"/>
        </w:rPr>
      </w:pPr>
      <w:r>
        <w:lastRenderedPageBreak/>
        <w:t>220.</w:t>
      </w:r>
      <w:r>
        <w:tab/>
        <w:t>Powers of the Bulletin Board operator</w:t>
      </w:r>
      <w:r>
        <w:tab/>
      </w:r>
      <w:r>
        <w:fldChar w:fldCharType="begin"/>
      </w:r>
      <w:r>
        <w:instrText xml:space="preserve"> PAGEREF _Toc158375022 \h </w:instrText>
      </w:r>
      <w:r>
        <w:fldChar w:fldCharType="separate"/>
      </w:r>
      <w:r>
        <w:t>1</w:t>
      </w:r>
      <w:r>
        <w:fldChar w:fldCharType="end"/>
      </w:r>
    </w:p>
    <w:p>
      <w:pPr>
        <w:pStyle w:val="TOC8"/>
        <w:rPr>
          <w:rFonts w:asciiTheme="minorHAnsi" w:eastAsiaTheme="minorEastAsia" w:hAnsiTheme="minorHAnsi" w:cstheme="minorBidi"/>
          <w:szCs w:val="22"/>
        </w:rPr>
      </w:pPr>
      <w:r>
        <w:t>221.</w:t>
      </w:r>
      <w:r>
        <w:tab/>
        <w:t>Immunity of the Bulletin Board operator</w:t>
      </w:r>
      <w:r>
        <w:tab/>
      </w:r>
      <w:r>
        <w:fldChar w:fldCharType="begin"/>
      </w:r>
      <w:r>
        <w:instrText xml:space="preserve"> PAGEREF _Toc158375023 \h </w:instrText>
      </w:r>
      <w:r>
        <w:fldChar w:fldCharType="separate"/>
      </w:r>
      <w:r>
        <w:t>1</w:t>
      </w:r>
      <w:r>
        <w:fldChar w:fldCharType="end"/>
      </w:r>
    </w:p>
    <w:p>
      <w:pPr>
        <w:pStyle w:val="TOC8"/>
        <w:rPr>
          <w:rFonts w:asciiTheme="minorHAnsi" w:eastAsiaTheme="minorEastAsia" w:hAnsiTheme="minorHAnsi" w:cstheme="minorBidi"/>
          <w:szCs w:val="22"/>
        </w:rPr>
      </w:pPr>
      <w:r>
        <w:t>222.</w:t>
      </w:r>
      <w:r>
        <w:tab/>
        <w:t>Fees for services provided</w:t>
      </w:r>
      <w:r>
        <w:tab/>
      </w:r>
      <w:r>
        <w:fldChar w:fldCharType="begin"/>
      </w:r>
      <w:r>
        <w:instrText xml:space="preserve"> PAGEREF _Toc158375024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 — Bulletin Board information</w:t>
      </w:r>
    </w:p>
    <w:p>
      <w:pPr>
        <w:pStyle w:val="TOC8"/>
        <w:rPr>
          <w:rFonts w:asciiTheme="minorHAnsi" w:eastAsiaTheme="minorEastAsia" w:hAnsiTheme="minorHAnsi" w:cstheme="minorBidi"/>
          <w:szCs w:val="22"/>
        </w:rPr>
      </w:pPr>
      <w:r>
        <w:t>223.</w:t>
      </w:r>
      <w:r>
        <w:tab/>
        <w:t>Obligation to give information to the Bulletin Board operator</w:t>
      </w:r>
      <w:r>
        <w:tab/>
      </w:r>
      <w:r>
        <w:fldChar w:fldCharType="begin"/>
      </w:r>
      <w:r>
        <w:instrText xml:space="preserve"> PAGEREF _Toc158375026 \h </w:instrText>
      </w:r>
      <w:r>
        <w:fldChar w:fldCharType="separate"/>
      </w:r>
      <w:r>
        <w:t>1</w:t>
      </w:r>
      <w:r>
        <w:fldChar w:fldCharType="end"/>
      </w:r>
    </w:p>
    <w:p>
      <w:pPr>
        <w:pStyle w:val="TOC8"/>
        <w:rPr>
          <w:rFonts w:asciiTheme="minorHAnsi" w:eastAsiaTheme="minorEastAsia" w:hAnsiTheme="minorHAnsi" w:cstheme="minorBidi"/>
          <w:szCs w:val="22"/>
        </w:rPr>
      </w:pPr>
      <w:r>
        <w:t>224.</w:t>
      </w:r>
      <w:r>
        <w:tab/>
        <w:t>Person cannot rely on duty of confidence to avoid compliance with obligation</w:t>
      </w:r>
      <w:r>
        <w:tab/>
      </w:r>
      <w:r>
        <w:fldChar w:fldCharType="begin"/>
      </w:r>
      <w:r>
        <w:instrText xml:space="preserve"> PAGEREF _Toc158375027 \h </w:instrText>
      </w:r>
      <w:r>
        <w:fldChar w:fldCharType="separate"/>
      </w:r>
      <w:r>
        <w:t>1</w:t>
      </w:r>
      <w:r>
        <w:fldChar w:fldCharType="end"/>
      </w:r>
    </w:p>
    <w:p>
      <w:pPr>
        <w:pStyle w:val="TOC8"/>
        <w:rPr>
          <w:rFonts w:asciiTheme="minorHAnsi" w:eastAsiaTheme="minorEastAsia" w:hAnsiTheme="minorHAnsi" w:cstheme="minorBidi"/>
          <w:szCs w:val="22"/>
        </w:rPr>
      </w:pPr>
      <w:r>
        <w:t>225.</w:t>
      </w:r>
      <w:r>
        <w:tab/>
        <w:t>Giving to Bulletin Board operator false and misleading information</w:t>
      </w:r>
      <w:r>
        <w:tab/>
      </w:r>
      <w:r>
        <w:fldChar w:fldCharType="begin"/>
      </w:r>
      <w:r>
        <w:instrText xml:space="preserve"> PAGEREF _Toc158375028 \h </w:instrText>
      </w:r>
      <w:r>
        <w:fldChar w:fldCharType="separate"/>
      </w:r>
      <w:r>
        <w:t>1</w:t>
      </w:r>
      <w:r>
        <w:fldChar w:fldCharType="end"/>
      </w:r>
    </w:p>
    <w:p>
      <w:pPr>
        <w:pStyle w:val="TOC8"/>
        <w:rPr>
          <w:rFonts w:asciiTheme="minorHAnsi" w:eastAsiaTheme="minorEastAsia" w:hAnsiTheme="minorHAnsi" w:cstheme="minorBidi"/>
          <w:szCs w:val="22"/>
        </w:rPr>
      </w:pPr>
      <w:r>
        <w:t>226.</w:t>
      </w:r>
      <w:r>
        <w:tab/>
        <w:t>Immunity of persons giving information to the Bulletin Board operator</w:t>
      </w:r>
      <w:r>
        <w:tab/>
      </w:r>
      <w:r>
        <w:fldChar w:fldCharType="begin"/>
      </w:r>
      <w:r>
        <w:instrText xml:space="preserve"> PAGEREF _Toc158375029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 — Protection of information</w:t>
      </w:r>
    </w:p>
    <w:p>
      <w:pPr>
        <w:pStyle w:val="TOC8"/>
        <w:rPr>
          <w:rFonts w:asciiTheme="minorHAnsi" w:eastAsiaTheme="minorEastAsia" w:hAnsiTheme="minorHAnsi" w:cstheme="minorBidi"/>
          <w:szCs w:val="22"/>
        </w:rPr>
      </w:pPr>
      <w:r>
        <w:t>227.</w:t>
      </w:r>
      <w:r>
        <w:tab/>
        <w:t>Protection of information by the Bulletin Board operator</w:t>
      </w:r>
      <w:r>
        <w:tab/>
      </w:r>
      <w:r>
        <w:fldChar w:fldCharType="begin"/>
      </w:r>
      <w:r>
        <w:instrText xml:space="preserve"> PAGEREF _Toc158375031 \h </w:instrText>
      </w:r>
      <w:r>
        <w:fldChar w:fldCharType="separate"/>
      </w:r>
      <w:r>
        <w:t>1</w:t>
      </w:r>
      <w:r>
        <w:fldChar w:fldCharType="end"/>
      </w:r>
    </w:p>
    <w:p>
      <w:pPr>
        <w:pStyle w:val="TOC8"/>
        <w:rPr>
          <w:rFonts w:asciiTheme="minorHAnsi" w:eastAsiaTheme="minorEastAsia" w:hAnsiTheme="minorHAnsi" w:cstheme="minorBidi"/>
          <w:szCs w:val="22"/>
        </w:rPr>
      </w:pPr>
      <w:r>
        <w:t>228.</w:t>
      </w:r>
      <w:r>
        <w:tab/>
        <w:t>Protection of information by employees etc of the Bulletin Board operator</w:t>
      </w:r>
      <w:r>
        <w:tab/>
      </w:r>
      <w:r>
        <w:fldChar w:fldCharType="begin"/>
      </w:r>
      <w:r>
        <w:instrText xml:space="preserve"> PAGEREF _Toc158375032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8 — Proceedings under the National Gas Law</w:t>
      </w:r>
    </w:p>
    <w:p>
      <w:pPr>
        <w:pStyle w:val="TOC4"/>
        <w:tabs>
          <w:tab w:val="right" w:leader="dot" w:pos="7077"/>
        </w:tabs>
        <w:rPr>
          <w:rFonts w:asciiTheme="minorHAnsi" w:eastAsiaTheme="minorEastAsia" w:hAnsiTheme="minorHAnsi" w:cstheme="minorBidi"/>
          <w:b w:val="0"/>
          <w:szCs w:val="22"/>
        </w:rPr>
      </w:pPr>
      <w:r>
        <w:t>Part 1 — Proceedings generally</w:t>
      </w:r>
    </w:p>
    <w:p>
      <w:pPr>
        <w:pStyle w:val="TOC8"/>
        <w:rPr>
          <w:rFonts w:asciiTheme="minorHAnsi" w:eastAsiaTheme="minorEastAsia" w:hAnsiTheme="minorHAnsi" w:cstheme="minorBidi"/>
          <w:szCs w:val="22"/>
        </w:rPr>
      </w:pPr>
      <w:r>
        <w:t>229.</w:t>
      </w:r>
      <w:r>
        <w:tab/>
        <w:t>Instituting civil proceedings under this Law</w:t>
      </w:r>
      <w:r>
        <w:tab/>
      </w:r>
      <w:r>
        <w:fldChar w:fldCharType="begin"/>
      </w:r>
      <w:r>
        <w:instrText xml:space="preserve"> PAGEREF _Toc158375035 \h </w:instrText>
      </w:r>
      <w:r>
        <w:fldChar w:fldCharType="separate"/>
      </w:r>
      <w:r>
        <w:t>1</w:t>
      </w:r>
      <w:r>
        <w:fldChar w:fldCharType="end"/>
      </w:r>
    </w:p>
    <w:p>
      <w:pPr>
        <w:pStyle w:val="TOC8"/>
        <w:rPr>
          <w:rFonts w:asciiTheme="minorHAnsi" w:eastAsiaTheme="minorEastAsia" w:hAnsiTheme="minorHAnsi" w:cstheme="minorBidi"/>
          <w:szCs w:val="22"/>
        </w:rPr>
      </w:pPr>
      <w:r>
        <w:t>230.</w:t>
      </w:r>
      <w:r>
        <w:tab/>
        <w:t>Time limit within which proceedings may be instituted</w:t>
      </w:r>
      <w:r>
        <w:tab/>
      </w:r>
      <w:r>
        <w:fldChar w:fldCharType="begin"/>
      </w:r>
      <w:r>
        <w:instrText xml:space="preserve"> PAGEREF _Toc158375036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 — Proceedings for breaches of this Law, Regulations or the Rules</w:t>
      </w:r>
    </w:p>
    <w:p>
      <w:pPr>
        <w:pStyle w:val="TOC8"/>
        <w:rPr>
          <w:rFonts w:asciiTheme="minorHAnsi" w:eastAsiaTheme="minorEastAsia" w:hAnsiTheme="minorHAnsi" w:cstheme="minorBidi"/>
          <w:szCs w:val="22"/>
        </w:rPr>
      </w:pPr>
      <w:r>
        <w:t>231.</w:t>
      </w:r>
      <w:r>
        <w:tab/>
        <w:t>AER proceedings for breaches of this Law, Regulations or the Rules that are not offences</w:t>
      </w:r>
      <w:r>
        <w:tab/>
      </w:r>
      <w:r>
        <w:fldChar w:fldCharType="begin"/>
      </w:r>
      <w:r>
        <w:instrText xml:space="preserve"> PAGEREF _Toc158375038 \h </w:instrText>
      </w:r>
      <w:r>
        <w:fldChar w:fldCharType="separate"/>
      </w:r>
      <w:r>
        <w:t>1</w:t>
      </w:r>
      <w:r>
        <w:fldChar w:fldCharType="end"/>
      </w:r>
    </w:p>
    <w:p>
      <w:pPr>
        <w:pStyle w:val="TOC8"/>
        <w:rPr>
          <w:rFonts w:asciiTheme="minorHAnsi" w:eastAsiaTheme="minorEastAsia" w:hAnsiTheme="minorHAnsi" w:cstheme="minorBidi"/>
          <w:szCs w:val="22"/>
        </w:rPr>
      </w:pPr>
      <w:r>
        <w:t>232.</w:t>
      </w:r>
      <w:r>
        <w:tab/>
        <w:t>Proceedings for declaration that a person is in breach of a conduct provision</w:t>
      </w:r>
      <w:r>
        <w:tab/>
      </w:r>
      <w:r>
        <w:fldChar w:fldCharType="begin"/>
      </w:r>
      <w:r>
        <w:instrText xml:space="preserve"> PAGEREF _Toc158375039 \h </w:instrText>
      </w:r>
      <w:r>
        <w:fldChar w:fldCharType="separate"/>
      </w:r>
      <w:r>
        <w:t>1</w:t>
      </w:r>
      <w:r>
        <w:fldChar w:fldCharType="end"/>
      </w:r>
    </w:p>
    <w:p>
      <w:pPr>
        <w:pStyle w:val="TOC8"/>
        <w:rPr>
          <w:rFonts w:asciiTheme="minorHAnsi" w:eastAsiaTheme="minorEastAsia" w:hAnsiTheme="minorHAnsi" w:cstheme="minorBidi"/>
          <w:szCs w:val="22"/>
        </w:rPr>
      </w:pPr>
      <w:r>
        <w:t>233.</w:t>
      </w:r>
      <w:r>
        <w:tab/>
        <w:t>Actions for damages by persons for breach of conduct provision</w:t>
      </w:r>
      <w:r>
        <w:tab/>
      </w:r>
      <w:r>
        <w:fldChar w:fldCharType="begin"/>
      </w:r>
      <w:r>
        <w:instrText xml:space="preserve"> PAGEREF _Toc158375040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 — Matters relating to breaches of this Law, the Regulations or the Rules</w:t>
      </w:r>
    </w:p>
    <w:p>
      <w:pPr>
        <w:pStyle w:val="TOC8"/>
        <w:rPr>
          <w:rFonts w:asciiTheme="minorHAnsi" w:eastAsiaTheme="minorEastAsia" w:hAnsiTheme="minorHAnsi" w:cstheme="minorBidi"/>
          <w:szCs w:val="22"/>
        </w:rPr>
      </w:pPr>
      <w:r>
        <w:t>234.</w:t>
      </w:r>
      <w:r>
        <w:tab/>
        <w:t>Matters for which there must be regard in determining amount of civil penalty</w:t>
      </w:r>
      <w:r>
        <w:tab/>
      </w:r>
      <w:r>
        <w:fldChar w:fldCharType="begin"/>
      </w:r>
      <w:r>
        <w:instrText xml:space="preserve"> PAGEREF _Toc158375042 \h </w:instrText>
      </w:r>
      <w:r>
        <w:fldChar w:fldCharType="separate"/>
      </w:r>
      <w:r>
        <w:t>1</w:t>
      </w:r>
      <w:r>
        <w:fldChar w:fldCharType="end"/>
      </w:r>
    </w:p>
    <w:p>
      <w:pPr>
        <w:pStyle w:val="TOC8"/>
        <w:rPr>
          <w:rFonts w:asciiTheme="minorHAnsi" w:eastAsiaTheme="minorEastAsia" w:hAnsiTheme="minorHAnsi" w:cstheme="minorBidi"/>
          <w:szCs w:val="22"/>
        </w:rPr>
      </w:pPr>
      <w:r>
        <w:t>235.</w:t>
      </w:r>
      <w:r>
        <w:tab/>
        <w:t>Breach of a civil penalty provision is not an offence</w:t>
      </w:r>
      <w:r>
        <w:tab/>
      </w:r>
      <w:r>
        <w:fldChar w:fldCharType="begin"/>
      </w:r>
      <w:r>
        <w:instrText xml:space="preserve"> PAGEREF _Toc158375043 \h </w:instrText>
      </w:r>
      <w:r>
        <w:fldChar w:fldCharType="separate"/>
      </w:r>
      <w:r>
        <w:t>1</w:t>
      </w:r>
      <w:r>
        <w:fldChar w:fldCharType="end"/>
      </w:r>
    </w:p>
    <w:p>
      <w:pPr>
        <w:pStyle w:val="TOC8"/>
        <w:rPr>
          <w:rFonts w:asciiTheme="minorHAnsi" w:eastAsiaTheme="minorEastAsia" w:hAnsiTheme="minorHAnsi" w:cstheme="minorBidi"/>
          <w:szCs w:val="22"/>
        </w:rPr>
      </w:pPr>
      <w:r>
        <w:lastRenderedPageBreak/>
        <w:t>236.</w:t>
      </w:r>
      <w:r>
        <w:tab/>
        <w:t>Breaches of civil penalty provisions involving continuing failure</w:t>
      </w:r>
      <w:r>
        <w:tab/>
      </w:r>
      <w:r>
        <w:fldChar w:fldCharType="begin"/>
      </w:r>
      <w:r>
        <w:instrText xml:space="preserve"> PAGEREF _Toc158375044 \h </w:instrText>
      </w:r>
      <w:r>
        <w:fldChar w:fldCharType="separate"/>
      </w:r>
      <w:r>
        <w:t>1</w:t>
      </w:r>
      <w:r>
        <w:fldChar w:fldCharType="end"/>
      </w:r>
    </w:p>
    <w:p>
      <w:pPr>
        <w:pStyle w:val="TOC8"/>
        <w:rPr>
          <w:rFonts w:asciiTheme="minorHAnsi" w:eastAsiaTheme="minorEastAsia" w:hAnsiTheme="minorHAnsi" w:cstheme="minorBidi"/>
          <w:szCs w:val="22"/>
        </w:rPr>
      </w:pPr>
      <w:r>
        <w:t>237.</w:t>
      </w:r>
      <w:r>
        <w:tab/>
        <w:t>Conduct in breach of more than 1 civil penalty provision</w:t>
      </w:r>
      <w:r>
        <w:tab/>
      </w:r>
      <w:r>
        <w:fldChar w:fldCharType="begin"/>
      </w:r>
      <w:r>
        <w:instrText xml:space="preserve"> PAGEREF _Toc158375045 \h </w:instrText>
      </w:r>
      <w:r>
        <w:fldChar w:fldCharType="separate"/>
      </w:r>
      <w:r>
        <w:t>1</w:t>
      </w:r>
      <w:r>
        <w:fldChar w:fldCharType="end"/>
      </w:r>
    </w:p>
    <w:p>
      <w:pPr>
        <w:pStyle w:val="TOC8"/>
        <w:rPr>
          <w:rFonts w:asciiTheme="minorHAnsi" w:eastAsiaTheme="minorEastAsia" w:hAnsiTheme="minorHAnsi" w:cstheme="minorBidi"/>
          <w:szCs w:val="22"/>
        </w:rPr>
      </w:pPr>
      <w:r>
        <w:t>238.</w:t>
      </w:r>
      <w:r>
        <w:tab/>
        <w:t>Persons involved in breach of civil penalty provision or conduct provision</w:t>
      </w:r>
      <w:r>
        <w:tab/>
      </w:r>
      <w:r>
        <w:fldChar w:fldCharType="begin"/>
      </w:r>
      <w:r>
        <w:instrText xml:space="preserve"> PAGEREF _Toc158375046 \h </w:instrText>
      </w:r>
      <w:r>
        <w:fldChar w:fldCharType="separate"/>
      </w:r>
      <w:r>
        <w:t>1</w:t>
      </w:r>
      <w:r>
        <w:fldChar w:fldCharType="end"/>
      </w:r>
    </w:p>
    <w:p>
      <w:pPr>
        <w:pStyle w:val="TOC8"/>
        <w:rPr>
          <w:rFonts w:asciiTheme="minorHAnsi" w:eastAsiaTheme="minorEastAsia" w:hAnsiTheme="minorHAnsi" w:cstheme="minorBidi"/>
          <w:szCs w:val="22"/>
        </w:rPr>
      </w:pPr>
      <w:r>
        <w:t>239.</w:t>
      </w:r>
      <w:r>
        <w:tab/>
        <w:t>Attempt to breach a civil penalty provision</w:t>
      </w:r>
      <w:r>
        <w:tab/>
      </w:r>
      <w:r>
        <w:fldChar w:fldCharType="begin"/>
      </w:r>
      <w:r>
        <w:instrText xml:space="preserve"> PAGEREF _Toc158375047 \h </w:instrText>
      </w:r>
      <w:r>
        <w:fldChar w:fldCharType="separate"/>
      </w:r>
      <w:r>
        <w:t>1</w:t>
      </w:r>
      <w:r>
        <w:fldChar w:fldCharType="end"/>
      </w:r>
    </w:p>
    <w:p>
      <w:pPr>
        <w:pStyle w:val="TOC8"/>
        <w:rPr>
          <w:rFonts w:asciiTheme="minorHAnsi" w:eastAsiaTheme="minorEastAsia" w:hAnsiTheme="minorHAnsi" w:cstheme="minorBidi"/>
          <w:szCs w:val="22"/>
        </w:rPr>
      </w:pPr>
      <w:r>
        <w:t>240.</w:t>
      </w:r>
      <w:r>
        <w:tab/>
        <w:t>Civil penalties payable to the Commonwealth</w:t>
      </w:r>
      <w:r>
        <w:tab/>
      </w:r>
      <w:r>
        <w:fldChar w:fldCharType="begin"/>
      </w:r>
      <w:r>
        <w:instrText xml:space="preserve"> PAGEREF _Toc158375048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 — Judicial review of decisions under this Law, the Regulations and the Rules</w:t>
      </w:r>
    </w:p>
    <w:p>
      <w:pPr>
        <w:pStyle w:val="TOC8"/>
        <w:rPr>
          <w:rFonts w:asciiTheme="minorHAnsi" w:eastAsiaTheme="minorEastAsia" w:hAnsiTheme="minorHAnsi" w:cstheme="minorBidi"/>
          <w:szCs w:val="22"/>
        </w:rPr>
      </w:pPr>
      <w:r>
        <w:t>241.</w:t>
      </w:r>
      <w:r>
        <w:tab/>
        <w:t>Definition</w:t>
      </w:r>
      <w:r>
        <w:tab/>
      </w:r>
      <w:r>
        <w:fldChar w:fldCharType="begin"/>
      </w:r>
      <w:r>
        <w:instrText xml:space="preserve"> PAGEREF _Toc158375050 \h </w:instrText>
      </w:r>
      <w:r>
        <w:fldChar w:fldCharType="separate"/>
      </w:r>
      <w:r>
        <w:t>1</w:t>
      </w:r>
      <w:r>
        <w:fldChar w:fldCharType="end"/>
      </w:r>
    </w:p>
    <w:p>
      <w:pPr>
        <w:pStyle w:val="TOC8"/>
        <w:rPr>
          <w:rFonts w:asciiTheme="minorHAnsi" w:eastAsiaTheme="minorEastAsia" w:hAnsiTheme="minorHAnsi" w:cstheme="minorBidi"/>
          <w:szCs w:val="22"/>
        </w:rPr>
      </w:pPr>
      <w:r>
        <w:t>242.</w:t>
      </w:r>
      <w:r>
        <w:tab/>
        <w:t>Applications for judicial review of decisions of the AEMC</w:t>
      </w:r>
      <w:r>
        <w:tab/>
      </w:r>
      <w:r>
        <w:fldChar w:fldCharType="begin"/>
      </w:r>
      <w:r>
        <w:instrText xml:space="preserve"> PAGEREF _Toc158375051 \h </w:instrText>
      </w:r>
      <w:r>
        <w:fldChar w:fldCharType="separate"/>
      </w:r>
      <w:r>
        <w:t>1</w:t>
      </w:r>
      <w:r>
        <w:fldChar w:fldCharType="end"/>
      </w:r>
    </w:p>
    <w:p>
      <w:pPr>
        <w:pStyle w:val="TOC8"/>
        <w:rPr>
          <w:rFonts w:asciiTheme="minorHAnsi" w:eastAsiaTheme="minorEastAsia" w:hAnsiTheme="minorHAnsi" w:cstheme="minorBidi"/>
          <w:szCs w:val="22"/>
        </w:rPr>
      </w:pPr>
      <w:r>
        <w:t>243.</w:t>
      </w:r>
      <w:r>
        <w:tab/>
        <w:t>Applications for judicial review of decisions of the Bulletin Board operator</w:t>
      </w:r>
      <w:r>
        <w:tab/>
      </w:r>
      <w:r>
        <w:fldChar w:fldCharType="begin"/>
      </w:r>
      <w:r>
        <w:instrText xml:space="preserve"> PAGEREF _Toc158375052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5 — Merits review and other non</w:t>
      </w:r>
      <w:r>
        <w:noBreakHyphen/>
        <w:t>judicial review</w:t>
      </w:r>
    </w:p>
    <w:p>
      <w:pPr>
        <w:pStyle w:val="TOC6"/>
        <w:tabs>
          <w:tab w:val="right" w:leader="dot" w:pos="7077"/>
        </w:tabs>
        <w:rPr>
          <w:rFonts w:asciiTheme="minorHAnsi" w:eastAsiaTheme="minorEastAsia" w:hAnsiTheme="minorHAnsi" w:cstheme="minorBidi"/>
          <w:b w:val="0"/>
          <w:sz w:val="22"/>
          <w:szCs w:val="22"/>
        </w:rPr>
      </w:pPr>
      <w:r>
        <w:t>Division 1 — Interpretation</w:t>
      </w:r>
    </w:p>
    <w:p>
      <w:pPr>
        <w:pStyle w:val="TOC8"/>
        <w:rPr>
          <w:rFonts w:asciiTheme="minorHAnsi" w:eastAsiaTheme="minorEastAsia" w:hAnsiTheme="minorHAnsi" w:cstheme="minorBidi"/>
          <w:szCs w:val="22"/>
        </w:rPr>
      </w:pPr>
      <w:r>
        <w:t>244.</w:t>
      </w:r>
      <w:r>
        <w:tab/>
        <w:t>Definitions</w:t>
      </w:r>
      <w:r>
        <w:tab/>
      </w:r>
      <w:r>
        <w:fldChar w:fldCharType="begin"/>
      </w:r>
      <w:r>
        <w:instrText xml:space="preserve"> PAGEREF _Toc158375055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Merits review for reviewable regulatory decisions</w:t>
      </w:r>
    </w:p>
    <w:p>
      <w:pPr>
        <w:pStyle w:val="TOC8"/>
        <w:rPr>
          <w:rFonts w:asciiTheme="minorHAnsi" w:eastAsiaTheme="minorEastAsia" w:hAnsiTheme="minorHAnsi" w:cstheme="minorBidi"/>
          <w:szCs w:val="22"/>
        </w:rPr>
      </w:pPr>
      <w:r>
        <w:t>245.</w:t>
      </w:r>
      <w:r>
        <w:tab/>
        <w:t>Applications for review</w:t>
      </w:r>
      <w:r>
        <w:tab/>
      </w:r>
      <w:r>
        <w:fldChar w:fldCharType="begin"/>
      </w:r>
      <w:r>
        <w:instrText xml:space="preserve"> PAGEREF _Toc158375057 \h </w:instrText>
      </w:r>
      <w:r>
        <w:fldChar w:fldCharType="separate"/>
      </w:r>
      <w:r>
        <w:t>1</w:t>
      </w:r>
      <w:r>
        <w:fldChar w:fldCharType="end"/>
      </w:r>
    </w:p>
    <w:p>
      <w:pPr>
        <w:pStyle w:val="TOC8"/>
        <w:rPr>
          <w:rFonts w:asciiTheme="minorHAnsi" w:eastAsiaTheme="minorEastAsia" w:hAnsiTheme="minorHAnsi" w:cstheme="minorBidi"/>
          <w:szCs w:val="22"/>
        </w:rPr>
      </w:pPr>
      <w:r>
        <w:t>246.</w:t>
      </w:r>
      <w:r>
        <w:tab/>
        <w:t>Grounds for review</w:t>
      </w:r>
      <w:r>
        <w:tab/>
      </w:r>
      <w:r>
        <w:fldChar w:fldCharType="begin"/>
      </w:r>
      <w:r>
        <w:instrText xml:space="preserve"> PAGEREF _Toc158375058 \h </w:instrText>
      </w:r>
      <w:r>
        <w:fldChar w:fldCharType="separate"/>
      </w:r>
      <w:r>
        <w:t>1</w:t>
      </w:r>
      <w:r>
        <w:fldChar w:fldCharType="end"/>
      </w:r>
    </w:p>
    <w:p>
      <w:pPr>
        <w:pStyle w:val="TOC8"/>
        <w:rPr>
          <w:rFonts w:asciiTheme="minorHAnsi" w:eastAsiaTheme="minorEastAsia" w:hAnsiTheme="minorHAnsi" w:cstheme="minorBidi"/>
          <w:szCs w:val="22"/>
        </w:rPr>
      </w:pPr>
      <w:r>
        <w:t>247.</w:t>
      </w:r>
      <w:r>
        <w:tab/>
        <w:t>By when an application must be made</w:t>
      </w:r>
      <w:r>
        <w:tab/>
      </w:r>
      <w:r>
        <w:fldChar w:fldCharType="begin"/>
      </w:r>
      <w:r>
        <w:instrText xml:space="preserve"> PAGEREF _Toc158375059 \h </w:instrText>
      </w:r>
      <w:r>
        <w:fldChar w:fldCharType="separate"/>
      </w:r>
      <w:r>
        <w:t>1</w:t>
      </w:r>
      <w:r>
        <w:fldChar w:fldCharType="end"/>
      </w:r>
    </w:p>
    <w:p>
      <w:pPr>
        <w:pStyle w:val="TOC8"/>
        <w:rPr>
          <w:rFonts w:asciiTheme="minorHAnsi" w:eastAsiaTheme="minorEastAsia" w:hAnsiTheme="minorHAnsi" w:cstheme="minorBidi"/>
          <w:szCs w:val="22"/>
        </w:rPr>
      </w:pPr>
      <w:r>
        <w:t>248.</w:t>
      </w:r>
      <w:r>
        <w:tab/>
        <w:t>Tribunal must not grant leave unless serious issue to be heard and determined</w:t>
      </w:r>
      <w:r>
        <w:tab/>
      </w:r>
      <w:r>
        <w:fldChar w:fldCharType="begin"/>
      </w:r>
      <w:r>
        <w:instrText xml:space="preserve"> PAGEREF _Toc158375060 \h </w:instrText>
      </w:r>
      <w:r>
        <w:fldChar w:fldCharType="separate"/>
      </w:r>
      <w:r>
        <w:t>1</w:t>
      </w:r>
      <w:r>
        <w:fldChar w:fldCharType="end"/>
      </w:r>
    </w:p>
    <w:p>
      <w:pPr>
        <w:pStyle w:val="TOC8"/>
        <w:rPr>
          <w:rFonts w:asciiTheme="minorHAnsi" w:eastAsiaTheme="minorEastAsia" w:hAnsiTheme="minorHAnsi" w:cstheme="minorBidi"/>
          <w:szCs w:val="22"/>
        </w:rPr>
      </w:pPr>
      <w:r>
        <w:t>249.</w:t>
      </w:r>
      <w:r>
        <w:tab/>
        <w:t>Leave must be refused if application is about an error relating to revenue amounts below specified threshold</w:t>
      </w:r>
      <w:r>
        <w:tab/>
      </w:r>
      <w:r>
        <w:fldChar w:fldCharType="begin"/>
      </w:r>
      <w:r>
        <w:instrText xml:space="preserve"> PAGEREF _Toc158375061 \h </w:instrText>
      </w:r>
      <w:r>
        <w:fldChar w:fldCharType="separate"/>
      </w:r>
      <w:r>
        <w:t>1</w:t>
      </w:r>
      <w:r>
        <w:fldChar w:fldCharType="end"/>
      </w:r>
    </w:p>
    <w:p>
      <w:pPr>
        <w:pStyle w:val="TOC8"/>
        <w:rPr>
          <w:rFonts w:asciiTheme="minorHAnsi" w:eastAsiaTheme="minorEastAsia" w:hAnsiTheme="minorHAnsi" w:cstheme="minorBidi"/>
          <w:szCs w:val="22"/>
        </w:rPr>
      </w:pPr>
      <w:r>
        <w:t>250.</w:t>
      </w:r>
      <w:r>
        <w:tab/>
        <w:t>Tribunal must refuse to grant leave if submission not made or is made late</w:t>
      </w:r>
      <w:r>
        <w:tab/>
      </w:r>
      <w:r>
        <w:fldChar w:fldCharType="begin"/>
      </w:r>
      <w:r>
        <w:instrText xml:space="preserve"> PAGEREF _Toc158375062 \h </w:instrText>
      </w:r>
      <w:r>
        <w:fldChar w:fldCharType="separate"/>
      </w:r>
      <w:r>
        <w:t>1</w:t>
      </w:r>
      <w:r>
        <w:fldChar w:fldCharType="end"/>
      </w:r>
    </w:p>
    <w:p>
      <w:pPr>
        <w:pStyle w:val="TOC8"/>
        <w:rPr>
          <w:rFonts w:asciiTheme="minorHAnsi" w:eastAsiaTheme="minorEastAsia" w:hAnsiTheme="minorHAnsi" w:cstheme="minorBidi"/>
          <w:szCs w:val="22"/>
        </w:rPr>
      </w:pPr>
      <w:r>
        <w:t>251.</w:t>
      </w:r>
      <w:r>
        <w:tab/>
        <w:t>Tribunal may refuse to grant leave to service provider in certain cases</w:t>
      </w:r>
      <w:r>
        <w:tab/>
      </w:r>
      <w:r>
        <w:fldChar w:fldCharType="begin"/>
      </w:r>
      <w:r>
        <w:instrText xml:space="preserve"> PAGEREF _Toc158375063 \h </w:instrText>
      </w:r>
      <w:r>
        <w:fldChar w:fldCharType="separate"/>
      </w:r>
      <w:r>
        <w:t>1</w:t>
      </w:r>
      <w:r>
        <w:fldChar w:fldCharType="end"/>
      </w:r>
    </w:p>
    <w:p>
      <w:pPr>
        <w:pStyle w:val="TOC8"/>
        <w:rPr>
          <w:rFonts w:asciiTheme="minorHAnsi" w:eastAsiaTheme="minorEastAsia" w:hAnsiTheme="minorHAnsi" w:cstheme="minorBidi"/>
          <w:szCs w:val="22"/>
        </w:rPr>
      </w:pPr>
      <w:r>
        <w:t>252.</w:t>
      </w:r>
      <w:r>
        <w:tab/>
        <w:t>Effect of application on operation of reviewable regulatory decisions</w:t>
      </w:r>
      <w:r>
        <w:tab/>
      </w:r>
      <w:r>
        <w:fldChar w:fldCharType="begin"/>
      </w:r>
      <w:r>
        <w:instrText xml:space="preserve"> PAGEREF _Toc158375064 \h </w:instrText>
      </w:r>
      <w:r>
        <w:fldChar w:fldCharType="separate"/>
      </w:r>
      <w:r>
        <w:t>1</w:t>
      </w:r>
      <w:r>
        <w:fldChar w:fldCharType="end"/>
      </w:r>
    </w:p>
    <w:p>
      <w:pPr>
        <w:pStyle w:val="TOC8"/>
        <w:rPr>
          <w:rFonts w:asciiTheme="minorHAnsi" w:eastAsiaTheme="minorEastAsia" w:hAnsiTheme="minorHAnsi" w:cstheme="minorBidi"/>
          <w:szCs w:val="22"/>
        </w:rPr>
      </w:pPr>
      <w:r>
        <w:t>253.</w:t>
      </w:r>
      <w:r>
        <w:tab/>
        <w:t>Intervention by others in a review without leave</w:t>
      </w:r>
      <w:r>
        <w:tab/>
      </w:r>
      <w:r>
        <w:fldChar w:fldCharType="begin"/>
      </w:r>
      <w:r>
        <w:instrText xml:space="preserve"> PAGEREF _Toc158375065 \h </w:instrText>
      </w:r>
      <w:r>
        <w:fldChar w:fldCharType="separate"/>
      </w:r>
      <w:r>
        <w:t>1</w:t>
      </w:r>
      <w:r>
        <w:fldChar w:fldCharType="end"/>
      </w:r>
    </w:p>
    <w:p>
      <w:pPr>
        <w:pStyle w:val="TOC8"/>
        <w:rPr>
          <w:rFonts w:asciiTheme="minorHAnsi" w:eastAsiaTheme="minorEastAsia" w:hAnsiTheme="minorHAnsi" w:cstheme="minorBidi"/>
          <w:szCs w:val="22"/>
        </w:rPr>
      </w:pPr>
      <w:r>
        <w:t>254.</w:t>
      </w:r>
      <w:r>
        <w:tab/>
        <w:t>Leave for reviewable regulatory decision process participants</w:t>
      </w:r>
      <w:r>
        <w:tab/>
      </w:r>
      <w:r>
        <w:fldChar w:fldCharType="begin"/>
      </w:r>
      <w:r>
        <w:instrText xml:space="preserve"> PAGEREF _Toc158375066 \h </w:instrText>
      </w:r>
      <w:r>
        <w:fldChar w:fldCharType="separate"/>
      </w:r>
      <w:r>
        <w:t>1</w:t>
      </w:r>
      <w:r>
        <w:fldChar w:fldCharType="end"/>
      </w:r>
    </w:p>
    <w:p>
      <w:pPr>
        <w:pStyle w:val="TOC8"/>
        <w:rPr>
          <w:rFonts w:asciiTheme="minorHAnsi" w:eastAsiaTheme="minorEastAsia" w:hAnsiTheme="minorHAnsi" w:cstheme="minorBidi"/>
          <w:szCs w:val="22"/>
        </w:rPr>
      </w:pPr>
      <w:r>
        <w:t>255.</w:t>
      </w:r>
      <w:r>
        <w:tab/>
        <w:t>Leave for user or consumer intervener</w:t>
      </w:r>
      <w:r>
        <w:tab/>
      </w:r>
      <w:r>
        <w:fldChar w:fldCharType="begin"/>
      </w:r>
      <w:r>
        <w:instrText xml:space="preserve"> PAGEREF _Toc158375067 \h </w:instrText>
      </w:r>
      <w:r>
        <w:fldChar w:fldCharType="separate"/>
      </w:r>
      <w:r>
        <w:t>1</w:t>
      </w:r>
      <w:r>
        <w:fldChar w:fldCharType="end"/>
      </w:r>
    </w:p>
    <w:p>
      <w:pPr>
        <w:pStyle w:val="TOC8"/>
        <w:rPr>
          <w:rFonts w:asciiTheme="minorHAnsi" w:eastAsiaTheme="minorEastAsia" w:hAnsiTheme="minorHAnsi" w:cstheme="minorBidi"/>
          <w:szCs w:val="22"/>
        </w:rPr>
      </w:pPr>
      <w:r>
        <w:lastRenderedPageBreak/>
        <w:t>256.</w:t>
      </w:r>
      <w:r>
        <w:tab/>
        <w:t>Interveners may raise new grounds for review</w:t>
      </w:r>
      <w:r>
        <w:tab/>
      </w:r>
      <w:r>
        <w:fldChar w:fldCharType="begin"/>
      </w:r>
      <w:r>
        <w:instrText xml:space="preserve"> PAGEREF _Toc158375068 \h </w:instrText>
      </w:r>
      <w:r>
        <w:fldChar w:fldCharType="separate"/>
      </w:r>
      <w:r>
        <w:t>1</w:t>
      </w:r>
      <w:r>
        <w:fldChar w:fldCharType="end"/>
      </w:r>
    </w:p>
    <w:p>
      <w:pPr>
        <w:pStyle w:val="TOC8"/>
        <w:rPr>
          <w:rFonts w:asciiTheme="minorHAnsi" w:eastAsiaTheme="minorEastAsia" w:hAnsiTheme="minorHAnsi" w:cstheme="minorBidi"/>
          <w:szCs w:val="22"/>
        </w:rPr>
      </w:pPr>
      <w:r>
        <w:t>257.</w:t>
      </w:r>
      <w:r>
        <w:tab/>
        <w:t>Parties to a review under this Division</w:t>
      </w:r>
      <w:r>
        <w:tab/>
      </w:r>
      <w:r>
        <w:fldChar w:fldCharType="begin"/>
      </w:r>
      <w:r>
        <w:instrText xml:space="preserve"> PAGEREF _Toc158375069 \h </w:instrText>
      </w:r>
      <w:r>
        <w:fldChar w:fldCharType="separate"/>
      </w:r>
      <w:r>
        <w:t>1</w:t>
      </w:r>
      <w:r>
        <w:fldChar w:fldCharType="end"/>
      </w:r>
    </w:p>
    <w:p>
      <w:pPr>
        <w:pStyle w:val="TOC8"/>
        <w:rPr>
          <w:rFonts w:asciiTheme="minorHAnsi" w:eastAsiaTheme="minorEastAsia" w:hAnsiTheme="minorHAnsi" w:cstheme="minorBidi"/>
          <w:szCs w:val="22"/>
        </w:rPr>
      </w:pPr>
      <w:r>
        <w:t>258.</w:t>
      </w:r>
      <w:r>
        <w:tab/>
        <w:t>Matters that parties to a review may and may not raise in a review</w:t>
      </w:r>
      <w:r>
        <w:tab/>
      </w:r>
      <w:r>
        <w:fldChar w:fldCharType="begin"/>
      </w:r>
      <w:r>
        <w:instrText xml:space="preserve"> PAGEREF _Toc158375070 \h </w:instrText>
      </w:r>
      <w:r>
        <w:fldChar w:fldCharType="separate"/>
      </w:r>
      <w:r>
        <w:t>1</w:t>
      </w:r>
      <w:r>
        <w:fldChar w:fldCharType="end"/>
      </w:r>
    </w:p>
    <w:p>
      <w:pPr>
        <w:pStyle w:val="TOC8"/>
        <w:rPr>
          <w:rFonts w:asciiTheme="minorHAnsi" w:eastAsiaTheme="minorEastAsia" w:hAnsiTheme="minorHAnsi" w:cstheme="minorBidi"/>
          <w:szCs w:val="22"/>
        </w:rPr>
      </w:pPr>
      <w:r>
        <w:t>258A.</w:t>
      </w:r>
      <w:r>
        <w:tab/>
        <w:t>Matters that may and may not be raised in a review (designated reviewable regulatory decisions)</w:t>
      </w:r>
      <w:r>
        <w:tab/>
      </w:r>
      <w:r>
        <w:fldChar w:fldCharType="begin"/>
      </w:r>
      <w:r>
        <w:instrText xml:space="preserve"> PAGEREF _Toc158375071 \h </w:instrText>
      </w:r>
      <w:r>
        <w:fldChar w:fldCharType="separate"/>
      </w:r>
      <w:r>
        <w:t>1</w:t>
      </w:r>
      <w:r>
        <w:fldChar w:fldCharType="end"/>
      </w:r>
    </w:p>
    <w:p>
      <w:pPr>
        <w:pStyle w:val="TOC8"/>
        <w:rPr>
          <w:rFonts w:asciiTheme="minorHAnsi" w:eastAsiaTheme="minorEastAsia" w:hAnsiTheme="minorHAnsi" w:cstheme="minorBidi"/>
          <w:szCs w:val="22"/>
        </w:rPr>
      </w:pPr>
      <w:r>
        <w:t>259.</w:t>
      </w:r>
      <w:r>
        <w:tab/>
        <w:t>Tribunal must make determination</w:t>
      </w:r>
      <w:r>
        <w:tab/>
      </w:r>
      <w:r>
        <w:fldChar w:fldCharType="begin"/>
      </w:r>
      <w:r>
        <w:instrText xml:space="preserve"> PAGEREF _Toc158375072 \h </w:instrText>
      </w:r>
      <w:r>
        <w:fldChar w:fldCharType="separate"/>
      </w:r>
      <w:r>
        <w:t>1</w:t>
      </w:r>
      <w:r>
        <w:fldChar w:fldCharType="end"/>
      </w:r>
    </w:p>
    <w:p>
      <w:pPr>
        <w:pStyle w:val="TOC8"/>
        <w:rPr>
          <w:rFonts w:asciiTheme="minorHAnsi" w:eastAsiaTheme="minorEastAsia" w:hAnsiTheme="minorHAnsi" w:cstheme="minorBidi"/>
          <w:szCs w:val="22"/>
        </w:rPr>
      </w:pPr>
      <w:r>
        <w:t>260.</w:t>
      </w:r>
      <w:r>
        <w:tab/>
        <w:t>Target time limit for Tribunal for making a determination under this Division</w:t>
      </w:r>
      <w:r>
        <w:tab/>
      </w:r>
      <w:r>
        <w:fldChar w:fldCharType="begin"/>
      </w:r>
      <w:r>
        <w:instrText xml:space="preserve"> PAGEREF _Toc158375073 \h </w:instrText>
      </w:r>
      <w:r>
        <w:fldChar w:fldCharType="separate"/>
      </w:r>
      <w:r>
        <w:t>1</w:t>
      </w:r>
      <w:r>
        <w:fldChar w:fldCharType="end"/>
      </w:r>
    </w:p>
    <w:p>
      <w:pPr>
        <w:pStyle w:val="TOC8"/>
        <w:rPr>
          <w:rFonts w:asciiTheme="minorHAnsi" w:eastAsiaTheme="minorEastAsia" w:hAnsiTheme="minorHAnsi" w:cstheme="minorBidi"/>
          <w:szCs w:val="22"/>
        </w:rPr>
      </w:pPr>
      <w:r>
        <w:t>261.</w:t>
      </w:r>
      <w:r>
        <w:tab/>
        <w:t>Matters to be considered by Tribunal in making determination</w:t>
      </w:r>
      <w:r>
        <w:tab/>
      </w:r>
      <w:r>
        <w:fldChar w:fldCharType="begin"/>
      </w:r>
      <w:r>
        <w:instrText xml:space="preserve"> PAGEREF _Toc158375074 \h </w:instrText>
      </w:r>
      <w:r>
        <w:fldChar w:fldCharType="separate"/>
      </w:r>
      <w:r>
        <w:t>1</w:t>
      </w:r>
      <w:r>
        <w:fldChar w:fldCharType="end"/>
      </w:r>
    </w:p>
    <w:p>
      <w:pPr>
        <w:pStyle w:val="TOC8"/>
        <w:rPr>
          <w:rFonts w:asciiTheme="minorHAnsi" w:eastAsiaTheme="minorEastAsia" w:hAnsiTheme="minorHAnsi" w:cstheme="minorBidi"/>
          <w:szCs w:val="22"/>
        </w:rPr>
      </w:pPr>
      <w:r>
        <w:t>262.</w:t>
      </w:r>
      <w:r>
        <w:tab/>
        <w:t>Assistance from NCC in certain cases</w:t>
      </w:r>
      <w:r>
        <w:tab/>
      </w:r>
      <w:r>
        <w:fldChar w:fldCharType="begin"/>
      </w:r>
      <w:r>
        <w:instrText xml:space="preserve"> PAGEREF _Toc158375075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Tribunal review of AER information disclosure decisions under section 329</w:t>
      </w:r>
    </w:p>
    <w:p>
      <w:pPr>
        <w:pStyle w:val="TOC8"/>
        <w:rPr>
          <w:rFonts w:asciiTheme="minorHAnsi" w:eastAsiaTheme="minorEastAsia" w:hAnsiTheme="minorHAnsi" w:cstheme="minorBidi"/>
          <w:szCs w:val="22"/>
        </w:rPr>
      </w:pPr>
      <w:r>
        <w:t>263.</w:t>
      </w:r>
      <w:r>
        <w:tab/>
        <w:t>Application for review</w:t>
      </w:r>
      <w:r>
        <w:tab/>
      </w:r>
      <w:r>
        <w:fldChar w:fldCharType="begin"/>
      </w:r>
      <w:r>
        <w:instrText xml:space="preserve"> PAGEREF _Toc158375077 \h </w:instrText>
      </w:r>
      <w:r>
        <w:fldChar w:fldCharType="separate"/>
      </w:r>
      <w:r>
        <w:t>1</w:t>
      </w:r>
      <w:r>
        <w:fldChar w:fldCharType="end"/>
      </w:r>
    </w:p>
    <w:p>
      <w:pPr>
        <w:pStyle w:val="TOC8"/>
        <w:rPr>
          <w:rFonts w:asciiTheme="minorHAnsi" w:eastAsiaTheme="minorEastAsia" w:hAnsiTheme="minorHAnsi" w:cstheme="minorBidi"/>
          <w:szCs w:val="22"/>
        </w:rPr>
      </w:pPr>
      <w:r>
        <w:t>264.</w:t>
      </w:r>
      <w:r>
        <w:tab/>
        <w:t>Exclusion of public in certain cases</w:t>
      </w:r>
      <w:r>
        <w:tab/>
      </w:r>
      <w:r>
        <w:fldChar w:fldCharType="begin"/>
      </w:r>
      <w:r>
        <w:instrText xml:space="preserve"> PAGEREF _Toc158375078 \h </w:instrText>
      </w:r>
      <w:r>
        <w:fldChar w:fldCharType="separate"/>
      </w:r>
      <w:r>
        <w:t>1</w:t>
      </w:r>
      <w:r>
        <w:fldChar w:fldCharType="end"/>
      </w:r>
    </w:p>
    <w:p>
      <w:pPr>
        <w:pStyle w:val="TOC8"/>
        <w:rPr>
          <w:rFonts w:asciiTheme="minorHAnsi" w:eastAsiaTheme="minorEastAsia" w:hAnsiTheme="minorHAnsi" w:cstheme="minorBidi"/>
          <w:szCs w:val="22"/>
        </w:rPr>
      </w:pPr>
      <w:r>
        <w:t>265.</w:t>
      </w:r>
      <w:r>
        <w:tab/>
        <w:t>Determination in the review</w:t>
      </w:r>
      <w:r>
        <w:tab/>
      </w:r>
      <w:r>
        <w:fldChar w:fldCharType="begin"/>
      </w:r>
      <w:r>
        <w:instrText xml:space="preserve"> PAGEREF _Toc158375079 \h </w:instrText>
      </w:r>
      <w:r>
        <w:fldChar w:fldCharType="separate"/>
      </w:r>
      <w:r>
        <w:t>1</w:t>
      </w:r>
      <w:r>
        <w:fldChar w:fldCharType="end"/>
      </w:r>
    </w:p>
    <w:p>
      <w:pPr>
        <w:pStyle w:val="TOC8"/>
        <w:rPr>
          <w:rFonts w:asciiTheme="minorHAnsi" w:eastAsiaTheme="minorEastAsia" w:hAnsiTheme="minorHAnsi" w:cstheme="minorBidi"/>
          <w:szCs w:val="22"/>
        </w:rPr>
      </w:pPr>
      <w:r>
        <w:t>266.</w:t>
      </w:r>
      <w:r>
        <w:tab/>
        <w:t>Tribunal must be taken to have affirmed decision if decision not made within time</w:t>
      </w:r>
      <w:r>
        <w:tab/>
      </w:r>
      <w:r>
        <w:fldChar w:fldCharType="begin"/>
      </w:r>
      <w:r>
        <w:instrText xml:space="preserve"> PAGEREF _Toc158375080 \h </w:instrText>
      </w:r>
      <w:r>
        <w:fldChar w:fldCharType="separate"/>
      </w:r>
      <w:r>
        <w:t>1</w:t>
      </w:r>
      <w:r>
        <w:fldChar w:fldCharType="end"/>
      </w:r>
    </w:p>
    <w:p>
      <w:pPr>
        <w:pStyle w:val="TOC8"/>
        <w:rPr>
          <w:rFonts w:asciiTheme="minorHAnsi" w:eastAsiaTheme="minorEastAsia" w:hAnsiTheme="minorHAnsi" w:cstheme="minorBidi"/>
          <w:szCs w:val="22"/>
        </w:rPr>
      </w:pPr>
      <w:r>
        <w:t>267.</w:t>
      </w:r>
      <w:r>
        <w:tab/>
        <w:t>Assistance from the AER in certain cases</w:t>
      </w:r>
      <w:r>
        <w:tab/>
      </w:r>
      <w:r>
        <w:fldChar w:fldCharType="begin"/>
      </w:r>
      <w:r>
        <w:instrText xml:space="preserve"> PAGEREF _Toc158375081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General</w:t>
      </w:r>
    </w:p>
    <w:p>
      <w:pPr>
        <w:pStyle w:val="TOC8"/>
        <w:rPr>
          <w:rFonts w:asciiTheme="minorHAnsi" w:eastAsiaTheme="minorEastAsia" w:hAnsiTheme="minorHAnsi" w:cstheme="minorBidi"/>
          <w:szCs w:val="22"/>
        </w:rPr>
      </w:pPr>
      <w:r>
        <w:t>268.</w:t>
      </w:r>
      <w:r>
        <w:tab/>
        <w:t>Costs in a review</w:t>
      </w:r>
      <w:r>
        <w:tab/>
      </w:r>
      <w:r>
        <w:fldChar w:fldCharType="begin"/>
      </w:r>
      <w:r>
        <w:instrText xml:space="preserve"> PAGEREF _Toc158375083 \h </w:instrText>
      </w:r>
      <w:r>
        <w:fldChar w:fldCharType="separate"/>
      </w:r>
      <w:r>
        <w:t>1</w:t>
      </w:r>
      <w:r>
        <w:fldChar w:fldCharType="end"/>
      </w:r>
    </w:p>
    <w:p>
      <w:pPr>
        <w:pStyle w:val="TOC8"/>
        <w:rPr>
          <w:rFonts w:asciiTheme="minorHAnsi" w:eastAsiaTheme="minorEastAsia" w:hAnsiTheme="minorHAnsi" w:cstheme="minorBidi"/>
          <w:szCs w:val="22"/>
        </w:rPr>
      </w:pPr>
      <w:r>
        <w:t>269.</w:t>
      </w:r>
      <w:r>
        <w:tab/>
        <w:t>Amount of costs</w:t>
      </w:r>
      <w:r>
        <w:tab/>
      </w:r>
      <w:r>
        <w:fldChar w:fldCharType="begin"/>
      </w:r>
      <w:r>
        <w:instrText xml:space="preserve"> PAGEREF _Toc158375084 \h </w:instrText>
      </w:r>
      <w:r>
        <w:fldChar w:fldCharType="separate"/>
      </w:r>
      <w:r>
        <w:t>1</w:t>
      </w:r>
      <w:r>
        <w:fldChar w:fldCharType="end"/>
      </w:r>
    </w:p>
    <w:p>
      <w:pPr>
        <w:pStyle w:val="TOC8"/>
        <w:rPr>
          <w:rFonts w:asciiTheme="minorHAnsi" w:eastAsiaTheme="minorEastAsia" w:hAnsiTheme="minorHAnsi" w:cstheme="minorBidi"/>
          <w:szCs w:val="22"/>
        </w:rPr>
      </w:pPr>
      <w:r>
        <w:t>269A.</w:t>
      </w:r>
      <w:r>
        <w:tab/>
        <w:t>Costs not to be passed on</w:t>
      </w:r>
      <w:r>
        <w:tab/>
      </w:r>
      <w:r>
        <w:fldChar w:fldCharType="begin"/>
      </w:r>
      <w:r>
        <w:instrText xml:space="preserve"> PAGEREF _Toc158375085 \h </w:instrText>
      </w:r>
      <w:r>
        <w:fldChar w:fldCharType="separate"/>
      </w:r>
      <w:r>
        <w:t>1</w:t>
      </w:r>
      <w:r>
        <w:fldChar w:fldCharType="end"/>
      </w:r>
    </w:p>
    <w:p>
      <w:pPr>
        <w:pStyle w:val="TOC8"/>
        <w:rPr>
          <w:rFonts w:asciiTheme="minorHAnsi" w:eastAsiaTheme="minorEastAsia" w:hAnsiTheme="minorHAnsi" w:cstheme="minorBidi"/>
          <w:szCs w:val="22"/>
        </w:rPr>
      </w:pPr>
      <w:r>
        <w:t>270.</w:t>
      </w:r>
      <w:r>
        <w:tab/>
        <w:t>Review of Part</w:t>
      </w:r>
      <w:r>
        <w:tab/>
      </w:r>
      <w:r>
        <w:fldChar w:fldCharType="begin"/>
      </w:r>
      <w:r>
        <w:instrText xml:space="preserve"> PAGEREF _Toc158375086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6 — Enforcement of access determinations</w:t>
      </w:r>
    </w:p>
    <w:p>
      <w:pPr>
        <w:pStyle w:val="TOC8"/>
        <w:rPr>
          <w:rFonts w:asciiTheme="minorHAnsi" w:eastAsiaTheme="minorEastAsia" w:hAnsiTheme="minorHAnsi" w:cstheme="minorBidi"/>
          <w:szCs w:val="22"/>
        </w:rPr>
      </w:pPr>
      <w:r>
        <w:t>271.</w:t>
      </w:r>
      <w:r>
        <w:tab/>
        <w:t>Enforcement of access determinations</w:t>
      </w:r>
      <w:r>
        <w:tab/>
      </w:r>
      <w:r>
        <w:fldChar w:fldCharType="begin"/>
      </w:r>
      <w:r>
        <w:instrText xml:space="preserve"> PAGEREF _Toc158375088 \h </w:instrText>
      </w:r>
      <w:r>
        <w:fldChar w:fldCharType="separate"/>
      </w:r>
      <w:r>
        <w:t>1</w:t>
      </w:r>
      <w:r>
        <w:fldChar w:fldCharType="end"/>
      </w:r>
    </w:p>
    <w:p>
      <w:pPr>
        <w:pStyle w:val="TOC8"/>
        <w:rPr>
          <w:rFonts w:asciiTheme="minorHAnsi" w:eastAsiaTheme="minorEastAsia" w:hAnsiTheme="minorHAnsi" w:cstheme="minorBidi"/>
          <w:szCs w:val="22"/>
        </w:rPr>
      </w:pPr>
      <w:r>
        <w:t>272.</w:t>
      </w:r>
      <w:r>
        <w:tab/>
        <w:t>Consent injunctions</w:t>
      </w:r>
      <w:r>
        <w:tab/>
      </w:r>
      <w:r>
        <w:fldChar w:fldCharType="begin"/>
      </w:r>
      <w:r>
        <w:instrText xml:space="preserve"> PAGEREF _Toc158375089 \h </w:instrText>
      </w:r>
      <w:r>
        <w:fldChar w:fldCharType="separate"/>
      </w:r>
      <w:r>
        <w:t>1</w:t>
      </w:r>
      <w:r>
        <w:fldChar w:fldCharType="end"/>
      </w:r>
    </w:p>
    <w:p>
      <w:pPr>
        <w:pStyle w:val="TOC8"/>
        <w:rPr>
          <w:rFonts w:asciiTheme="minorHAnsi" w:eastAsiaTheme="minorEastAsia" w:hAnsiTheme="minorHAnsi" w:cstheme="minorBidi"/>
          <w:szCs w:val="22"/>
        </w:rPr>
      </w:pPr>
      <w:r>
        <w:t>273.</w:t>
      </w:r>
      <w:r>
        <w:tab/>
        <w:t>Interim injunctions</w:t>
      </w:r>
      <w:r>
        <w:tab/>
      </w:r>
      <w:r>
        <w:fldChar w:fldCharType="begin"/>
      </w:r>
      <w:r>
        <w:instrText xml:space="preserve"> PAGEREF _Toc158375090 \h </w:instrText>
      </w:r>
      <w:r>
        <w:fldChar w:fldCharType="separate"/>
      </w:r>
      <w:r>
        <w:t>1</w:t>
      </w:r>
      <w:r>
        <w:fldChar w:fldCharType="end"/>
      </w:r>
    </w:p>
    <w:p>
      <w:pPr>
        <w:pStyle w:val="TOC8"/>
        <w:rPr>
          <w:rFonts w:asciiTheme="minorHAnsi" w:eastAsiaTheme="minorEastAsia" w:hAnsiTheme="minorHAnsi" w:cstheme="minorBidi"/>
          <w:szCs w:val="22"/>
        </w:rPr>
      </w:pPr>
      <w:r>
        <w:t>274.</w:t>
      </w:r>
      <w:r>
        <w:tab/>
        <w:t>Factors relevant to granting a restraining injunction</w:t>
      </w:r>
      <w:r>
        <w:tab/>
      </w:r>
      <w:r>
        <w:fldChar w:fldCharType="begin"/>
      </w:r>
      <w:r>
        <w:instrText xml:space="preserve"> PAGEREF _Toc158375091 \h </w:instrText>
      </w:r>
      <w:r>
        <w:fldChar w:fldCharType="separate"/>
      </w:r>
      <w:r>
        <w:t>1</w:t>
      </w:r>
      <w:r>
        <w:fldChar w:fldCharType="end"/>
      </w:r>
    </w:p>
    <w:p>
      <w:pPr>
        <w:pStyle w:val="TOC8"/>
        <w:rPr>
          <w:rFonts w:asciiTheme="minorHAnsi" w:eastAsiaTheme="minorEastAsia" w:hAnsiTheme="minorHAnsi" w:cstheme="minorBidi"/>
          <w:szCs w:val="22"/>
        </w:rPr>
      </w:pPr>
      <w:r>
        <w:t>275.</w:t>
      </w:r>
      <w:r>
        <w:tab/>
        <w:t>Factors relevant to granting a mandatory injunction</w:t>
      </w:r>
      <w:r>
        <w:tab/>
      </w:r>
      <w:r>
        <w:fldChar w:fldCharType="begin"/>
      </w:r>
      <w:r>
        <w:instrText xml:space="preserve"> PAGEREF _Toc158375092 \h </w:instrText>
      </w:r>
      <w:r>
        <w:fldChar w:fldCharType="separate"/>
      </w:r>
      <w:r>
        <w:t>1</w:t>
      </w:r>
      <w:r>
        <w:fldChar w:fldCharType="end"/>
      </w:r>
    </w:p>
    <w:p>
      <w:pPr>
        <w:pStyle w:val="TOC8"/>
        <w:rPr>
          <w:rFonts w:asciiTheme="minorHAnsi" w:eastAsiaTheme="minorEastAsia" w:hAnsiTheme="minorHAnsi" w:cstheme="minorBidi"/>
          <w:szCs w:val="22"/>
        </w:rPr>
      </w:pPr>
      <w:r>
        <w:t>276.</w:t>
      </w:r>
      <w:r>
        <w:tab/>
        <w:t>Discharge or variation of injunction or other order</w:t>
      </w:r>
      <w:r>
        <w:tab/>
      </w:r>
      <w:r>
        <w:fldChar w:fldCharType="begin"/>
      </w:r>
      <w:r>
        <w:instrText xml:space="preserve"> PAGEREF _Toc158375093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7 — Infringement notices</w:t>
      </w:r>
    </w:p>
    <w:p>
      <w:pPr>
        <w:pStyle w:val="TOC8"/>
        <w:rPr>
          <w:rFonts w:asciiTheme="minorHAnsi" w:eastAsiaTheme="minorEastAsia" w:hAnsiTheme="minorHAnsi" w:cstheme="minorBidi"/>
          <w:szCs w:val="22"/>
        </w:rPr>
      </w:pPr>
      <w:r>
        <w:t>277.</w:t>
      </w:r>
      <w:r>
        <w:tab/>
        <w:t>Power to serve notice</w:t>
      </w:r>
      <w:r>
        <w:tab/>
      </w:r>
      <w:r>
        <w:fldChar w:fldCharType="begin"/>
      </w:r>
      <w:r>
        <w:instrText xml:space="preserve"> PAGEREF _Toc158375095 \h </w:instrText>
      </w:r>
      <w:r>
        <w:fldChar w:fldCharType="separate"/>
      </w:r>
      <w:r>
        <w:t>1</w:t>
      </w:r>
      <w:r>
        <w:fldChar w:fldCharType="end"/>
      </w:r>
    </w:p>
    <w:p>
      <w:pPr>
        <w:pStyle w:val="TOC8"/>
        <w:rPr>
          <w:rFonts w:asciiTheme="minorHAnsi" w:eastAsiaTheme="minorEastAsia" w:hAnsiTheme="minorHAnsi" w:cstheme="minorBidi"/>
          <w:szCs w:val="22"/>
        </w:rPr>
      </w:pPr>
      <w:r>
        <w:t>278.</w:t>
      </w:r>
      <w:r>
        <w:tab/>
        <w:t>Form of notice</w:t>
      </w:r>
      <w:r>
        <w:tab/>
      </w:r>
      <w:r>
        <w:fldChar w:fldCharType="begin"/>
      </w:r>
      <w:r>
        <w:instrText xml:space="preserve"> PAGEREF _Toc158375096 \h </w:instrText>
      </w:r>
      <w:r>
        <w:fldChar w:fldCharType="separate"/>
      </w:r>
      <w:r>
        <w:t>1</w:t>
      </w:r>
      <w:r>
        <w:fldChar w:fldCharType="end"/>
      </w:r>
    </w:p>
    <w:p>
      <w:pPr>
        <w:pStyle w:val="TOC8"/>
        <w:rPr>
          <w:rFonts w:asciiTheme="minorHAnsi" w:eastAsiaTheme="minorEastAsia" w:hAnsiTheme="minorHAnsi" w:cstheme="minorBidi"/>
          <w:szCs w:val="22"/>
        </w:rPr>
      </w:pPr>
      <w:r>
        <w:t>279.</w:t>
      </w:r>
      <w:r>
        <w:tab/>
        <w:t>Infringement penalty</w:t>
      </w:r>
      <w:r>
        <w:tab/>
      </w:r>
      <w:r>
        <w:fldChar w:fldCharType="begin"/>
      </w:r>
      <w:r>
        <w:instrText xml:space="preserve"> PAGEREF _Toc158375097 \h </w:instrText>
      </w:r>
      <w:r>
        <w:fldChar w:fldCharType="separate"/>
      </w:r>
      <w:r>
        <w:t>1</w:t>
      </w:r>
      <w:r>
        <w:fldChar w:fldCharType="end"/>
      </w:r>
    </w:p>
    <w:p>
      <w:pPr>
        <w:pStyle w:val="TOC8"/>
        <w:rPr>
          <w:rFonts w:asciiTheme="minorHAnsi" w:eastAsiaTheme="minorEastAsia" w:hAnsiTheme="minorHAnsi" w:cstheme="minorBidi"/>
          <w:szCs w:val="22"/>
        </w:rPr>
      </w:pPr>
      <w:r>
        <w:t>280.</w:t>
      </w:r>
      <w:r>
        <w:tab/>
        <w:t>AER cannot institute proceedings while infringement notice on foot</w:t>
      </w:r>
      <w:r>
        <w:tab/>
      </w:r>
      <w:r>
        <w:fldChar w:fldCharType="begin"/>
      </w:r>
      <w:r>
        <w:instrText xml:space="preserve"> PAGEREF _Toc158375098 \h </w:instrText>
      </w:r>
      <w:r>
        <w:fldChar w:fldCharType="separate"/>
      </w:r>
      <w:r>
        <w:t>1</w:t>
      </w:r>
      <w:r>
        <w:fldChar w:fldCharType="end"/>
      </w:r>
    </w:p>
    <w:p>
      <w:pPr>
        <w:pStyle w:val="TOC8"/>
        <w:rPr>
          <w:rFonts w:asciiTheme="minorHAnsi" w:eastAsiaTheme="minorEastAsia" w:hAnsiTheme="minorHAnsi" w:cstheme="minorBidi"/>
          <w:szCs w:val="22"/>
        </w:rPr>
      </w:pPr>
      <w:r>
        <w:t>281.</w:t>
      </w:r>
      <w:r>
        <w:tab/>
        <w:t>Late payment of penalty</w:t>
      </w:r>
      <w:r>
        <w:tab/>
      </w:r>
      <w:r>
        <w:fldChar w:fldCharType="begin"/>
      </w:r>
      <w:r>
        <w:instrText xml:space="preserve"> PAGEREF _Toc158375099 \h </w:instrText>
      </w:r>
      <w:r>
        <w:fldChar w:fldCharType="separate"/>
      </w:r>
      <w:r>
        <w:t>1</w:t>
      </w:r>
      <w:r>
        <w:fldChar w:fldCharType="end"/>
      </w:r>
    </w:p>
    <w:p>
      <w:pPr>
        <w:pStyle w:val="TOC8"/>
        <w:rPr>
          <w:rFonts w:asciiTheme="minorHAnsi" w:eastAsiaTheme="minorEastAsia" w:hAnsiTheme="minorHAnsi" w:cstheme="minorBidi"/>
          <w:szCs w:val="22"/>
        </w:rPr>
      </w:pPr>
      <w:r>
        <w:lastRenderedPageBreak/>
        <w:t>282.</w:t>
      </w:r>
      <w:r>
        <w:tab/>
        <w:t>Withdrawal of notice</w:t>
      </w:r>
      <w:r>
        <w:tab/>
      </w:r>
      <w:r>
        <w:fldChar w:fldCharType="begin"/>
      </w:r>
      <w:r>
        <w:instrText xml:space="preserve"> PAGEREF _Toc158375100 \h </w:instrText>
      </w:r>
      <w:r>
        <w:fldChar w:fldCharType="separate"/>
      </w:r>
      <w:r>
        <w:t>1</w:t>
      </w:r>
      <w:r>
        <w:fldChar w:fldCharType="end"/>
      </w:r>
    </w:p>
    <w:p>
      <w:pPr>
        <w:pStyle w:val="TOC8"/>
        <w:rPr>
          <w:rFonts w:asciiTheme="minorHAnsi" w:eastAsiaTheme="minorEastAsia" w:hAnsiTheme="minorHAnsi" w:cstheme="minorBidi"/>
          <w:szCs w:val="22"/>
        </w:rPr>
      </w:pPr>
      <w:r>
        <w:t>283.</w:t>
      </w:r>
      <w:r>
        <w:tab/>
        <w:t>Refund of infringement penalty</w:t>
      </w:r>
      <w:r>
        <w:tab/>
      </w:r>
      <w:r>
        <w:fldChar w:fldCharType="begin"/>
      </w:r>
      <w:r>
        <w:instrText xml:space="preserve"> PAGEREF _Toc158375101 \h </w:instrText>
      </w:r>
      <w:r>
        <w:fldChar w:fldCharType="separate"/>
      </w:r>
      <w:r>
        <w:t>1</w:t>
      </w:r>
      <w:r>
        <w:fldChar w:fldCharType="end"/>
      </w:r>
    </w:p>
    <w:p>
      <w:pPr>
        <w:pStyle w:val="TOC8"/>
        <w:rPr>
          <w:rFonts w:asciiTheme="minorHAnsi" w:eastAsiaTheme="minorEastAsia" w:hAnsiTheme="minorHAnsi" w:cstheme="minorBidi"/>
          <w:szCs w:val="22"/>
        </w:rPr>
      </w:pPr>
      <w:r>
        <w:t>284.</w:t>
      </w:r>
      <w:r>
        <w:tab/>
        <w:t>Payment expiates breach of civil penalty provision</w:t>
      </w:r>
      <w:r>
        <w:tab/>
      </w:r>
      <w:r>
        <w:fldChar w:fldCharType="begin"/>
      </w:r>
      <w:r>
        <w:instrText xml:space="preserve"> PAGEREF _Toc158375102 \h </w:instrText>
      </w:r>
      <w:r>
        <w:fldChar w:fldCharType="separate"/>
      </w:r>
      <w:r>
        <w:t>1</w:t>
      </w:r>
      <w:r>
        <w:fldChar w:fldCharType="end"/>
      </w:r>
    </w:p>
    <w:p>
      <w:pPr>
        <w:pStyle w:val="TOC8"/>
        <w:rPr>
          <w:rFonts w:asciiTheme="minorHAnsi" w:eastAsiaTheme="minorEastAsia" w:hAnsiTheme="minorHAnsi" w:cstheme="minorBidi"/>
          <w:szCs w:val="22"/>
        </w:rPr>
      </w:pPr>
      <w:r>
        <w:t>285.</w:t>
      </w:r>
      <w:r>
        <w:tab/>
        <w:t>Payment not to have certain consequences</w:t>
      </w:r>
      <w:r>
        <w:tab/>
      </w:r>
      <w:r>
        <w:fldChar w:fldCharType="begin"/>
      </w:r>
      <w:r>
        <w:instrText xml:space="preserve"> PAGEREF _Toc158375103 \h </w:instrText>
      </w:r>
      <w:r>
        <w:fldChar w:fldCharType="separate"/>
      </w:r>
      <w:r>
        <w:t>1</w:t>
      </w:r>
      <w:r>
        <w:fldChar w:fldCharType="end"/>
      </w:r>
    </w:p>
    <w:p>
      <w:pPr>
        <w:pStyle w:val="TOC8"/>
        <w:rPr>
          <w:rFonts w:asciiTheme="minorHAnsi" w:eastAsiaTheme="minorEastAsia" w:hAnsiTheme="minorHAnsi" w:cstheme="minorBidi"/>
          <w:szCs w:val="22"/>
        </w:rPr>
      </w:pPr>
      <w:r>
        <w:t>286.</w:t>
      </w:r>
      <w:r>
        <w:tab/>
        <w:t>Conduct in breach of more than 1 civil penalty provision</w:t>
      </w:r>
      <w:r>
        <w:tab/>
      </w:r>
      <w:r>
        <w:fldChar w:fldCharType="begin"/>
      </w:r>
      <w:r>
        <w:instrText xml:space="preserve"> PAGEREF _Toc158375104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8 — Further provision for corporate liability for breaches of this Law etc</w:t>
      </w:r>
    </w:p>
    <w:p>
      <w:pPr>
        <w:pStyle w:val="TOC8"/>
        <w:rPr>
          <w:rFonts w:asciiTheme="minorHAnsi" w:eastAsiaTheme="minorEastAsia" w:hAnsiTheme="minorHAnsi" w:cstheme="minorBidi"/>
          <w:szCs w:val="22"/>
        </w:rPr>
      </w:pPr>
      <w:r>
        <w:t>287.</w:t>
      </w:r>
      <w:r>
        <w:tab/>
        <w:t>Definition</w:t>
      </w:r>
      <w:r>
        <w:tab/>
      </w:r>
      <w:r>
        <w:fldChar w:fldCharType="begin"/>
      </w:r>
      <w:r>
        <w:instrText xml:space="preserve"> PAGEREF _Toc158375106 \h </w:instrText>
      </w:r>
      <w:r>
        <w:fldChar w:fldCharType="separate"/>
      </w:r>
      <w:r>
        <w:t>1</w:t>
      </w:r>
      <w:r>
        <w:fldChar w:fldCharType="end"/>
      </w:r>
    </w:p>
    <w:p>
      <w:pPr>
        <w:pStyle w:val="TOC8"/>
        <w:rPr>
          <w:rFonts w:asciiTheme="minorHAnsi" w:eastAsiaTheme="minorEastAsia" w:hAnsiTheme="minorHAnsi" w:cstheme="minorBidi"/>
          <w:szCs w:val="22"/>
        </w:rPr>
      </w:pPr>
      <w:r>
        <w:t>288.</w:t>
      </w:r>
      <w:r>
        <w:tab/>
        <w:t>Offences and breaches by corporations</w:t>
      </w:r>
      <w:r>
        <w:tab/>
      </w:r>
      <w:r>
        <w:fldChar w:fldCharType="begin"/>
      </w:r>
      <w:r>
        <w:instrText xml:space="preserve"> PAGEREF _Toc158375107 \h </w:instrText>
      </w:r>
      <w:r>
        <w:fldChar w:fldCharType="separate"/>
      </w:r>
      <w:r>
        <w:t>1</w:t>
      </w:r>
      <w:r>
        <w:fldChar w:fldCharType="end"/>
      </w:r>
    </w:p>
    <w:p>
      <w:pPr>
        <w:pStyle w:val="TOC8"/>
        <w:rPr>
          <w:rFonts w:asciiTheme="minorHAnsi" w:eastAsiaTheme="minorEastAsia" w:hAnsiTheme="minorHAnsi" w:cstheme="minorBidi"/>
          <w:szCs w:val="22"/>
        </w:rPr>
      </w:pPr>
      <w:r>
        <w:t>289.</w:t>
      </w:r>
      <w:r>
        <w:tab/>
        <w:t>Corporations also in breach if officers and employees are in breach</w:t>
      </w:r>
      <w:r>
        <w:tab/>
      </w:r>
      <w:r>
        <w:fldChar w:fldCharType="begin"/>
      </w:r>
      <w:r>
        <w:instrText xml:space="preserve"> PAGEREF _Toc158375108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9 — The making of the National Gas Rules</w:t>
      </w:r>
    </w:p>
    <w:p>
      <w:pPr>
        <w:pStyle w:val="TOC4"/>
        <w:tabs>
          <w:tab w:val="right" w:leader="dot" w:pos="7077"/>
        </w:tabs>
        <w:rPr>
          <w:rFonts w:asciiTheme="minorHAnsi" w:eastAsiaTheme="minorEastAsia" w:hAnsiTheme="minorHAnsi" w:cstheme="minorBidi"/>
          <w:b w:val="0"/>
          <w:szCs w:val="22"/>
        </w:rPr>
      </w:pPr>
      <w:r>
        <w:t>Part 1 — General</w:t>
      </w:r>
    </w:p>
    <w:p>
      <w:pPr>
        <w:pStyle w:val="TOC6"/>
        <w:tabs>
          <w:tab w:val="right" w:leader="dot" w:pos="7077"/>
        </w:tabs>
        <w:rPr>
          <w:rFonts w:asciiTheme="minorHAnsi" w:eastAsiaTheme="minorEastAsia" w:hAnsiTheme="minorHAnsi" w:cstheme="minorBidi"/>
          <w:b w:val="0"/>
          <w:sz w:val="22"/>
          <w:szCs w:val="22"/>
        </w:rPr>
      </w:pPr>
      <w:r>
        <w:t>Division 1 — Interpretation</w:t>
      </w:r>
    </w:p>
    <w:p>
      <w:pPr>
        <w:pStyle w:val="TOC8"/>
        <w:rPr>
          <w:rFonts w:asciiTheme="minorHAnsi" w:eastAsiaTheme="minorEastAsia" w:hAnsiTheme="minorHAnsi" w:cstheme="minorBidi"/>
          <w:szCs w:val="22"/>
        </w:rPr>
      </w:pPr>
      <w:r>
        <w:t>290.</w:t>
      </w:r>
      <w:r>
        <w:tab/>
        <w:t>Definitions</w:t>
      </w:r>
      <w:r>
        <w:tab/>
      </w:r>
      <w:r>
        <w:fldChar w:fldCharType="begin"/>
      </w:r>
      <w:r>
        <w:instrText xml:space="preserve"> PAGEREF _Toc158375112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Rule making tests</w:t>
      </w:r>
    </w:p>
    <w:p>
      <w:pPr>
        <w:pStyle w:val="TOC8"/>
        <w:rPr>
          <w:rFonts w:asciiTheme="minorHAnsi" w:eastAsiaTheme="minorEastAsia" w:hAnsiTheme="minorHAnsi" w:cstheme="minorBidi"/>
          <w:szCs w:val="22"/>
        </w:rPr>
      </w:pPr>
      <w:r>
        <w:t>291.</w:t>
      </w:r>
      <w:r>
        <w:tab/>
        <w:t>Application of national gas objective</w:t>
      </w:r>
      <w:r>
        <w:tab/>
      </w:r>
      <w:r>
        <w:fldChar w:fldCharType="begin"/>
      </w:r>
      <w:r>
        <w:instrText xml:space="preserve"> PAGEREF _Toc158375114 \h </w:instrText>
      </w:r>
      <w:r>
        <w:fldChar w:fldCharType="separate"/>
      </w:r>
      <w:r>
        <w:t>1</w:t>
      </w:r>
      <w:r>
        <w:fldChar w:fldCharType="end"/>
      </w:r>
    </w:p>
    <w:p>
      <w:pPr>
        <w:pStyle w:val="TOC8"/>
        <w:rPr>
          <w:rFonts w:asciiTheme="minorHAnsi" w:eastAsiaTheme="minorEastAsia" w:hAnsiTheme="minorHAnsi" w:cstheme="minorBidi"/>
          <w:szCs w:val="22"/>
        </w:rPr>
      </w:pPr>
      <w:r>
        <w:t>292.</w:t>
      </w:r>
      <w:r>
        <w:tab/>
        <w:t>AEMC must take into account form of regulation factors in certain cases</w:t>
      </w:r>
      <w:r>
        <w:tab/>
      </w:r>
      <w:r>
        <w:fldChar w:fldCharType="begin"/>
      </w:r>
      <w:r>
        <w:instrText xml:space="preserve"> PAGEREF _Toc158375115 \h </w:instrText>
      </w:r>
      <w:r>
        <w:fldChar w:fldCharType="separate"/>
      </w:r>
      <w:r>
        <w:t>1</w:t>
      </w:r>
      <w:r>
        <w:fldChar w:fldCharType="end"/>
      </w:r>
    </w:p>
    <w:p>
      <w:pPr>
        <w:pStyle w:val="TOC8"/>
        <w:rPr>
          <w:rFonts w:asciiTheme="minorHAnsi" w:eastAsiaTheme="minorEastAsia" w:hAnsiTheme="minorHAnsi" w:cstheme="minorBidi"/>
          <w:szCs w:val="22"/>
        </w:rPr>
      </w:pPr>
      <w:r>
        <w:t>293.</w:t>
      </w:r>
      <w:r>
        <w:tab/>
        <w:t>AEMC must take into account revenue and pricing principles in certain cases</w:t>
      </w:r>
      <w:r>
        <w:tab/>
      </w:r>
      <w:r>
        <w:fldChar w:fldCharType="begin"/>
      </w:r>
      <w:r>
        <w:instrText xml:space="preserve"> PAGEREF _Toc158375116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 — Initial National Gas Rules</w:t>
      </w:r>
    </w:p>
    <w:p>
      <w:pPr>
        <w:pStyle w:val="TOC8"/>
        <w:rPr>
          <w:rFonts w:asciiTheme="minorHAnsi" w:eastAsiaTheme="minorEastAsia" w:hAnsiTheme="minorHAnsi" w:cstheme="minorBidi"/>
          <w:szCs w:val="22"/>
        </w:rPr>
      </w:pPr>
      <w:r>
        <w:t>294.</w:t>
      </w:r>
      <w:r>
        <w:tab/>
        <w:t>Initial National Gas Rules for WA</w:t>
      </w:r>
      <w:r>
        <w:tab/>
      </w:r>
      <w:r>
        <w:fldChar w:fldCharType="begin"/>
      </w:r>
      <w:r>
        <w:instrText xml:space="preserve"> PAGEREF _Toc158375118 \h </w:instrText>
      </w:r>
      <w:r>
        <w:fldChar w:fldCharType="separate"/>
      </w:r>
      <w:r>
        <w:t>1</w:t>
      </w:r>
      <w:r>
        <w:fldChar w:fldCharType="end"/>
      </w:r>
    </w:p>
    <w:p>
      <w:pPr>
        <w:pStyle w:val="TOC8"/>
        <w:rPr>
          <w:rFonts w:asciiTheme="minorHAnsi" w:eastAsiaTheme="minorEastAsia" w:hAnsiTheme="minorHAnsi" w:cstheme="minorBidi"/>
          <w:szCs w:val="22"/>
        </w:rPr>
      </w:pPr>
      <w:r>
        <w:t>294CA.</w:t>
      </w:r>
      <w:r>
        <w:tab/>
        <w:t>South Australian Minister may make consequential Rules relating to rate of return instrument</w:t>
      </w:r>
      <w:r>
        <w:tab/>
      </w:r>
      <w:r>
        <w:fldChar w:fldCharType="begin"/>
      </w:r>
      <w:r>
        <w:instrText xml:space="preserve"> PAGEREF _Toc158375119 \h </w:instrText>
      </w:r>
      <w:r>
        <w:fldChar w:fldCharType="separate"/>
      </w:r>
      <w:r>
        <w:t>1</w:t>
      </w:r>
      <w:r>
        <w:fldChar w:fldCharType="end"/>
      </w:r>
    </w:p>
    <w:p>
      <w:pPr>
        <w:pStyle w:val="TOC8"/>
        <w:rPr>
          <w:rFonts w:asciiTheme="minorHAnsi" w:eastAsiaTheme="minorEastAsia" w:hAnsiTheme="minorHAnsi" w:cstheme="minorBidi"/>
          <w:szCs w:val="22"/>
        </w:rPr>
      </w:pPr>
      <w:r>
        <w:t>294F.</w:t>
      </w:r>
      <w:r>
        <w:tab/>
        <w:t>South Australian Minister to make initial Rules relating to access to non</w:t>
      </w:r>
      <w:r>
        <w:noBreakHyphen/>
        <w:t>scheme pipelines</w:t>
      </w:r>
      <w:r>
        <w:tab/>
      </w:r>
      <w:r>
        <w:fldChar w:fldCharType="begin"/>
      </w:r>
      <w:r>
        <w:instrText xml:space="preserve"> PAGEREF _Toc158375120 \h </w:instrText>
      </w:r>
      <w:r>
        <w:fldChar w:fldCharType="separate"/>
      </w:r>
      <w:r>
        <w:t>1</w:t>
      </w:r>
      <w:r>
        <w:fldChar w:fldCharType="end"/>
      </w:r>
    </w:p>
    <w:p>
      <w:pPr>
        <w:pStyle w:val="TOC8"/>
        <w:rPr>
          <w:rFonts w:asciiTheme="minorHAnsi" w:eastAsiaTheme="minorEastAsia" w:hAnsiTheme="minorHAnsi" w:cstheme="minorBidi"/>
          <w:szCs w:val="22"/>
        </w:rPr>
      </w:pPr>
      <w:r>
        <w:t>294FC.</w:t>
      </w:r>
      <w:r>
        <w:tab/>
        <w:t>South Australian Minister to make initial Rules relating to national gas objective</w:t>
      </w:r>
      <w:r>
        <w:tab/>
      </w:r>
      <w:r>
        <w:fldChar w:fldCharType="begin"/>
      </w:r>
      <w:r>
        <w:instrText xml:space="preserve"> PAGEREF _Toc158375121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 — Procedure for the making of a Rule by the AEMC</w:t>
      </w:r>
    </w:p>
    <w:p>
      <w:pPr>
        <w:pStyle w:val="TOC8"/>
        <w:rPr>
          <w:rFonts w:asciiTheme="minorHAnsi" w:eastAsiaTheme="minorEastAsia" w:hAnsiTheme="minorHAnsi" w:cstheme="minorBidi"/>
          <w:szCs w:val="22"/>
        </w:rPr>
      </w:pPr>
      <w:r>
        <w:t>295.</w:t>
      </w:r>
      <w:r>
        <w:tab/>
        <w:t>Initiation of making of a Rule</w:t>
      </w:r>
      <w:r>
        <w:tab/>
      </w:r>
      <w:r>
        <w:fldChar w:fldCharType="begin"/>
      </w:r>
      <w:r>
        <w:instrText xml:space="preserve"> PAGEREF _Toc158375123 \h </w:instrText>
      </w:r>
      <w:r>
        <w:fldChar w:fldCharType="separate"/>
      </w:r>
      <w:r>
        <w:t>1</w:t>
      </w:r>
      <w:r>
        <w:fldChar w:fldCharType="end"/>
      </w:r>
    </w:p>
    <w:p>
      <w:pPr>
        <w:pStyle w:val="TOC8"/>
        <w:rPr>
          <w:rFonts w:asciiTheme="minorHAnsi" w:eastAsiaTheme="minorEastAsia" w:hAnsiTheme="minorHAnsi" w:cstheme="minorBidi"/>
          <w:szCs w:val="22"/>
        </w:rPr>
      </w:pPr>
      <w:r>
        <w:t>296.</w:t>
      </w:r>
      <w:r>
        <w:tab/>
        <w:t>AEMC may make more preferable Rule in certain cases</w:t>
      </w:r>
      <w:r>
        <w:tab/>
      </w:r>
      <w:r>
        <w:fldChar w:fldCharType="begin"/>
      </w:r>
      <w:r>
        <w:instrText xml:space="preserve"> PAGEREF _Toc158375124 \h </w:instrText>
      </w:r>
      <w:r>
        <w:fldChar w:fldCharType="separate"/>
      </w:r>
      <w:r>
        <w:t>1</w:t>
      </w:r>
      <w:r>
        <w:fldChar w:fldCharType="end"/>
      </w:r>
    </w:p>
    <w:p>
      <w:pPr>
        <w:pStyle w:val="TOC8"/>
        <w:rPr>
          <w:rFonts w:asciiTheme="minorHAnsi" w:eastAsiaTheme="minorEastAsia" w:hAnsiTheme="minorHAnsi" w:cstheme="minorBidi"/>
          <w:szCs w:val="22"/>
        </w:rPr>
      </w:pPr>
      <w:r>
        <w:lastRenderedPageBreak/>
        <w:t>297.</w:t>
      </w:r>
      <w:r>
        <w:tab/>
        <w:t>AEMC may make Rules that are consequential to a Rule request</w:t>
      </w:r>
      <w:r>
        <w:tab/>
      </w:r>
      <w:r>
        <w:fldChar w:fldCharType="begin"/>
      </w:r>
      <w:r>
        <w:instrText xml:space="preserve"> PAGEREF _Toc158375125 \h </w:instrText>
      </w:r>
      <w:r>
        <w:fldChar w:fldCharType="separate"/>
      </w:r>
      <w:r>
        <w:t>1</w:t>
      </w:r>
      <w:r>
        <w:fldChar w:fldCharType="end"/>
      </w:r>
    </w:p>
    <w:p>
      <w:pPr>
        <w:pStyle w:val="TOC8"/>
        <w:rPr>
          <w:rFonts w:asciiTheme="minorHAnsi" w:eastAsiaTheme="minorEastAsia" w:hAnsiTheme="minorHAnsi" w:cstheme="minorBidi"/>
          <w:szCs w:val="22"/>
        </w:rPr>
      </w:pPr>
      <w:r>
        <w:t>298.</w:t>
      </w:r>
      <w:r>
        <w:tab/>
        <w:t>Content of requests for a Rule</w:t>
      </w:r>
      <w:r>
        <w:tab/>
      </w:r>
      <w:r>
        <w:fldChar w:fldCharType="begin"/>
      </w:r>
      <w:r>
        <w:instrText xml:space="preserve"> PAGEREF _Toc158375126 \h </w:instrText>
      </w:r>
      <w:r>
        <w:fldChar w:fldCharType="separate"/>
      </w:r>
      <w:r>
        <w:t>1</w:t>
      </w:r>
      <w:r>
        <w:fldChar w:fldCharType="end"/>
      </w:r>
    </w:p>
    <w:p>
      <w:pPr>
        <w:pStyle w:val="TOC8"/>
        <w:rPr>
          <w:rFonts w:asciiTheme="minorHAnsi" w:eastAsiaTheme="minorEastAsia" w:hAnsiTheme="minorHAnsi" w:cstheme="minorBidi"/>
          <w:szCs w:val="22"/>
        </w:rPr>
      </w:pPr>
      <w:r>
        <w:t>299.</w:t>
      </w:r>
      <w:r>
        <w:tab/>
        <w:t>Waiver of fee for Rule requests</w:t>
      </w:r>
      <w:r>
        <w:tab/>
      </w:r>
      <w:r>
        <w:fldChar w:fldCharType="begin"/>
      </w:r>
      <w:r>
        <w:instrText xml:space="preserve"> PAGEREF _Toc158375127 \h </w:instrText>
      </w:r>
      <w:r>
        <w:fldChar w:fldCharType="separate"/>
      </w:r>
      <w:r>
        <w:t>1</w:t>
      </w:r>
      <w:r>
        <w:fldChar w:fldCharType="end"/>
      </w:r>
    </w:p>
    <w:p>
      <w:pPr>
        <w:pStyle w:val="TOC8"/>
        <w:rPr>
          <w:rFonts w:asciiTheme="minorHAnsi" w:eastAsiaTheme="minorEastAsia" w:hAnsiTheme="minorHAnsi" w:cstheme="minorBidi"/>
          <w:szCs w:val="22"/>
        </w:rPr>
      </w:pPr>
      <w:r>
        <w:t>300.</w:t>
      </w:r>
      <w:r>
        <w:tab/>
        <w:t>Consolidation of 2 or more Rule requests</w:t>
      </w:r>
      <w:r>
        <w:tab/>
      </w:r>
      <w:r>
        <w:fldChar w:fldCharType="begin"/>
      </w:r>
      <w:r>
        <w:instrText xml:space="preserve"> PAGEREF _Toc158375128 \h </w:instrText>
      </w:r>
      <w:r>
        <w:fldChar w:fldCharType="separate"/>
      </w:r>
      <w:r>
        <w:t>1</w:t>
      </w:r>
      <w:r>
        <w:fldChar w:fldCharType="end"/>
      </w:r>
    </w:p>
    <w:p>
      <w:pPr>
        <w:pStyle w:val="TOC8"/>
        <w:rPr>
          <w:rFonts w:asciiTheme="minorHAnsi" w:eastAsiaTheme="minorEastAsia" w:hAnsiTheme="minorHAnsi" w:cstheme="minorBidi"/>
          <w:szCs w:val="22"/>
        </w:rPr>
      </w:pPr>
      <w:r>
        <w:t>301.</w:t>
      </w:r>
      <w:r>
        <w:tab/>
        <w:t>Initial consideration of request for Rule</w:t>
      </w:r>
      <w:r>
        <w:tab/>
      </w:r>
      <w:r>
        <w:fldChar w:fldCharType="begin"/>
      </w:r>
      <w:r>
        <w:instrText xml:space="preserve"> PAGEREF _Toc158375129 \h </w:instrText>
      </w:r>
      <w:r>
        <w:fldChar w:fldCharType="separate"/>
      </w:r>
      <w:r>
        <w:t>1</w:t>
      </w:r>
      <w:r>
        <w:fldChar w:fldCharType="end"/>
      </w:r>
    </w:p>
    <w:p>
      <w:pPr>
        <w:pStyle w:val="TOC8"/>
        <w:rPr>
          <w:rFonts w:asciiTheme="minorHAnsi" w:eastAsiaTheme="minorEastAsia" w:hAnsiTheme="minorHAnsi" w:cstheme="minorBidi"/>
          <w:szCs w:val="22"/>
        </w:rPr>
      </w:pPr>
      <w:r>
        <w:t>302.</w:t>
      </w:r>
      <w:r>
        <w:tab/>
        <w:t>AEMC may request further information from Rule proponent in certain cases</w:t>
      </w:r>
      <w:r>
        <w:tab/>
      </w:r>
      <w:r>
        <w:fldChar w:fldCharType="begin"/>
      </w:r>
      <w:r>
        <w:instrText xml:space="preserve"> PAGEREF _Toc158375130 \h </w:instrText>
      </w:r>
      <w:r>
        <w:fldChar w:fldCharType="separate"/>
      </w:r>
      <w:r>
        <w:t>1</w:t>
      </w:r>
      <w:r>
        <w:fldChar w:fldCharType="end"/>
      </w:r>
    </w:p>
    <w:p>
      <w:pPr>
        <w:pStyle w:val="TOC8"/>
        <w:rPr>
          <w:rFonts w:asciiTheme="minorHAnsi" w:eastAsiaTheme="minorEastAsia" w:hAnsiTheme="minorHAnsi" w:cstheme="minorBidi"/>
          <w:szCs w:val="22"/>
        </w:rPr>
      </w:pPr>
      <w:r>
        <w:t>303.</w:t>
      </w:r>
      <w:r>
        <w:tab/>
        <w:t>Notice of proposed Rule</w:t>
      </w:r>
      <w:r>
        <w:tab/>
      </w:r>
      <w:r>
        <w:fldChar w:fldCharType="begin"/>
      </w:r>
      <w:r>
        <w:instrText xml:space="preserve"> PAGEREF _Toc158375131 \h </w:instrText>
      </w:r>
      <w:r>
        <w:fldChar w:fldCharType="separate"/>
      </w:r>
      <w:r>
        <w:t>1</w:t>
      </w:r>
      <w:r>
        <w:fldChar w:fldCharType="end"/>
      </w:r>
    </w:p>
    <w:p>
      <w:pPr>
        <w:pStyle w:val="TOC8"/>
        <w:rPr>
          <w:rFonts w:asciiTheme="minorHAnsi" w:eastAsiaTheme="minorEastAsia" w:hAnsiTheme="minorHAnsi" w:cstheme="minorBidi"/>
          <w:szCs w:val="22"/>
        </w:rPr>
      </w:pPr>
      <w:r>
        <w:t>304.</w:t>
      </w:r>
      <w:r>
        <w:tab/>
        <w:t>Publication of non</w:t>
      </w:r>
      <w:r>
        <w:noBreakHyphen/>
        <w:t>controversial or urgent final Rule determination</w:t>
      </w:r>
      <w:r>
        <w:tab/>
      </w:r>
      <w:r>
        <w:fldChar w:fldCharType="begin"/>
      </w:r>
      <w:r>
        <w:instrText xml:space="preserve"> PAGEREF _Toc158375132 \h </w:instrText>
      </w:r>
      <w:r>
        <w:fldChar w:fldCharType="separate"/>
      </w:r>
      <w:r>
        <w:t>1</w:t>
      </w:r>
      <w:r>
        <w:fldChar w:fldCharType="end"/>
      </w:r>
    </w:p>
    <w:p>
      <w:pPr>
        <w:pStyle w:val="TOC8"/>
        <w:rPr>
          <w:rFonts w:asciiTheme="minorHAnsi" w:eastAsiaTheme="minorEastAsia" w:hAnsiTheme="minorHAnsi" w:cstheme="minorBidi"/>
          <w:szCs w:val="22"/>
        </w:rPr>
      </w:pPr>
      <w:r>
        <w:t>305.</w:t>
      </w:r>
      <w:r>
        <w:tab/>
        <w:t>“Fast track” Rules where previous public consultation by gas market regulatory body or an AEMC review</w:t>
      </w:r>
      <w:r>
        <w:tab/>
      </w:r>
      <w:r>
        <w:fldChar w:fldCharType="begin"/>
      </w:r>
      <w:r>
        <w:instrText xml:space="preserve"> PAGEREF _Toc158375133 \h </w:instrText>
      </w:r>
      <w:r>
        <w:fldChar w:fldCharType="separate"/>
      </w:r>
      <w:r>
        <w:t>1</w:t>
      </w:r>
      <w:r>
        <w:fldChar w:fldCharType="end"/>
      </w:r>
    </w:p>
    <w:p>
      <w:pPr>
        <w:pStyle w:val="TOC8"/>
        <w:rPr>
          <w:rFonts w:asciiTheme="minorHAnsi" w:eastAsiaTheme="minorEastAsia" w:hAnsiTheme="minorHAnsi" w:cstheme="minorBidi"/>
          <w:szCs w:val="22"/>
        </w:rPr>
      </w:pPr>
      <w:r>
        <w:t>306.</w:t>
      </w:r>
      <w:r>
        <w:tab/>
        <w:t>Right to make written submissions and comments</w:t>
      </w:r>
      <w:r>
        <w:tab/>
      </w:r>
      <w:r>
        <w:fldChar w:fldCharType="begin"/>
      </w:r>
      <w:r>
        <w:instrText xml:space="preserve"> PAGEREF _Toc158375134 \h </w:instrText>
      </w:r>
      <w:r>
        <w:fldChar w:fldCharType="separate"/>
      </w:r>
      <w:r>
        <w:t>1</w:t>
      </w:r>
      <w:r>
        <w:fldChar w:fldCharType="end"/>
      </w:r>
    </w:p>
    <w:p>
      <w:pPr>
        <w:pStyle w:val="TOC8"/>
        <w:rPr>
          <w:rFonts w:asciiTheme="minorHAnsi" w:eastAsiaTheme="minorEastAsia" w:hAnsiTheme="minorHAnsi" w:cstheme="minorBidi"/>
          <w:szCs w:val="22"/>
        </w:rPr>
      </w:pPr>
      <w:r>
        <w:t>307.</w:t>
      </w:r>
      <w:r>
        <w:tab/>
        <w:t>AEMC may hold public hearings before draft Rule determination</w:t>
      </w:r>
      <w:r>
        <w:tab/>
      </w:r>
      <w:r>
        <w:fldChar w:fldCharType="begin"/>
      </w:r>
      <w:r>
        <w:instrText xml:space="preserve"> PAGEREF _Toc158375135 \h </w:instrText>
      </w:r>
      <w:r>
        <w:fldChar w:fldCharType="separate"/>
      </w:r>
      <w:r>
        <w:t>1</w:t>
      </w:r>
      <w:r>
        <w:fldChar w:fldCharType="end"/>
      </w:r>
    </w:p>
    <w:p>
      <w:pPr>
        <w:pStyle w:val="TOC8"/>
        <w:rPr>
          <w:rFonts w:asciiTheme="minorHAnsi" w:eastAsiaTheme="minorEastAsia" w:hAnsiTheme="minorHAnsi" w:cstheme="minorBidi"/>
          <w:szCs w:val="22"/>
        </w:rPr>
      </w:pPr>
      <w:r>
        <w:t>308.</w:t>
      </w:r>
      <w:r>
        <w:tab/>
        <w:t>Draft Rule determination</w:t>
      </w:r>
      <w:r>
        <w:tab/>
      </w:r>
      <w:r>
        <w:fldChar w:fldCharType="begin"/>
      </w:r>
      <w:r>
        <w:instrText xml:space="preserve"> PAGEREF _Toc158375136 \h </w:instrText>
      </w:r>
      <w:r>
        <w:fldChar w:fldCharType="separate"/>
      </w:r>
      <w:r>
        <w:t>1</w:t>
      </w:r>
      <w:r>
        <w:fldChar w:fldCharType="end"/>
      </w:r>
    </w:p>
    <w:p>
      <w:pPr>
        <w:pStyle w:val="TOC8"/>
        <w:rPr>
          <w:rFonts w:asciiTheme="minorHAnsi" w:eastAsiaTheme="minorEastAsia" w:hAnsiTheme="minorHAnsi" w:cstheme="minorBidi"/>
          <w:szCs w:val="22"/>
        </w:rPr>
      </w:pPr>
      <w:r>
        <w:t>309.</w:t>
      </w:r>
      <w:r>
        <w:tab/>
        <w:t>Right to make written submissions and comments in relation to draft Rule determination</w:t>
      </w:r>
      <w:r>
        <w:tab/>
      </w:r>
      <w:r>
        <w:fldChar w:fldCharType="begin"/>
      </w:r>
      <w:r>
        <w:instrText xml:space="preserve"> PAGEREF _Toc158375137 \h </w:instrText>
      </w:r>
      <w:r>
        <w:fldChar w:fldCharType="separate"/>
      </w:r>
      <w:r>
        <w:t>1</w:t>
      </w:r>
      <w:r>
        <w:fldChar w:fldCharType="end"/>
      </w:r>
    </w:p>
    <w:p>
      <w:pPr>
        <w:pStyle w:val="TOC8"/>
        <w:rPr>
          <w:rFonts w:asciiTheme="minorHAnsi" w:eastAsiaTheme="minorEastAsia" w:hAnsiTheme="minorHAnsi" w:cstheme="minorBidi"/>
          <w:szCs w:val="22"/>
        </w:rPr>
      </w:pPr>
      <w:r>
        <w:t>310.</w:t>
      </w:r>
      <w:r>
        <w:tab/>
        <w:t>Pre</w:t>
      </w:r>
      <w:r>
        <w:noBreakHyphen/>
        <w:t>final Rule determination hearing may be held</w:t>
      </w:r>
      <w:r>
        <w:tab/>
      </w:r>
      <w:r>
        <w:fldChar w:fldCharType="begin"/>
      </w:r>
      <w:r>
        <w:instrText xml:space="preserve"> PAGEREF _Toc158375138 \h </w:instrText>
      </w:r>
      <w:r>
        <w:fldChar w:fldCharType="separate"/>
      </w:r>
      <w:r>
        <w:t>1</w:t>
      </w:r>
      <w:r>
        <w:fldChar w:fldCharType="end"/>
      </w:r>
    </w:p>
    <w:p>
      <w:pPr>
        <w:pStyle w:val="TOC8"/>
        <w:rPr>
          <w:rFonts w:asciiTheme="minorHAnsi" w:eastAsiaTheme="minorEastAsia" w:hAnsiTheme="minorHAnsi" w:cstheme="minorBidi"/>
          <w:szCs w:val="22"/>
        </w:rPr>
      </w:pPr>
      <w:r>
        <w:t>311.</w:t>
      </w:r>
      <w:r>
        <w:tab/>
        <w:t>Final Rule determination</w:t>
      </w:r>
      <w:r>
        <w:tab/>
      </w:r>
      <w:r>
        <w:fldChar w:fldCharType="begin"/>
      </w:r>
      <w:r>
        <w:instrText xml:space="preserve"> PAGEREF _Toc158375139 \h </w:instrText>
      </w:r>
      <w:r>
        <w:fldChar w:fldCharType="separate"/>
      </w:r>
      <w:r>
        <w:t>1</w:t>
      </w:r>
      <w:r>
        <w:fldChar w:fldCharType="end"/>
      </w:r>
    </w:p>
    <w:p>
      <w:pPr>
        <w:pStyle w:val="TOC8"/>
        <w:rPr>
          <w:rFonts w:asciiTheme="minorHAnsi" w:eastAsiaTheme="minorEastAsia" w:hAnsiTheme="minorHAnsi" w:cstheme="minorBidi"/>
          <w:szCs w:val="22"/>
        </w:rPr>
      </w:pPr>
      <w:r>
        <w:t>312.</w:t>
      </w:r>
      <w:r>
        <w:tab/>
        <w:t>Further draft Rule determination may be made where proposed Rule is a proposed more preferable Rule</w:t>
      </w:r>
      <w:r>
        <w:tab/>
      </w:r>
      <w:r>
        <w:fldChar w:fldCharType="begin"/>
      </w:r>
      <w:r>
        <w:instrText xml:space="preserve"> PAGEREF _Toc158375140 \h </w:instrText>
      </w:r>
      <w:r>
        <w:fldChar w:fldCharType="separate"/>
      </w:r>
      <w:r>
        <w:t>1</w:t>
      </w:r>
      <w:r>
        <w:fldChar w:fldCharType="end"/>
      </w:r>
    </w:p>
    <w:p>
      <w:pPr>
        <w:pStyle w:val="TOC8"/>
        <w:rPr>
          <w:rFonts w:asciiTheme="minorHAnsi" w:eastAsiaTheme="minorEastAsia" w:hAnsiTheme="minorHAnsi" w:cstheme="minorBidi"/>
          <w:szCs w:val="22"/>
        </w:rPr>
      </w:pPr>
      <w:r>
        <w:t>313.</w:t>
      </w:r>
      <w:r>
        <w:tab/>
        <w:t>Making of Rule</w:t>
      </w:r>
      <w:r>
        <w:tab/>
      </w:r>
      <w:r>
        <w:fldChar w:fldCharType="begin"/>
      </w:r>
      <w:r>
        <w:instrText xml:space="preserve"> PAGEREF _Toc158375141 \h </w:instrText>
      </w:r>
      <w:r>
        <w:fldChar w:fldCharType="separate"/>
      </w:r>
      <w:r>
        <w:t>1</w:t>
      </w:r>
      <w:r>
        <w:fldChar w:fldCharType="end"/>
      </w:r>
    </w:p>
    <w:p>
      <w:pPr>
        <w:pStyle w:val="TOC8"/>
        <w:rPr>
          <w:rFonts w:asciiTheme="minorHAnsi" w:eastAsiaTheme="minorEastAsia" w:hAnsiTheme="minorHAnsi" w:cstheme="minorBidi"/>
          <w:szCs w:val="22"/>
        </w:rPr>
      </w:pPr>
      <w:r>
        <w:t>314.</w:t>
      </w:r>
      <w:r>
        <w:tab/>
        <w:t>Operation and commencement of Rule</w:t>
      </w:r>
      <w:r>
        <w:tab/>
      </w:r>
      <w:r>
        <w:fldChar w:fldCharType="begin"/>
      </w:r>
      <w:r>
        <w:instrText xml:space="preserve"> PAGEREF _Toc158375142 \h </w:instrText>
      </w:r>
      <w:r>
        <w:fldChar w:fldCharType="separate"/>
      </w:r>
      <w:r>
        <w:t>1</w:t>
      </w:r>
      <w:r>
        <w:fldChar w:fldCharType="end"/>
      </w:r>
    </w:p>
    <w:p>
      <w:pPr>
        <w:pStyle w:val="TOC8"/>
        <w:rPr>
          <w:rFonts w:asciiTheme="minorHAnsi" w:eastAsiaTheme="minorEastAsia" w:hAnsiTheme="minorHAnsi" w:cstheme="minorBidi"/>
          <w:szCs w:val="22"/>
        </w:rPr>
      </w:pPr>
      <w:r>
        <w:t>315.</w:t>
      </w:r>
      <w:r>
        <w:tab/>
        <w:t>Rule that is made to be published on website and made available to the public</w:t>
      </w:r>
      <w:r>
        <w:tab/>
      </w:r>
      <w:r>
        <w:fldChar w:fldCharType="begin"/>
      </w:r>
      <w:r>
        <w:instrText xml:space="preserve"> PAGEREF _Toc158375143 \h </w:instrText>
      </w:r>
      <w:r>
        <w:fldChar w:fldCharType="separate"/>
      </w:r>
      <w:r>
        <w:t>1</w:t>
      </w:r>
      <w:r>
        <w:fldChar w:fldCharType="end"/>
      </w:r>
    </w:p>
    <w:p>
      <w:pPr>
        <w:pStyle w:val="TOC8"/>
        <w:rPr>
          <w:rFonts w:asciiTheme="minorHAnsi" w:eastAsiaTheme="minorEastAsia" w:hAnsiTheme="minorHAnsi" w:cstheme="minorBidi"/>
          <w:szCs w:val="22"/>
        </w:rPr>
      </w:pPr>
      <w:r>
        <w:t>316.</w:t>
      </w:r>
      <w:r>
        <w:tab/>
        <w:t>Evidence of the National Gas Rules</w:t>
      </w:r>
      <w:r>
        <w:tab/>
      </w:r>
      <w:r>
        <w:fldChar w:fldCharType="begin"/>
      </w:r>
      <w:r>
        <w:instrText xml:space="preserve"> PAGEREF _Toc158375144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 — Miscellaneous provisions relating to rule making by the AEMC</w:t>
      </w:r>
    </w:p>
    <w:p>
      <w:pPr>
        <w:pStyle w:val="TOC8"/>
        <w:rPr>
          <w:rFonts w:asciiTheme="minorHAnsi" w:eastAsiaTheme="minorEastAsia" w:hAnsiTheme="minorHAnsi" w:cstheme="minorBidi"/>
          <w:szCs w:val="22"/>
        </w:rPr>
      </w:pPr>
      <w:r>
        <w:t>317.</w:t>
      </w:r>
      <w:r>
        <w:tab/>
        <w:t>Extension of periods of time in Rule making procedure</w:t>
      </w:r>
      <w:r>
        <w:tab/>
      </w:r>
      <w:r>
        <w:fldChar w:fldCharType="begin"/>
      </w:r>
      <w:r>
        <w:instrText xml:space="preserve"> PAGEREF _Toc158375146 \h </w:instrText>
      </w:r>
      <w:r>
        <w:fldChar w:fldCharType="separate"/>
      </w:r>
      <w:r>
        <w:t>1</w:t>
      </w:r>
      <w:r>
        <w:fldChar w:fldCharType="end"/>
      </w:r>
    </w:p>
    <w:p>
      <w:pPr>
        <w:pStyle w:val="TOC8"/>
        <w:rPr>
          <w:rFonts w:asciiTheme="minorHAnsi" w:eastAsiaTheme="minorEastAsia" w:hAnsiTheme="minorHAnsi" w:cstheme="minorBidi"/>
          <w:szCs w:val="22"/>
        </w:rPr>
      </w:pPr>
      <w:r>
        <w:t>318.</w:t>
      </w:r>
      <w:r>
        <w:tab/>
        <w:t>AEMC may extend period of time for making of final Rule determination for further consultation</w:t>
      </w:r>
      <w:r>
        <w:tab/>
      </w:r>
      <w:r>
        <w:fldChar w:fldCharType="begin"/>
      </w:r>
      <w:r>
        <w:instrText xml:space="preserve"> PAGEREF _Toc158375147 \h </w:instrText>
      </w:r>
      <w:r>
        <w:fldChar w:fldCharType="separate"/>
      </w:r>
      <w:r>
        <w:t>1</w:t>
      </w:r>
      <w:r>
        <w:fldChar w:fldCharType="end"/>
      </w:r>
    </w:p>
    <w:p>
      <w:pPr>
        <w:pStyle w:val="TOC8"/>
        <w:rPr>
          <w:rFonts w:asciiTheme="minorHAnsi" w:eastAsiaTheme="minorEastAsia" w:hAnsiTheme="minorHAnsi" w:cstheme="minorBidi"/>
          <w:szCs w:val="22"/>
        </w:rPr>
      </w:pPr>
      <w:r>
        <w:t>319.</w:t>
      </w:r>
      <w:r>
        <w:tab/>
        <w:t>AEMC may publish written submissions and comments unless confidential</w:t>
      </w:r>
      <w:r>
        <w:tab/>
      </w:r>
      <w:r>
        <w:fldChar w:fldCharType="begin"/>
      </w:r>
      <w:r>
        <w:instrText xml:space="preserve"> PAGEREF _Toc158375148 \h </w:instrText>
      </w:r>
      <w:r>
        <w:fldChar w:fldCharType="separate"/>
      </w:r>
      <w:r>
        <w:t>1</w:t>
      </w:r>
      <w:r>
        <w:fldChar w:fldCharType="end"/>
      </w:r>
    </w:p>
    <w:p>
      <w:pPr>
        <w:pStyle w:val="TOC8"/>
        <w:rPr>
          <w:rFonts w:asciiTheme="minorHAnsi" w:eastAsiaTheme="minorEastAsia" w:hAnsiTheme="minorHAnsi" w:cstheme="minorBidi"/>
          <w:szCs w:val="22"/>
        </w:rPr>
      </w:pPr>
      <w:r>
        <w:t>320.</w:t>
      </w:r>
      <w:r>
        <w:tab/>
        <w:t>AEMC must publicly report on Rules not made within 12 months of public notification of requests</w:t>
      </w:r>
      <w:r>
        <w:tab/>
      </w:r>
      <w:r>
        <w:fldChar w:fldCharType="begin"/>
      </w:r>
      <w:r>
        <w:instrText xml:space="preserve"> PAGEREF _Toc158375149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10 — General</w:t>
      </w:r>
    </w:p>
    <w:p>
      <w:pPr>
        <w:pStyle w:val="TOC4"/>
        <w:tabs>
          <w:tab w:val="right" w:leader="dot" w:pos="7077"/>
        </w:tabs>
        <w:rPr>
          <w:rFonts w:asciiTheme="minorHAnsi" w:eastAsiaTheme="minorEastAsia" w:hAnsiTheme="minorHAnsi" w:cstheme="minorBidi"/>
          <w:b w:val="0"/>
          <w:szCs w:val="22"/>
        </w:rPr>
      </w:pPr>
      <w:r>
        <w:t>Part 1 — Provisions relating to applicable access arrangements</w:t>
      </w:r>
    </w:p>
    <w:p>
      <w:pPr>
        <w:pStyle w:val="TOC8"/>
        <w:rPr>
          <w:rFonts w:asciiTheme="minorHAnsi" w:eastAsiaTheme="minorEastAsia" w:hAnsiTheme="minorHAnsi" w:cstheme="minorBidi"/>
          <w:szCs w:val="22"/>
        </w:rPr>
      </w:pPr>
      <w:r>
        <w:t>321.</w:t>
      </w:r>
      <w:r>
        <w:tab/>
        <w:t>Protection of certain pre</w:t>
      </w:r>
      <w:r>
        <w:noBreakHyphen/>
        <w:t>existing contractual rights</w:t>
      </w:r>
      <w:r>
        <w:tab/>
      </w:r>
      <w:r>
        <w:fldChar w:fldCharType="begin"/>
      </w:r>
      <w:r>
        <w:instrText xml:space="preserve"> PAGEREF _Toc158375152 \h </w:instrText>
      </w:r>
      <w:r>
        <w:fldChar w:fldCharType="separate"/>
      </w:r>
      <w:r>
        <w:t>1</w:t>
      </w:r>
      <w:r>
        <w:fldChar w:fldCharType="end"/>
      </w:r>
    </w:p>
    <w:p>
      <w:pPr>
        <w:pStyle w:val="TOC8"/>
        <w:rPr>
          <w:rFonts w:asciiTheme="minorHAnsi" w:eastAsiaTheme="minorEastAsia" w:hAnsiTheme="minorHAnsi" w:cstheme="minorBidi"/>
          <w:szCs w:val="22"/>
        </w:rPr>
      </w:pPr>
      <w:r>
        <w:t>322.</w:t>
      </w:r>
      <w:r>
        <w:tab/>
        <w:t>Service provider may enter into agreement for access different from applicable access arrangement</w:t>
      </w:r>
      <w:r>
        <w:tab/>
      </w:r>
      <w:r>
        <w:fldChar w:fldCharType="begin"/>
      </w:r>
      <w:r>
        <w:instrText xml:space="preserve"> PAGEREF _Toc158375153 \h </w:instrText>
      </w:r>
      <w:r>
        <w:fldChar w:fldCharType="separate"/>
      </w:r>
      <w:r>
        <w:t>1</w:t>
      </w:r>
      <w:r>
        <w:fldChar w:fldCharType="end"/>
      </w:r>
    </w:p>
    <w:p>
      <w:pPr>
        <w:pStyle w:val="TOC8"/>
        <w:rPr>
          <w:rFonts w:asciiTheme="minorHAnsi" w:eastAsiaTheme="minorEastAsia" w:hAnsiTheme="minorHAnsi" w:cstheme="minorBidi"/>
          <w:szCs w:val="22"/>
        </w:rPr>
      </w:pPr>
      <w:r>
        <w:t>323.</w:t>
      </w:r>
      <w:r>
        <w:tab/>
        <w:t>Applicable access arrangements continue to apply regardless of who provides pipeline service</w:t>
      </w:r>
      <w:r>
        <w:tab/>
      </w:r>
      <w:r>
        <w:fldChar w:fldCharType="begin"/>
      </w:r>
      <w:r>
        <w:instrText xml:space="preserve"> PAGEREF _Toc158375154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 — Handling of confidential information</w:t>
      </w:r>
    </w:p>
    <w:p>
      <w:pPr>
        <w:pStyle w:val="TOC6"/>
        <w:tabs>
          <w:tab w:val="right" w:leader="dot" w:pos="7077"/>
        </w:tabs>
        <w:rPr>
          <w:rFonts w:asciiTheme="minorHAnsi" w:eastAsiaTheme="minorEastAsia" w:hAnsiTheme="minorHAnsi" w:cstheme="minorBidi"/>
          <w:b w:val="0"/>
          <w:sz w:val="22"/>
          <w:szCs w:val="22"/>
        </w:rPr>
      </w:pPr>
      <w:r>
        <w:t>Division 1 — Disclosure of confidential information held by AER</w:t>
      </w:r>
    </w:p>
    <w:p>
      <w:pPr>
        <w:pStyle w:val="TOC8"/>
        <w:rPr>
          <w:rFonts w:asciiTheme="minorHAnsi" w:eastAsiaTheme="minorEastAsia" w:hAnsiTheme="minorHAnsi" w:cstheme="minorBidi"/>
          <w:szCs w:val="22"/>
        </w:rPr>
      </w:pPr>
      <w:r>
        <w:t>324.</w:t>
      </w:r>
      <w:r>
        <w:tab/>
        <w:t>Authorised disclosure of information given to the AER in confidence</w:t>
      </w:r>
      <w:r>
        <w:tab/>
      </w:r>
      <w:r>
        <w:fldChar w:fldCharType="begin"/>
      </w:r>
      <w:r>
        <w:instrText xml:space="preserve"> PAGEREF _Toc158375157 \h </w:instrText>
      </w:r>
      <w:r>
        <w:fldChar w:fldCharType="separate"/>
      </w:r>
      <w:r>
        <w:t>1</w:t>
      </w:r>
      <w:r>
        <w:fldChar w:fldCharType="end"/>
      </w:r>
    </w:p>
    <w:p>
      <w:pPr>
        <w:pStyle w:val="TOC8"/>
        <w:rPr>
          <w:rFonts w:asciiTheme="minorHAnsi" w:eastAsiaTheme="minorEastAsia" w:hAnsiTheme="minorHAnsi" w:cstheme="minorBidi"/>
          <w:szCs w:val="22"/>
        </w:rPr>
      </w:pPr>
      <w:r>
        <w:t>325.</w:t>
      </w:r>
      <w:r>
        <w:tab/>
        <w:t>Disclosure with prior written consent is authorised</w:t>
      </w:r>
      <w:r>
        <w:tab/>
      </w:r>
      <w:r>
        <w:fldChar w:fldCharType="begin"/>
      </w:r>
      <w:r>
        <w:instrText xml:space="preserve"> PAGEREF _Toc158375158 \h </w:instrText>
      </w:r>
      <w:r>
        <w:fldChar w:fldCharType="separate"/>
      </w:r>
      <w:r>
        <w:t>1</w:t>
      </w:r>
      <w:r>
        <w:fldChar w:fldCharType="end"/>
      </w:r>
    </w:p>
    <w:p>
      <w:pPr>
        <w:pStyle w:val="TOC8"/>
        <w:rPr>
          <w:rFonts w:asciiTheme="minorHAnsi" w:eastAsiaTheme="minorEastAsia" w:hAnsiTheme="minorHAnsi" w:cstheme="minorBidi"/>
          <w:szCs w:val="22"/>
        </w:rPr>
      </w:pPr>
      <w:r>
        <w:t>326.</w:t>
      </w:r>
      <w:r>
        <w:tab/>
        <w:t>Disclosure for purposes of court and tribunal proceedings and to accord natural justice</w:t>
      </w:r>
      <w:r>
        <w:tab/>
      </w:r>
      <w:r>
        <w:fldChar w:fldCharType="begin"/>
      </w:r>
      <w:r>
        <w:instrText xml:space="preserve"> PAGEREF _Toc158375159 \h </w:instrText>
      </w:r>
      <w:r>
        <w:fldChar w:fldCharType="separate"/>
      </w:r>
      <w:r>
        <w:t>1</w:t>
      </w:r>
      <w:r>
        <w:fldChar w:fldCharType="end"/>
      </w:r>
    </w:p>
    <w:p>
      <w:pPr>
        <w:pStyle w:val="TOC8"/>
        <w:rPr>
          <w:rFonts w:asciiTheme="minorHAnsi" w:eastAsiaTheme="minorEastAsia" w:hAnsiTheme="minorHAnsi" w:cstheme="minorBidi"/>
          <w:szCs w:val="22"/>
        </w:rPr>
      </w:pPr>
      <w:r>
        <w:t>327.</w:t>
      </w:r>
      <w:r>
        <w:tab/>
        <w:t>Disclosure of information given to the AER with confidential information omitted</w:t>
      </w:r>
      <w:r>
        <w:tab/>
      </w:r>
      <w:r>
        <w:fldChar w:fldCharType="begin"/>
      </w:r>
      <w:r>
        <w:instrText xml:space="preserve"> PAGEREF _Toc158375160 \h </w:instrText>
      </w:r>
      <w:r>
        <w:fldChar w:fldCharType="separate"/>
      </w:r>
      <w:r>
        <w:t>1</w:t>
      </w:r>
      <w:r>
        <w:fldChar w:fldCharType="end"/>
      </w:r>
    </w:p>
    <w:p>
      <w:pPr>
        <w:pStyle w:val="TOC8"/>
        <w:rPr>
          <w:rFonts w:asciiTheme="minorHAnsi" w:eastAsiaTheme="minorEastAsia" w:hAnsiTheme="minorHAnsi" w:cstheme="minorBidi"/>
          <w:szCs w:val="22"/>
        </w:rPr>
      </w:pPr>
      <w:r>
        <w:t>328.</w:t>
      </w:r>
      <w:r>
        <w:tab/>
        <w:t>Disclosure of information given in confidence does not identify anyone</w:t>
      </w:r>
      <w:r>
        <w:tab/>
      </w:r>
      <w:r>
        <w:fldChar w:fldCharType="begin"/>
      </w:r>
      <w:r>
        <w:instrText xml:space="preserve"> PAGEREF _Toc158375161 \h </w:instrText>
      </w:r>
      <w:r>
        <w:fldChar w:fldCharType="separate"/>
      </w:r>
      <w:r>
        <w:t>1</w:t>
      </w:r>
      <w:r>
        <w:fldChar w:fldCharType="end"/>
      </w:r>
    </w:p>
    <w:p>
      <w:pPr>
        <w:pStyle w:val="TOC8"/>
        <w:rPr>
          <w:rFonts w:asciiTheme="minorHAnsi" w:eastAsiaTheme="minorEastAsia" w:hAnsiTheme="minorHAnsi" w:cstheme="minorBidi"/>
          <w:szCs w:val="22"/>
        </w:rPr>
      </w:pPr>
      <w:r>
        <w:t>329.</w:t>
      </w:r>
      <w:r>
        <w:tab/>
        <w:t>Disclosure of confidential information authorised if detriment does not outweigh public benefit</w:t>
      </w:r>
      <w:r>
        <w:tab/>
      </w:r>
      <w:r>
        <w:fldChar w:fldCharType="begin"/>
      </w:r>
      <w:r>
        <w:instrText xml:space="preserve"> PAGEREF _Toc158375162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Disclosure of confidential information held by relevant Ministers, NCC and AEMC</w:t>
      </w:r>
    </w:p>
    <w:p>
      <w:pPr>
        <w:pStyle w:val="TOC8"/>
        <w:rPr>
          <w:rFonts w:asciiTheme="minorHAnsi" w:eastAsiaTheme="minorEastAsia" w:hAnsiTheme="minorHAnsi" w:cstheme="minorBidi"/>
          <w:szCs w:val="22"/>
        </w:rPr>
      </w:pPr>
      <w:r>
        <w:t>330.</w:t>
      </w:r>
      <w:r>
        <w:tab/>
        <w:t>Definitions</w:t>
      </w:r>
      <w:r>
        <w:tab/>
      </w:r>
      <w:r>
        <w:fldChar w:fldCharType="begin"/>
      </w:r>
      <w:r>
        <w:instrText xml:space="preserve"> PAGEREF _Toc158375164 \h </w:instrText>
      </w:r>
      <w:r>
        <w:fldChar w:fldCharType="separate"/>
      </w:r>
      <w:r>
        <w:t>1</w:t>
      </w:r>
      <w:r>
        <w:fldChar w:fldCharType="end"/>
      </w:r>
    </w:p>
    <w:p>
      <w:pPr>
        <w:pStyle w:val="TOC8"/>
        <w:rPr>
          <w:rFonts w:asciiTheme="minorHAnsi" w:eastAsiaTheme="minorEastAsia" w:hAnsiTheme="minorHAnsi" w:cstheme="minorBidi"/>
          <w:szCs w:val="22"/>
        </w:rPr>
      </w:pPr>
      <w:r>
        <w:t>331.</w:t>
      </w:r>
      <w:r>
        <w:tab/>
        <w:t>Confidentiality of information received for scheme procedure purpose and for making of scheme decision</w:t>
      </w:r>
      <w:r>
        <w:tab/>
      </w:r>
      <w:r>
        <w:fldChar w:fldCharType="begin"/>
      </w:r>
      <w:r>
        <w:instrText xml:space="preserve"> PAGEREF _Toc158375165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332.</w:t>
      </w:r>
      <w:r>
        <w:tab/>
        <w:t>Failure to make a decision under this Law or the Rules within time does not invalidate the decision</w:t>
      </w:r>
      <w:r>
        <w:tab/>
      </w:r>
      <w:r>
        <w:fldChar w:fldCharType="begin"/>
      </w:r>
      <w:r>
        <w:instrText xml:space="preserve"> PAGEREF _Toc158375167 \h </w:instrText>
      </w:r>
      <w:r>
        <w:fldChar w:fldCharType="separate"/>
      </w:r>
      <w:r>
        <w:t>1</w:t>
      </w:r>
      <w:r>
        <w:fldChar w:fldCharType="end"/>
      </w:r>
    </w:p>
    <w:p>
      <w:pPr>
        <w:pStyle w:val="TOC8"/>
        <w:rPr>
          <w:rFonts w:asciiTheme="minorHAnsi" w:eastAsiaTheme="minorEastAsia" w:hAnsiTheme="minorHAnsi" w:cstheme="minorBidi"/>
          <w:szCs w:val="22"/>
        </w:rPr>
      </w:pPr>
      <w:r>
        <w:t>333.</w:t>
      </w:r>
      <w:r>
        <w:tab/>
        <w:t>Withdrawal of applications relating to coverage or reclassification</w:t>
      </w:r>
      <w:r>
        <w:tab/>
      </w:r>
      <w:r>
        <w:fldChar w:fldCharType="begin"/>
      </w:r>
      <w:r>
        <w:instrText xml:space="preserve"> PAGEREF _Toc158375168 \h </w:instrText>
      </w:r>
      <w:r>
        <w:fldChar w:fldCharType="separate"/>
      </w:r>
      <w:r>
        <w:t>1</w:t>
      </w:r>
      <w:r>
        <w:fldChar w:fldCharType="end"/>
      </w:r>
    </w:p>
    <w:p>
      <w:pPr>
        <w:pStyle w:val="TOC8"/>
        <w:rPr>
          <w:rFonts w:asciiTheme="minorHAnsi" w:eastAsiaTheme="minorEastAsia" w:hAnsiTheme="minorHAnsi" w:cstheme="minorBidi"/>
          <w:szCs w:val="22"/>
        </w:rPr>
      </w:pPr>
      <w:r>
        <w:t>334.</w:t>
      </w:r>
      <w:r>
        <w:tab/>
        <w:t>Notification of Ministers of participating jurisdictions of receipt of application</w:t>
      </w:r>
      <w:r>
        <w:tab/>
      </w:r>
      <w:r>
        <w:fldChar w:fldCharType="begin"/>
      </w:r>
      <w:r>
        <w:instrText xml:space="preserve"> PAGEREF _Toc158375169 \h </w:instrText>
      </w:r>
      <w:r>
        <w:fldChar w:fldCharType="separate"/>
      </w:r>
      <w:r>
        <w:t>1</w:t>
      </w:r>
      <w:r>
        <w:fldChar w:fldCharType="end"/>
      </w:r>
    </w:p>
    <w:p>
      <w:pPr>
        <w:pStyle w:val="TOC8"/>
        <w:rPr>
          <w:rFonts w:asciiTheme="minorHAnsi" w:eastAsiaTheme="minorEastAsia" w:hAnsiTheme="minorHAnsi" w:cstheme="minorBidi"/>
          <w:szCs w:val="22"/>
        </w:rPr>
      </w:pPr>
      <w:r>
        <w:t>335.</w:t>
      </w:r>
      <w:r>
        <w:tab/>
        <w:t>Relevant Minister may request NCC to give information or assistance</w:t>
      </w:r>
      <w:r>
        <w:tab/>
      </w:r>
      <w:r>
        <w:fldChar w:fldCharType="begin"/>
      </w:r>
      <w:r>
        <w:instrText xml:space="preserve"> PAGEREF _Toc158375170 \h </w:instrText>
      </w:r>
      <w:r>
        <w:fldChar w:fldCharType="separate"/>
      </w:r>
      <w:r>
        <w:t>1</w:t>
      </w:r>
      <w:r>
        <w:fldChar w:fldCharType="end"/>
      </w:r>
    </w:p>
    <w:p>
      <w:pPr>
        <w:pStyle w:val="TOC8"/>
        <w:rPr>
          <w:rFonts w:asciiTheme="minorHAnsi" w:eastAsiaTheme="minorEastAsia" w:hAnsiTheme="minorHAnsi" w:cstheme="minorBidi"/>
          <w:szCs w:val="22"/>
        </w:rPr>
      </w:pPr>
      <w:r>
        <w:t>336.</w:t>
      </w:r>
      <w:r>
        <w:tab/>
        <w:t>Savings and transitionals</w:t>
      </w:r>
      <w:r>
        <w:tab/>
      </w:r>
      <w:r>
        <w:fldChar w:fldCharType="begin"/>
      </w:r>
      <w:r>
        <w:instrText xml:space="preserve"> PAGEREF _Toc158375171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Subject matter for the National Gas Rules</w:t>
      </w:r>
    </w:p>
    <w:p>
      <w:pPr>
        <w:pStyle w:val="TOC2"/>
        <w:tabs>
          <w:tab w:val="right" w:leader="dot" w:pos="7077"/>
        </w:tabs>
        <w:rPr>
          <w:rFonts w:asciiTheme="minorHAnsi" w:eastAsiaTheme="minorEastAsia" w:hAnsiTheme="minorHAnsi" w:cstheme="minorBidi"/>
          <w:b w:val="0"/>
          <w:sz w:val="22"/>
          <w:szCs w:val="22"/>
        </w:rPr>
      </w:pPr>
      <w:r>
        <w:t>Schedule 2 — Miscellaneous provisions relating to interpretation</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_Toc158375175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 — General</w:t>
      </w:r>
    </w:p>
    <w:p>
      <w:pPr>
        <w:pStyle w:val="TOC8"/>
        <w:rPr>
          <w:rFonts w:asciiTheme="minorHAnsi" w:eastAsiaTheme="minorEastAsia" w:hAnsiTheme="minorHAnsi" w:cstheme="minorBidi"/>
          <w:szCs w:val="22"/>
        </w:rPr>
      </w:pPr>
      <w:r>
        <w:t>2.</w:t>
      </w:r>
      <w:r>
        <w:tab/>
        <w:t>Law to be construed not to exceed legislative power of Legislature</w:t>
      </w:r>
      <w:r>
        <w:tab/>
      </w:r>
      <w:r>
        <w:fldChar w:fldCharType="begin"/>
      </w:r>
      <w:r>
        <w:instrText xml:space="preserve"> PAGEREF _Toc158375177 \h </w:instrText>
      </w:r>
      <w:r>
        <w:fldChar w:fldCharType="separate"/>
      </w:r>
      <w:r>
        <w:t>1</w:t>
      </w:r>
      <w:r>
        <w:fldChar w:fldCharType="end"/>
      </w:r>
    </w:p>
    <w:p>
      <w:pPr>
        <w:pStyle w:val="TOC8"/>
        <w:rPr>
          <w:rFonts w:asciiTheme="minorHAnsi" w:eastAsiaTheme="minorEastAsia" w:hAnsiTheme="minorHAnsi" w:cstheme="minorBidi"/>
          <w:szCs w:val="22"/>
        </w:rPr>
      </w:pPr>
      <w:r>
        <w:t>3.</w:t>
      </w:r>
      <w:r>
        <w:tab/>
        <w:t>Vacant provision</w:t>
      </w:r>
      <w:r>
        <w:tab/>
      </w:r>
      <w:r>
        <w:fldChar w:fldCharType="begin"/>
      </w:r>
      <w:r>
        <w:instrText xml:space="preserve"> PAGEREF _Toc158375178 \h </w:instrText>
      </w:r>
      <w:r>
        <w:fldChar w:fldCharType="separate"/>
      </w:r>
      <w:r>
        <w:t>1</w:t>
      </w:r>
      <w:r>
        <w:fldChar w:fldCharType="end"/>
      </w:r>
    </w:p>
    <w:p>
      <w:pPr>
        <w:pStyle w:val="TOC8"/>
        <w:rPr>
          <w:rFonts w:asciiTheme="minorHAnsi" w:eastAsiaTheme="minorEastAsia" w:hAnsiTheme="minorHAnsi" w:cstheme="minorBidi"/>
          <w:szCs w:val="22"/>
        </w:rPr>
      </w:pPr>
      <w:r>
        <w:t>4.</w:t>
      </w:r>
      <w:r>
        <w:tab/>
        <w:t>Material that is, and is not, part of Law</w:t>
      </w:r>
      <w:r>
        <w:tab/>
      </w:r>
      <w:r>
        <w:fldChar w:fldCharType="begin"/>
      </w:r>
      <w:r>
        <w:instrText xml:space="preserve"> PAGEREF _Toc158375179 \h </w:instrText>
      </w:r>
      <w:r>
        <w:fldChar w:fldCharType="separate"/>
      </w:r>
      <w:r>
        <w:t>1</w:t>
      </w:r>
      <w:r>
        <w:fldChar w:fldCharType="end"/>
      </w:r>
    </w:p>
    <w:p>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_Toc158375180 \h </w:instrText>
      </w:r>
      <w:r>
        <w:fldChar w:fldCharType="separate"/>
      </w:r>
      <w:r>
        <w:t>1</w:t>
      </w:r>
      <w:r>
        <w:fldChar w:fldCharType="end"/>
      </w:r>
    </w:p>
    <w:p>
      <w:pPr>
        <w:pStyle w:val="TOC8"/>
        <w:rPr>
          <w:rFonts w:asciiTheme="minorHAnsi" w:eastAsiaTheme="minorEastAsia" w:hAnsiTheme="minorHAnsi" w:cstheme="minorBidi"/>
          <w:szCs w:val="22"/>
        </w:rPr>
      </w:pPr>
      <w:r>
        <w:t>6.</w:t>
      </w:r>
      <w:r>
        <w:tab/>
        <w:t>References taken to be included in Act or Law citation etc</w:t>
      </w:r>
      <w:r>
        <w:tab/>
      </w:r>
      <w:r>
        <w:fldChar w:fldCharType="begin"/>
      </w:r>
      <w:r>
        <w:instrText xml:space="preserve"> PAGEREF _Toc158375181 \h </w:instrText>
      </w:r>
      <w:r>
        <w:fldChar w:fldCharType="separate"/>
      </w:r>
      <w:r>
        <w:t>1</w:t>
      </w:r>
      <w:r>
        <w:fldChar w:fldCharType="end"/>
      </w:r>
    </w:p>
    <w:p>
      <w:pPr>
        <w:pStyle w:val="TOC8"/>
        <w:rPr>
          <w:rFonts w:asciiTheme="minorHAnsi" w:eastAsiaTheme="minorEastAsia" w:hAnsiTheme="minorHAnsi" w:cstheme="minorBidi"/>
          <w:szCs w:val="22"/>
        </w:rPr>
      </w:pPr>
      <w:r>
        <w:t>7.</w:t>
      </w:r>
      <w:r>
        <w:tab/>
        <w:t>Interpretation best achieving Law’s purpose</w:t>
      </w:r>
      <w:r>
        <w:tab/>
      </w:r>
      <w:r>
        <w:fldChar w:fldCharType="begin"/>
      </w:r>
      <w:r>
        <w:instrText xml:space="preserve"> PAGEREF _Toc158375182 \h </w:instrText>
      </w:r>
      <w:r>
        <w:fldChar w:fldCharType="separate"/>
      </w:r>
      <w:r>
        <w:t>1</w:t>
      </w:r>
      <w:r>
        <w:fldChar w:fldCharType="end"/>
      </w:r>
    </w:p>
    <w:p>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_Toc158375183 \h </w:instrText>
      </w:r>
      <w:r>
        <w:fldChar w:fldCharType="separate"/>
      </w:r>
      <w:r>
        <w:t>1</w:t>
      </w:r>
      <w:r>
        <w:fldChar w:fldCharType="end"/>
      </w:r>
    </w:p>
    <w:p>
      <w:pPr>
        <w:pStyle w:val="TOC8"/>
        <w:rPr>
          <w:rFonts w:asciiTheme="minorHAnsi" w:eastAsiaTheme="minorEastAsia" w:hAnsiTheme="minorHAnsi" w:cstheme="minorBidi"/>
          <w:szCs w:val="22"/>
        </w:rPr>
      </w:pPr>
      <w:r>
        <w:t>9.</w:t>
      </w:r>
      <w:r>
        <w:tab/>
        <w:t>Compliance with forms</w:t>
      </w:r>
      <w:r>
        <w:tab/>
      </w:r>
      <w:r>
        <w:fldChar w:fldCharType="begin"/>
      </w:r>
      <w:r>
        <w:instrText xml:space="preserve"> PAGEREF _Toc158375184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 — Terms and references</w:t>
      </w:r>
    </w:p>
    <w:p>
      <w:pPr>
        <w:pStyle w:val="TOC8"/>
        <w:rPr>
          <w:rFonts w:asciiTheme="minorHAnsi" w:eastAsiaTheme="minorEastAsia" w:hAnsiTheme="minorHAnsi" w:cstheme="minorBidi"/>
          <w:szCs w:val="22"/>
        </w:rPr>
      </w:pPr>
      <w:r>
        <w:t>10.</w:t>
      </w:r>
      <w:r>
        <w:tab/>
        <w:t>Definitions</w:t>
      </w:r>
      <w:r>
        <w:tab/>
      </w:r>
      <w:r>
        <w:fldChar w:fldCharType="begin"/>
      </w:r>
      <w:r>
        <w:instrText xml:space="preserve"> PAGEREF _Toc158375186 \h </w:instrText>
      </w:r>
      <w:r>
        <w:fldChar w:fldCharType="separate"/>
      </w:r>
      <w:r>
        <w:t>1</w:t>
      </w:r>
      <w:r>
        <w:fldChar w:fldCharType="end"/>
      </w:r>
    </w:p>
    <w:p>
      <w:pPr>
        <w:pStyle w:val="TOC8"/>
        <w:rPr>
          <w:rFonts w:asciiTheme="minorHAnsi" w:eastAsiaTheme="minorEastAsia" w:hAnsiTheme="minorHAnsi" w:cstheme="minorBidi"/>
          <w:szCs w:val="22"/>
        </w:rPr>
      </w:pPr>
      <w:r>
        <w:t>11.</w:t>
      </w:r>
      <w:r>
        <w:tab/>
        <w:t>Provisions relating to defined terms and gender and number</w:t>
      </w:r>
      <w:r>
        <w:tab/>
      </w:r>
      <w:r>
        <w:fldChar w:fldCharType="begin"/>
      </w:r>
      <w:r>
        <w:instrText xml:space="preserve"> PAGEREF _Toc158375187 \h </w:instrText>
      </w:r>
      <w:r>
        <w:fldChar w:fldCharType="separate"/>
      </w:r>
      <w:r>
        <w:t>1</w:t>
      </w:r>
      <w:r>
        <w:fldChar w:fldCharType="end"/>
      </w:r>
    </w:p>
    <w:p>
      <w:pPr>
        <w:pStyle w:val="TOC8"/>
        <w:rPr>
          <w:rFonts w:asciiTheme="minorHAnsi" w:eastAsiaTheme="minorEastAsia" w:hAnsiTheme="minorHAnsi" w:cstheme="minorBidi"/>
          <w:szCs w:val="22"/>
        </w:rPr>
      </w:pPr>
      <w:r>
        <w:t>12.</w:t>
      </w:r>
      <w:r>
        <w:tab/>
        <w:t>Meaning of may and must etc</w:t>
      </w:r>
      <w:r>
        <w:tab/>
      </w:r>
      <w:r>
        <w:fldChar w:fldCharType="begin"/>
      </w:r>
      <w:r>
        <w:instrText xml:space="preserve"> PAGEREF _Toc158375188 \h </w:instrText>
      </w:r>
      <w:r>
        <w:fldChar w:fldCharType="separate"/>
      </w:r>
      <w:r>
        <w:t>1</w:t>
      </w:r>
      <w:r>
        <w:fldChar w:fldCharType="end"/>
      </w:r>
    </w:p>
    <w:p>
      <w:pPr>
        <w:pStyle w:val="TOC8"/>
        <w:rPr>
          <w:rFonts w:asciiTheme="minorHAnsi" w:eastAsiaTheme="minorEastAsia" w:hAnsiTheme="minorHAnsi" w:cstheme="minorBidi"/>
          <w:szCs w:val="22"/>
        </w:rPr>
      </w:pPr>
      <w:r>
        <w:t>13.</w:t>
      </w:r>
      <w:r>
        <w:tab/>
        <w:t>Words and expressions used in statutory instruments</w:t>
      </w:r>
      <w:r>
        <w:tab/>
      </w:r>
      <w:r>
        <w:fldChar w:fldCharType="begin"/>
      </w:r>
      <w:r>
        <w:instrText xml:space="preserve"> PAGEREF _Toc158375189 \h </w:instrText>
      </w:r>
      <w:r>
        <w:fldChar w:fldCharType="separate"/>
      </w:r>
      <w:r>
        <w:t>1</w:t>
      </w:r>
      <w:r>
        <w:fldChar w:fldCharType="end"/>
      </w:r>
    </w:p>
    <w:p>
      <w:pPr>
        <w:pStyle w:val="TOC8"/>
        <w:rPr>
          <w:rFonts w:asciiTheme="minorHAnsi" w:eastAsiaTheme="minorEastAsia" w:hAnsiTheme="minorHAnsi" w:cstheme="minorBidi"/>
          <w:szCs w:val="22"/>
        </w:rPr>
      </w:pPr>
      <w:r>
        <w:t>14.</w:t>
      </w:r>
      <w:r>
        <w:tab/>
        <w:t>References to Minister</w:t>
      </w:r>
      <w:r>
        <w:tab/>
      </w:r>
      <w:r>
        <w:fldChar w:fldCharType="begin"/>
      </w:r>
      <w:r>
        <w:instrText xml:space="preserve"> PAGEREF _Toc158375190 \h </w:instrText>
      </w:r>
      <w:r>
        <w:fldChar w:fldCharType="separate"/>
      </w:r>
      <w:r>
        <w:t>1</w:t>
      </w:r>
      <w:r>
        <w:fldChar w:fldCharType="end"/>
      </w:r>
    </w:p>
    <w:p>
      <w:pPr>
        <w:pStyle w:val="TOC8"/>
        <w:rPr>
          <w:rFonts w:asciiTheme="minorHAnsi" w:eastAsiaTheme="minorEastAsia" w:hAnsiTheme="minorHAnsi" w:cstheme="minorBidi"/>
          <w:szCs w:val="22"/>
        </w:rPr>
      </w:pPr>
      <w:r>
        <w:t>15.</w:t>
      </w:r>
      <w:r>
        <w:tab/>
        <w:t>Production of records kept in computers etc</w:t>
      </w:r>
      <w:r>
        <w:tab/>
      </w:r>
      <w:r>
        <w:fldChar w:fldCharType="begin"/>
      </w:r>
      <w:r>
        <w:instrText xml:space="preserve"> PAGEREF _Toc158375191 \h </w:instrText>
      </w:r>
      <w:r>
        <w:fldChar w:fldCharType="separate"/>
      </w:r>
      <w:r>
        <w:t>1</w:t>
      </w:r>
      <w:r>
        <w:fldChar w:fldCharType="end"/>
      </w:r>
    </w:p>
    <w:p>
      <w:pPr>
        <w:pStyle w:val="TOC8"/>
        <w:rPr>
          <w:rFonts w:asciiTheme="minorHAnsi" w:eastAsiaTheme="minorEastAsia" w:hAnsiTheme="minorHAnsi" w:cstheme="minorBidi"/>
          <w:szCs w:val="22"/>
        </w:rPr>
      </w:pPr>
      <w:r>
        <w:t>16.</w:t>
      </w:r>
      <w:r>
        <w:tab/>
        <w:t>References to this jurisdiction to be implied</w:t>
      </w:r>
      <w:r>
        <w:tab/>
      </w:r>
      <w:r>
        <w:fldChar w:fldCharType="begin"/>
      </w:r>
      <w:r>
        <w:instrText xml:space="preserve"> PAGEREF _Toc158375192 \h </w:instrText>
      </w:r>
      <w:r>
        <w:fldChar w:fldCharType="separate"/>
      </w:r>
      <w:r>
        <w:t>1</w:t>
      </w:r>
      <w:r>
        <w:fldChar w:fldCharType="end"/>
      </w:r>
    </w:p>
    <w:p>
      <w:pPr>
        <w:pStyle w:val="TOC8"/>
        <w:rPr>
          <w:rFonts w:asciiTheme="minorHAnsi" w:eastAsiaTheme="minorEastAsia" w:hAnsiTheme="minorHAnsi" w:cstheme="minorBidi"/>
          <w:szCs w:val="22"/>
        </w:rPr>
      </w:pPr>
      <w:r>
        <w:t>17.</w:t>
      </w:r>
      <w:r>
        <w:tab/>
        <w:t>References to officers and holders of offices</w:t>
      </w:r>
      <w:r>
        <w:tab/>
      </w:r>
      <w:r>
        <w:fldChar w:fldCharType="begin"/>
      </w:r>
      <w:r>
        <w:instrText xml:space="preserve"> PAGEREF _Toc158375193 \h </w:instrText>
      </w:r>
      <w:r>
        <w:fldChar w:fldCharType="separate"/>
      </w:r>
      <w:r>
        <w:t>1</w:t>
      </w:r>
      <w:r>
        <w:fldChar w:fldCharType="end"/>
      </w:r>
    </w:p>
    <w:p>
      <w:pPr>
        <w:pStyle w:val="TOC8"/>
        <w:rPr>
          <w:rFonts w:asciiTheme="minorHAnsi" w:eastAsiaTheme="minorEastAsia" w:hAnsiTheme="minorHAnsi" w:cstheme="minorBidi"/>
          <w:szCs w:val="22"/>
        </w:rPr>
      </w:pPr>
      <w:r>
        <w:t>18.</w:t>
      </w:r>
      <w:r>
        <w:tab/>
        <w:t>Reference to certain provisions of Law</w:t>
      </w:r>
      <w:r>
        <w:tab/>
      </w:r>
      <w:r>
        <w:fldChar w:fldCharType="begin"/>
      </w:r>
      <w:r>
        <w:instrText xml:space="preserve"> PAGEREF _Toc158375194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 — Functions and powers</w:t>
      </w:r>
    </w:p>
    <w:p>
      <w:pPr>
        <w:pStyle w:val="TOC8"/>
        <w:rPr>
          <w:rFonts w:asciiTheme="minorHAnsi" w:eastAsiaTheme="minorEastAsia" w:hAnsiTheme="minorHAnsi" w:cstheme="minorBidi"/>
          <w:szCs w:val="22"/>
        </w:rPr>
      </w:pPr>
      <w:r>
        <w:t>19.</w:t>
      </w:r>
      <w:r>
        <w:tab/>
        <w:t>Performance of statutory functions</w:t>
      </w:r>
      <w:r>
        <w:tab/>
      </w:r>
      <w:r>
        <w:fldChar w:fldCharType="begin"/>
      </w:r>
      <w:r>
        <w:instrText xml:space="preserve"> PAGEREF _Toc158375196 \h </w:instrText>
      </w:r>
      <w:r>
        <w:fldChar w:fldCharType="separate"/>
      </w:r>
      <w:r>
        <w:t>1</w:t>
      </w:r>
      <w:r>
        <w:fldChar w:fldCharType="end"/>
      </w:r>
    </w:p>
    <w:p>
      <w:pPr>
        <w:pStyle w:val="TOC8"/>
        <w:rPr>
          <w:rFonts w:asciiTheme="minorHAnsi" w:eastAsiaTheme="minorEastAsia" w:hAnsiTheme="minorHAnsi" w:cstheme="minorBidi"/>
          <w:szCs w:val="22"/>
        </w:rPr>
      </w:pPr>
      <w:r>
        <w:t>20.</w:t>
      </w:r>
      <w:r>
        <w:tab/>
        <w:t>Power to make instrument or decision includes power to amend or repeal</w:t>
      </w:r>
      <w:r>
        <w:tab/>
      </w:r>
      <w:r>
        <w:fldChar w:fldCharType="begin"/>
      </w:r>
      <w:r>
        <w:instrText xml:space="preserve"> PAGEREF _Toc158375197 \h </w:instrText>
      </w:r>
      <w:r>
        <w:fldChar w:fldCharType="separate"/>
      </w:r>
      <w:r>
        <w:t>1</w:t>
      </w:r>
      <w:r>
        <w:fldChar w:fldCharType="end"/>
      </w:r>
    </w:p>
    <w:p>
      <w:pPr>
        <w:pStyle w:val="TOC8"/>
        <w:rPr>
          <w:rFonts w:asciiTheme="minorHAnsi" w:eastAsiaTheme="minorEastAsia" w:hAnsiTheme="minorHAnsi" w:cstheme="minorBidi"/>
          <w:szCs w:val="22"/>
        </w:rPr>
      </w:pPr>
      <w:r>
        <w:t>21.</w:t>
      </w:r>
      <w:r>
        <w:tab/>
        <w:t>Matters for which statutory instruments may make provision</w:t>
      </w:r>
      <w:r>
        <w:tab/>
      </w:r>
      <w:r>
        <w:fldChar w:fldCharType="begin"/>
      </w:r>
      <w:r>
        <w:instrText xml:space="preserve"> PAGEREF _Toc158375198 \h </w:instrText>
      </w:r>
      <w:r>
        <w:fldChar w:fldCharType="separate"/>
      </w:r>
      <w:r>
        <w:t>1</w:t>
      </w:r>
      <w:r>
        <w:fldChar w:fldCharType="end"/>
      </w:r>
    </w:p>
    <w:p>
      <w:pPr>
        <w:pStyle w:val="TOC8"/>
        <w:rPr>
          <w:rFonts w:asciiTheme="minorHAnsi" w:eastAsiaTheme="minorEastAsia" w:hAnsiTheme="minorHAnsi" w:cstheme="minorBidi"/>
          <w:szCs w:val="22"/>
        </w:rPr>
      </w:pPr>
      <w:r>
        <w:t>22.</w:t>
      </w:r>
      <w:r>
        <w:tab/>
        <w:t>Presumption of validity and power to make</w:t>
      </w:r>
      <w:r>
        <w:tab/>
      </w:r>
      <w:r>
        <w:fldChar w:fldCharType="begin"/>
      </w:r>
      <w:r>
        <w:instrText xml:space="preserve"> PAGEREF _Toc158375199 \h </w:instrText>
      </w:r>
      <w:r>
        <w:fldChar w:fldCharType="separate"/>
      </w:r>
      <w:r>
        <w:t>1</w:t>
      </w:r>
      <w:r>
        <w:fldChar w:fldCharType="end"/>
      </w:r>
    </w:p>
    <w:p>
      <w:pPr>
        <w:pStyle w:val="TOC8"/>
        <w:rPr>
          <w:rFonts w:asciiTheme="minorHAnsi" w:eastAsiaTheme="minorEastAsia" w:hAnsiTheme="minorHAnsi" w:cstheme="minorBidi"/>
          <w:szCs w:val="22"/>
        </w:rPr>
      </w:pPr>
      <w:r>
        <w:lastRenderedPageBreak/>
        <w:t>23.</w:t>
      </w:r>
      <w:r>
        <w:tab/>
        <w:t>Appointments may be made by name or office</w:t>
      </w:r>
      <w:r>
        <w:tab/>
      </w:r>
      <w:r>
        <w:fldChar w:fldCharType="begin"/>
      </w:r>
      <w:r>
        <w:instrText xml:space="preserve"> PAGEREF _Toc158375200 \h </w:instrText>
      </w:r>
      <w:r>
        <w:fldChar w:fldCharType="separate"/>
      </w:r>
      <w:r>
        <w:t>1</w:t>
      </w:r>
      <w:r>
        <w:fldChar w:fldCharType="end"/>
      </w:r>
    </w:p>
    <w:p>
      <w:pPr>
        <w:pStyle w:val="TOC8"/>
        <w:rPr>
          <w:rFonts w:asciiTheme="minorHAnsi" w:eastAsiaTheme="minorEastAsia" w:hAnsiTheme="minorHAnsi" w:cstheme="minorBidi"/>
          <w:szCs w:val="22"/>
        </w:rPr>
      </w:pPr>
      <w:r>
        <w:t>24.</w:t>
      </w:r>
      <w:r>
        <w:tab/>
        <w:t>Acting appointments</w:t>
      </w:r>
      <w:r>
        <w:tab/>
      </w:r>
      <w:r>
        <w:fldChar w:fldCharType="begin"/>
      </w:r>
      <w:r>
        <w:instrText xml:space="preserve"> PAGEREF _Toc158375201 \h </w:instrText>
      </w:r>
      <w:r>
        <w:fldChar w:fldCharType="separate"/>
      </w:r>
      <w:r>
        <w:t>1</w:t>
      </w:r>
      <w:r>
        <w:fldChar w:fldCharType="end"/>
      </w:r>
    </w:p>
    <w:p>
      <w:pPr>
        <w:pStyle w:val="TOC8"/>
        <w:rPr>
          <w:rFonts w:asciiTheme="minorHAnsi" w:eastAsiaTheme="minorEastAsia" w:hAnsiTheme="minorHAnsi" w:cstheme="minorBidi"/>
          <w:szCs w:val="22"/>
        </w:rPr>
      </w:pPr>
      <w:r>
        <w:t>25.</w:t>
      </w:r>
      <w:r>
        <w:tab/>
        <w:t>Powers of appointment imply certain incidental powers</w:t>
      </w:r>
      <w:r>
        <w:tab/>
      </w:r>
      <w:r>
        <w:fldChar w:fldCharType="begin"/>
      </w:r>
      <w:r>
        <w:instrText xml:space="preserve"> PAGEREF _Toc158375202 \h </w:instrText>
      </w:r>
      <w:r>
        <w:fldChar w:fldCharType="separate"/>
      </w:r>
      <w:r>
        <w:t>1</w:t>
      </w:r>
      <w:r>
        <w:fldChar w:fldCharType="end"/>
      </w:r>
    </w:p>
    <w:p>
      <w:pPr>
        <w:pStyle w:val="TOC8"/>
        <w:rPr>
          <w:rFonts w:asciiTheme="minorHAnsi" w:eastAsiaTheme="minorEastAsia" w:hAnsiTheme="minorHAnsi" w:cstheme="minorBidi"/>
          <w:szCs w:val="22"/>
        </w:rPr>
      </w:pPr>
      <w:r>
        <w:t>26.</w:t>
      </w:r>
      <w:r>
        <w:tab/>
        <w:t>Delegation</w:t>
      </w:r>
      <w:r>
        <w:tab/>
      </w:r>
      <w:r>
        <w:fldChar w:fldCharType="begin"/>
      </w:r>
      <w:r>
        <w:instrText xml:space="preserve"> PAGEREF _Toc158375203 \h </w:instrText>
      </w:r>
      <w:r>
        <w:fldChar w:fldCharType="separate"/>
      </w:r>
      <w:r>
        <w:t>1</w:t>
      </w:r>
      <w:r>
        <w:fldChar w:fldCharType="end"/>
      </w:r>
    </w:p>
    <w:p>
      <w:pPr>
        <w:pStyle w:val="TOC8"/>
        <w:rPr>
          <w:rFonts w:asciiTheme="minorHAnsi" w:eastAsiaTheme="minorEastAsia" w:hAnsiTheme="minorHAnsi" w:cstheme="minorBidi"/>
          <w:szCs w:val="22"/>
        </w:rPr>
      </w:pPr>
      <w:r>
        <w:t>27.</w:t>
      </w:r>
      <w:r>
        <w:tab/>
        <w:t>Exercise of powers between enactment and commencement</w:t>
      </w:r>
      <w:r>
        <w:tab/>
      </w:r>
      <w:r>
        <w:fldChar w:fldCharType="begin"/>
      </w:r>
      <w:r>
        <w:instrText xml:space="preserve"> PAGEREF _Toc158375204 \h </w:instrText>
      </w:r>
      <w:r>
        <w:fldChar w:fldCharType="separate"/>
      </w:r>
      <w:r>
        <w:t>1</w:t>
      </w:r>
      <w:r>
        <w:fldChar w:fldCharType="end"/>
      </w:r>
    </w:p>
    <w:p>
      <w:pPr>
        <w:pStyle w:val="TOC8"/>
        <w:rPr>
          <w:rFonts w:asciiTheme="minorHAnsi" w:eastAsiaTheme="minorEastAsia" w:hAnsiTheme="minorHAnsi" w:cstheme="minorBidi"/>
          <w:szCs w:val="22"/>
        </w:rPr>
      </w:pPr>
      <w:r>
        <w:t>27A.</w:t>
      </w:r>
      <w:r>
        <w:tab/>
        <w:t>WA modifications of clause 27</w:t>
      </w:r>
      <w:r>
        <w:tab/>
      </w:r>
      <w:r>
        <w:fldChar w:fldCharType="begin"/>
      </w:r>
      <w:r>
        <w:instrText xml:space="preserve"> PAGEREF _Toc158375205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5 — Distance and time</w:t>
      </w:r>
    </w:p>
    <w:p>
      <w:pPr>
        <w:pStyle w:val="TOC8"/>
        <w:rPr>
          <w:rFonts w:asciiTheme="minorHAnsi" w:eastAsiaTheme="minorEastAsia" w:hAnsiTheme="minorHAnsi" w:cstheme="minorBidi"/>
          <w:szCs w:val="22"/>
        </w:rPr>
      </w:pPr>
      <w:r>
        <w:t>28.</w:t>
      </w:r>
      <w:r>
        <w:tab/>
        <w:t>Matters relating to distance and time</w:t>
      </w:r>
      <w:r>
        <w:tab/>
      </w:r>
      <w:r>
        <w:fldChar w:fldCharType="begin"/>
      </w:r>
      <w:r>
        <w:instrText xml:space="preserve"> PAGEREF _Toc158375207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6 — Service of documents</w:t>
      </w:r>
    </w:p>
    <w:p>
      <w:pPr>
        <w:pStyle w:val="TOC8"/>
        <w:rPr>
          <w:rFonts w:asciiTheme="minorHAnsi" w:eastAsiaTheme="minorEastAsia" w:hAnsiTheme="minorHAnsi" w:cstheme="minorBidi"/>
          <w:szCs w:val="22"/>
        </w:rPr>
      </w:pPr>
      <w:r>
        <w:t>29.</w:t>
      </w:r>
      <w:r>
        <w:tab/>
        <w:t>Service of documents and meaning of service by post etc</w:t>
      </w:r>
      <w:r>
        <w:tab/>
      </w:r>
      <w:r>
        <w:fldChar w:fldCharType="begin"/>
      </w:r>
      <w:r>
        <w:instrText xml:space="preserve"> PAGEREF _Toc158375209 \h </w:instrText>
      </w:r>
      <w:r>
        <w:fldChar w:fldCharType="separate"/>
      </w:r>
      <w:r>
        <w:t>1</w:t>
      </w:r>
      <w:r>
        <w:fldChar w:fldCharType="end"/>
      </w:r>
    </w:p>
    <w:p>
      <w:pPr>
        <w:pStyle w:val="TOC8"/>
        <w:rPr>
          <w:rFonts w:asciiTheme="minorHAnsi" w:eastAsiaTheme="minorEastAsia" w:hAnsiTheme="minorHAnsi" w:cstheme="minorBidi"/>
          <w:szCs w:val="22"/>
        </w:rPr>
      </w:pPr>
      <w:r>
        <w:t>30.</w:t>
      </w:r>
      <w:r>
        <w:tab/>
        <w:t>Meaning of service by post etc</w:t>
      </w:r>
      <w:r>
        <w:tab/>
      </w:r>
      <w:r>
        <w:fldChar w:fldCharType="begin"/>
      </w:r>
      <w:r>
        <w:instrText xml:space="preserve"> PAGEREF _Toc158375210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7 — Evidentiary matters</w:t>
      </w:r>
    </w:p>
    <w:p>
      <w:pPr>
        <w:pStyle w:val="TOC6"/>
        <w:tabs>
          <w:tab w:val="right" w:leader="dot" w:pos="7077"/>
        </w:tabs>
        <w:rPr>
          <w:rFonts w:asciiTheme="minorHAnsi" w:eastAsiaTheme="minorEastAsia" w:hAnsiTheme="minorHAnsi" w:cstheme="minorBidi"/>
          <w:b w:val="0"/>
          <w:sz w:val="22"/>
          <w:szCs w:val="22"/>
        </w:rPr>
      </w:pPr>
      <w:r>
        <w:t>Division 1 — Publication on websites</w:t>
      </w:r>
    </w:p>
    <w:p>
      <w:pPr>
        <w:pStyle w:val="TOC8"/>
        <w:rPr>
          <w:rFonts w:asciiTheme="minorHAnsi" w:eastAsiaTheme="minorEastAsia" w:hAnsiTheme="minorHAnsi" w:cstheme="minorBidi"/>
          <w:szCs w:val="22"/>
        </w:rPr>
      </w:pPr>
      <w:r>
        <w:t>31.</w:t>
      </w:r>
      <w:r>
        <w:tab/>
        <w:t>Definitions</w:t>
      </w:r>
      <w:r>
        <w:tab/>
      </w:r>
      <w:r>
        <w:fldChar w:fldCharType="begin"/>
      </w:r>
      <w:r>
        <w:instrText xml:space="preserve"> PAGEREF _Toc158375213 \h </w:instrText>
      </w:r>
      <w:r>
        <w:fldChar w:fldCharType="separate"/>
      </w:r>
      <w:r>
        <w:t>1</w:t>
      </w:r>
      <w:r>
        <w:fldChar w:fldCharType="end"/>
      </w:r>
    </w:p>
    <w:p>
      <w:pPr>
        <w:pStyle w:val="TOC8"/>
        <w:rPr>
          <w:rFonts w:asciiTheme="minorHAnsi" w:eastAsiaTheme="minorEastAsia" w:hAnsiTheme="minorHAnsi" w:cstheme="minorBidi"/>
          <w:szCs w:val="22"/>
        </w:rPr>
      </w:pPr>
      <w:r>
        <w:t>32.</w:t>
      </w:r>
      <w:r>
        <w:tab/>
        <w:t>Publication of decisions on websites</w:t>
      </w:r>
      <w:r>
        <w:tab/>
      </w:r>
      <w:r>
        <w:fldChar w:fldCharType="begin"/>
      </w:r>
      <w:r>
        <w:instrText xml:space="preserve"> PAGEREF _Toc158375214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Evidentiary certificates</w:t>
      </w:r>
    </w:p>
    <w:p>
      <w:pPr>
        <w:pStyle w:val="TOC8"/>
        <w:rPr>
          <w:rFonts w:asciiTheme="minorHAnsi" w:eastAsiaTheme="minorEastAsia" w:hAnsiTheme="minorHAnsi" w:cstheme="minorBidi"/>
          <w:szCs w:val="22"/>
        </w:rPr>
      </w:pPr>
      <w:r>
        <w:t>33.</w:t>
      </w:r>
      <w:r>
        <w:tab/>
        <w:t>Definitions</w:t>
      </w:r>
      <w:r>
        <w:tab/>
      </w:r>
      <w:r>
        <w:fldChar w:fldCharType="begin"/>
      </w:r>
      <w:r>
        <w:instrText xml:space="preserve"> PAGEREF _Toc158375216 \h </w:instrText>
      </w:r>
      <w:r>
        <w:fldChar w:fldCharType="separate"/>
      </w:r>
      <w:r>
        <w:t>1</w:t>
      </w:r>
      <w:r>
        <w:fldChar w:fldCharType="end"/>
      </w:r>
    </w:p>
    <w:p>
      <w:pPr>
        <w:pStyle w:val="TOC8"/>
        <w:rPr>
          <w:rFonts w:asciiTheme="minorHAnsi" w:eastAsiaTheme="minorEastAsia" w:hAnsiTheme="minorHAnsi" w:cstheme="minorBidi"/>
          <w:szCs w:val="22"/>
        </w:rPr>
      </w:pPr>
      <w:r>
        <w:t>34.</w:t>
      </w:r>
      <w:r>
        <w:tab/>
        <w:t>Evidentiary certificates—AER</w:t>
      </w:r>
      <w:r>
        <w:tab/>
      </w:r>
      <w:r>
        <w:fldChar w:fldCharType="begin"/>
      </w:r>
      <w:r>
        <w:instrText xml:space="preserve"> PAGEREF _Toc158375217 \h </w:instrText>
      </w:r>
      <w:r>
        <w:fldChar w:fldCharType="separate"/>
      </w:r>
      <w:r>
        <w:t>1</w:t>
      </w:r>
      <w:r>
        <w:fldChar w:fldCharType="end"/>
      </w:r>
    </w:p>
    <w:p>
      <w:pPr>
        <w:pStyle w:val="TOC8"/>
        <w:rPr>
          <w:rFonts w:asciiTheme="minorHAnsi" w:eastAsiaTheme="minorEastAsia" w:hAnsiTheme="minorHAnsi" w:cstheme="minorBidi"/>
          <w:szCs w:val="22"/>
        </w:rPr>
      </w:pPr>
      <w:r>
        <w:t>35.</w:t>
      </w:r>
      <w:r>
        <w:tab/>
        <w:t>Evidentiary certificates—AEMC</w:t>
      </w:r>
      <w:r>
        <w:tab/>
      </w:r>
      <w:r>
        <w:fldChar w:fldCharType="begin"/>
      </w:r>
      <w:r>
        <w:instrText xml:space="preserve"> PAGEREF _Toc158375218 \h </w:instrText>
      </w:r>
      <w:r>
        <w:fldChar w:fldCharType="separate"/>
      </w:r>
      <w:r>
        <w:t>1</w:t>
      </w:r>
      <w:r>
        <w:fldChar w:fldCharType="end"/>
      </w:r>
    </w:p>
    <w:p>
      <w:pPr>
        <w:pStyle w:val="TOC8"/>
        <w:rPr>
          <w:rFonts w:asciiTheme="minorHAnsi" w:eastAsiaTheme="minorEastAsia" w:hAnsiTheme="minorHAnsi" w:cstheme="minorBidi"/>
          <w:szCs w:val="22"/>
        </w:rPr>
      </w:pPr>
      <w:r>
        <w:t>36.</w:t>
      </w:r>
      <w:r>
        <w:tab/>
        <w:t>Evidentiary certificates—NCC</w:t>
      </w:r>
      <w:r>
        <w:tab/>
      </w:r>
      <w:r>
        <w:fldChar w:fldCharType="begin"/>
      </w:r>
      <w:r>
        <w:instrText xml:space="preserve"> PAGEREF _Toc158375219 \h </w:instrText>
      </w:r>
      <w:r>
        <w:fldChar w:fldCharType="separate"/>
      </w:r>
      <w:r>
        <w:t>1</w:t>
      </w:r>
      <w:r>
        <w:fldChar w:fldCharType="end"/>
      </w:r>
    </w:p>
    <w:p>
      <w:pPr>
        <w:pStyle w:val="TOC8"/>
        <w:rPr>
          <w:rFonts w:asciiTheme="minorHAnsi" w:eastAsiaTheme="minorEastAsia" w:hAnsiTheme="minorHAnsi" w:cstheme="minorBidi"/>
          <w:szCs w:val="22"/>
        </w:rPr>
      </w:pPr>
      <w:r>
        <w:t>37.</w:t>
      </w:r>
      <w:r>
        <w:tab/>
        <w:t>Evidentiary certificates—relevant Minister and Commonwealth Minister</w:t>
      </w:r>
      <w:r>
        <w:tab/>
      </w:r>
      <w:r>
        <w:fldChar w:fldCharType="begin"/>
      </w:r>
      <w:r>
        <w:instrText xml:space="preserve"> PAGEREF _Toc158375220 \h </w:instrText>
      </w:r>
      <w:r>
        <w:fldChar w:fldCharType="separate"/>
      </w:r>
      <w:r>
        <w:t>1</w:t>
      </w:r>
      <w:r>
        <w:fldChar w:fldCharType="end"/>
      </w:r>
    </w:p>
    <w:p>
      <w:pPr>
        <w:pStyle w:val="TOC8"/>
        <w:rPr>
          <w:rFonts w:asciiTheme="minorHAnsi" w:eastAsiaTheme="minorEastAsia" w:hAnsiTheme="minorHAnsi" w:cstheme="minorBidi"/>
          <w:szCs w:val="22"/>
        </w:rPr>
      </w:pPr>
      <w:r>
        <w:t>38.</w:t>
      </w:r>
      <w:r>
        <w:tab/>
        <w:t>Evidentiary certificates—Bulletin Board operator</w:t>
      </w:r>
      <w:r>
        <w:tab/>
      </w:r>
      <w:r>
        <w:fldChar w:fldCharType="begin"/>
      </w:r>
      <w:r>
        <w:instrText xml:space="preserve"> PAGEREF _Toc158375221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8 — Commencement of this Law and statutory instruments</w:t>
      </w:r>
    </w:p>
    <w:p>
      <w:pPr>
        <w:pStyle w:val="TOC8"/>
        <w:rPr>
          <w:rFonts w:asciiTheme="minorHAnsi" w:eastAsiaTheme="minorEastAsia" w:hAnsiTheme="minorHAnsi" w:cstheme="minorBidi"/>
          <w:szCs w:val="22"/>
        </w:rPr>
      </w:pPr>
      <w:r>
        <w:t>39.</w:t>
      </w:r>
      <w:r>
        <w:tab/>
        <w:t>Time of commencement of this Law or a provision of this Law</w:t>
      </w:r>
      <w:r>
        <w:tab/>
      </w:r>
      <w:r>
        <w:fldChar w:fldCharType="begin"/>
      </w:r>
      <w:r>
        <w:instrText xml:space="preserve"> PAGEREF _Toc158375223 \h </w:instrText>
      </w:r>
      <w:r>
        <w:fldChar w:fldCharType="separate"/>
      </w:r>
      <w:r>
        <w:t>1</w:t>
      </w:r>
      <w:r>
        <w:fldChar w:fldCharType="end"/>
      </w:r>
    </w:p>
    <w:p>
      <w:pPr>
        <w:pStyle w:val="TOC8"/>
        <w:rPr>
          <w:rFonts w:asciiTheme="minorHAnsi" w:eastAsiaTheme="minorEastAsia" w:hAnsiTheme="minorHAnsi" w:cstheme="minorBidi"/>
          <w:szCs w:val="22"/>
        </w:rPr>
      </w:pPr>
      <w:r>
        <w:t>40.</w:t>
      </w:r>
      <w:r>
        <w:tab/>
        <w:t>Time of commencement of a Rule</w:t>
      </w:r>
      <w:r>
        <w:tab/>
      </w:r>
      <w:r>
        <w:fldChar w:fldCharType="begin"/>
      </w:r>
      <w:r>
        <w:instrText xml:space="preserve"> PAGEREF _Toc158375224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9 — Effect of repeal, amendment or expiration</w:t>
      </w:r>
    </w:p>
    <w:p>
      <w:pPr>
        <w:pStyle w:val="TOC8"/>
        <w:rPr>
          <w:rFonts w:asciiTheme="minorHAnsi" w:eastAsiaTheme="minorEastAsia" w:hAnsiTheme="minorHAnsi" w:cstheme="minorBidi"/>
          <w:szCs w:val="22"/>
        </w:rPr>
      </w:pPr>
      <w:r>
        <w:t>41.</w:t>
      </w:r>
      <w:r>
        <w:tab/>
        <w:t>Time of Law, the Regulations or Rules ceasing to have effect</w:t>
      </w:r>
      <w:r>
        <w:tab/>
      </w:r>
      <w:r>
        <w:fldChar w:fldCharType="begin"/>
      </w:r>
      <w:r>
        <w:instrText xml:space="preserve"> PAGEREF _Toc158375226 \h </w:instrText>
      </w:r>
      <w:r>
        <w:fldChar w:fldCharType="separate"/>
      </w:r>
      <w:r>
        <w:t>1</w:t>
      </w:r>
      <w:r>
        <w:fldChar w:fldCharType="end"/>
      </w:r>
    </w:p>
    <w:p>
      <w:pPr>
        <w:pStyle w:val="TOC8"/>
        <w:rPr>
          <w:rFonts w:asciiTheme="minorHAnsi" w:eastAsiaTheme="minorEastAsia" w:hAnsiTheme="minorHAnsi" w:cstheme="minorBidi"/>
          <w:szCs w:val="22"/>
        </w:rPr>
      </w:pPr>
      <w:r>
        <w:t>42.</w:t>
      </w:r>
      <w:r>
        <w:tab/>
        <w:t>Repealed Law, Regulation or Rule provisions not revived</w:t>
      </w:r>
      <w:r>
        <w:tab/>
      </w:r>
      <w:r>
        <w:fldChar w:fldCharType="begin"/>
      </w:r>
      <w:r>
        <w:instrText xml:space="preserve"> PAGEREF _Toc158375227 \h </w:instrText>
      </w:r>
      <w:r>
        <w:fldChar w:fldCharType="separate"/>
      </w:r>
      <w:r>
        <w:t>1</w:t>
      </w:r>
      <w:r>
        <w:fldChar w:fldCharType="end"/>
      </w:r>
    </w:p>
    <w:p>
      <w:pPr>
        <w:pStyle w:val="TOC8"/>
        <w:rPr>
          <w:rFonts w:asciiTheme="minorHAnsi" w:eastAsiaTheme="minorEastAsia" w:hAnsiTheme="minorHAnsi" w:cstheme="minorBidi"/>
          <w:szCs w:val="22"/>
        </w:rPr>
      </w:pPr>
      <w:r>
        <w:lastRenderedPageBreak/>
        <w:t>43.</w:t>
      </w:r>
      <w:r>
        <w:tab/>
        <w:t>Saving of operation of repealed Law, Regulation or Rule provisions</w:t>
      </w:r>
      <w:r>
        <w:tab/>
      </w:r>
      <w:r>
        <w:fldChar w:fldCharType="begin"/>
      </w:r>
      <w:r>
        <w:instrText xml:space="preserve"> PAGEREF _Toc158375228 \h </w:instrText>
      </w:r>
      <w:r>
        <w:fldChar w:fldCharType="separate"/>
      </w:r>
      <w:r>
        <w:t>1</w:t>
      </w:r>
      <w:r>
        <w:fldChar w:fldCharType="end"/>
      </w:r>
    </w:p>
    <w:p>
      <w:pPr>
        <w:pStyle w:val="TOC8"/>
        <w:rPr>
          <w:rFonts w:asciiTheme="minorHAnsi" w:eastAsiaTheme="minorEastAsia" w:hAnsiTheme="minorHAnsi" w:cstheme="minorBidi"/>
          <w:szCs w:val="22"/>
        </w:rPr>
      </w:pPr>
      <w:r>
        <w:t>44.</w:t>
      </w:r>
      <w:r>
        <w:tab/>
        <w:t>Continuance of repealed provisions</w:t>
      </w:r>
      <w:r>
        <w:tab/>
      </w:r>
      <w:r>
        <w:fldChar w:fldCharType="begin"/>
      </w:r>
      <w:r>
        <w:instrText xml:space="preserve"> PAGEREF _Toc158375229 \h </w:instrText>
      </w:r>
      <w:r>
        <w:fldChar w:fldCharType="separate"/>
      </w:r>
      <w:r>
        <w:t>1</w:t>
      </w:r>
      <w:r>
        <w:fldChar w:fldCharType="end"/>
      </w:r>
    </w:p>
    <w:p>
      <w:pPr>
        <w:pStyle w:val="TOC8"/>
        <w:rPr>
          <w:rFonts w:asciiTheme="minorHAnsi" w:eastAsiaTheme="minorEastAsia" w:hAnsiTheme="minorHAnsi" w:cstheme="minorBidi"/>
          <w:szCs w:val="22"/>
        </w:rPr>
      </w:pPr>
      <w:r>
        <w:t>45.</w:t>
      </w:r>
      <w:r>
        <w:tab/>
        <w:t>Law and amending Acts to be read as one</w:t>
      </w:r>
      <w:r>
        <w:tab/>
      </w:r>
      <w:r>
        <w:fldChar w:fldCharType="begin"/>
      </w:r>
      <w:r>
        <w:instrText xml:space="preserve"> PAGEREF _Toc158375230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10 — Offences under this Law</w:t>
      </w:r>
    </w:p>
    <w:p>
      <w:pPr>
        <w:pStyle w:val="TOC8"/>
        <w:rPr>
          <w:rFonts w:asciiTheme="minorHAnsi" w:eastAsiaTheme="minorEastAsia" w:hAnsiTheme="minorHAnsi" w:cstheme="minorBidi"/>
          <w:szCs w:val="22"/>
        </w:rPr>
      </w:pPr>
      <w:r>
        <w:t>46.</w:t>
      </w:r>
      <w:r>
        <w:tab/>
        <w:t>Penalty at foot of provision</w:t>
      </w:r>
      <w:r>
        <w:tab/>
      </w:r>
      <w:r>
        <w:fldChar w:fldCharType="begin"/>
      </w:r>
      <w:r>
        <w:instrText xml:space="preserve"> PAGEREF _Toc158375232 \h </w:instrText>
      </w:r>
      <w:r>
        <w:fldChar w:fldCharType="separate"/>
      </w:r>
      <w:r>
        <w:t>1</w:t>
      </w:r>
      <w:r>
        <w:fldChar w:fldCharType="end"/>
      </w:r>
    </w:p>
    <w:p>
      <w:pPr>
        <w:pStyle w:val="TOC8"/>
        <w:rPr>
          <w:rFonts w:asciiTheme="minorHAnsi" w:eastAsiaTheme="minorEastAsia" w:hAnsiTheme="minorHAnsi" w:cstheme="minorBidi"/>
          <w:szCs w:val="22"/>
        </w:rPr>
      </w:pPr>
      <w:r>
        <w:t>47.</w:t>
      </w:r>
      <w:r>
        <w:tab/>
        <w:t>Penalty other than at foot of provision</w:t>
      </w:r>
      <w:r>
        <w:tab/>
      </w:r>
      <w:r>
        <w:fldChar w:fldCharType="begin"/>
      </w:r>
      <w:r>
        <w:instrText xml:space="preserve"> PAGEREF _Toc158375233 \h </w:instrText>
      </w:r>
      <w:r>
        <w:fldChar w:fldCharType="separate"/>
      </w:r>
      <w:r>
        <w:t>1</w:t>
      </w:r>
      <w:r>
        <w:fldChar w:fldCharType="end"/>
      </w:r>
    </w:p>
    <w:p>
      <w:pPr>
        <w:pStyle w:val="TOC8"/>
        <w:rPr>
          <w:rFonts w:asciiTheme="minorHAnsi" w:eastAsiaTheme="minorEastAsia" w:hAnsiTheme="minorHAnsi" w:cstheme="minorBidi"/>
          <w:szCs w:val="22"/>
        </w:rPr>
      </w:pPr>
      <w:r>
        <w:t>48.</w:t>
      </w:r>
      <w:r>
        <w:tab/>
        <w:t>Indictable offences and summary offences</w:t>
      </w:r>
      <w:r>
        <w:tab/>
      </w:r>
      <w:r>
        <w:fldChar w:fldCharType="begin"/>
      </w:r>
      <w:r>
        <w:instrText xml:space="preserve"> PAGEREF _Toc158375234 \h </w:instrText>
      </w:r>
      <w:r>
        <w:fldChar w:fldCharType="separate"/>
      </w:r>
      <w:r>
        <w:t>1</w:t>
      </w:r>
      <w:r>
        <w:fldChar w:fldCharType="end"/>
      </w:r>
    </w:p>
    <w:p>
      <w:pPr>
        <w:pStyle w:val="TOC8"/>
        <w:rPr>
          <w:rFonts w:asciiTheme="minorHAnsi" w:eastAsiaTheme="minorEastAsia" w:hAnsiTheme="minorHAnsi" w:cstheme="minorBidi"/>
          <w:szCs w:val="22"/>
        </w:rPr>
      </w:pPr>
      <w:r>
        <w:t>49.</w:t>
      </w:r>
      <w:r>
        <w:tab/>
        <w:t>Double jeopardy</w:t>
      </w:r>
      <w:r>
        <w:tab/>
      </w:r>
      <w:r>
        <w:fldChar w:fldCharType="begin"/>
      </w:r>
      <w:r>
        <w:instrText xml:space="preserve"> PAGEREF _Toc158375235 \h </w:instrText>
      </w:r>
      <w:r>
        <w:fldChar w:fldCharType="separate"/>
      </w:r>
      <w:r>
        <w:t>1</w:t>
      </w:r>
      <w:r>
        <w:fldChar w:fldCharType="end"/>
      </w:r>
    </w:p>
    <w:p>
      <w:pPr>
        <w:pStyle w:val="TOC8"/>
        <w:rPr>
          <w:rFonts w:asciiTheme="minorHAnsi" w:eastAsiaTheme="minorEastAsia" w:hAnsiTheme="minorHAnsi" w:cstheme="minorBidi"/>
          <w:szCs w:val="22"/>
        </w:rPr>
      </w:pPr>
      <w:r>
        <w:t>50.</w:t>
      </w:r>
      <w:r>
        <w:tab/>
        <w:t>Attempts and incitement</w:t>
      </w:r>
      <w:r>
        <w:tab/>
      </w:r>
      <w:r>
        <w:fldChar w:fldCharType="begin"/>
      </w:r>
      <w:r>
        <w:instrText xml:space="preserve"> PAGEREF _Toc158375236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11 — Instruments under this Law</w:t>
      </w:r>
    </w:p>
    <w:p>
      <w:pPr>
        <w:pStyle w:val="TOC8"/>
        <w:rPr>
          <w:rFonts w:asciiTheme="minorHAnsi" w:eastAsiaTheme="minorEastAsia" w:hAnsiTheme="minorHAnsi" w:cstheme="minorBidi"/>
          <w:szCs w:val="22"/>
        </w:rPr>
      </w:pPr>
      <w:r>
        <w:t>51.</w:t>
      </w:r>
      <w:r>
        <w:tab/>
        <w:t>Schedule applies to statutory instruments</w:t>
      </w:r>
      <w:r>
        <w:tab/>
      </w:r>
      <w:r>
        <w:fldChar w:fldCharType="begin"/>
      </w:r>
      <w:r>
        <w:instrText xml:space="preserve"> PAGEREF _Toc158375238 \h </w:instrText>
      </w:r>
      <w:r>
        <w:fldChar w:fldCharType="separate"/>
      </w:r>
      <w:r>
        <w:t>1</w:t>
      </w:r>
      <w:r>
        <w:fldChar w:fldCharType="end"/>
      </w:r>
    </w:p>
    <w:p>
      <w:pPr>
        <w:pStyle w:val="TOC8"/>
        <w:rPr>
          <w:rFonts w:asciiTheme="minorHAnsi" w:eastAsiaTheme="minorEastAsia" w:hAnsiTheme="minorHAnsi" w:cstheme="minorBidi"/>
          <w:szCs w:val="22"/>
        </w:rPr>
      </w:pPr>
      <w:r>
        <w:t>51A.</w:t>
      </w:r>
      <w:r>
        <w:tab/>
        <w:t>Rate of return instrument construed not to exceed the legislative power of the Legislature of this jurisdiction or the powers conferred by this Law</w:t>
      </w:r>
      <w:r>
        <w:tab/>
      </w:r>
      <w:r>
        <w:fldChar w:fldCharType="begin"/>
      </w:r>
      <w:r>
        <w:instrText xml:space="preserve"> PAGEREF _Toc158375239 \h </w:instrText>
      </w:r>
      <w:r>
        <w:fldChar w:fldCharType="separate"/>
      </w:r>
      <w:r>
        <w:t>1</w:t>
      </w:r>
      <w:r>
        <w:fldChar w:fldCharType="end"/>
      </w:r>
    </w:p>
    <w:p>
      <w:pPr>
        <w:pStyle w:val="TOC8"/>
        <w:rPr>
          <w:rFonts w:asciiTheme="minorHAnsi" w:eastAsiaTheme="minorEastAsia" w:hAnsiTheme="minorHAnsi" w:cstheme="minorBidi"/>
          <w:szCs w:val="22"/>
        </w:rPr>
      </w:pPr>
      <w:r>
        <w:t>52.</w:t>
      </w:r>
      <w:r>
        <w:tab/>
        <w:t>National Gas Rules to be construed so as not to exceed the legislative power of the Legislature of this jurisdiction or the powers conferred by this Law</w:t>
      </w:r>
      <w:r>
        <w:tab/>
      </w:r>
      <w:r>
        <w:fldChar w:fldCharType="begin"/>
      </w:r>
      <w:r>
        <w:instrText xml:space="preserve"> PAGEREF _Toc158375240 \h </w:instrText>
      </w:r>
      <w:r>
        <w:fldChar w:fldCharType="separate"/>
      </w:r>
      <w:r>
        <w:t>1</w:t>
      </w:r>
      <w:r>
        <w:fldChar w:fldCharType="end"/>
      </w:r>
    </w:p>
    <w:p>
      <w:pPr>
        <w:pStyle w:val="TOC8"/>
        <w:rPr>
          <w:rFonts w:asciiTheme="minorHAnsi" w:eastAsiaTheme="minorEastAsia" w:hAnsiTheme="minorHAnsi" w:cstheme="minorBidi"/>
          <w:szCs w:val="22"/>
        </w:rPr>
      </w:pPr>
      <w:r>
        <w:t>53.</w:t>
      </w:r>
      <w:r>
        <w:tab/>
        <w:t>Invalid Rules</w:t>
      </w:r>
      <w:r>
        <w:tab/>
      </w:r>
      <w:r>
        <w:fldChar w:fldCharType="begin"/>
      </w:r>
      <w:r>
        <w:instrText xml:space="preserve"> PAGEREF _Toc158375241 \h </w:instrText>
      </w:r>
      <w:r>
        <w:fldChar w:fldCharType="separate"/>
      </w:r>
      <w:r>
        <w:t>1</w:t>
      </w:r>
      <w:r>
        <w:fldChar w:fldCharType="end"/>
      </w:r>
    </w:p>
    <w:p>
      <w:pPr>
        <w:pStyle w:val="TOC8"/>
        <w:rPr>
          <w:rFonts w:asciiTheme="minorHAnsi" w:eastAsiaTheme="minorEastAsia" w:hAnsiTheme="minorHAnsi" w:cstheme="minorBidi"/>
          <w:szCs w:val="22"/>
        </w:rPr>
      </w:pPr>
      <w:r>
        <w:t>53A.</w:t>
      </w:r>
      <w:r>
        <w:tab/>
        <w:t>Invalid rate of return instrument</w:t>
      </w:r>
      <w:r>
        <w:tab/>
      </w:r>
      <w:r>
        <w:fldChar w:fldCharType="begin"/>
      </w:r>
      <w:r>
        <w:instrText xml:space="preserve"> PAGEREF _Toc158375242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3 — Savings and transitionals</w:t>
      </w:r>
    </w:p>
    <w:p>
      <w:pPr>
        <w:pStyle w:val="TOC4"/>
        <w:tabs>
          <w:tab w:val="right" w:leader="dot" w:pos="7077"/>
        </w:tabs>
        <w:rPr>
          <w:rFonts w:asciiTheme="minorHAnsi" w:eastAsiaTheme="minorEastAsia" w:hAnsiTheme="minorHAnsi" w:cstheme="minorBidi"/>
          <w:b w:val="0"/>
          <w:szCs w:val="22"/>
        </w:rPr>
      </w:pPr>
      <w:r>
        <w:t>Part 1 — General</w:t>
      </w:r>
    </w:p>
    <w:p>
      <w:pPr>
        <w:pStyle w:val="TOC8"/>
        <w:rPr>
          <w:rFonts w:asciiTheme="minorHAnsi" w:eastAsiaTheme="minorEastAsia" w:hAnsiTheme="minorHAnsi" w:cstheme="minorBidi"/>
          <w:szCs w:val="22"/>
        </w:rPr>
      </w:pPr>
      <w:r>
        <w:t>1.</w:t>
      </w:r>
      <w:r>
        <w:tab/>
        <w:t>Definitions</w:t>
      </w:r>
      <w:r>
        <w:tab/>
      </w:r>
      <w:r>
        <w:fldChar w:fldCharType="begin"/>
      </w:r>
      <w:r>
        <w:instrText xml:space="preserve"> PAGEREF _Toc158375245 \h </w:instrText>
      </w:r>
      <w:r>
        <w:fldChar w:fldCharType="separate"/>
      </w:r>
      <w:r>
        <w:t>1</w:t>
      </w:r>
      <w:r>
        <w:fldChar w:fldCharType="end"/>
      </w:r>
    </w:p>
    <w:p>
      <w:pPr>
        <w:pStyle w:val="TOC8"/>
        <w:rPr>
          <w:rFonts w:asciiTheme="minorHAnsi" w:eastAsiaTheme="minorEastAsia" w:hAnsiTheme="minorHAnsi" w:cstheme="minorBidi"/>
          <w:szCs w:val="22"/>
        </w:rPr>
      </w:pPr>
      <w:r>
        <w:t>2.</w:t>
      </w:r>
      <w:r>
        <w:tab/>
        <w:t>Schedule subject to jurisdictional transitional arrangements in jurisdictional legislation</w:t>
      </w:r>
      <w:r>
        <w:tab/>
      </w:r>
      <w:r>
        <w:fldChar w:fldCharType="begin"/>
      </w:r>
      <w:r>
        <w:instrText xml:space="preserve"> PAGEREF _Toc158375246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 — General savings provision</w:t>
      </w:r>
    </w:p>
    <w:p>
      <w:pPr>
        <w:pStyle w:val="TOC8"/>
        <w:rPr>
          <w:rFonts w:asciiTheme="minorHAnsi" w:eastAsiaTheme="minorEastAsia" w:hAnsiTheme="minorHAnsi" w:cstheme="minorBidi"/>
          <w:szCs w:val="22"/>
        </w:rPr>
      </w:pPr>
      <w:r>
        <w:t>3.</w:t>
      </w:r>
      <w:r>
        <w:tab/>
        <w:t>Saving of operation of old access law and Gas Code</w:t>
      </w:r>
      <w:r>
        <w:tab/>
      </w:r>
      <w:r>
        <w:fldChar w:fldCharType="begin"/>
      </w:r>
      <w:r>
        <w:instrText xml:space="preserve"> PAGEREF _Toc158375248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 — Classification and coverage of pipelines</w:t>
      </w:r>
    </w:p>
    <w:p>
      <w:pPr>
        <w:pStyle w:val="TOC8"/>
        <w:rPr>
          <w:rFonts w:asciiTheme="minorHAnsi" w:eastAsiaTheme="minorEastAsia" w:hAnsiTheme="minorHAnsi" w:cstheme="minorBidi"/>
          <w:szCs w:val="22"/>
        </w:rPr>
      </w:pPr>
      <w:r>
        <w:t>4.</w:t>
      </w:r>
      <w:r>
        <w:tab/>
        <w:t>Pending applications for the classification of pipelines lapse</w:t>
      </w:r>
      <w:r>
        <w:tab/>
      </w:r>
      <w:r>
        <w:fldChar w:fldCharType="begin"/>
      </w:r>
      <w:r>
        <w:instrText xml:space="preserve"> PAGEREF _Toc158375250 \h </w:instrText>
      </w:r>
      <w:r>
        <w:fldChar w:fldCharType="separate"/>
      </w:r>
      <w:r>
        <w:t>1</w:t>
      </w:r>
      <w:r>
        <w:fldChar w:fldCharType="end"/>
      </w:r>
    </w:p>
    <w:p>
      <w:pPr>
        <w:pStyle w:val="TOC8"/>
        <w:rPr>
          <w:rFonts w:asciiTheme="minorHAnsi" w:eastAsiaTheme="minorEastAsia" w:hAnsiTheme="minorHAnsi" w:cstheme="minorBidi"/>
          <w:szCs w:val="22"/>
        </w:rPr>
      </w:pPr>
      <w:r>
        <w:t>5.</w:t>
      </w:r>
      <w:r>
        <w:tab/>
        <w:t>Old scheme coverage determinations</w:t>
      </w:r>
      <w:r>
        <w:tab/>
      </w:r>
      <w:r>
        <w:fldChar w:fldCharType="begin"/>
      </w:r>
      <w:r>
        <w:instrText xml:space="preserve"> PAGEREF _Toc158375251 \h </w:instrText>
      </w:r>
      <w:r>
        <w:fldChar w:fldCharType="separate"/>
      </w:r>
      <w:r>
        <w:t>1</w:t>
      </w:r>
      <w:r>
        <w:fldChar w:fldCharType="end"/>
      </w:r>
    </w:p>
    <w:p>
      <w:pPr>
        <w:pStyle w:val="TOC8"/>
        <w:rPr>
          <w:rFonts w:asciiTheme="minorHAnsi" w:eastAsiaTheme="minorEastAsia" w:hAnsiTheme="minorHAnsi" w:cstheme="minorBidi"/>
          <w:szCs w:val="22"/>
        </w:rPr>
      </w:pPr>
      <w:r>
        <w:t>6.</w:t>
      </w:r>
      <w:r>
        <w:tab/>
        <w:t>Old scheme covered transmission pipelines</w:t>
      </w:r>
      <w:r>
        <w:tab/>
      </w:r>
      <w:r>
        <w:fldChar w:fldCharType="begin"/>
      </w:r>
      <w:r>
        <w:instrText xml:space="preserve"> PAGEREF _Toc158375252 \h </w:instrText>
      </w:r>
      <w:r>
        <w:fldChar w:fldCharType="separate"/>
      </w:r>
      <w:r>
        <w:t>1</w:t>
      </w:r>
      <w:r>
        <w:fldChar w:fldCharType="end"/>
      </w:r>
    </w:p>
    <w:p>
      <w:pPr>
        <w:pStyle w:val="TOC8"/>
        <w:rPr>
          <w:rFonts w:asciiTheme="minorHAnsi" w:eastAsiaTheme="minorEastAsia" w:hAnsiTheme="minorHAnsi" w:cstheme="minorBidi"/>
          <w:szCs w:val="22"/>
        </w:rPr>
      </w:pPr>
      <w:r>
        <w:t>7.</w:t>
      </w:r>
      <w:r>
        <w:tab/>
        <w:t>Old scheme covered distribution pipelines</w:t>
      </w:r>
      <w:r>
        <w:tab/>
      </w:r>
      <w:r>
        <w:fldChar w:fldCharType="begin"/>
      </w:r>
      <w:r>
        <w:instrText xml:space="preserve"> PAGEREF _Toc158375253 \h </w:instrText>
      </w:r>
      <w:r>
        <w:fldChar w:fldCharType="separate"/>
      </w:r>
      <w:r>
        <w:t>1</w:t>
      </w:r>
      <w:r>
        <w:fldChar w:fldCharType="end"/>
      </w:r>
    </w:p>
    <w:p>
      <w:pPr>
        <w:pStyle w:val="TOC8"/>
        <w:rPr>
          <w:rFonts w:asciiTheme="minorHAnsi" w:eastAsiaTheme="minorEastAsia" w:hAnsiTheme="minorHAnsi" w:cstheme="minorBidi"/>
          <w:szCs w:val="22"/>
        </w:rPr>
      </w:pPr>
      <w:r>
        <w:lastRenderedPageBreak/>
        <w:t>8.</w:t>
      </w:r>
      <w:r>
        <w:tab/>
        <w:t>Pending coverage applications under old scheme (before NCC recommendation)</w:t>
      </w:r>
      <w:r>
        <w:tab/>
      </w:r>
      <w:r>
        <w:fldChar w:fldCharType="begin"/>
      </w:r>
      <w:r>
        <w:instrText xml:space="preserve"> PAGEREF _Toc158375254 \h </w:instrText>
      </w:r>
      <w:r>
        <w:fldChar w:fldCharType="separate"/>
      </w:r>
      <w:r>
        <w:t>1</w:t>
      </w:r>
      <w:r>
        <w:fldChar w:fldCharType="end"/>
      </w:r>
    </w:p>
    <w:p>
      <w:pPr>
        <w:pStyle w:val="TOC8"/>
        <w:rPr>
          <w:rFonts w:asciiTheme="minorHAnsi" w:eastAsiaTheme="minorEastAsia" w:hAnsiTheme="minorHAnsi" w:cstheme="minorBidi"/>
          <w:szCs w:val="22"/>
        </w:rPr>
      </w:pPr>
      <w:r>
        <w:t>9.</w:t>
      </w:r>
      <w:r>
        <w:tab/>
        <w:t>Pending relevant Minister decisions in relation to coverage under old scheme</w:t>
      </w:r>
      <w:r>
        <w:tab/>
      </w:r>
      <w:r>
        <w:fldChar w:fldCharType="begin"/>
      </w:r>
      <w:r>
        <w:instrText xml:space="preserve"> PAGEREF _Toc158375255 \h </w:instrText>
      </w:r>
      <w:r>
        <w:fldChar w:fldCharType="separate"/>
      </w:r>
      <w:r>
        <w:t>1</w:t>
      </w:r>
      <w:r>
        <w:fldChar w:fldCharType="end"/>
      </w:r>
    </w:p>
    <w:p>
      <w:pPr>
        <w:pStyle w:val="TOC8"/>
        <w:rPr>
          <w:rFonts w:asciiTheme="minorHAnsi" w:eastAsiaTheme="minorEastAsia" w:hAnsiTheme="minorHAnsi" w:cstheme="minorBidi"/>
          <w:szCs w:val="22"/>
        </w:rPr>
      </w:pPr>
      <w:r>
        <w:t>10.</w:t>
      </w:r>
      <w:r>
        <w:tab/>
        <w:t>Pending relevant Minister decisions in relation to coverage that are reviewed under old scheme</w:t>
      </w:r>
      <w:r>
        <w:tab/>
      </w:r>
      <w:r>
        <w:fldChar w:fldCharType="begin"/>
      </w:r>
      <w:r>
        <w:instrText xml:space="preserve"> PAGEREF _Toc158375256 \h </w:instrText>
      </w:r>
      <w:r>
        <w:fldChar w:fldCharType="separate"/>
      </w:r>
      <w:r>
        <w:t>1</w:t>
      </w:r>
      <w:r>
        <w:fldChar w:fldCharType="end"/>
      </w:r>
    </w:p>
    <w:p>
      <w:pPr>
        <w:pStyle w:val="TOC8"/>
        <w:rPr>
          <w:rFonts w:asciiTheme="minorHAnsi" w:eastAsiaTheme="minorEastAsia" w:hAnsiTheme="minorHAnsi" w:cstheme="minorBidi"/>
          <w:szCs w:val="22"/>
        </w:rPr>
      </w:pPr>
      <w:r>
        <w:t>11.</w:t>
      </w:r>
      <w:r>
        <w:tab/>
        <w:t>Pending old scheme coverage determinations where no applications for review under old scheme</w:t>
      </w:r>
      <w:r>
        <w:tab/>
      </w:r>
      <w:r>
        <w:fldChar w:fldCharType="begin"/>
      </w:r>
      <w:r>
        <w:instrText xml:space="preserve"> PAGEREF _Toc158375257 \h </w:instrText>
      </w:r>
      <w:r>
        <w:fldChar w:fldCharType="separate"/>
      </w:r>
      <w:r>
        <w:t>1</w:t>
      </w:r>
      <w:r>
        <w:fldChar w:fldCharType="end"/>
      </w:r>
    </w:p>
    <w:p>
      <w:pPr>
        <w:pStyle w:val="TOC8"/>
        <w:rPr>
          <w:rFonts w:asciiTheme="minorHAnsi" w:eastAsiaTheme="minorEastAsia" w:hAnsiTheme="minorHAnsi" w:cstheme="minorBidi"/>
          <w:szCs w:val="22"/>
        </w:rPr>
      </w:pPr>
      <w:r>
        <w:t>12.</w:t>
      </w:r>
      <w:r>
        <w:tab/>
        <w:t>Pending old scheme coverage determinations where applications for review under old scheme on foot</w:t>
      </w:r>
      <w:r>
        <w:tab/>
      </w:r>
      <w:r>
        <w:fldChar w:fldCharType="begin"/>
      </w:r>
      <w:r>
        <w:instrText xml:space="preserve"> PAGEREF _Toc158375258 \h </w:instrText>
      </w:r>
      <w:r>
        <w:fldChar w:fldCharType="separate"/>
      </w:r>
      <w:r>
        <w:t>1</w:t>
      </w:r>
      <w:r>
        <w:fldChar w:fldCharType="end"/>
      </w:r>
    </w:p>
    <w:p>
      <w:pPr>
        <w:pStyle w:val="TOC8"/>
        <w:rPr>
          <w:rFonts w:asciiTheme="minorHAnsi" w:eastAsiaTheme="minorEastAsia" w:hAnsiTheme="minorHAnsi" w:cstheme="minorBidi"/>
          <w:szCs w:val="22"/>
        </w:rPr>
      </w:pPr>
      <w:r>
        <w:t>13.</w:t>
      </w:r>
      <w:r>
        <w:tab/>
        <w:t>Pending old scheme no</w:t>
      </w:r>
      <w:r>
        <w:noBreakHyphen/>
        <w:t>coverage determinations where no applications for review under old scheme</w:t>
      </w:r>
      <w:r>
        <w:tab/>
      </w:r>
      <w:r>
        <w:fldChar w:fldCharType="begin"/>
      </w:r>
      <w:r>
        <w:instrText xml:space="preserve"> PAGEREF _Toc158375259 \h </w:instrText>
      </w:r>
      <w:r>
        <w:fldChar w:fldCharType="separate"/>
      </w:r>
      <w:r>
        <w:t>1</w:t>
      </w:r>
      <w:r>
        <w:fldChar w:fldCharType="end"/>
      </w:r>
    </w:p>
    <w:p>
      <w:pPr>
        <w:pStyle w:val="TOC8"/>
        <w:rPr>
          <w:rFonts w:asciiTheme="minorHAnsi" w:eastAsiaTheme="minorEastAsia" w:hAnsiTheme="minorHAnsi" w:cstheme="minorBidi"/>
          <w:szCs w:val="22"/>
        </w:rPr>
      </w:pPr>
      <w:r>
        <w:t>14.</w:t>
      </w:r>
      <w:r>
        <w:tab/>
        <w:t>Pending old scheme no</w:t>
      </w:r>
      <w:r>
        <w:noBreakHyphen/>
        <w:t>coverage determinations where applications for review under old scheme on foot</w:t>
      </w:r>
      <w:r>
        <w:tab/>
      </w:r>
      <w:r>
        <w:fldChar w:fldCharType="begin"/>
      </w:r>
      <w:r>
        <w:instrText xml:space="preserve"> PAGEREF _Toc158375260 \h </w:instrText>
      </w:r>
      <w:r>
        <w:fldChar w:fldCharType="separate"/>
      </w:r>
      <w:r>
        <w:t>1</w:t>
      </w:r>
      <w:r>
        <w:fldChar w:fldCharType="end"/>
      </w:r>
    </w:p>
    <w:p>
      <w:pPr>
        <w:pStyle w:val="TOC8"/>
        <w:rPr>
          <w:rFonts w:asciiTheme="minorHAnsi" w:eastAsiaTheme="minorEastAsia" w:hAnsiTheme="minorHAnsi" w:cstheme="minorBidi"/>
          <w:szCs w:val="22"/>
        </w:rPr>
      </w:pPr>
      <w:r>
        <w:t>15.</w:t>
      </w:r>
      <w:r>
        <w:tab/>
        <w:t>Pending coverage revocation applications under old scheme (before NCC recommendation)</w:t>
      </w:r>
      <w:r>
        <w:tab/>
      </w:r>
      <w:r>
        <w:fldChar w:fldCharType="begin"/>
      </w:r>
      <w:r>
        <w:instrText xml:space="preserve"> PAGEREF _Toc158375261 \h </w:instrText>
      </w:r>
      <w:r>
        <w:fldChar w:fldCharType="separate"/>
      </w:r>
      <w:r>
        <w:t>1</w:t>
      </w:r>
      <w:r>
        <w:fldChar w:fldCharType="end"/>
      </w:r>
    </w:p>
    <w:p>
      <w:pPr>
        <w:pStyle w:val="TOC8"/>
        <w:rPr>
          <w:rFonts w:asciiTheme="minorHAnsi" w:eastAsiaTheme="minorEastAsia" w:hAnsiTheme="minorHAnsi" w:cstheme="minorBidi"/>
          <w:szCs w:val="22"/>
        </w:rPr>
      </w:pPr>
      <w:r>
        <w:t>16.</w:t>
      </w:r>
      <w:r>
        <w:tab/>
        <w:t>Pending relevant Minister decisions in relation to coverage revocation under old scheme</w:t>
      </w:r>
      <w:r>
        <w:tab/>
      </w:r>
      <w:r>
        <w:fldChar w:fldCharType="begin"/>
      </w:r>
      <w:r>
        <w:instrText xml:space="preserve"> PAGEREF _Toc158375262 \h </w:instrText>
      </w:r>
      <w:r>
        <w:fldChar w:fldCharType="separate"/>
      </w:r>
      <w:r>
        <w:t>1</w:t>
      </w:r>
      <w:r>
        <w:fldChar w:fldCharType="end"/>
      </w:r>
    </w:p>
    <w:p>
      <w:pPr>
        <w:pStyle w:val="TOC8"/>
        <w:rPr>
          <w:rFonts w:asciiTheme="minorHAnsi" w:eastAsiaTheme="minorEastAsia" w:hAnsiTheme="minorHAnsi" w:cstheme="minorBidi"/>
          <w:szCs w:val="22"/>
        </w:rPr>
      </w:pPr>
      <w:r>
        <w:t>17.</w:t>
      </w:r>
      <w:r>
        <w:tab/>
        <w:t>Pending relevant Minister decisions in relation to coverage revocation that are reviewed under old scheme</w:t>
      </w:r>
      <w:r>
        <w:tab/>
      </w:r>
      <w:r>
        <w:fldChar w:fldCharType="begin"/>
      </w:r>
      <w:r>
        <w:instrText xml:space="preserve"> PAGEREF _Toc158375263 \h </w:instrText>
      </w:r>
      <w:r>
        <w:fldChar w:fldCharType="separate"/>
      </w:r>
      <w:r>
        <w:t>1</w:t>
      </w:r>
      <w:r>
        <w:fldChar w:fldCharType="end"/>
      </w:r>
    </w:p>
    <w:p>
      <w:pPr>
        <w:pStyle w:val="TOC8"/>
        <w:rPr>
          <w:rFonts w:asciiTheme="minorHAnsi" w:eastAsiaTheme="minorEastAsia" w:hAnsiTheme="minorHAnsi" w:cstheme="minorBidi"/>
          <w:szCs w:val="22"/>
        </w:rPr>
      </w:pPr>
      <w:r>
        <w:t>18.</w:t>
      </w:r>
      <w:r>
        <w:tab/>
        <w:t>Pending old scheme coverage revocation determinations where no applications for review under old scheme</w:t>
      </w:r>
      <w:r>
        <w:tab/>
      </w:r>
      <w:r>
        <w:fldChar w:fldCharType="begin"/>
      </w:r>
      <w:r>
        <w:instrText xml:space="preserve"> PAGEREF _Toc158375264 \h </w:instrText>
      </w:r>
      <w:r>
        <w:fldChar w:fldCharType="separate"/>
      </w:r>
      <w:r>
        <w:t>1</w:t>
      </w:r>
      <w:r>
        <w:fldChar w:fldCharType="end"/>
      </w:r>
    </w:p>
    <w:p>
      <w:pPr>
        <w:pStyle w:val="TOC8"/>
        <w:rPr>
          <w:rFonts w:asciiTheme="minorHAnsi" w:eastAsiaTheme="minorEastAsia" w:hAnsiTheme="minorHAnsi" w:cstheme="minorBidi"/>
          <w:szCs w:val="22"/>
        </w:rPr>
      </w:pPr>
      <w:r>
        <w:t>19.</w:t>
      </w:r>
      <w:r>
        <w:tab/>
        <w:t>Pending old scheme coverage revocation determinations where applications for review under old scheme on foot</w:t>
      </w:r>
      <w:r>
        <w:tab/>
      </w:r>
      <w:r>
        <w:fldChar w:fldCharType="begin"/>
      </w:r>
      <w:r>
        <w:instrText xml:space="preserve"> PAGEREF _Toc158375265 \h </w:instrText>
      </w:r>
      <w:r>
        <w:fldChar w:fldCharType="separate"/>
      </w:r>
      <w:r>
        <w:t>1</w:t>
      </w:r>
      <w:r>
        <w:fldChar w:fldCharType="end"/>
      </w:r>
    </w:p>
    <w:p>
      <w:pPr>
        <w:pStyle w:val="TOC8"/>
        <w:rPr>
          <w:rFonts w:asciiTheme="minorHAnsi" w:eastAsiaTheme="minorEastAsia" w:hAnsiTheme="minorHAnsi" w:cstheme="minorBidi"/>
          <w:szCs w:val="22"/>
        </w:rPr>
      </w:pPr>
      <w:r>
        <w:t>20.</w:t>
      </w:r>
      <w:r>
        <w:tab/>
        <w:t>Pending old scheme coverage non</w:t>
      </w:r>
      <w:r>
        <w:noBreakHyphen/>
        <w:t>revocation determinations where no applications for review under old scheme</w:t>
      </w:r>
      <w:r>
        <w:tab/>
      </w:r>
      <w:r>
        <w:fldChar w:fldCharType="begin"/>
      </w:r>
      <w:r>
        <w:instrText xml:space="preserve"> PAGEREF _Toc158375266 \h </w:instrText>
      </w:r>
      <w:r>
        <w:fldChar w:fldCharType="separate"/>
      </w:r>
      <w:r>
        <w:t>1</w:t>
      </w:r>
      <w:r>
        <w:fldChar w:fldCharType="end"/>
      </w:r>
    </w:p>
    <w:p>
      <w:pPr>
        <w:pStyle w:val="TOC8"/>
        <w:rPr>
          <w:rFonts w:asciiTheme="minorHAnsi" w:eastAsiaTheme="minorEastAsia" w:hAnsiTheme="minorHAnsi" w:cstheme="minorBidi"/>
          <w:szCs w:val="22"/>
        </w:rPr>
      </w:pPr>
      <w:r>
        <w:t>21.</w:t>
      </w:r>
      <w:r>
        <w:tab/>
        <w:t>Pending old scheme coverage non</w:t>
      </w:r>
      <w:r>
        <w:noBreakHyphen/>
        <w:t>revocation determinations where applications for review under old scheme on foot</w:t>
      </w:r>
      <w:r>
        <w:tab/>
      </w:r>
      <w:r>
        <w:fldChar w:fldCharType="begin"/>
      </w:r>
      <w:r>
        <w:instrText xml:space="preserve"> PAGEREF _Toc158375267 \h </w:instrText>
      </w:r>
      <w:r>
        <w:fldChar w:fldCharType="separate"/>
      </w:r>
      <w:r>
        <w:t>1</w:t>
      </w:r>
      <w:r>
        <w:fldChar w:fldCharType="end"/>
      </w:r>
    </w:p>
    <w:p>
      <w:pPr>
        <w:pStyle w:val="TOC8"/>
        <w:rPr>
          <w:rFonts w:asciiTheme="minorHAnsi" w:eastAsiaTheme="minorEastAsia" w:hAnsiTheme="minorHAnsi" w:cstheme="minorBidi"/>
          <w:szCs w:val="22"/>
        </w:rPr>
      </w:pPr>
      <w:r>
        <w:t>22.</w:t>
      </w:r>
      <w:r>
        <w:tab/>
        <w:t>Binding no</w:t>
      </w:r>
      <w:r>
        <w:noBreakHyphen/>
        <w:t>coverage determinations</w:t>
      </w:r>
      <w:r>
        <w:tab/>
      </w:r>
      <w:r>
        <w:fldChar w:fldCharType="begin"/>
      </w:r>
      <w:r>
        <w:instrText xml:space="preserve"> PAGEREF _Toc158375268 \h </w:instrText>
      </w:r>
      <w:r>
        <w:fldChar w:fldCharType="separate"/>
      </w:r>
      <w:r>
        <w:t>1</w:t>
      </w:r>
      <w:r>
        <w:fldChar w:fldCharType="end"/>
      </w:r>
    </w:p>
    <w:p>
      <w:pPr>
        <w:pStyle w:val="TOC8"/>
        <w:rPr>
          <w:rFonts w:asciiTheme="minorHAnsi" w:eastAsiaTheme="minorEastAsia" w:hAnsiTheme="minorHAnsi" w:cstheme="minorBidi"/>
          <w:szCs w:val="22"/>
        </w:rPr>
      </w:pPr>
      <w:r>
        <w:t>23.</w:t>
      </w:r>
      <w:r>
        <w:tab/>
        <w:t>Pending applications for binding no</w:t>
      </w:r>
      <w:r>
        <w:noBreakHyphen/>
        <w:t>coverage determinations (before NCC recommendation)</w:t>
      </w:r>
      <w:r>
        <w:tab/>
      </w:r>
      <w:r>
        <w:fldChar w:fldCharType="begin"/>
      </w:r>
      <w:r>
        <w:instrText xml:space="preserve"> PAGEREF _Toc158375269 \h </w:instrText>
      </w:r>
      <w:r>
        <w:fldChar w:fldCharType="separate"/>
      </w:r>
      <w:r>
        <w:t>1</w:t>
      </w:r>
      <w:r>
        <w:fldChar w:fldCharType="end"/>
      </w:r>
    </w:p>
    <w:p>
      <w:pPr>
        <w:pStyle w:val="TOC8"/>
        <w:rPr>
          <w:rFonts w:asciiTheme="minorHAnsi" w:eastAsiaTheme="minorEastAsia" w:hAnsiTheme="minorHAnsi" w:cstheme="minorBidi"/>
          <w:szCs w:val="22"/>
        </w:rPr>
      </w:pPr>
      <w:r>
        <w:t>24.</w:t>
      </w:r>
      <w:r>
        <w:tab/>
        <w:t>Pending relevant Minister decisions for binding no</w:t>
      </w:r>
      <w:r>
        <w:noBreakHyphen/>
        <w:t>coverage determinations under old scheme</w:t>
      </w:r>
      <w:r>
        <w:tab/>
      </w:r>
      <w:r>
        <w:fldChar w:fldCharType="begin"/>
      </w:r>
      <w:r>
        <w:instrText xml:space="preserve"> PAGEREF _Toc158375270 \h </w:instrText>
      </w:r>
      <w:r>
        <w:fldChar w:fldCharType="separate"/>
      </w:r>
      <w:r>
        <w:t>1</w:t>
      </w:r>
      <w:r>
        <w:fldChar w:fldCharType="end"/>
      </w:r>
    </w:p>
    <w:p>
      <w:pPr>
        <w:pStyle w:val="TOC8"/>
        <w:rPr>
          <w:rFonts w:asciiTheme="minorHAnsi" w:eastAsiaTheme="minorEastAsia" w:hAnsiTheme="minorHAnsi" w:cstheme="minorBidi"/>
          <w:szCs w:val="22"/>
        </w:rPr>
      </w:pPr>
      <w:r>
        <w:lastRenderedPageBreak/>
        <w:t>25.</w:t>
      </w:r>
      <w:r>
        <w:tab/>
        <w:t>Pending relevant Minister decisions in relation to binding no</w:t>
      </w:r>
      <w:r>
        <w:noBreakHyphen/>
        <w:t>coverage determinations that are reviewed under old scheme</w:t>
      </w:r>
      <w:r>
        <w:tab/>
      </w:r>
      <w:r>
        <w:fldChar w:fldCharType="begin"/>
      </w:r>
      <w:r>
        <w:instrText xml:space="preserve"> PAGEREF _Toc158375271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 — Access arrangements</w:t>
      </w:r>
    </w:p>
    <w:p>
      <w:pPr>
        <w:pStyle w:val="TOC8"/>
        <w:rPr>
          <w:rFonts w:asciiTheme="minorHAnsi" w:eastAsiaTheme="minorEastAsia" w:hAnsiTheme="minorHAnsi" w:cstheme="minorBidi"/>
          <w:szCs w:val="22"/>
        </w:rPr>
      </w:pPr>
      <w:r>
        <w:t>26.</w:t>
      </w:r>
      <w:r>
        <w:tab/>
        <w:t>Current access arrangements (other than old scheme limited access arrangements)</w:t>
      </w:r>
      <w:r>
        <w:tab/>
      </w:r>
      <w:r>
        <w:fldChar w:fldCharType="begin"/>
      </w:r>
      <w:r>
        <w:instrText xml:space="preserve"> PAGEREF _Toc158375273 \h </w:instrText>
      </w:r>
      <w:r>
        <w:fldChar w:fldCharType="separate"/>
      </w:r>
      <w:r>
        <w:t>1</w:t>
      </w:r>
      <w:r>
        <w:fldChar w:fldCharType="end"/>
      </w:r>
    </w:p>
    <w:p>
      <w:pPr>
        <w:pStyle w:val="TOC8"/>
        <w:rPr>
          <w:rFonts w:asciiTheme="minorHAnsi" w:eastAsiaTheme="minorEastAsia" w:hAnsiTheme="minorHAnsi" w:cstheme="minorBidi"/>
          <w:szCs w:val="22"/>
        </w:rPr>
      </w:pPr>
      <w:r>
        <w:t>27.</w:t>
      </w:r>
      <w:r>
        <w:tab/>
        <w:t>Old scheme limited access arrangements</w:t>
      </w:r>
      <w:r>
        <w:tab/>
      </w:r>
      <w:r>
        <w:fldChar w:fldCharType="begin"/>
      </w:r>
      <w:r>
        <w:instrText xml:space="preserve"> PAGEREF _Toc158375274 \h </w:instrText>
      </w:r>
      <w:r>
        <w:fldChar w:fldCharType="separate"/>
      </w:r>
      <w:r>
        <w:t>1</w:t>
      </w:r>
      <w:r>
        <w:fldChar w:fldCharType="end"/>
      </w:r>
    </w:p>
    <w:p>
      <w:pPr>
        <w:pStyle w:val="TOC8"/>
        <w:rPr>
          <w:rFonts w:asciiTheme="minorHAnsi" w:eastAsiaTheme="minorEastAsia" w:hAnsiTheme="minorHAnsi" w:cstheme="minorBidi"/>
          <w:szCs w:val="22"/>
        </w:rPr>
      </w:pPr>
      <w:r>
        <w:t>28.</w:t>
      </w:r>
      <w:r>
        <w:tab/>
        <w:t>Access arrangements submitted but not approved or rejected before repeal of old scheme</w:t>
      </w:r>
      <w:r>
        <w:tab/>
      </w:r>
      <w:r>
        <w:fldChar w:fldCharType="begin"/>
      </w:r>
      <w:r>
        <w:instrText xml:space="preserve"> PAGEREF _Toc158375275 \h </w:instrText>
      </w:r>
      <w:r>
        <w:fldChar w:fldCharType="separate"/>
      </w:r>
      <w:r>
        <w:t>1</w:t>
      </w:r>
      <w:r>
        <w:fldChar w:fldCharType="end"/>
      </w:r>
    </w:p>
    <w:p>
      <w:pPr>
        <w:pStyle w:val="TOC8"/>
        <w:rPr>
          <w:rFonts w:asciiTheme="minorHAnsi" w:eastAsiaTheme="minorEastAsia" w:hAnsiTheme="minorHAnsi" w:cstheme="minorBidi"/>
          <w:szCs w:val="22"/>
        </w:rPr>
      </w:pPr>
      <w:r>
        <w:t>29.</w:t>
      </w:r>
      <w:r>
        <w:tab/>
        <w:t>Access arrangement revisions submitted but not approved or rejected before repeal of old scheme</w:t>
      </w:r>
      <w:r>
        <w:tab/>
      </w:r>
      <w:r>
        <w:fldChar w:fldCharType="begin"/>
      </w:r>
      <w:r>
        <w:instrText xml:space="preserve"> PAGEREF _Toc158375276 \h </w:instrText>
      </w:r>
      <w:r>
        <w:fldChar w:fldCharType="separate"/>
      </w:r>
      <w:r>
        <w:t>1</w:t>
      </w:r>
      <w:r>
        <w:fldChar w:fldCharType="end"/>
      </w:r>
    </w:p>
    <w:p>
      <w:pPr>
        <w:pStyle w:val="TOC8"/>
        <w:rPr>
          <w:rFonts w:asciiTheme="minorHAnsi" w:eastAsiaTheme="minorEastAsia" w:hAnsiTheme="minorHAnsi" w:cstheme="minorBidi"/>
          <w:szCs w:val="22"/>
        </w:rPr>
      </w:pPr>
      <w:r>
        <w:t>30.</w:t>
      </w:r>
      <w:r>
        <w:tab/>
        <w:t>Certain provisions of the Gas Code to continue to apply to current and proposed access arrangements</w:t>
      </w:r>
      <w:r>
        <w:tab/>
      </w:r>
      <w:r>
        <w:fldChar w:fldCharType="begin"/>
      </w:r>
      <w:r>
        <w:instrText xml:space="preserve"> PAGEREF _Toc158375277 \h </w:instrText>
      </w:r>
      <w:r>
        <w:fldChar w:fldCharType="separate"/>
      </w:r>
      <w:r>
        <w:t>1</w:t>
      </w:r>
      <w:r>
        <w:fldChar w:fldCharType="end"/>
      </w:r>
    </w:p>
    <w:p>
      <w:pPr>
        <w:pStyle w:val="TOC8"/>
        <w:rPr>
          <w:rFonts w:asciiTheme="minorHAnsi" w:eastAsiaTheme="minorEastAsia" w:hAnsiTheme="minorHAnsi" w:cstheme="minorBidi"/>
          <w:szCs w:val="22"/>
        </w:rPr>
      </w:pPr>
      <w:r>
        <w:t>31.</w:t>
      </w:r>
      <w:r>
        <w:tab/>
        <w:t>Certain decisions relating to certain access arrangements are reviewable regulatory decisions for purposes of Chapter 8 Part 5 of the Law</w:t>
      </w:r>
      <w:r>
        <w:tab/>
      </w:r>
      <w:r>
        <w:fldChar w:fldCharType="begin"/>
      </w:r>
      <w:r>
        <w:instrText xml:space="preserve"> PAGEREF _Toc158375278 \h </w:instrText>
      </w:r>
      <w:r>
        <w:fldChar w:fldCharType="separate"/>
      </w:r>
      <w:r>
        <w:t>1</w:t>
      </w:r>
      <w:r>
        <w:fldChar w:fldCharType="end"/>
      </w:r>
    </w:p>
    <w:p>
      <w:pPr>
        <w:pStyle w:val="TOC8"/>
        <w:rPr>
          <w:rFonts w:asciiTheme="minorHAnsi" w:eastAsiaTheme="minorEastAsia" w:hAnsiTheme="minorHAnsi" w:cstheme="minorBidi"/>
          <w:szCs w:val="22"/>
        </w:rPr>
      </w:pPr>
      <w:r>
        <w:t>32.</w:t>
      </w:r>
      <w:r>
        <w:tab/>
        <w:t>Limited access arrangements submitted but not approved before repeal of old scheme</w:t>
      </w:r>
      <w:r>
        <w:tab/>
      </w:r>
      <w:r>
        <w:fldChar w:fldCharType="begin"/>
      </w:r>
      <w:r>
        <w:instrText xml:space="preserve"> PAGEREF _Toc158375279 \h </w:instrText>
      </w:r>
      <w:r>
        <w:fldChar w:fldCharType="separate"/>
      </w:r>
      <w:r>
        <w:t>1</w:t>
      </w:r>
      <w:r>
        <w:fldChar w:fldCharType="end"/>
      </w:r>
    </w:p>
    <w:p>
      <w:pPr>
        <w:pStyle w:val="TOC8"/>
        <w:rPr>
          <w:rFonts w:asciiTheme="minorHAnsi" w:eastAsiaTheme="minorEastAsia" w:hAnsiTheme="minorHAnsi" w:cstheme="minorBidi"/>
          <w:szCs w:val="22"/>
        </w:rPr>
      </w:pPr>
      <w:r>
        <w:t>33.</w:t>
      </w:r>
      <w:r>
        <w:tab/>
        <w:t>Extensions and expansions policies</w:t>
      </w:r>
      <w:r>
        <w:tab/>
      </w:r>
      <w:r>
        <w:fldChar w:fldCharType="begin"/>
      </w:r>
      <w:r>
        <w:instrText xml:space="preserve"> PAGEREF _Toc158375280 \h </w:instrText>
      </w:r>
      <w:r>
        <w:fldChar w:fldCharType="separate"/>
      </w:r>
      <w:r>
        <w:t>1</w:t>
      </w:r>
      <w:r>
        <w:fldChar w:fldCharType="end"/>
      </w:r>
    </w:p>
    <w:p>
      <w:pPr>
        <w:pStyle w:val="TOC8"/>
        <w:rPr>
          <w:rFonts w:asciiTheme="minorHAnsi" w:eastAsiaTheme="minorEastAsia" w:hAnsiTheme="minorHAnsi" w:cstheme="minorBidi"/>
          <w:szCs w:val="22"/>
        </w:rPr>
      </w:pPr>
      <w:r>
        <w:t>34.</w:t>
      </w:r>
      <w:r>
        <w:tab/>
        <w:t>Queuing policies</w:t>
      </w:r>
      <w:r>
        <w:tab/>
      </w:r>
      <w:r>
        <w:fldChar w:fldCharType="begin"/>
      </w:r>
      <w:r>
        <w:instrText xml:space="preserve"> PAGEREF _Toc158375281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5 — Price regulation exemptions</w:t>
      </w:r>
    </w:p>
    <w:p>
      <w:pPr>
        <w:pStyle w:val="TOC8"/>
        <w:rPr>
          <w:rFonts w:asciiTheme="minorHAnsi" w:eastAsiaTheme="minorEastAsia" w:hAnsiTheme="minorHAnsi" w:cstheme="minorBidi"/>
          <w:szCs w:val="22"/>
        </w:rPr>
      </w:pPr>
      <w:r>
        <w:t>35.</w:t>
      </w:r>
      <w:r>
        <w:tab/>
        <w:t>Old scheme price regulation exemptions</w:t>
      </w:r>
      <w:r>
        <w:tab/>
      </w:r>
      <w:r>
        <w:fldChar w:fldCharType="begin"/>
      </w:r>
      <w:r>
        <w:instrText xml:space="preserve"> PAGEREF _Toc158375283 \h </w:instrText>
      </w:r>
      <w:r>
        <w:fldChar w:fldCharType="separate"/>
      </w:r>
      <w:r>
        <w:t>1</w:t>
      </w:r>
      <w:r>
        <w:fldChar w:fldCharType="end"/>
      </w:r>
    </w:p>
    <w:p>
      <w:pPr>
        <w:pStyle w:val="TOC8"/>
        <w:rPr>
          <w:rFonts w:asciiTheme="minorHAnsi" w:eastAsiaTheme="minorEastAsia" w:hAnsiTheme="minorHAnsi" w:cstheme="minorBidi"/>
          <w:szCs w:val="22"/>
        </w:rPr>
      </w:pPr>
      <w:r>
        <w:t>36.</w:t>
      </w:r>
      <w:r>
        <w:tab/>
        <w:t>Pending applications for price regulation exemptions</w:t>
      </w:r>
      <w:r>
        <w:tab/>
      </w:r>
      <w:r>
        <w:fldChar w:fldCharType="begin"/>
      </w:r>
      <w:r>
        <w:instrText xml:space="preserve"> PAGEREF _Toc158375284 \h </w:instrText>
      </w:r>
      <w:r>
        <w:fldChar w:fldCharType="separate"/>
      </w:r>
      <w:r>
        <w:t>1</w:t>
      </w:r>
      <w:r>
        <w:fldChar w:fldCharType="end"/>
      </w:r>
    </w:p>
    <w:p>
      <w:pPr>
        <w:pStyle w:val="TOC8"/>
        <w:rPr>
          <w:rFonts w:asciiTheme="minorHAnsi" w:eastAsiaTheme="minorEastAsia" w:hAnsiTheme="minorHAnsi" w:cstheme="minorBidi"/>
          <w:szCs w:val="22"/>
        </w:rPr>
      </w:pPr>
      <w:r>
        <w:t>37.</w:t>
      </w:r>
      <w:r>
        <w:tab/>
        <w:t>Pending Commonwealth Minister decisions for price regulation exemptions</w:t>
      </w:r>
      <w:r>
        <w:tab/>
      </w:r>
      <w:r>
        <w:fldChar w:fldCharType="begin"/>
      </w:r>
      <w:r>
        <w:instrText xml:space="preserve"> PAGEREF _Toc158375285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6 — Structural and operational separation (ring fencing)</w:t>
      </w:r>
    </w:p>
    <w:p>
      <w:pPr>
        <w:pStyle w:val="TOC8"/>
        <w:rPr>
          <w:rFonts w:asciiTheme="minorHAnsi" w:eastAsiaTheme="minorEastAsia" w:hAnsiTheme="minorHAnsi" w:cstheme="minorBidi"/>
          <w:szCs w:val="22"/>
        </w:rPr>
      </w:pPr>
      <w:r>
        <w:t>38.</w:t>
      </w:r>
      <w:r>
        <w:tab/>
        <w:t>Definitions</w:t>
      </w:r>
      <w:r>
        <w:tab/>
      </w:r>
      <w:r>
        <w:fldChar w:fldCharType="begin"/>
      </w:r>
      <w:r>
        <w:instrText xml:space="preserve"> PAGEREF _Toc158375287 \h </w:instrText>
      </w:r>
      <w:r>
        <w:fldChar w:fldCharType="separate"/>
      </w:r>
      <w:r>
        <w:t>1</w:t>
      </w:r>
      <w:r>
        <w:fldChar w:fldCharType="end"/>
      </w:r>
    </w:p>
    <w:p>
      <w:pPr>
        <w:pStyle w:val="TOC8"/>
        <w:rPr>
          <w:rFonts w:asciiTheme="minorHAnsi" w:eastAsiaTheme="minorEastAsia" w:hAnsiTheme="minorHAnsi" w:cstheme="minorBidi"/>
          <w:szCs w:val="22"/>
        </w:rPr>
      </w:pPr>
      <w:r>
        <w:t>39.</w:t>
      </w:r>
      <w:r>
        <w:tab/>
        <w:t>Compliance with certain old scheme ring fencing requirements sufficient compliance for 6 month period</w:t>
      </w:r>
      <w:r>
        <w:tab/>
      </w:r>
      <w:r>
        <w:fldChar w:fldCharType="begin"/>
      </w:r>
      <w:r>
        <w:instrText xml:space="preserve"> PAGEREF _Toc158375288 \h </w:instrText>
      </w:r>
      <w:r>
        <w:fldChar w:fldCharType="separate"/>
      </w:r>
      <w:r>
        <w:t>1</w:t>
      </w:r>
      <w:r>
        <w:fldChar w:fldCharType="end"/>
      </w:r>
    </w:p>
    <w:p>
      <w:pPr>
        <w:pStyle w:val="TOC8"/>
        <w:rPr>
          <w:rFonts w:asciiTheme="minorHAnsi" w:eastAsiaTheme="minorEastAsia" w:hAnsiTheme="minorHAnsi" w:cstheme="minorBidi"/>
          <w:szCs w:val="22"/>
        </w:rPr>
      </w:pPr>
      <w:r>
        <w:t>40.</w:t>
      </w:r>
      <w:r>
        <w:tab/>
        <w:t>Existing waivers of ring fencing obligations</w:t>
      </w:r>
      <w:r>
        <w:tab/>
      </w:r>
      <w:r>
        <w:fldChar w:fldCharType="begin"/>
      </w:r>
      <w:r>
        <w:instrText xml:space="preserve"> PAGEREF _Toc158375289 \h </w:instrText>
      </w:r>
      <w:r>
        <w:fldChar w:fldCharType="separate"/>
      </w:r>
      <w:r>
        <w:t>1</w:t>
      </w:r>
      <w:r>
        <w:fldChar w:fldCharType="end"/>
      </w:r>
    </w:p>
    <w:p>
      <w:pPr>
        <w:pStyle w:val="TOC8"/>
        <w:rPr>
          <w:rFonts w:asciiTheme="minorHAnsi" w:eastAsiaTheme="minorEastAsia" w:hAnsiTheme="minorHAnsi" w:cstheme="minorBidi"/>
          <w:szCs w:val="22"/>
        </w:rPr>
      </w:pPr>
      <w:r>
        <w:t>41.</w:t>
      </w:r>
      <w:r>
        <w:tab/>
        <w:t>Additional ring fencing obligations</w:t>
      </w:r>
      <w:r>
        <w:tab/>
      </w:r>
      <w:r>
        <w:fldChar w:fldCharType="begin"/>
      </w:r>
      <w:r>
        <w:instrText xml:space="preserve"> PAGEREF _Toc158375290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7 — Access disputes</w:t>
      </w:r>
    </w:p>
    <w:p>
      <w:pPr>
        <w:pStyle w:val="TOC8"/>
        <w:rPr>
          <w:rFonts w:asciiTheme="minorHAnsi" w:eastAsiaTheme="minorEastAsia" w:hAnsiTheme="minorHAnsi" w:cstheme="minorBidi"/>
          <w:szCs w:val="22"/>
        </w:rPr>
      </w:pPr>
      <w:r>
        <w:t>42.</w:t>
      </w:r>
      <w:r>
        <w:tab/>
        <w:t>Non</w:t>
      </w:r>
      <w:r>
        <w:noBreakHyphen/>
        <w:t>finalised access disputes</w:t>
      </w:r>
      <w:r>
        <w:tab/>
      </w:r>
      <w:r>
        <w:fldChar w:fldCharType="begin"/>
      </w:r>
      <w:r>
        <w:instrText xml:space="preserve"> PAGEREF _Toc158375292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8 — Investigations and proceedings</w:t>
      </w:r>
    </w:p>
    <w:p>
      <w:pPr>
        <w:pStyle w:val="TOC8"/>
        <w:rPr>
          <w:rFonts w:asciiTheme="minorHAnsi" w:eastAsiaTheme="minorEastAsia" w:hAnsiTheme="minorHAnsi" w:cstheme="minorBidi"/>
          <w:szCs w:val="22"/>
        </w:rPr>
      </w:pPr>
      <w:r>
        <w:t>43.</w:t>
      </w:r>
      <w:r>
        <w:tab/>
        <w:t>Investigations into breaches and possible breaches of the old access law or Gas Code</w:t>
      </w:r>
      <w:r>
        <w:tab/>
      </w:r>
      <w:r>
        <w:fldChar w:fldCharType="begin"/>
      </w:r>
      <w:r>
        <w:instrText xml:space="preserve"> PAGEREF _Toc158375294 \h </w:instrText>
      </w:r>
      <w:r>
        <w:fldChar w:fldCharType="separate"/>
      </w:r>
      <w:r>
        <w:t>1</w:t>
      </w:r>
      <w:r>
        <w:fldChar w:fldCharType="end"/>
      </w:r>
    </w:p>
    <w:p>
      <w:pPr>
        <w:pStyle w:val="TOC8"/>
        <w:rPr>
          <w:rFonts w:asciiTheme="minorHAnsi" w:eastAsiaTheme="minorEastAsia" w:hAnsiTheme="minorHAnsi" w:cstheme="minorBidi"/>
          <w:szCs w:val="22"/>
        </w:rPr>
      </w:pPr>
      <w:r>
        <w:t>44.</w:t>
      </w:r>
      <w:r>
        <w:tab/>
        <w:t>AER may conduct investigations into breaches or possible breaches of Gas Pipelines Access Law not investigated by a relevant Regulator</w:t>
      </w:r>
      <w:r>
        <w:tab/>
      </w:r>
      <w:r>
        <w:fldChar w:fldCharType="begin"/>
      </w:r>
      <w:r>
        <w:instrText xml:space="preserve"> PAGEREF _Toc158375295 \h </w:instrText>
      </w:r>
      <w:r>
        <w:fldChar w:fldCharType="separate"/>
      </w:r>
      <w:r>
        <w:t>1</w:t>
      </w:r>
      <w:r>
        <w:fldChar w:fldCharType="end"/>
      </w:r>
    </w:p>
    <w:p>
      <w:pPr>
        <w:pStyle w:val="TOC8"/>
        <w:rPr>
          <w:rFonts w:asciiTheme="minorHAnsi" w:eastAsiaTheme="minorEastAsia" w:hAnsiTheme="minorHAnsi" w:cstheme="minorBidi"/>
          <w:szCs w:val="22"/>
        </w:rPr>
      </w:pPr>
      <w:r>
        <w:t>45.</w:t>
      </w:r>
      <w:r>
        <w:tab/>
        <w:t>AER may bring proceedings in relation to breaches of old access law and Gas Code</w:t>
      </w:r>
      <w:r>
        <w:tab/>
      </w:r>
      <w:r>
        <w:fldChar w:fldCharType="begin"/>
      </w:r>
      <w:r>
        <w:instrText xml:space="preserve"> PAGEREF _Toc158375296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9 — Associate contracts</w:t>
      </w:r>
    </w:p>
    <w:p>
      <w:pPr>
        <w:pStyle w:val="TOC8"/>
        <w:rPr>
          <w:rFonts w:asciiTheme="minorHAnsi" w:eastAsiaTheme="minorEastAsia" w:hAnsiTheme="minorHAnsi" w:cstheme="minorBidi"/>
          <w:szCs w:val="22"/>
        </w:rPr>
      </w:pPr>
      <w:r>
        <w:t>46.</w:t>
      </w:r>
      <w:r>
        <w:tab/>
        <w:t>Pending associate contract approvals that are approved after commencement day</w:t>
      </w:r>
      <w:r>
        <w:tab/>
      </w:r>
      <w:r>
        <w:fldChar w:fldCharType="begin"/>
      </w:r>
      <w:r>
        <w:instrText xml:space="preserve"> PAGEREF _Toc158375298 \h </w:instrText>
      </w:r>
      <w:r>
        <w:fldChar w:fldCharType="separate"/>
      </w:r>
      <w:r>
        <w:t>1</w:t>
      </w:r>
      <w:r>
        <w:fldChar w:fldCharType="end"/>
      </w:r>
    </w:p>
    <w:p>
      <w:pPr>
        <w:pStyle w:val="TOC8"/>
        <w:rPr>
          <w:rFonts w:asciiTheme="minorHAnsi" w:eastAsiaTheme="minorEastAsia" w:hAnsiTheme="minorHAnsi" w:cstheme="minorBidi"/>
          <w:szCs w:val="22"/>
        </w:rPr>
      </w:pPr>
      <w:r>
        <w:t>47.</w:t>
      </w:r>
      <w:r>
        <w:tab/>
        <w:t>Pending associate contracts approvals that are not approved</w:t>
      </w:r>
      <w:r>
        <w:tab/>
      </w:r>
      <w:r>
        <w:fldChar w:fldCharType="begin"/>
      </w:r>
      <w:r>
        <w:instrText xml:space="preserve"> PAGEREF _Toc158375299 \h </w:instrText>
      </w:r>
      <w:r>
        <w:fldChar w:fldCharType="separate"/>
      </w:r>
      <w:r>
        <w:t>1</w:t>
      </w:r>
      <w:r>
        <w:fldChar w:fldCharType="end"/>
      </w:r>
    </w:p>
    <w:p>
      <w:pPr>
        <w:pStyle w:val="TOC8"/>
        <w:rPr>
          <w:rFonts w:asciiTheme="minorHAnsi" w:eastAsiaTheme="minorEastAsia" w:hAnsiTheme="minorHAnsi" w:cstheme="minorBidi"/>
          <w:szCs w:val="22"/>
        </w:rPr>
      </w:pPr>
      <w:r>
        <w:t>48.</w:t>
      </w:r>
      <w:r>
        <w:tab/>
        <w:t>Approved associate contracts</w:t>
      </w:r>
      <w:r>
        <w:tab/>
      </w:r>
      <w:r>
        <w:fldChar w:fldCharType="begin"/>
      </w:r>
      <w:r>
        <w:instrText xml:space="preserve"> PAGEREF _Toc158375300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10 — Other</w:t>
      </w:r>
    </w:p>
    <w:p>
      <w:pPr>
        <w:pStyle w:val="TOC8"/>
        <w:rPr>
          <w:rFonts w:asciiTheme="minorHAnsi" w:eastAsiaTheme="minorEastAsia" w:hAnsiTheme="minorHAnsi" w:cstheme="minorBidi"/>
          <w:szCs w:val="22"/>
        </w:rPr>
      </w:pPr>
      <w:r>
        <w:t>49.</w:t>
      </w:r>
      <w:r>
        <w:tab/>
        <w:t>Pending and final tender approval requests lapse</w:t>
      </w:r>
      <w:r>
        <w:tab/>
      </w:r>
      <w:r>
        <w:fldChar w:fldCharType="begin"/>
      </w:r>
      <w:r>
        <w:instrText xml:space="preserve"> PAGEREF _Toc158375302 \h </w:instrText>
      </w:r>
      <w:r>
        <w:fldChar w:fldCharType="separate"/>
      </w:r>
      <w:r>
        <w:t>1</w:t>
      </w:r>
      <w:r>
        <w:fldChar w:fldCharType="end"/>
      </w:r>
    </w:p>
    <w:p>
      <w:pPr>
        <w:pStyle w:val="TOC8"/>
        <w:rPr>
          <w:rFonts w:asciiTheme="minorHAnsi" w:eastAsiaTheme="minorEastAsia" w:hAnsiTheme="minorHAnsi" w:cstheme="minorBidi"/>
          <w:szCs w:val="22"/>
        </w:rPr>
      </w:pPr>
      <w:r>
        <w:t>50.</w:t>
      </w:r>
      <w:r>
        <w:tab/>
        <w:t>Decisions approving final approval requests</w:t>
      </w:r>
      <w:r>
        <w:tab/>
      </w:r>
      <w:r>
        <w:fldChar w:fldCharType="begin"/>
      </w:r>
      <w:r>
        <w:instrText xml:space="preserve"> PAGEREF _Toc158375303 \h </w:instrText>
      </w:r>
      <w:r>
        <w:fldChar w:fldCharType="separate"/>
      </w:r>
      <w:r>
        <w:t>1</w:t>
      </w:r>
      <w:r>
        <w:fldChar w:fldCharType="end"/>
      </w:r>
    </w:p>
    <w:p>
      <w:pPr>
        <w:pStyle w:val="TOC8"/>
        <w:rPr>
          <w:rFonts w:asciiTheme="minorHAnsi" w:eastAsiaTheme="minorEastAsia" w:hAnsiTheme="minorHAnsi" w:cstheme="minorBidi"/>
          <w:szCs w:val="22"/>
        </w:rPr>
      </w:pPr>
      <w:r>
        <w:t>51.</w:t>
      </w:r>
      <w:r>
        <w:tab/>
        <w:t>Rights under certain change of law provisions in agreements or deeds not to be triggered</w:t>
      </w:r>
      <w:r>
        <w:tab/>
      </w:r>
      <w:r>
        <w:fldChar w:fldCharType="begin"/>
      </w:r>
      <w:r>
        <w:instrText xml:space="preserve"> PAGEREF _Toc158375304 \h </w:instrText>
      </w:r>
      <w:r>
        <w:fldChar w:fldCharType="separate"/>
      </w:r>
      <w:r>
        <w:t>1</w:t>
      </w:r>
      <w:r>
        <w:fldChar w:fldCharType="end"/>
      </w:r>
    </w:p>
    <w:p>
      <w:pPr>
        <w:pStyle w:val="TOC8"/>
        <w:rPr>
          <w:rFonts w:asciiTheme="minorHAnsi" w:eastAsiaTheme="minorEastAsia" w:hAnsiTheme="minorHAnsi" w:cstheme="minorBidi"/>
          <w:szCs w:val="22"/>
        </w:rPr>
      </w:pPr>
      <w:r>
        <w:t>52.</w:t>
      </w:r>
      <w:r>
        <w:tab/>
        <w:t>References to relevant Regulator in access arrangements</w:t>
      </w:r>
      <w:r>
        <w:tab/>
      </w:r>
      <w:r>
        <w:fldChar w:fldCharType="begin"/>
      </w:r>
      <w:r>
        <w:instrText xml:space="preserve"> PAGEREF _Toc158375305 \h </w:instrText>
      </w:r>
      <w:r>
        <w:fldChar w:fldCharType="separate"/>
      </w:r>
      <w:r>
        <w:t>1</w:t>
      </w:r>
      <w:r>
        <w:fldChar w:fldCharType="end"/>
      </w:r>
    </w:p>
    <w:p>
      <w:pPr>
        <w:pStyle w:val="TOC8"/>
        <w:rPr>
          <w:rFonts w:asciiTheme="minorHAnsi" w:eastAsiaTheme="minorEastAsia" w:hAnsiTheme="minorHAnsi" w:cstheme="minorBidi"/>
          <w:szCs w:val="22"/>
        </w:rPr>
      </w:pPr>
      <w:r>
        <w:t>53.</w:t>
      </w:r>
      <w:r>
        <w:tab/>
        <w:t>Old scheme classifications and scheme participant determinations</w:t>
      </w:r>
      <w:r>
        <w:tab/>
      </w:r>
      <w:r>
        <w:fldChar w:fldCharType="begin"/>
      </w:r>
      <w:r>
        <w:instrText xml:space="preserve"> PAGEREF _Toc158375306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15—Transitional provision related to AEMC rule making powers</w:t>
      </w:r>
    </w:p>
    <w:p>
      <w:pPr>
        <w:pStyle w:val="TOC8"/>
        <w:rPr>
          <w:rFonts w:asciiTheme="minorHAnsi" w:eastAsiaTheme="minorEastAsia" w:hAnsiTheme="minorHAnsi" w:cstheme="minorBidi"/>
          <w:szCs w:val="22"/>
        </w:rPr>
      </w:pPr>
      <w:r>
        <w:t>90.</w:t>
      </w:r>
      <w:r>
        <w:tab/>
        <w:t>AEMC rule making powers</w:t>
      </w:r>
      <w:r>
        <w:tab/>
      </w:r>
      <w:r>
        <w:fldChar w:fldCharType="begin"/>
      </w:r>
      <w:r>
        <w:instrText xml:space="preserve"> PAGEREF _Toc158375308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17—Transitional provisions for rate of return instrument</w:t>
      </w:r>
    </w:p>
    <w:p>
      <w:pPr>
        <w:pStyle w:val="TOC8"/>
        <w:rPr>
          <w:rFonts w:asciiTheme="minorHAnsi" w:eastAsiaTheme="minorEastAsia" w:hAnsiTheme="minorHAnsi" w:cstheme="minorBidi"/>
          <w:szCs w:val="22"/>
        </w:rPr>
      </w:pPr>
      <w:r>
        <w:t>95.</w:t>
      </w:r>
      <w:r>
        <w:tab/>
        <w:t>Definitions</w:t>
      </w:r>
      <w:r>
        <w:tab/>
      </w:r>
      <w:r>
        <w:fldChar w:fldCharType="begin"/>
      </w:r>
      <w:r>
        <w:instrText xml:space="preserve"> PAGEREF _Toc158375310 \h </w:instrText>
      </w:r>
      <w:r>
        <w:fldChar w:fldCharType="separate"/>
      </w:r>
      <w:r>
        <w:t>1</w:t>
      </w:r>
      <w:r>
        <w:fldChar w:fldCharType="end"/>
      </w:r>
    </w:p>
    <w:p>
      <w:pPr>
        <w:pStyle w:val="TOC8"/>
        <w:rPr>
          <w:rFonts w:asciiTheme="minorHAnsi" w:eastAsiaTheme="minorEastAsia" w:hAnsiTheme="minorHAnsi" w:cstheme="minorBidi"/>
          <w:szCs w:val="22"/>
        </w:rPr>
      </w:pPr>
      <w:r>
        <w:t>96.</w:t>
      </w:r>
      <w:r>
        <w:tab/>
        <w:t>Making first rate of return instrument if review not completed before commencement</w:t>
      </w:r>
      <w:r>
        <w:tab/>
      </w:r>
      <w:r>
        <w:fldChar w:fldCharType="begin"/>
      </w:r>
      <w:r>
        <w:instrText xml:space="preserve"> PAGEREF _Toc158375311 \h </w:instrText>
      </w:r>
      <w:r>
        <w:fldChar w:fldCharType="separate"/>
      </w:r>
      <w:r>
        <w:t>1</w:t>
      </w:r>
      <w:r>
        <w:fldChar w:fldCharType="end"/>
      </w:r>
    </w:p>
    <w:p>
      <w:pPr>
        <w:pStyle w:val="TOC8"/>
        <w:rPr>
          <w:rFonts w:asciiTheme="minorHAnsi" w:eastAsiaTheme="minorEastAsia" w:hAnsiTheme="minorHAnsi" w:cstheme="minorBidi"/>
          <w:szCs w:val="22"/>
        </w:rPr>
      </w:pPr>
      <w:r>
        <w:t>97.</w:t>
      </w:r>
      <w:r>
        <w:tab/>
        <w:t>Making first rate of return instrument if review completed before commencement</w:t>
      </w:r>
      <w:r>
        <w:tab/>
      </w:r>
      <w:r>
        <w:fldChar w:fldCharType="begin"/>
      </w:r>
      <w:r>
        <w:instrText xml:space="preserve"> PAGEREF _Toc158375312 \h </w:instrText>
      </w:r>
      <w:r>
        <w:fldChar w:fldCharType="separate"/>
      </w:r>
      <w:r>
        <w:t>1</w:t>
      </w:r>
      <w:r>
        <w:fldChar w:fldCharType="end"/>
      </w:r>
    </w:p>
    <w:p>
      <w:pPr>
        <w:pStyle w:val="TOC8"/>
        <w:rPr>
          <w:rFonts w:asciiTheme="minorHAnsi" w:eastAsiaTheme="minorEastAsia" w:hAnsiTheme="minorHAnsi" w:cstheme="minorBidi"/>
          <w:szCs w:val="22"/>
        </w:rPr>
      </w:pPr>
      <w:r>
        <w:t>98.</w:t>
      </w:r>
      <w:r>
        <w:tab/>
        <w:t>Application of this Law to particular decisions</w:t>
      </w:r>
      <w:r>
        <w:tab/>
      </w:r>
      <w:r>
        <w:fldChar w:fldCharType="begin"/>
      </w:r>
      <w:r>
        <w:instrText xml:space="preserve"> PAGEREF _Toc158375313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20—Transitional provisions related to national gas objective amendments</w:t>
      </w:r>
    </w:p>
    <w:p>
      <w:pPr>
        <w:pStyle w:val="TOC8"/>
        <w:keepNext/>
        <w:rPr>
          <w:rFonts w:asciiTheme="minorHAnsi" w:eastAsiaTheme="minorEastAsia" w:hAnsiTheme="minorHAnsi" w:cstheme="minorBidi"/>
          <w:szCs w:val="22"/>
        </w:rPr>
      </w:pPr>
      <w:r>
        <w:t>133.</w:t>
      </w:r>
      <w:r>
        <w:tab/>
        <w:t>Definitions</w:t>
      </w:r>
      <w:r>
        <w:tab/>
      </w:r>
      <w:r>
        <w:fldChar w:fldCharType="begin"/>
      </w:r>
      <w:r>
        <w:instrText xml:space="preserve"> PAGEREF _Toc158375315 \h </w:instrText>
      </w:r>
      <w:r>
        <w:fldChar w:fldCharType="separate"/>
      </w:r>
      <w:r>
        <w:t>1</w:t>
      </w:r>
      <w:r>
        <w:fldChar w:fldCharType="end"/>
      </w:r>
    </w:p>
    <w:p>
      <w:pPr>
        <w:pStyle w:val="TOC8"/>
        <w:rPr>
          <w:rFonts w:asciiTheme="minorHAnsi" w:eastAsiaTheme="minorEastAsia" w:hAnsiTheme="minorHAnsi" w:cstheme="minorBidi"/>
          <w:szCs w:val="22"/>
        </w:rPr>
      </w:pPr>
      <w:r>
        <w:t>134.</w:t>
      </w:r>
      <w:r>
        <w:tab/>
        <w:t>When amended objective takes effect for particular matters</w:t>
      </w:r>
      <w:r>
        <w:tab/>
      </w:r>
      <w:r>
        <w:fldChar w:fldCharType="begin"/>
      </w:r>
      <w:r>
        <w:instrText xml:space="preserve"> PAGEREF _Toc158375316 \h </w:instrText>
      </w:r>
      <w:r>
        <w:fldChar w:fldCharType="separate"/>
      </w:r>
      <w:r>
        <w:t>1</w:t>
      </w:r>
      <w:r>
        <w:fldChar w:fldCharType="end"/>
      </w:r>
    </w:p>
    <w:p>
      <w:pPr>
        <w:pStyle w:val="TOC8"/>
        <w:rPr>
          <w:rFonts w:asciiTheme="minorHAnsi" w:eastAsiaTheme="minorEastAsia" w:hAnsiTheme="minorHAnsi" w:cstheme="minorBidi"/>
          <w:szCs w:val="22"/>
        </w:rPr>
      </w:pPr>
      <w:r>
        <w:t>135.</w:t>
      </w:r>
      <w:r>
        <w:tab/>
        <w:t>Application of national gas objective to particular matters in progress on start day</w:t>
      </w:r>
      <w:r>
        <w:tab/>
      </w:r>
      <w:r>
        <w:fldChar w:fldCharType="begin"/>
      </w:r>
      <w:r>
        <w:instrText xml:space="preserve"> PAGEREF _Toc158375317 \h </w:instrText>
      </w:r>
      <w:r>
        <w:fldChar w:fldCharType="separate"/>
      </w:r>
      <w:r>
        <w:t>1</w:t>
      </w:r>
      <w:r>
        <w:fldChar w:fldCharType="end"/>
      </w:r>
    </w:p>
    <w:p>
      <w:pPr>
        <w:pStyle w:val="TOC8"/>
        <w:rPr>
          <w:rFonts w:asciiTheme="minorHAnsi" w:eastAsiaTheme="minorEastAsia" w:hAnsiTheme="minorHAnsi" w:cstheme="minorBidi"/>
          <w:szCs w:val="22"/>
        </w:rPr>
      </w:pPr>
      <w:r>
        <w:t>136.</w:t>
      </w:r>
      <w:r>
        <w:tab/>
        <w:t>Administrative guidance for decisions under clause 135(3)</w:t>
      </w:r>
      <w:r>
        <w:tab/>
      </w:r>
      <w:r>
        <w:fldChar w:fldCharType="begin"/>
      </w:r>
      <w:r>
        <w:instrText xml:space="preserve"> PAGEREF _Toc158375318 \h </w:instrText>
      </w:r>
      <w:r>
        <w:fldChar w:fldCharType="separate"/>
      </w:r>
      <w:r>
        <w:t>1</w:t>
      </w:r>
      <w:r>
        <w:fldChar w:fldCharType="end"/>
      </w:r>
    </w:p>
    <w:p>
      <w:pPr>
        <w:pStyle w:val="TOC8"/>
        <w:rPr>
          <w:rFonts w:asciiTheme="minorHAnsi" w:eastAsiaTheme="minorEastAsia" w:hAnsiTheme="minorHAnsi" w:cstheme="minorBidi"/>
          <w:szCs w:val="22"/>
        </w:rPr>
      </w:pPr>
      <w:r>
        <w:t>137.</w:t>
      </w:r>
      <w:r>
        <w:tab/>
        <w:t>Administrative guidance about value of greenhouse gas</w:t>
      </w:r>
      <w:r>
        <w:rPr>
          <w:bCs/>
          <w:color w:val="000000"/>
        </w:rPr>
        <w:t xml:space="preserve"> </w:t>
      </w:r>
      <w:r>
        <w:t>emissions</w:t>
      </w:r>
      <w:r>
        <w:tab/>
      </w:r>
      <w:r>
        <w:fldChar w:fldCharType="begin"/>
      </w:r>
      <w:r>
        <w:instrText xml:space="preserve"> PAGEREF _Toc158375319 \h </w:instrText>
      </w:r>
      <w:r>
        <w:fldChar w:fldCharType="separate"/>
      </w:r>
      <w:r>
        <w:t>1</w:t>
      </w:r>
      <w:r>
        <w:fldChar w:fldCharType="end"/>
      </w:r>
    </w:p>
    <w:p>
      <w:pPr>
        <w:pStyle w:val="TOC8"/>
        <w:rPr>
          <w:rFonts w:asciiTheme="minorHAnsi" w:eastAsiaTheme="minorEastAsia" w:hAnsiTheme="minorHAnsi" w:cstheme="minorBidi"/>
          <w:szCs w:val="22"/>
        </w:rPr>
      </w:pPr>
      <w:r>
        <w:t>138.</w:t>
      </w:r>
      <w:r>
        <w:tab/>
        <w:t>Validation of things done in relation to Rules before commencement</w:t>
      </w:r>
      <w:r>
        <w:tab/>
      </w:r>
      <w:r>
        <w:fldChar w:fldCharType="begin"/>
      </w:r>
      <w:r>
        <w:instrText xml:space="preserve"> PAGEREF _Toc158375320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 about the Western Australian National Gas Access Law text</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_Toc158375322 \h </w:instrText>
      </w:r>
      <w:r>
        <w:fldChar w:fldCharType="separate"/>
      </w:r>
      <w:r>
        <w:t>1</w:t>
      </w:r>
      <w:r>
        <w:fldChar w:fldCharType="end"/>
      </w:r>
    </w:p>
    <w:p>
      <w:pPr>
        <w:pStyle w:val="TOC8"/>
        <w:rPr>
          <w:rFonts w:asciiTheme="minorHAnsi" w:eastAsiaTheme="minorEastAsia" w:hAnsiTheme="minorHAnsi" w:cstheme="minorBidi"/>
          <w:szCs w:val="22"/>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National Gas Access (WA) Act 2009</w:t>
      </w:r>
    </w:p>
    <w:p>
      <w:pPr>
        <w:pStyle w:val="LongTitle"/>
        <w:suppressLineNumbers/>
        <w:rPr>
          <w:rFonts w:ascii="Times" w:hAnsi="Times"/>
        </w:rPr>
      </w:pPr>
      <w:bookmarkStart w:id="2" w:name="BillCited"/>
      <w:bookmarkEnd w:id="2"/>
      <w:r>
        <w:rPr>
          <w:snapToGrid w:val="0"/>
        </w:rPr>
        <w:t xml:space="preserve">An Act to establish a framework to enable third parties to gain access to certain gas pipeline services, to amend the </w:t>
      </w:r>
      <w:r>
        <w:rPr>
          <w:i/>
          <w:iCs/>
          <w:snapToGrid w:val="0"/>
        </w:rPr>
        <w:t>Gas Pipelines Access (Western Australia) Act 1998</w:t>
      </w:r>
      <w:r>
        <w:rPr>
          <w:snapToGrid w:val="0"/>
        </w:rPr>
        <w:t xml:space="preserve"> and various other Acts, and for other purposes</w:t>
      </w:r>
      <w:r>
        <w:rPr>
          <w:rFonts w:ascii="Times" w:hAnsi="Times"/>
        </w:rPr>
        <w:t>.</w:t>
      </w:r>
    </w:p>
    <w:p>
      <w:pPr>
        <w:pStyle w:val="Enactment"/>
      </w:pPr>
      <w:r>
        <w:rPr>
          <w:snapToGrid w:val="0"/>
        </w:rP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56818891"/>
      <w:bookmarkStart w:id="4" w:name="_Toc156990308"/>
      <w:bookmarkStart w:id="5" w:name="_Toc15837452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58374529"/>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National Gas Access (WA) Act 2009</w:t>
      </w:r>
      <w:r>
        <w:rPr>
          <w:snapToGrid w:val="0"/>
        </w:rPr>
        <w:t>.</w:t>
      </w:r>
    </w:p>
    <w:p>
      <w:pPr>
        <w:pStyle w:val="Heading5"/>
        <w:rPr>
          <w:snapToGrid w:val="0"/>
        </w:rPr>
      </w:pPr>
      <w:bookmarkStart w:id="7" w:name="_Toc158374530"/>
      <w:r>
        <w:rPr>
          <w:rStyle w:val="CharSectno"/>
        </w:rPr>
        <w:t>2</w:t>
      </w:r>
      <w:r>
        <w:rPr>
          <w:snapToGrid w:val="0"/>
        </w:rPr>
        <w:t>.</w:t>
      </w:r>
      <w:r>
        <w:rPr>
          <w:snapToGrid w:val="0"/>
        </w:rPr>
        <w:tab/>
      </w:r>
      <w:r>
        <w:t>Commencement</w:t>
      </w:r>
      <w:bookmarkEnd w:id="7"/>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spacing w:before="120"/>
        <w:ind w:left="958" w:hanging="958"/>
      </w:pPr>
      <w:bookmarkStart w:id="8" w:name="_Toc158374531"/>
      <w:r>
        <w:rPr>
          <w:rStyle w:val="CharSectno"/>
        </w:rPr>
        <w:t>3</w:t>
      </w:r>
      <w:r>
        <w:t>.</w:t>
      </w:r>
      <w:r>
        <w:tab/>
        <w:t>Terms used in this Act</w:t>
      </w:r>
      <w:bookmarkEnd w:id="8"/>
    </w:p>
    <w:p>
      <w:pPr>
        <w:pStyle w:val="Subsection"/>
      </w:pPr>
      <w:r>
        <w:tab/>
        <w:t>(1)</w:t>
      </w:r>
      <w:r>
        <w:tab/>
        <w:t xml:space="preserve">In this Act — </w:t>
      </w:r>
    </w:p>
    <w:p>
      <w:pPr>
        <w:pStyle w:val="Defstart"/>
        <w:tabs>
          <w:tab w:val="left" w:pos="960"/>
        </w:tabs>
      </w:pPr>
      <w:r>
        <w:rPr>
          <w:b/>
        </w:rPr>
        <w:tab/>
      </w:r>
      <w:r>
        <w:rPr>
          <w:rStyle w:val="CharDefText"/>
        </w:rPr>
        <w:t>National Gas Access (Western Australia) Law</w:t>
      </w:r>
      <w:r>
        <w:t xml:space="preserve"> means the provisions applying because of section 7;</w:t>
      </w:r>
    </w:p>
    <w:p>
      <w:pPr>
        <w:pStyle w:val="Defstart"/>
        <w:tabs>
          <w:tab w:val="left" w:pos="960"/>
        </w:tabs>
        <w:rPr>
          <w:rFonts w:eastAsia="Arial Unicode MS"/>
        </w:rPr>
      </w:pPr>
      <w:r>
        <w:rPr>
          <w:rFonts w:eastAsia="Arial Unicode MS"/>
        </w:rPr>
        <w:tab/>
      </w:r>
      <w:r>
        <w:rPr>
          <w:rStyle w:val="CharDefText"/>
          <w:rFonts w:eastAsia="Arial Unicode MS"/>
        </w:rPr>
        <w:t>National Gas Access (Western Australia) Regulations</w:t>
      </w:r>
      <w:r>
        <w:rPr>
          <w:rFonts w:eastAsia="Arial Unicode MS"/>
        </w:rPr>
        <w:t xml:space="preserve"> means the provisions applying because of section 8;</w:t>
      </w:r>
    </w:p>
    <w:p>
      <w:pPr>
        <w:pStyle w:val="Defstart"/>
        <w:tabs>
          <w:tab w:val="left" w:pos="960"/>
        </w:tabs>
      </w:pPr>
      <w:r>
        <w:rPr>
          <w:b/>
        </w:rPr>
        <w:tab/>
      </w:r>
      <w:r>
        <w:rPr>
          <w:rStyle w:val="CharDefText"/>
        </w:rPr>
        <w:t>South Australian Act</w:t>
      </w:r>
      <w:r>
        <w:t xml:space="preserve"> means the </w:t>
      </w:r>
      <w:r>
        <w:rPr>
          <w:i/>
          <w:iCs/>
        </w:rPr>
        <w:t>National Gas (South Australia) Act 2008</w:t>
      </w:r>
      <w:r>
        <w:t xml:space="preserve"> of South Australia as amended from time to time.</w:t>
      </w:r>
    </w:p>
    <w:p>
      <w:pPr>
        <w:pStyle w:val="Subsection"/>
      </w:pPr>
      <w:r>
        <w:tab/>
        <w:t>(2)</w:t>
      </w:r>
      <w:r>
        <w:tab/>
        <w:t>Words and expressions used in the National Gas Access (Western Australia) Law (whether or not defined in section 9(1)) and in this Act have the same respective meanings in this Act as they have in that Law.</w:t>
      </w:r>
    </w:p>
    <w:p>
      <w:pPr>
        <w:pStyle w:val="Subsection"/>
      </w:pPr>
      <w:r>
        <w:tab/>
        <w:t>(3)</w:t>
      </w:r>
      <w:r>
        <w:tab/>
        <w:t>This section does not apply to the extent that the context or subject matter otherwise indicates or requires.</w:t>
      </w:r>
    </w:p>
    <w:p>
      <w:pPr>
        <w:pStyle w:val="Heading5"/>
        <w:ind w:left="960" w:hanging="960"/>
      </w:pPr>
      <w:bookmarkStart w:id="9" w:name="_Toc158374532"/>
      <w:r>
        <w:rPr>
          <w:rStyle w:val="CharSectno"/>
        </w:rPr>
        <w:t>4</w:t>
      </w:r>
      <w:r>
        <w:t>.</w:t>
      </w:r>
      <w:r>
        <w:tab/>
        <w:t>Crown bound</w:t>
      </w:r>
      <w:bookmarkEnd w:id="9"/>
    </w:p>
    <w:p>
      <w:pPr>
        <w:pStyle w:val="Subsection"/>
      </w:pPr>
      <w:r>
        <w:tab/>
      </w:r>
      <w:r>
        <w:tab/>
        <w:t>This Act, the National Gas Access (Western Australia) Law and the National Gas Access (Western Australia) Regulations bind the Crown in right of the State and, so far as the legislative power of the Parliament permits, the Crown in all its other capacities.</w:t>
      </w:r>
    </w:p>
    <w:p>
      <w:pPr>
        <w:pStyle w:val="Heading5"/>
      </w:pPr>
      <w:bookmarkStart w:id="10" w:name="_Toc158374533"/>
      <w:r>
        <w:rPr>
          <w:rStyle w:val="CharSectno"/>
        </w:rPr>
        <w:lastRenderedPageBreak/>
        <w:t>5</w:t>
      </w:r>
      <w:r>
        <w:t>.</w:t>
      </w:r>
      <w:r>
        <w:tab/>
        <w:t>Application to coastal waters</w:t>
      </w:r>
      <w:bookmarkEnd w:id="10"/>
    </w:p>
    <w:p>
      <w:pPr>
        <w:pStyle w:val="Subsection"/>
      </w:pPr>
      <w:r>
        <w:tab/>
        <w:t>(1)</w:t>
      </w:r>
      <w:r>
        <w:tab/>
        <w:t>This Act, the National Gas Access (Western Australia) Law and the National Gas Access (Western Australia) Regulations apply in the coastal waters of this State as if the coastal waters were within the limits of the State.</w:t>
      </w:r>
    </w:p>
    <w:p>
      <w:pPr>
        <w:pStyle w:val="Subsection"/>
      </w:pPr>
      <w:r>
        <w:tab/>
        <w:t>(2)</w:t>
      </w:r>
      <w:r>
        <w:tab/>
        <w:t xml:space="preserve">In this section — </w:t>
      </w:r>
    </w:p>
    <w:p>
      <w:pPr>
        <w:pStyle w:val="Defstart"/>
      </w:pPr>
      <w:r>
        <w:tab/>
      </w:r>
      <w:r>
        <w:rPr>
          <w:rStyle w:val="CharDefText"/>
        </w:rPr>
        <w:t>adjacent area in respect of the State</w:t>
      </w:r>
      <w:r>
        <w:t xml:space="preserve"> means the adjacent area of this jurisdiction under the National Gas Access (Western Australia) Law (as defined in section 9(1) of this Act);</w:t>
      </w:r>
    </w:p>
    <w:p>
      <w:pPr>
        <w:pStyle w:val="Defstart"/>
      </w:pPr>
      <w:r>
        <w:rPr>
          <w:b/>
        </w:rPr>
        <w:tab/>
      </w:r>
      <w:r>
        <w:rPr>
          <w:rStyle w:val="CharDefText"/>
        </w:rPr>
        <w:t>coastal waters</w:t>
      </w:r>
      <w:r>
        <w:t>, in relation to this State, means any sea that is on the landward side of the adjacent area in respect of the State but is not within the limits of the State.</w:t>
      </w:r>
    </w:p>
    <w:p>
      <w:pPr>
        <w:pStyle w:val="Heading5"/>
      </w:pPr>
      <w:bookmarkStart w:id="11" w:name="_Toc158374534"/>
      <w:r>
        <w:rPr>
          <w:rStyle w:val="CharSectno"/>
        </w:rPr>
        <w:t>6</w:t>
      </w:r>
      <w:r>
        <w:t>.</w:t>
      </w:r>
      <w:r>
        <w:tab/>
        <w:t>Extra</w:t>
      </w:r>
      <w:r>
        <w:noBreakHyphen/>
        <w:t>territorial operation</w:t>
      </w:r>
      <w:bookmarkEnd w:id="11"/>
    </w:p>
    <w:p>
      <w:pPr>
        <w:pStyle w:val="Subsection"/>
      </w:pPr>
      <w:r>
        <w:tab/>
      </w:r>
      <w:r>
        <w:tab/>
        <w:t>It is the intention of the Parliament that this Act, the National Gas Access (Western Australia) Law and the National Gas Access (Western Australia) Regulations should, so far as possible, operate to the full extent of the extra</w:t>
      </w:r>
      <w:r>
        <w:noBreakHyphen/>
        <w:t>territorial legislative power of the State.</w:t>
      </w:r>
    </w:p>
    <w:p>
      <w:pPr>
        <w:pStyle w:val="Heading5"/>
      </w:pPr>
      <w:bookmarkStart w:id="12" w:name="_Toc158374535"/>
      <w:r>
        <w:rPr>
          <w:bCs/>
        </w:rPr>
        <w:t>6A</w:t>
      </w:r>
      <w:r>
        <w:t>.</w:t>
      </w:r>
      <w:r>
        <w:tab/>
        <w:t>Extension to certain pipelines for hauling gas other than natural gas</w:t>
      </w:r>
      <w:bookmarkEnd w:id="12"/>
    </w:p>
    <w:p>
      <w:pPr>
        <w:pStyle w:val="Subsection"/>
      </w:pPr>
      <w:r>
        <w:tab/>
        <w:t>(1)</w:t>
      </w:r>
      <w:r>
        <w:tab/>
        <w:t xml:space="preserve">The National Gas Access (Western Australia) Law and the National Gas Access (Western Australia) Regulations apply to a pipeline for hauling gas other than natural gas if the pipeline constitutes or is part of a system for which a licence is in force under Part 2A of the </w:t>
      </w:r>
      <w:r>
        <w:rPr>
          <w:i/>
          <w:iCs/>
        </w:rPr>
        <w:t>Energy Coordination Act 1994</w:t>
      </w:r>
      <w:r>
        <w:t>.</w:t>
      </w:r>
    </w:p>
    <w:p>
      <w:pPr>
        <w:pStyle w:val="Subsection"/>
      </w:pPr>
      <w:r>
        <w:tab/>
        <w:t>(2)</w:t>
      </w:r>
      <w:r>
        <w:tab/>
        <w:t xml:space="preserve">Subsection (1) has effect — </w:t>
      </w:r>
    </w:p>
    <w:p>
      <w:pPr>
        <w:pStyle w:val="Indenta"/>
      </w:pPr>
      <w:r>
        <w:tab/>
        <w:t>(a)</w:t>
      </w:r>
      <w:r>
        <w:tab/>
        <w:t>despite the provisions of the National Gas Access (Western Australia) Law and the National Gas Access (Western Australia) Regulations; and</w:t>
      </w:r>
    </w:p>
    <w:p>
      <w:pPr>
        <w:pStyle w:val="Indenta"/>
      </w:pPr>
      <w:r>
        <w:tab/>
        <w:t>(b)</w:t>
      </w:r>
      <w:r>
        <w:tab/>
        <w:t xml:space="preserve">as if, for the purposes of that subsection, a reference in that Law and those Regulations to natural gas were </w:t>
      </w:r>
      <w:r>
        <w:lastRenderedPageBreak/>
        <w:t>amended to include a reference to gas other than natural gas.</w:t>
      </w:r>
    </w:p>
    <w:p>
      <w:pPr>
        <w:pStyle w:val="Subsection"/>
      </w:pPr>
      <w:r>
        <w:tab/>
        <w:t>(3)</w:t>
      </w:r>
      <w:r>
        <w:tab/>
        <w:t xml:space="preserve">In this section — </w:t>
      </w:r>
    </w:p>
    <w:p>
      <w:pPr>
        <w:pStyle w:val="Defstart"/>
      </w:pPr>
      <w:r>
        <w:rPr>
          <w:b/>
        </w:rPr>
        <w:tab/>
      </w:r>
      <w:r>
        <w:rPr>
          <w:rStyle w:val="CharDefText"/>
        </w:rPr>
        <w:t>gas other than natural gas</w:t>
      </w:r>
      <w:r>
        <w:t xml:space="preserve"> means substances which — </w:t>
      </w:r>
    </w:p>
    <w:p>
      <w:pPr>
        <w:pStyle w:val="Defpara"/>
      </w:pPr>
      <w:r>
        <w:tab/>
        <w:t>(a)</w:t>
      </w:r>
      <w:r>
        <w:tab/>
        <w:t>are in a gaseous state at standard temperature and pressure; and</w:t>
      </w:r>
    </w:p>
    <w:p>
      <w:pPr>
        <w:pStyle w:val="Defpara"/>
      </w:pPr>
      <w:r>
        <w:tab/>
        <w:t>(b)</w:t>
      </w:r>
      <w:r>
        <w:tab/>
        <w:t xml:space="preserve">consist of — </w:t>
      </w:r>
    </w:p>
    <w:p>
      <w:pPr>
        <w:pStyle w:val="Defsubpara"/>
      </w:pPr>
      <w:r>
        <w:tab/>
        <w:t>(i)</w:t>
      </w:r>
      <w:r>
        <w:tab/>
        <w:t>naturally occurring hydrocarbons; or</w:t>
      </w:r>
    </w:p>
    <w:p>
      <w:pPr>
        <w:pStyle w:val="Defsubpara"/>
      </w:pPr>
      <w:r>
        <w:tab/>
        <w:t>(ii)</w:t>
      </w:r>
      <w:r>
        <w:tab/>
        <w:t>a naturally occurring or manufactured mixture of hydrocarbons and non</w:t>
      </w:r>
      <w:r>
        <w:noBreakHyphen/>
        <w:t>hydrocarbons, the principal constituent of which is propane, propene, butanes, butenes or a mixture of all or any of those substances or kinds of substances.</w:t>
      </w:r>
    </w:p>
    <w:p>
      <w:pPr>
        <w:pStyle w:val="Heading5"/>
      </w:pPr>
      <w:bookmarkStart w:id="13" w:name="_Toc158374536"/>
      <w:r>
        <w:rPr>
          <w:rStyle w:val="CharSectno"/>
        </w:rPr>
        <w:t>6B</w:t>
      </w:r>
      <w:r>
        <w:t>.</w:t>
      </w:r>
      <w:r>
        <w:tab/>
      </w:r>
      <w:r>
        <w:rPr>
          <w:i/>
          <w:iCs/>
        </w:rPr>
        <w:t>Interpretation Act 1984</w:t>
      </w:r>
      <w:r>
        <w:t xml:space="preserve"> does not apply</w:t>
      </w:r>
      <w:bookmarkEnd w:id="13"/>
    </w:p>
    <w:p>
      <w:pPr>
        <w:pStyle w:val="Subsection"/>
      </w:pPr>
      <w:r>
        <w:tab/>
        <w:t>(1)</w:t>
      </w:r>
      <w:r>
        <w:tab/>
        <w:t xml:space="preserve">The </w:t>
      </w:r>
      <w:r>
        <w:rPr>
          <w:i/>
          <w:iCs/>
        </w:rPr>
        <w:t>Interpretation Act 1984</w:t>
      </w:r>
      <w:r>
        <w:t xml:space="preserve"> does not apply to the National Gas Access (Western Australia) Law, to regulations under Part 3, or to Rules under the National Gas Access (Western Australia) Law.</w:t>
      </w:r>
    </w:p>
    <w:p>
      <w:pPr>
        <w:pStyle w:val="Subsection"/>
      </w:pPr>
      <w:r>
        <w:tab/>
        <w:t>(2)</w:t>
      </w:r>
      <w:r>
        <w:tab/>
        <w:t xml:space="preserve">Despite subsection (1), section 25 of the </w:t>
      </w:r>
      <w:r>
        <w:rPr>
          <w:i/>
          <w:iCs/>
        </w:rPr>
        <w:t>Interpretation Act 1984</w:t>
      </w:r>
      <w:r>
        <w:t xml:space="preserve"> applies to the making of regulations under Part 3.</w:t>
      </w:r>
    </w:p>
    <w:p>
      <w:pPr>
        <w:pStyle w:val="Heading2"/>
      </w:pPr>
      <w:bookmarkStart w:id="14" w:name="_Toc156818900"/>
      <w:bookmarkStart w:id="15" w:name="_Toc156990317"/>
      <w:bookmarkStart w:id="16" w:name="_Toc158374537"/>
      <w:r>
        <w:rPr>
          <w:rStyle w:val="CharPartNo"/>
        </w:rPr>
        <w:lastRenderedPageBreak/>
        <w:t>Part 2</w:t>
      </w:r>
      <w:r>
        <w:rPr>
          <w:rStyle w:val="CharDivNo"/>
        </w:rPr>
        <w:t> </w:t>
      </w:r>
      <w:r>
        <w:t>—</w:t>
      </w:r>
      <w:r>
        <w:rPr>
          <w:rStyle w:val="CharDivText"/>
        </w:rPr>
        <w:t> </w:t>
      </w:r>
      <w:r>
        <w:rPr>
          <w:rStyle w:val="CharPartText"/>
        </w:rPr>
        <w:t>National Gas Access (Western Australia) Law and its regulations</w:t>
      </w:r>
      <w:bookmarkEnd w:id="14"/>
      <w:bookmarkEnd w:id="15"/>
      <w:bookmarkEnd w:id="16"/>
    </w:p>
    <w:p>
      <w:pPr>
        <w:pStyle w:val="Heading5"/>
      </w:pPr>
      <w:bookmarkStart w:id="17" w:name="_Toc158374538"/>
      <w:r>
        <w:rPr>
          <w:rStyle w:val="CharSectno"/>
        </w:rPr>
        <w:t>7</w:t>
      </w:r>
      <w:r>
        <w:t>.</w:t>
      </w:r>
      <w:r>
        <w:tab/>
        <w:t>National Gas Access (Western Australia) Law</w:t>
      </w:r>
      <w:bookmarkEnd w:id="17"/>
    </w:p>
    <w:p>
      <w:pPr>
        <w:pStyle w:val="Subsection"/>
      </w:pPr>
      <w:r>
        <w:tab/>
        <w:t>(1)</w:t>
      </w:r>
      <w:r>
        <w:tab/>
        <w:t xml:space="preserve">The Western Australian National Gas Access Law text — </w:t>
      </w:r>
    </w:p>
    <w:p>
      <w:pPr>
        <w:pStyle w:val="Indenta"/>
      </w:pPr>
      <w:r>
        <w:tab/>
        <w:t>(a)</w:t>
      </w:r>
      <w:r>
        <w:tab/>
        <w:t>applies as a law of Western Australia; and</w:t>
      </w:r>
    </w:p>
    <w:p>
      <w:pPr>
        <w:pStyle w:val="Indenta"/>
      </w:pPr>
      <w:r>
        <w:tab/>
        <w:t>(b)</w:t>
      </w:r>
      <w:r>
        <w:tab/>
        <w:t>as so applying may be referred to as the National Gas Access (Western Australia) Law.</w:t>
      </w:r>
    </w:p>
    <w:p>
      <w:pPr>
        <w:pStyle w:val="Subsection"/>
      </w:pPr>
      <w:r>
        <w:tab/>
        <w:t>(2)</w:t>
      </w:r>
      <w:r>
        <w:tab/>
        <w:t xml:space="preserve">In subsection (1) — </w:t>
      </w:r>
    </w:p>
    <w:p>
      <w:pPr>
        <w:pStyle w:val="Defstart"/>
      </w:pPr>
      <w:r>
        <w:tab/>
      </w:r>
      <w:r>
        <w:rPr>
          <w:rStyle w:val="CharDefText"/>
        </w:rPr>
        <w:t>Western Australian National Gas Access Law text</w:t>
      </w:r>
      <w:r>
        <w:t xml:space="preserve"> means the text that results from modifying the National Gas Law, as set out in the South Australian Act Schedule for the time being in force, to give effect to section 7A(3) and (4) and Schedule 1.</w:t>
      </w:r>
    </w:p>
    <w:p>
      <w:pPr>
        <w:pStyle w:val="Heading5"/>
      </w:pPr>
      <w:bookmarkStart w:id="18" w:name="_Toc158374539"/>
      <w:r>
        <w:rPr>
          <w:rStyle w:val="CharSectno"/>
        </w:rPr>
        <w:t>7A</w:t>
      </w:r>
      <w:r>
        <w:t>.</w:t>
      </w:r>
      <w:r>
        <w:tab/>
        <w:t>Amendments to Schedule to South Australian Act</w:t>
      </w:r>
      <w:bookmarkEnd w:id="18"/>
    </w:p>
    <w:p>
      <w:pPr>
        <w:pStyle w:val="Subsection"/>
      </w:pPr>
      <w:r>
        <w:tab/>
        <w:t>(1)</w:t>
      </w:r>
      <w:r>
        <w:tab/>
        <w:t>This section applies if, after the day on which the South Australian Act receives the Royal Assent,</w:t>
      </w:r>
      <w:r>
        <w:rPr>
          <w:b/>
          <w:i/>
        </w:rPr>
        <w:t xml:space="preserve"> </w:t>
      </w:r>
      <w:r>
        <w:t xml:space="preserve">the Parliament of South Australia enacts a provision to make an amendment to the Schedule to the South Australian Act as in force from time to time (an </w:t>
      </w:r>
      <w:r>
        <w:rPr>
          <w:rStyle w:val="CharDefText"/>
        </w:rPr>
        <w:t>SA Schedule amendment</w:t>
      </w:r>
      <w:r>
        <w:t>).</w:t>
      </w:r>
    </w:p>
    <w:p>
      <w:pPr>
        <w:pStyle w:val="Subsection"/>
      </w:pPr>
      <w:r>
        <w:tab/>
        <w:t>(2)</w:t>
      </w:r>
      <w:r>
        <w:tab/>
        <w:t>The Minister may by order declare that an SA Schedule amendment is relevant to the Western Australian National Gas Access Law text.</w:t>
      </w:r>
    </w:p>
    <w:p>
      <w:pPr>
        <w:pStyle w:val="Subsection"/>
      </w:pPr>
      <w:r>
        <w:tab/>
        <w:t>(3)</w:t>
      </w:r>
      <w:r>
        <w:tab/>
        <w:t>If the Minister has not declared that an SA Schedule amendment is relevant, the Western Australian National Gas Access Law text remains as if the amendment had not been made.</w:t>
      </w:r>
    </w:p>
    <w:p>
      <w:pPr>
        <w:pStyle w:val="Subsection"/>
      </w:pPr>
      <w:r>
        <w:tab/>
        <w:t>(4)</w:t>
      </w:r>
      <w:r>
        <w:tab/>
        <w:t>If the Minister has declared that an SA Schedule amendment is relevant, the Western Australian National Gas Access Law text remains, until the beginning of the day fixed by subsection (5), as if the amendment had not been made.</w:t>
      </w:r>
    </w:p>
    <w:p>
      <w:pPr>
        <w:pStyle w:val="Subsection"/>
      </w:pPr>
      <w:r>
        <w:lastRenderedPageBreak/>
        <w:tab/>
        <w:t>(5)</w:t>
      </w:r>
      <w:r>
        <w:tab/>
        <w:t xml:space="preserve">The day fixed is the day on which the order is published in the </w:t>
      </w:r>
      <w:r>
        <w:rPr>
          <w:i/>
          <w:iCs/>
        </w:rPr>
        <w:t>Government Gazette</w:t>
      </w:r>
      <w:r>
        <w:t xml:space="preserve"> unless a later day is specified in the order, in which case it is the day specified.</w:t>
      </w:r>
    </w:p>
    <w:p>
      <w:pPr>
        <w:pStyle w:val="Subsection"/>
      </w:pPr>
      <w:r>
        <w:tab/>
        <w:t>(6)</w:t>
      </w:r>
      <w:r>
        <w:tab/>
        <w:t>Subsection (4) does not give an SA Schedule amendment any earlier effect in this State than it has in South Australia.</w:t>
      </w:r>
    </w:p>
    <w:p>
      <w:pPr>
        <w:pStyle w:val="Heading5"/>
      </w:pPr>
      <w:bookmarkStart w:id="19" w:name="_Toc158374540"/>
      <w:r>
        <w:rPr>
          <w:rStyle w:val="CharSectno"/>
        </w:rPr>
        <w:t>7B</w:t>
      </w:r>
      <w:r>
        <w:t>.</w:t>
      </w:r>
      <w:r>
        <w:tab/>
        <w:t>Regulations amending Schedule 1 consequentially</w:t>
      </w:r>
      <w:bookmarkEnd w:id="19"/>
    </w:p>
    <w:p>
      <w:pPr>
        <w:pStyle w:val="Subsection"/>
      </w:pPr>
      <w:r>
        <w:tab/>
      </w:r>
      <w:r>
        <w:tab/>
        <w:t xml:space="preserve">The Governor may make regulations under this section amending Schedule 1 as is necessary or expedient to deal with consequences of — </w:t>
      </w:r>
    </w:p>
    <w:p>
      <w:pPr>
        <w:pStyle w:val="Indenta"/>
      </w:pPr>
      <w:r>
        <w:tab/>
        <w:t>(a)</w:t>
      </w:r>
      <w:r>
        <w:tab/>
        <w:t>an SA Schedule amendment; or</w:t>
      </w:r>
    </w:p>
    <w:p>
      <w:pPr>
        <w:pStyle w:val="Indenta"/>
      </w:pPr>
      <w:r>
        <w:tab/>
        <w:t>(b)</w:t>
      </w:r>
      <w:r>
        <w:tab/>
        <w:t>giving effect to section 7A(3) or (4).</w:t>
      </w:r>
    </w:p>
    <w:p>
      <w:pPr>
        <w:pStyle w:val="Heading5"/>
      </w:pPr>
      <w:bookmarkStart w:id="20" w:name="_Toc158374541"/>
      <w:r>
        <w:rPr>
          <w:bCs/>
        </w:rPr>
        <w:t>8</w:t>
      </w:r>
      <w:r>
        <w:t>.</w:t>
      </w:r>
      <w:r>
        <w:tab/>
        <w:t>National Gas Access (Western Australia) Regulations</w:t>
      </w:r>
      <w:bookmarkEnd w:id="20"/>
    </w:p>
    <w:p>
      <w:pPr>
        <w:pStyle w:val="Subsection"/>
      </w:pPr>
      <w:r>
        <w:tab/>
      </w:r>
      <w:r>
        <w:tab/>
        <w:t xml:space="preserve">The regulations in force for the time being under Part 3 — </w:t>
      </w:r>
    </w:p>
    <w:p>
      <w:pPr>
        <w:pStyle w:val="Indenta"/>
      </w:pPr>
      <w:r>
        <w:tab/>
        <w:t>(a)</w:t>
      </w:r>
      <w:r>
        <w:tab/>
        <w:t>apply as regulations in force for the purposes of the National Gas Access (Western Australia) Law; and</w:t>
      </w:r>
    </w:p>
    <w:p>
      <w:pPr>
        <w:pStyle w:val="Indenta"/>
      </w:pPr>
      <w:r>
        <w:tab/>
        <w:t>(b)</w:t>
      </w:r>
      <w:r>
        <w:tab/>
        <w:t>as so applying may be referred to as the National Gas Access (Western Australia) Regulations.</w:t>
      </w:r>
    </w:p>
    <w:p>
      <w:pPr>
        <w:pStyle w:val="Heading5"/>
      </w:pPr>
      <w:bookmarkStart w:id="21" w:name="_Toc158374542"/>
      <w:r>
        <w:rPr>
          <w:rStyle w:val="CharSectno"/>
        </w:rPr>
        <w:t>9</w:t>
      </w:r>
      <w:r>
        <w:t>.</w:t>
      </w:r>
      <w:r>
        <w:tab/>
        <w:t>Terms used in National Gas Access (Western Australia) Law and its regulations</w:t>
      </w:r>
      <w:bookmarkEnd w:id="21"/>
    </w:p>
    <w:p>
      <w:pPr>
        <w:pStyle w:val="Subsection"/>
      </w:pPr>
      <w:r>
        <w:tab/>
        <w:t>(1)</w:t>
      </w:r>
      <w:r>
        <w:tab/>
        <w:t xml:space="preserve">In the National Gas Access (Western Australia) Law and the National Gas Access (Western Australia) Regulations — </w:t>
      </w:r>
    </w:p>
    <w:p>
      <w:pPr>
        <w:pStyle w:val="Defstart"/>
      </w:pPr>
      <w:r>
        <w:tab/>
      </w:r>
      <w:r>
        <w:rPr>
          <w:rStyle w:val="CharDefText"/>
        </w:rPr>
        <w:t>adjacent area of another participating jurisdiction</w:t>
      </w:r>
      <w:r>
        <w:t xml:space="preserve"> means the offshore area of a State other than this State or of the Northern Territory within the meaning given in section 7 of the </w:t>
      </w:r>
      <w:r>
        <w:rPr>
          <w:i/>
          <w:iCs/>
        </w:rPr>
        <w:t>Offshore Petroleum and Greenhouse Gas Storage Act 2006</w:t>
      </w:r>
      <w:r>
        <w:t xml:space="preserve"> of the Commonwealth;</w:t>
      </w:r>
    </w:p>
    <w:p>
      <w:pPr>
        <w:pStyle w:val="Defstart"/>
      </w:pPr>
      <w:r>
        <w:tab/>
      </w:r>
      <w:r>
        <w:rPr>
          <w:rStyle w:val="CharDefText"/>
        </w:rPr>
        <w:t>adjacent area of this jurisdiction</w:t>
      </w:r>
      <w:r>
        <w:t xml:space="preserve"> means the offshore area of the State within the meaning given in section 7 of the </w:t>
      </w:r>
      <w:r>
        <w:rPr>
          <w:i/>
          <w:iCs/>
        </w:rPr>
        <w:t>Offshore Petroleum and Greenhouse Gas Storage Act 2006</w:t>
      </w:r>
      <w:r>
        <w:t xml:space="preserve"> of the Commonwealth;</w:t>
      </w:r>
    </w:p>
    <w:p>
      <w:pPr>
        <w:pStyle w:val="Defstart"/>
      </w:pPr>
      <w:r>
        <w:rPr>
          <w:b/>
        </w:rPr>
        <w:lastRenderedPageBreak/>
        <w:tab/>
      </w:r>
      <w:r>
        <w:rPr>
          <w:rStyle w:val="CharDefText"/>
        </w:rPr>
        <w:t>Court</w:t>
      </w:r>
      <w:r>
        <w:t xml:space="preserve"> means the Supreme Court of Western Australia;</w:t>
      </w:r>
    </w:p>
    <w:p>
      <w:pPr>
        <w:pStyle w:val="Defstart"/>
      </w:pPr>
      <w:r>
        <w:rPr>
          <w:b/>
        </w:rPr>
        <w:tab/>
      </w:r>
      <w:r>
        <w:rPr>
          <w:rStyle w:val="CharDefText"/>
        </w:rPr>
        <w:t>designated Minister</w:t>
      </w:r>
      <w:r>
        <w:t xml:space="preserve"> means the Minister to whom the administration of this Act has been committed;</w:t>
      </w:r>
    </w:p>
    <w:p>
      <w:pPr>
        <w:pStyle w:val="Defstart"/>
      </w:pPr>
      <w:r>
        <w:rPr>
          <w:b/>
        </w:rPr>
        <w:tab/>
      </w:r>
      <w:r>
        <w:rPr>
          <w:rStyle w:val="CharDefText"/>
        </w:rPr>
        <w:t>dispute resolution body</w:t>
      </w:r>
      <w:r>
        <w:t xml:space="preserve"> means — </w:t>
      </w:r>
    </w:p>
    <w:p>
      <w:pPr>
        <w:pStyle w:val="Defpara"/>
      </w:pPr>
      <w:r>
        <w:tab/>
        <w:t>(a)</w:t>
      </w:r>
      <w:r>
        <w:tab/>
        <w:t>in relation to an ERA pipeline, the WA arbitrator;</w:t>
      </w:r>
    </w:p>
    <w:p>
      <w:pPr>
        <w:pStyle w:val="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Defstart"/>
      </w:pPr>
      <w:r>
        <w:rPr>
          <w:b/>
        </w:rPr>
        <w:tab/>
      </w:r>
      <w:r>
        <w:rPr>
          <w:rStyle w:val="CharDefText"/>
        </w:rPr>
        <w:t>ERA pipeline</w:t>
      </w:r>
      <w:r>
        <w:t xml:space="preserve"> means a pipeline other than — </w:t>
      </w:r>
    </w:p>
    <w:p>
      <w:pPr>
        <w:pStyle w:val="Defpara"/>
      </w:pPr>
      <w:r>
        <w:tab/>
        <w:t>(a)</w:t>
      </w:r>
      <w:r>
        <w:tab/>
        <w:t>an international pipeline; or</w:t>
      </w:r>
    </w:p>
    <w:p>
      <w:pPr>
        <w:pStyle w:val="Defpara"/>
      </w:pPr>
      <w:r>
        <w:tab/>
        <w:t>(b)</w:t>
      </w:r>
      <w:r>
        <w:tab/>
        <w:t>any other pipeline for which section 2 of the National Gas Access (Western Australia) Law defines the “relevant Minister” to mean a person other than the Minister responsible for the administration of this Act;</w:t>
      </w:r>
    </w:p>
    <w:p>
      <w:pPr>
        <w:pStyle w:val="Defstart"/>
      </w:pPr>
      <w:r>
        <w:rPr>
          <w:b/>
        </w:rPr>
        <w:tab/>
      </w:r>
      <w:r>
        <w:rPr>
          <w:rStyle w:val="CharDefText"/>
        </w:rPr>
        <w:t>Legislature of this jurisdiction</w:t>
      </w:r>
      <w:r>
        <w:t xml:space="preserve"> means the Parliament of Western Australia;</w:t>
      </w:r>
    </w:p>
    <w:p>
      <w:pPr>
        <w:pStyle w:val="Defstart"/>
      </w:pPr>
      <w:r>
        <w:rPr>
          <w:b/>
        </w:rPr>
        <w:tab/>
      </w:r>
      <w:r>
        <w:rPr>
          <w:rStyle w:val="CharDefText"/>
        </w:rPr>
        <w:t>National Gas Law</w:t>
      </w:r>
      <w:r>
        <w:t xml:space="preserve"> or </w:t>
      </w:r>
      <w:r>
        <w:rPr>
          <w:rStyle w:val="CharDefText"/>
        </w:rPr>
        <w:t>this Law</w:t>
      </w:r>
      <w:r>
        <w:t xml:space="preserve"> means the National Gas Access (Western Australia) Law;</w:t>
      </w:r>
    </w:p>
    <w:p>
      <w:pPr>
        <w:pStyle w:val="Defstart"/>
      </w:pPr>
      <w:r>
        <w:rPr>
          <w:b/>
        </w:rPr>
        <w:tab/>
      </w:r>
      <w:r>
        <w:rPr>
          <w:rStyle w:val="CharDefText"/>
        </w:rPr>
        <w:t>regulator</w:t>
      </w:r>
      <w:r>
        <w:t xml:space="preserve"> means — </w:t>
      </w:r>
    </w:p>
    <w:p>
      <w:pPr>
        <w:pStyle w:val="Defpara"/>
      </w:pPr>
      <w:r>
        <w:tab/>
        <w:t>(a)</w:t>
      </w:r>
      <w:r>
        <w:tab/>
        <w:t>in relation to an ERA pipeline, the ERA;</w:t>
      </w:r>
    </w:p>
    <w:p>
      <w:pPr>
        <w:pStyle w:val="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Defstart"/>
      </w:pPr>
      <w:r>
        <w:rPr>
          <w:b/>
        </w:rPr>
        <w:tab/>
      </w:r>
      <w:r>
        <w:rPr>
          <w:rStyle w:val="CharDefText"/>
        </w:rPr>
        <w:t>this jurisdiction</w:t>
      </w:r>
      <w:r>
        <w:t xml:space="preserve"> means the State of Western Australia;</w:t>
      </w:r>
    </w:p>
    <w:p>
      <w:pPr>
        <w:pStyle w:val="Defstart"/>
      </w:pPr>
      <w:r>
        <w:rPr>
          <w:b/>
        </w:rPr>
        <w:tab/>
      </w:r>
      <w:r>
        <w:rPr>
          <w:rStyle w:val="CharDefText"/>
        </w:rPr>
        <w:t>WA arbitrator</w:t>
      </w:r>
      <w:r>
        <w:t xml:space="preserve"> means the Western Australian Energy Disputes Arbitrator under Part 6 Division 3 of the </w:t>
      </w:r>
      <w:r>
        <w:rPr>
          <w:i/>
          <w:iCs/>
        </w:rPr>
        <w:t>Energy Arbitration and Review Act 1998</w:t>
      </w:r>
      <w:r>
        <w:t>.</w:t>
      </w:r>
    </w:p>
    <w:p>
      <w:pPr>
        <w:pStyle w:val="Subsection"/>
      </w:pPr>
      <w:r>
        <w:tab/>
        <w:t>(2)</w:t>
      </w:r>
      <w:r>
        <w:tab/>
        <w:t xml:space="preserve">A pipeline that is an offshore Western Australian pipeline as defined in section 3(1) of the </w:t>
      </w:r>
      <w:r>
        <w:rPr>
          <w:i/>
          <w:iCs/>
        </w:rPr>
        <w:t>Australian Energy Market Act 2004</w:t>
      </w:r>
      <w:r>
        <w:t xml:space="preserve"> of the Commonwealth is to be regarded as being situated wholly within Western Australia for the purpose of </w:t>
      </w:r>
      <w:r>
        <w:lastRenderedPageBreak/>
        <w:t>determining who is the relevant Minister under the National Gas Access (Western Australia) Law.</w:t>
      </w:r>
    </w:p>
    <w:p>
      <w:pPr>
        <w:pStyle w:val="Subsection"/>
      </w:pPr>
      <w:r>
        <w:tab/>
        <w:t>(3)</w:t>
      </w:r>
      <w:r>
        <w:tab/>
        <w:t xml:space="preserve">The </w:t>
      </w:r>
      <w:r>
        <w:rPr>
          <w:i/>
          <w:iCs/>
        </w:rPr>
        <w:t>Acts Interpretation Act 1915</w:t>
      </w:r>
      <w:r>
        <w:t>, and other Acts, of South Australia do not apply to the National Gas Law as set out in the Schedule to the South Australian Act in its application, with modifications, as a law of Western Australia.</w:t>
      </w:r>
    </w:p>
    <w:p>
      <w:pPr>
        <w:pStyle w:val="Footnotesection"/>
      </w:pPr>
      <w:r>
        <w:tab/>
        <w:t>[Section 9 amended: No. 42 of 2010 s. 184.]</w:t>
      </w:r>
    </w:p>
    <w:p>
      <w:pPr>
        <w:pStyle w:val="Heading2"/>
      </w:pPr>
      <w:bookmarkStart w:id="22" w:name="_Toc156818906"/>
      <w:bookmarkStart w:id="23" w:name="_Toc156990323"/>
      <w:bookmarkStart w:id="24" w:name="_Toc158374543"/>
      <w:r>
        <w:rPr>
          <w:rStyle w:val="CharPartNo"/>
        </w:rPr>
        <w:lastRenderedPageBreak/>
        <w:t>Part 3</w:t>
      </w:r>
      <w:r>
        <w:rPr>
          <w:rStyle w:val="CharDivNo"/>
        </w:rPr>
        <w:t> </w:t>
      </w:r>
      <w:r>
        <w:t>—</w:t>
      </w:r>
      <w:r>
        <w:rPr>
          <w:rStyle w:val="CharDivText"/>
        </w:rPr>
        <w:t> </w:t>
      </w:r>
      <w:r>
        <w:rPr>
          <w:rStyle w:val="CharPartText"/>
        </w:rPr>
        <w:t>Regulations for the National Gas Access (Western Australia) Law</w:t>
      </w:r>
      <w:bookmarkEnd w:id="22"/>
      <w:bookmarkEnd w:id="23"/>
      <w:bookmarkEnd w:id="24"/>
    </w:p>
    <w:p>
      <w:pPr>
        <w:pStyle w:val="Heading5"/>
      </w:pPr>
      <w:bookmarkStart w:id="25" w:name="_Toc158374544"/>
      <w:r>
        <w:rPr>
          <w:rStyle w:val="CharSectno"/>
        </w:rPr>
        <w:t>10</w:t>
      </w:r>
      <w:r>
        <w:t>.</w:t>
      </w:r>
      <w:r>
        <w:tab/>
        <w:t>Making regulations</w:t>
      </w:r>
      <w:bookmarkEnd w:id="25"/>
    </w:p>
    <w:p>
      <w:pPr>
        <w:pStyle w:val="Subsection"/>
      </w:pPr>
      <w:r>
        <w:tab/>
        <w:t>(1)</w:t>
      </w:r>
      <w:r>
        <w:tab/>
        <w:t>The Governor, acting with the advice and consent of the Executive Council, may make regulations contemplated by, or necessary or expedient for giving effect to, the National Gas Access (Western Australia) Law.</w:t>
      </w:r>
    </w:p>
    <w:p>
      <w:pPr>
        <w:pStyle w:val="Subsection"/>
      </w:pPr>
      <w:r>
        <w:tab/>
        <w:t>(2)</w:t>
      </w:r>
      <w:r>
        <w:tab/>
        <w:t>Without limiting subsection (1), the regulations may prescribe fees in respect of any matter under the National Gas Access (Western Australia) Law, and provide for the waiver or refund of such fees.</w:t>
      </w:r>
    </w:p>
    <w:p>
      <w:pPr>
        <w:pStyle w:val="Subsection"/>
      </w:pPr>
      <w:r>
        <w:tab/>
        <w:t>(3)</w:t>
      </w:r>
      <w:r>
        <w:tab/>
        <w:t xml:space="preserve">Regulations under this Part may — </w:t>
      </w:r>
    </w:p>
    <w:p>
      <w:pPr>
        <w:pStyle w:val="Indenta"/>
      </w:pPr>
      <w:r>
        <w:tab/>
        <w:t>(a)</w:t>
      </w:r>
      <w:r>
        <w:tab/>
        <w:t>be of general or limited application;</w:t>
      </w:r>
    </w:p>
    <w:p>
      <w:pPr>
        <w:pStyle w:val="Indenta"/>
      </w:pPr>
      <w:r>
        <w:tab/>
        <w:t>(b)</w:t>
      </w:r>
      <w:r>
        <w:tab/>
        <w:t>vary according to the persons, times, places or circumstances to which they are expressed to apply;</w:t>
      </w:r>
    </w:p>
    <w:p>
      <w:pPr>
        <w:pStyle w:val="Indenta"/>
      </w:pPr>
      <w:r>
        <w:tab/>
        <w:t>(c)</w:t>
      </w:r>
      <w:r>
        <w:tab/>
        <w:t>in relation to fees, prescribe differential fees or provide for fees to be determined according to prescribed factors.</w:t>
      </w:r>
    </w:p>
    <w:p>
      <w:pPr>
        <w:pStyle w:val="Subsection"/>
      </w:pPr>
      <w:r>
        <w:tab/>
        <w:t>(4)</w:t>
      </w:r>
      <w:r>
        <w:tab/>
        <w:t xml:space="preserve">Once the Governor has made a regulation prescribing 1 or more pipelines to be designated pipelines for the purposes of the definition of </w:t>
      </w:r>
      <w:r>
        <w:rPr>
          <w:b/>
          <w:bCs/>
          <w:i/>
          <w:iCs/>
        </w:rPr>
        <w:t>designated pipeline</w:t>
      </w:r>
      <w:r>
        <w:t xml:space="preserve"> in section 2 of the National Gas Access (Western Australia) Law, the Governor cannot make another regulation that prescribes any other pipeline to be a designated pipeline.</w:t>
      </w:r>
    </w:p>
    <w:p>
      <w:pPr>
        <w:pStyle w:val="Subsection"/>
      </w:pPr>
      <w:r>
        <w:tab/>
        <w:t>(5)</w:t>
      </w:r>
      <w:r>
        <w:tab/>
        <w:t>Regulations under this Part may be made only on the unanimous recommendation of the Ministers of the participating jurisdictions.</w:t>
      </w:r>
    </w:p>
    <w:p>
      <w:pPr>
        <w:pStyle w:val="Subsection"/>
      </w:pPr>
      <w:r>
        <w:tab/>
        <w:t>(6)</w:t>
      </w:r>
      <w:r>
        <w:tab/>
        <w:t xml:space="preserve">Regulations under this Part have to be published in the </w:t>
      </w:r>
      <w:r>
        <w:rPr>
          <w:i/>
          <w:iCs/>
        </w:rPr>
        <w:t>Government Gazette</w:t>
      </w:r>
      <w:r>
        <w:t>.</w:t>
      </w:r>
    </w:p>
    <w:p>
      <w:pPr>
        <w:pStyle w:val="Heading5"/>
      </w:pPr>
      <w:bookmarkStart w:id="26" w:name="_Toc158374545"/>
      <w:r>
        <w:rPr>
          <w:rStyle w:val="CharSectno"/>
        </w:rPr>
        <w:lastRenderedPageBreak/>
        <w:t>11</w:t>
      </w:r>
      <w:r>
        <w:t>.</w:t>
      </w:r>
      <w:r>
        <w:tab/>
        <w:t>Regulations may deal with transitional matters</w:t>
      </w:r>
      <w:bookmarkEnd w:id="26"/>
    </w:p>
    <w:p>
      <w:pPr>
        <w:pStyle w:val="Subsection"/>
      </w:pPr>
      <w:r>
        <w:tab/>
        <w:t>(1)</w:t>
      </w:r>
      <w:r>
        <w:tab/>
        <w:t>Without limiting the generality of section 10, the regulations may deal with matters of a transitional nature relating to the transition from the application of provisions of the Gas Pipelines Access Law to the application of provisions of the National Gas Access (Western Australia) Law.</w:t>
      </w:r>
    </w:p>
    <w:p>
      <w:pPr>
        <w:pStyle w:val="Subsection"/>
      </w:pPr>
      <w:r>
        <w:tab/>
        <w:t>(2)</w:t>
      </w:r>
      <w:r>
        <w:tab/>
        <w:t>Any provision of the regulations that deals with a matter of a transitional nature under subsection (1) may be expressed to take effect from a time that is earlier than the beginning of the day on which the regulations containing the provision are made, not being a time earlier than the commencement of this section.</w:t>
      </w:r>
    </w:p>
    <w:p>
      <w:pPr>
        <w:pStyle w:val="Subsection"/>
      </w:pPr>
      <w:r>
        <w:tab/>
        <w:t>(3)</w:t>
      </w:r>
      <w:r>
        <w:tab/>
        <w:t xml:space="preserve">If a provision of the regulations is expressed to take effect from a time that is earlier than the beginning of the day on which the regulations containing the provision are published in the </w:t>
      </w:r>
      <w:r>
        <w:rPr>
          <w:i/>
          <w:iCs/>
        </w:rPr>
        <w:t>Government Gazette</w:t>
      </w:r>
      <w:r>
        <w:t xml:space="preserve">, the provision must also provide that the provision does not operate so as — </w:t>
      </w:r>
    </w:p>
    <w:p>
      <w:pPr>
        <w:pStyle w:val="Indenta"/>
      </w:pPr>
      <w:r>
        <w:tab/>
        <w:t>(a)</w:t>
      </w:r>
      <w:r>
        <w:tab/>
        <w:t>to prejudicially affect the rights of a person (other than the rights of a Minister of a participating jurisdiction or an entity involved in the administration of the Gas Pipelines Access Law or the National Gas Access (Western Australia) Law) existing before the day of publication of those regulations; or</w:t>
      </w:r>
    </w:p>
    <w:p>
      <w:pPr>
        <w:pStyle w:val="Indenta"/>
      </w:pPr>
      <w:r>
        <w:tab/>
        <w:t>(b)</w:t>
      </w:r>
      <w:r>
        <w:tab/>
        <w:t>to impose liabilities on any person (other than liabilities imposed on a Minister of a participating jurisdiction or an entity involved in the administration of the Gas Pipelines Access Law or the National Gas Access (Western Australia) Law) in respect of anything done or omitted to be done before the day of publication of those regulations.</w:t>
      </w:r>
    </w:p>
    <w:p>
      <w:pPr>
        <w:pStyle w:val="Subsection"/>
      </w:pPr>
      <w:r>
        <w:tab/>
        <w:t>(4)</w:t>
      </w:r>
      <w:r>
        <w:tab/>
        <w:t xml:space="preserve">In this section — </w:t>
      </w:r>
    </w:p>
    <w:p>
      <w:pPr>
        <w:pStyle w:val="Defstart"/>
      </w:pPr>
      <w:r>
        <w:rPr>
          <w:b/>
        </w:rPr>
        <w:tab/>
      </w:r>
      <w:r>
        <w:rPr>
          <w:rStyle w:val="CharDefText"/>
        </w:rPr>
        <w:t>Gas Pipelines Access Law</w:t>
      </w:r>
      <w:r>
        <w:t xml:space="preserve"> has the meaning that the term had under section 3(1) of the </w:t>
      </w:r>
      <w:r>
        <w:rPr>
          <w:i/>
        </w:rPr>
        <w:t>Gas Pipelines Access (Western Australia) Act 1998</w:t>
      </w:r>
      <w:r>
        <w:t xml:space="preserve"> before the commencement of this section;</w:t>
      </w:r>
    </w:p>
    <w:p>
      <w:pPr>
        <w:pStyle w:val="Defstart"/>
      </w:pPr>
      <w:r>
        <w:rPr>
          <w:b/>
        </w:rPr>
        <w:lastRenderedPageBreak/>
        <w:tab/>
      </w:r>
      <w:r>
        <w:rPr>
          <w:rStyle w:val="CharDefText"/>
        </w:rPr>
        <w:t>matters of a transitional nature</w:t>
      </w:r>
      <w:r>
        <w:t xml:space="preserve"> includes matters of an application or savings nature;</w:t>
      </w:r>
    </w:p>
    <w:p>
      <w:pPr>
        <w:pStyle w:val="Defstart"/>
      </w:pPr>
      <w:r>
        <w:rPr>
          <w:b/>
        </w:rPr>
        <w:tab/>
      </w:r>
      <w:r>
        <w:rPr>
          <w:rStyle w:val="CharDefText"/>
        </w:rPr>
        <w:t>National Gas Access (Western Australia) Law</w:t>
      </w:r>
      <w:r>
        <w:t xml:space="preserve"> means the provisions applying from time to time because of section 7, and it includes Rules made and in force under those provisions from time to time.</w:t>
      </w:r>
    </w:p>
    <w:p>
      <w:pPr>
        <w:pStyle w:val="Heading2"/>
      </w:pPr>
      <w:bookmarkStart w:id="27" w:name="_Toc156818909"/>
      <w:bookmarkStart w:id="28" w:name="_Toc156990326"/>
      <w:bookmarkStart w:id="29" w:name="_Toc158374546"/>
      <w:r>
        <w:rPr>
          <w:rStyle w:val="CharPartNo"/>
        </w:rPr>
        <w:lastRenderedPageBreak/>
        <w:t>Part 4</w:t>
      </w:r>
      <w:r>
        <w:t> — </w:t>
      </w:r>
      <w:r>
        <w:rPr>
          <w:rStyle w:val="CharPartText"/>
        </w:rPr>
        <w:t>Cross vesting of functions and powers</w:t>
      </w:r>
      <w:bookmarkEnd w:id="27"/>
      <w:bookmarkEnd w:id="28"/>
      <w:bookmarkEnd w:id="29"/>
    </w:p>
    <w:p>
      <w:pPr>
        <w:pStyle w:val="Heading5"/>
      </w:pPr>
      <w:bookmarkStart w:id="30" w:name="_Toc158374547"/>
      <w:r>
        <w:rPr>
          <w:rStyle w:val="CharSectno"/>
        </w:rPr>
        <w:t>12</w:t>
      </w:r>
      <w:r>
        <w:t>.</w:t>
      </w:r>
      <w:r>
        <w:tab/>
        <w:t>Conferral of powers on Commonwealth Minister and Commonwealth bodies to act in this State</w:t>
      </w:r>
      <w:bookmarkEnd w:id="30"/>
    </w:p>
    <w:p>
      <w:pPr>
        <w:pStyle w:val="Subsection"/>
      </w:pPr>
      <w:r>
        <w:tab/>
        <w:t>(1)</w:t>
      </w:r>
      <w:r>
        <w:tab/>
        <w:t>The Commonwealth Minister and the Commonwealth bodies have power to do acts in or in relation to this State in the performance or exercise of a function or power expressed to be conferred on them respectively by the national gas legislation of another participating jurisdiction.</w:t>
      </w:r>
    </w:p>
    <w:p>
      <w:pPr>
        <w:pStyle w:val="Subsection"/>
      </w:pPr>
      <w:r>
        <w:tab/>
        <w:t>(2)</w:t>
      </w:r>
      <w:r>
        <w:tab/>
        <w:t xml:space="preserve">In subsection (1) — </w:t>
      </w:r>
    </w:p>
    <w:p>
      <w:pPr>
        <w:pStyle w:val="Defstart"/>
      </w:pPr>
      <w:r>
        <w:rPr>
          <w:b/>
        </w:rPr>
        <w:tab/>
      </w:r>
      <w:r>
        <w:rPr>
          <w:rStyle w:val="CharDefText"/>
        </w:rPr>
        <w:t>Commonwealth bodies</w:t>
      </w:r>
      <w:r>
        <w:t xml:space="preserve"> means any of the following:</w:t>
      </w:r>
    </w:p>
    <w:p>
      <w:pPr>
        <w:pStyle w:val="Defpara"/>
      </w:pPr>
      <w:r>
        <w:tab/>
        <w:t>(a)</w:t>
      </w:r>
      <w:r>
        <w:tab/>
        <w:t>the AER;</w:t>
      </w:r>
    </w:p>
    <w:p>
      <w:pPr>
        <w:pStyle w:val="Defpara"/>
      </w:pPr>
      <w:r>
        <w:tab/>
        <w:t>(b)</w:t>
      </w:r>
      <w:r>
        <w:tab/>
        <w:t>the NCC;</w:t>
      </w:r>
    </w:p>
    <w:p>
      <w:pPr>
        <w:pStyle w:val="Defpara"/>
      </w:pPr>
      <w:r>
        <w:tab/>
        <w:t>(c)</w:t>
      </w:r>
      <w:r>
        <w:tab/>
        <w:t>the Tribunal.</w:t>
      </w:r>
    </w:p>
    <w:p>
      <w:pPr>
        <w:pStyle w:val="Heading5"/>
      </w:pPr>
      <w:bookmarkStart w:id="31" w:name="_Toc158374548"/>
      <w:r>
        <w:rPr>
          <w:rStyle w:val="CharSectno"/>
        </w:rPr>
        <w:t>13</w:t>
      </w:r>
      <w:r>
        <w:t>.</w:t>
      </w:r>
      <w:r>
        <w:tab/>
        <w:t>Conferral of powers on Ministers of other</w:t>
      </w:r>
      <w:r>
        <w:rPr>
          <w:b w:val="0"/>
          <w:bCs/>
        </w:rPr>
        <w:t xml:space="preserve"> </w:t>
      </w:r>
      <w:r>
        <w:t>participating States and Territories to act in this State</w:t>
      </w:r>
      <w:bookmarkEnd w:id="31"/>
    </w:p>
    <w:p>
      <w:pPr>
        <w:pStyle w:val="Subsection"/>
      </w:pPr>
      <w:r>
        <w:tab/>
      </w:r>
      <w:r>
        <w:tab/>
        <w:t>The Minister of another participating jurisdiction has power to do acts in or in relation to this State in the performance or exercise of a function or power expressed to be conferred on the Minister by the national gas legislation of another participating jurisdiction.</w:t>
      </w:r>
    </w:p>
    <w:p>
      <w:pPr>
        <w:pStyle w:val="Heading5"/>
      </w:pPr>
      <w:bookmarkStart w:id="32" w:name="_Toc158374549"/>
      <w:r>
        <w:rPr>
          <w:rStyle w:val="CharSectno"/>
        </w:rPr>
        <w:t>14</w:t>
      </w:r>
      <w:r>
        <w:t>.</w:t>
      </w:r>
      <w:r>
        <w:tab/>
        <w:t>Conferral of functions or powers on State bodies</w:t>
      </w:r>
      <w:bookmarkEnd w:id="32"/>
    </w:p>
    <w:p>
      <w:pPr>
        <w:pStyle w:val="Subsection"/>
      </w:pPr>
      <w:r>
        <w:tab/>
      </w:r>
      <w:r>
        <w:tab/>
        <w:t xml:space="preserve">If the national gas legislation of another participating jurisdiction confers a function or power on the Minister or another agency or instrumentality of this State constituted by a law of this State, the Minister or the other agency or instrumentality — </w:t>
      </w:r>
    </w:p>
    <w:p>
      <w:pPr>
        <w:pStyle w:val="Indenta"/>
      </w:pPr>
      <w:r>
        <w:tab/>
        <w:t>(a)</w:t>
      </w:r>
      <w:r>
        <w:tab/>
        <w:t>may perform that function or exercise that power; and</w:t>
      </w:r>
    </w:p>
    <w:p>
      <w:pPr>
        <w:pStyle w:val="Indenta"/>
      </w:pPr>
      <w:r>
        <w:tab/>
        <w:t>(b)</w:t>
      </w:r>
      <w:r>
        <w:tab/>
        <w:t>may do all things necessary or expedient to be done in connection with the performance or exercise of that function or power.</w:t>
      </w:r>
    </w:p>
    <w:p>
      <w:pPr>
        <w:pStyle w:val="Heading2"/>
      </w:pPr>
      <w:bookmarkStart w:id="33" w:name="_Toc156818913"/>
      <w:bookmarkStart w:id="34" w:name="_Toc156990330"/>
      <w:bookmarkStart w:id="35" w:name="_Toc158374550"/>
      <w:r>
        <w:rPr>
          <w:rStyle w:val="CharPartNo"/>
        </w:rPr>
        <w:lastRenderedPageBreak/>
        <w:t>Part 5</w:t>
      </w:r>
      <w:r>
        <w:t> — </w:t>
      </w:r>
      <w:r>
        <w:rPr>
          <w:rStyle w:val="CharPartText"/>
        </w:rPr>
        <w:t>General</w:t>
      </w:r>
      <w:bookmarkEnd w:id="33"/>
      <w:bookmarkEnd w:id="34"/>
      <w:bookmarkEnd w:id="35"/>
    </w:p>
    <w:p>
      <w:pPr>
        <w:pStyle w:val="Heading5"/>
      </w:pPr>
      <w:bookmarkStart w:id="36" w:name="_Toc158374551"/>
      <w:r>
        <w:rPr>
          <w:rStyle w:val="CharSectno"/>
        </w:rPr>
        <w:t>15</w:t>
      </w:r>
      <w:r>
        <w:t>.</w:t>
      </w:r>
      <w:r>
        <w:tab/>
        <w:t>Exemption from taxes</w:t>
      </w:r>
      <w:bookmarkEnd w:id="36"/>
    </w:p>
    <w:p>
      <w:pPr>
        <w:pStyle w:val="Subsection"/>
        <w:spacing w:before="200"/>
      </w:pPr>
      <w:r>
        <w:tab/>
        <w:t>(1)</w:t>
      </w:r>
      <w:r>
        <w:tab/>
        <w:t xml:space="preserve">Any duty or other tax imposed by or under a law of this State is not payable in relation to — </w:t>
      </w:r>
    </w:p>
    <w:p>
      <w:pPr>
        <w:pStyle w:val="Indenta"/>
      </w:pPr>
      <w:r>
        <w:tab/>
        <w:t>(a)</w:t>
      </w:r>
      <w:r>
        <w:tab/>
        <w:t>an exempt matter; or</w:t>
      </w:r>
    </w:p>
    <w:p>
      <w:pPr>
        <w:pStyle w:val="Indenta"/>
      </w:pPr>
      <w:r>
        <w:tab/>
        <w:t>(b)</w:t>
      </w:r>
      <w:r>
        <w:tab/>
        <w:t>anything done (including, for example, a transaction entered into or an instrument or document made, executed, lodged or given) because of, or arising out of, an exempt matter.</w:t>
      </w:r>
    </w:p>
    <w:p>
      <w:pPr>
        <w:pStyle w:val="Subsection"/>
        <w:spacing w:before="200"/>
      </w:pPr>
      <w:r>
        <w:tab/>
        <w:t>(2)</w:t>
      </w:r>
      <w:r>
        <w:tab/>
        <w:t xml:space="preserve">In this section — </w:t>
      </w:r>
    </w:p>
    <w:p>
      <w:pPr>
        <w:pStyle w:val="Defstart"/>
      </w:pPr>
      <w:r>
        <w:rPr>
          <w:b/>
        </w:rPr>
        <w:tab/>
      </w:r>
      <w:r>
        <w:rPr>
          <w:rStyle w:val="CharDefText"/>
        </w:rPr>
        <w:t>exempt matter</w:t>
      </w:r>
      <w:r>
        <w:t xml:space="preserve"> means a transfer of assets or liabilities — </w:t>
      </w:r>
    </w:p>
    <w:p>
      <w:pPr>
        <w:pStyle w:val="Defpara"/>
      </w:pPr>
      <w:r>
        <w:tab/>
        <w:t>(a)</w:t>
      </w:r>
      <w:r>
        <w:tab/>
        <w:t>that is made for the purpose of ensuring that a person does not carry on a business of producing, purchasing or selling natural gas or processable gas in breach of any ring fencing requirements of any national gas legislation or for the purpose of the separation of certain businesses or business activities from other businesses or business activities of a person as required by an AER ring fencing determination; and</w:t>
      </w:r>
    </w:p>
    <w:p>
      <w:pPr>
        <w:pStyle w:val="Defpara"/>
      </w:pPr>
      <w:r>
        <w:tab/>
        <w:t>(b)</w:t>
      </w:r>
      <w:r>
        <w:tab/>
        <w:t xml:space="preserve">that the Minister and the Treasurer declare from time to time, by order notice of which is published in the </w:t>
      </w:r>
      <w:r>
        <w:rPr>
          <w:i/>
          <w:iCs/>
        </w:rPr>
        <w:t>Government Gazette</w:t>
      </w:r>
      <w:r>
        <w:t>, to be an exempt matter for the purposes of this section.</w:t>
      </w:r>
    </w:p>
    <w:p>
      <w:pPr>
        <w:pStyle w:val="Heading5"/>
      </w:pPr>
      <w:bookmarkStart w:id="37" w:name="_Toc158374552"/>
      <w:r>
        <w:rPr>
          <w:rStyle w:val="CharSectno"/>
        </w:rPr>
        <w:t>16</w:t>
      </w:r>
      <w:r>
        <w:t>.</w:t>
      </w:r>
      <w:r>
        <w:tab/>
        <w:t>Actions in relation to cross boundary pipelines</w:t>
      </w:r>
      <w:bookmarkEnd w:id="37"/>
    </w:p>
    <w:p>
      <w:pPr>
        <w:pStyle w:val="Subsection"/>
        <w:spacing w:before="200"/>
      </w:pPr>
      <w:r>
        <w:tab/>
        <w:t>(1)</w:t>
      </w:r>
      <w:r>
        <w:tab/>
        <w:t xml:space="preserve">If a pipeline is a cross boundary pipeline, any action taken under the national gas legislation of a participating jurisdiction in whose jurisdictional area a part of the pipeline is situated — </w:t>
      </w:r>
    </w:p>
    <w:p>
      <w:pPr>
        <w:pStyle w:val="Indenta"/>
      </w:pPr>
      <w:r>
        <w:tab/>
        <w:t>(a)</w:t>
      </w:r>
      <w:r>
        <w:tab/>
        <w:t>by, or in relation to, a relevant Minister; or</w:t>
      </w:r>
    </w:p>
    <w:p>
      <w:pPr>
        <w:pStyle w:val="Indenta"/>
        <w:keepNext/>
      </w:pPr>
      <w:r>
        <w:lastRenderedPageBreak/>
        <w:tab/>
        <w:t>(b)</w:t>
      </w:r>
      <w:r>
        <w:tab/>
        <w:t>by the Court within the meaning that term has in that legislation in relation to action taken by, or in relation to, a relevant Minister,</w:t>
      </w:r>
    </w:p>
    <w:p>
      <w:pPr>
        <w:pStyle w:val="Subsection"/>
      </w:pPr>
      <w:r>
        <w:tab/>
      </w:r>
      <w:r>
        <w:tab/>
        <w:t>is taken also to be taken under the national gas legislation of each participating jurisdiction in whose jurisdictional area a part of the pipeline is situated (</w:t>
      </w:r>
      <w:r>
        <w:rPr>
          <w:rStyle w:val="CharDefText"/>
          <w:bCs/>
        </w:rPr>
        <w:t>that other legislation</w:t>
      </w:r>
      <w:r>
        <w:t xml:space="preserve">) — </w:t>
      </w:r>
    </w:p>
    <w:p>
      <w:pPr>
        <w:pStyle w:val="Indenta"/>
      </w:pPr>
      <w:r>
        <w:tab/>
        <w:t>(c)</w:t>
      </w:r>
      <w:r>
        <w:tab/>
        <w:t>by, or in relation to, a relevant Minister within the meaning that term has in that other legislation; or</w:t>
      </w:r>
    </w:p>
    <w:p>
      <w:pPr>
        <w:pStyle w:val="Indenta"/>
      </w:pPr>
      <w:r>
        <w:tab/>
        <w:t>(d)</w:t>
      </w:r>
      <w:r>
        <w:tab/>
        <w:t>by the Court within the meaning that term has in that other legislation,</w:t>
      </w:r>
    </w:p>
    <w:p>
      <w:pPr>
        <w:pStyle w:val="Subsection"/>
      </w:pPr>
      <w:r>
        <w:tab/>
      </w:r>
      <w:r>
        <w:tab/>
        <w:t>as the case requires.</w:t>
      </w:r>
    </w:p>
    <w:p>
      <w:pPr>
        <w:pStyle w:val="Subsection"/>
      </w:pPr>
      <w:r>
        <w:tab/>
        <w:t>(2)</w:t>
      </w:r>
      <w:r>
        <w:tab/>
        <w:t>Despite subsection (1), no proceeding for judicial review or for a declaration, injunction, writ, order or remedy may be brought before the Court to challenge or question any action, or purported action, of a relevant Minister taken, or purportedly taken, in relation to a cross boundary distribution pipeline unless this jurisdiction has been determined to be the participating jurisdiction with which the cross boundary distribution pipeline is most closely connected.</w:t>
      </w:r>
    </w:p>
    <w:p>
      <w:pPr>
        <w:pStyle w:val="Subsection"/>
      </w:pPr>
      <w:r>
        <w:tab/>
        <w:t>(3)</w:t>
      </w:r>
      <w:r>
        <w:tab/>
        <w:t xml:space="preserve">A reference in this section — </w:t>
      </w:r>
    </w:p>
    <w:p>
      <w:pPr>
        <w:pStyle w:val="Indenta"/>
      </w:pPr>
      <w:r>
        <w:tab/>
        <w:t>(a)</w:t>
      </w:r>
      <w:r>
        <w:tab/>
        <w:t xml:space="preserve">to an action that is taken includes a reference to — </w:t>
      </w:r>
    </w:p>
    <w:p>
      <w:pPr>
        <w:pStyle w:val="Indenti"/>
      </w:pPr>
      <w:r>
        <w:tab/>
        <w:t>(i)</w:t>
      </w:r>
      <w:r>
        <w:tab/>
        <w:t>a decision or determination that is made; or</w:t>
      </w:r>
    </w:p>
    <w:p>
      <w:pPr>
        <w:pStyle w:val="Indenti"/>
      </w:pPr>
      <w:r>
        <w:tab/>
        <w:t>(ii)</w:t>
      </w:r>
      <w:r>
        <w:tab/>
        <w:t>an omission that is made;</w:t>
      </w:r>
    </w:p>
    <w:p>
      <w:pPr>
        <w:pStyle w:val="Indenta"/>
      </w:pPr>
      <w:r>
        <w:tab/>
        <w:t>(b)</w:t>
      </w:r>
      <w:r>
        <w:tab/>
        <w:t>to a purported action that is purportedly taken includes a reference to a purported decision or determination that is purportedly made.</w:t>
      </w:r>
    </w:p>
    <w:p>
      <w:pPr>
        <w:pStyle w:val="Subsection"/>
      </w:pPr>
      <w:r>
        <w:tab/>
        <w:t>(4)</w:t>
      </w:r>
      <w:r>
        <w:tab/>
        <w:t xml:space="preserve">In this section — </w:t>
      </w:r>
    </w:p>
    <w:p>
      <w:pPr>
        <w:pStyle w:val="Defstart"/>
      </w:pPr>
      <w:r>
        <w:rPr>
          <w:b/>
        </w:rPr>
        <w:tab/>
      </w:r>
      <w:r>
        <w:rPr>
          <w:rStyle w:val="CharDefText"/>
        </w:rPr>
        <w:t>cross boundary pipeline</w:t>
      </w:r>
      <w:r>
        <w:t xml:space="preserve"> means — </w:t>
      </w:r>
    </w:p>
    <w:p>
      <w:pPr>
        <w:pStyle w:val="Defpara"/>
      </w:pPr>
      <w:r>
        <w:tab/>
        <w:t>(a)</w:t>
      </w:r>
      <w:r>
        <w:tab/>
        <w:t>a cross boundary transmission pipeline; or</w:t>
      </w:r>
    </w:p>
    <w:p>
      <w:pPr>
        <w:pStyle w:val="Defpara"/>
      </w:pPr>
      <w:r>
        <w:tab/>
        <w:t>(b)</w:t>
      </w:r>
      <w:r>
        <w:tab/>
        <w:t>a cross boundary distribution pipeline.</w:t>
      </w:r>
    </w:p>
    <w:p>
      <w:pPr>
        <w:pStyle w:val="Heading5"/>
      </w:pPr>
      <w:bookmarkStart w:id="38" w:name="_Toc158374553"/>
      <w:r>
        <w:rPr>
          <w:rStyle w:val="CharSectno"/>
        </w:rPr>
        <w:lastRenderedPageBreak/>
        <w:t>17</w:t>
      </w:r>
      <w:r>
        <w:t>.</w:t>
      </w:r>
      <w:r>
        <w:tab/>
        <w:t>Conferral of functions and powers on Commonwealth bodies</w:t>
      </w:r>
      <w:bookmarkEnd w:id="38"/>
    </w:p>
    <w:p>
      <w:pPr>
        <w:pStyle w:val="Subsection"/>
      </w:pPr>
      <w:r>
        <w:tab/>
        <w:t>(1)</w:t>
      </w:r>
      <w:r>
        <w:tab/>
        <w:t>Clause 2 of Schedule 2 to the National Gas Access (Western Australia) Law has effect in relation to the operation of any provision of this Act, or any regulation forming part of the National Gas Access (Western Australia) Regulations, as if the provision or regulation formed part of the National Gas Access (Western Australia) Law.</w:t>
      </w:r>
    </w:p>
    <w:p>
      <w:pPr>
        <w:pStyle w:val="Subsection"/>
      </w:pPr>
      <w:r>
        <w:tab/>
        <w:t>(2)</w:t>
      </w:r>
      <w:r>
        <w:tab/>
        <w:t>Subsection (1) does not limit the effect that a provision or regulation would validly have apart from the subsection.</w:t>
      </w:r>
    </w:p>
    <w:p>
      <w:pPr>
        <w:pStyle w:val="Heading2"/>
      </w:pPr>
      <w:bookmarkStart w:id="39" w:name="_Toc156818917"/>
      <w:bookmarkStart w:id="40" w:name="_Toc156990334"/>
      <w:bookmarkStart w:id="41" w:name="_Toc158374554"/>
      <w:r>
        <w:rPr>
          <w:rStyle w:val="CharPartNo"/>
        </w:rPr>
        <w:lastRenderedPageBreak/>
        <w:t>Part 6</w:t>
      </w:r>
      <w:r>
        <w:t> — </w:t>
      </w:r>
      <w:r>
        <w:rPr>
          <w:rStyle w:val="CharPartText"/>
        </w:rPr>
        <w:t>Other local provisions</w:t>
      </w:r>
      <w:bookmarkEnd w:id="39"/>
      <w:bookmarkEnd w:id="40"/>
      <w:bookmarkEnd w:id="41"/>
    </w:p>
    <w:p>
      <w:pPr>
        <w:pStyle w:val="Heading3"/>
      </w:pPr>
      <w:bookmarkStart w:id="42" w:name="_Toc156818918"/>
      <w:bookmarkStart w:id="43" w:name="_Toc156990335"/>
      <w:bookmarkStart w:id="44" w:name="_Toc158374555"/>
      <w:r>
        <w:rPr>
          <w:rStyle w:val="CharDivNo"/>
        </w:rPr>
        <w:t>Division 1</w:t>
      </w:r>
      <w:r>
        <w:t> — </w:t>
      </w:r>
      <w:r>
        <w:rPr>
          <w:rStyle w:val="CharDivText"/>
        </w:rPr>
        <w:t>Economic Regulation Authority</w:t>
      </w:r>
      <w:bookmarkEnd w:id="42"/>
      <w:bookmarkEnd w:id="43"/>
      <w:bookmarkEnd w:id="44"/>
    </w:p>
    <w:p>
      <w:pPr>
        <w:pStyle w:val="Heading5"/>
      </w:pPr>
      <w:bookmarkStart w:id="45" w:name="_Toc158374556"/>
      <w:r>
        <w:rPr>
          <w:rStyle w:val="CharSectno"/>
        </w:rPr>
        <w:t>18</w:t>
      </w:r>
      <w:r>
        <w:t>.</w:t>
      </w:r>
      <w:r>
        <w:tab/>
        <w:t>Expertise of Director of Energy Safety to be used</w:t>
      </w:r>
      <w:bookmarkEnd w:id="45"/>
    </w:p>
    <w:p>
      <w:pPr>
        <w:pStyle w:val="Subsection"/>
      </w:pPr>
      <w:r>
        <w:tab/>
      </w:r>
      <w:r>
        <w:tab/>
        <w:t xml:space="preserve">In performing its functions under this Act the ERA is to make appropriate use of the expertise of the Director of Energy Safety under the </w:t>
      </w:r>
      <w:r>
        <w:rPr>
          <w:i/>
          <w:iCs/>
        </w:rPr>
        <w:t>Energy Coordination Act 1994</w:t>
      </w:r>
      <w:r>
        <w:t xml:space="preserve"> in relation to safety or technical standards in the gas supply industry.</w:t>
      </w:r>
    </w:p>
    <w:p>
      <w:pPr>
        <w:pStyle w:val="Heading3"/>
      </w:pPr>
      <w:bookmarkStart w:id="46" w:name="_Toc156818920"/>
      <w:bookmarkStart w:id="47" w:name="_Toc156990337"/>
      <w:bookmarkStart w:id="48" w:name="_Toc158374557"/>
      <w:r>
        <w:rPr>
          <w:rStyle w:val="CharDivNo"/>
        </w:rPr>
        <w:t>Division 2</w:t>
      </w:r>
      <w:r>
        <w:t> — </w:t>
      </w:r>
      <w:r>
        <w:rPr>
          <w:rStyle w:val="CharDivText"/>
        </w:rPr>
        <w:t>Miscellaneous</w:t>
      </w:r>
      <w:bookmarkEnd w:id="46"/>
      <w:bookmarkEnd w:id="47"/>
      <w:bookmarkEnd w:id="48"/>
    </w:p>
    <w:p>
      <w:pPr>
        <w:pStyle w:val="Heading5"/>
        <w:ind w:left="720"/>
        <w:rPr>
          <w:rFonts w:eastAsia="Arial Unicode MS"/>
          <w:snapToGrid w:val="0"/>
          <w:szCs w:val="22"/>
        </w:rPr>
      </w:pPr>
      <w:bookmarkStart w:id="49" w:name="_Toc158374558"/>
      <w:r>
        <w:rPr>
          <w:rStyle w:val="CharSectno"/>
        </w:rPr>
        <w:t>19</w:t>
      </w:r>
      <w:r>
        <w:rPr>
          <w:snapToGrid w:val="0"/>
          <w:szCs w:val="22"/>
        </w:rPr>
        <w:t>.</w:t>
      </w:r>
      <w:r>
        <w:rPr>
          <w:snapToGrid w:val="0"/>
          <w:szCs w:val="22"/>
        </w:rPr>
        <w:tab/>
        <w:t>Preservation of certain contracts relating to privatised DBNGP system</w:t>
      </w:r>
      <w:bookmarkEnd w:id="49"/>
    </w:p>
    <w:p>
      <w:pPr>
        <w:pStyle w:val="Subsection"/>
      </w:pPr>
      <w:r>
        <w:rPr>
          <w:sz w:val="22"/>
          <w:szCs w:val="22"/>
        </w:rPr>
        <w:tab/>
      </w:r>
      <w:r>
        <w:t>(1)</w:t>
      </w:r>
      <w:r>
        <w:rPr>
          <w:sz w:val="22"/>
          <w:szCs w:val="22"/>
        </w:rPr>
        <w:tab/>
      </w:r>
      <w:r>
        <w:rPr>
          <w:szCs w:val="22"/>
        </w:rPr>
        <w:t>The national provisions do not affect the continuance or operation of an exempt contract.</w:t>
      </w:r>
    </w:p>
    <w:p>
      <w:pPr>
        <w:pStyle w:val="Subsection"/>
        <w:rPr>
          <w:snapToGrid w:val="0"/>
          <w:szCs w:val="22"/>
        </w:rPr>
      </w:pPr>
      <w:r>
        <w:tab/>
        <w:t>(2)</w:t>
      </w:r>
      <w:r>
        <w:tab/>
      </w:r>
      <w:r>
        <w:rPr>
          <w:snapToGrid w:val="0"/>
          <w:szCs w:val="22"/>
        </w:rPr>
        <w:t xml:space="preserve">Despite the repeal of the </w:t>
      </w:r>
      <w:r>
        <w:rPr>
          <w:i/>
          <w:iCs/>
          <w:snapToGrid w:val="0"/>
          <w:szCs w:val="22"/>
        </w:rPr>
        <w:t>Gas Pipelines Access (Western Australia) Act 1998</w:t>
      </w:r>
      <w:r>
        <w:rPr>
          <w:snapToGrid w:val="0"/>
          <w:szCs w:val="22"/>
        </w:rPr>
        <w:t xml:space="preserve"> section 96, that section continues to apply </w:t>
      </w:r>
      <w:r>
        <w:rPr>
          <w:noProof/>
        </w:rPr>
        <w:t>to a contract other than an exempt contract</w:t>
      </w:r>
      <w:r>
        <w:rPr>
          <w:snapToGrid w:val="0"/>
          <w:szCs w:val="22"/>
        </w:rPr>
        <w:t xml:space="preserve"> as if the references in section 96(1) and (2)(b) to “the Code” were references to the relevant national provisions.</w:t>
      </w:r>
    </w:p>
    <w:p>
      <w:pPr>
        <w:pStyle w:val="Subsection"/>
        <w:rPr>
          <w:snapToGrid w:val="0"/>
          <w:szCs w:val="22"/>
        </w:rPr>
      </w:pPr>
      <w:r>
        <w:tab/>
        <w:t>(3)</w:t>
      </w:r>
      <w:r>
        <w:tab/>
      </w:r>
      <w:r>
        <w:rPr>
          <w:snapToGrid w:val="0"/>
          <w:szCs w:val="22"/>
        </w:rPr>
        <w:t>In this section — </w:t>
      </w:r>
    </w:p>
    <w:p>
      <w:pPr>
        <w:pStyle w:val="Defstart"/>
        <w:rPr>
          <w:sz w:val="22"/>
          <w:szCs w:val="22"/>
        </w:rPr>
      </w:pPr>
      <w:r>
        <w:tab/>
      </w:r>
      <w:r>
        <w:rPr>
          <w:rStyle w:val="CharDefText"/>
        </w:rPr>
        <w:t>exempt contract</w:t>
      </w:r>
      <w:r>
        <w:rPr>
          <w:sz w:val="22"/>
          <w:szCs w:val="22"/>
        </w:rPr>
        <w:t xml:space="preserve"> — </w:t>
      </w:r>
    </w:p>
    <w:p>
      <w:pPr>
        <w:pStyle w:val="Defpara"/>
        <w:rPr>
          <w:szCs w:val="22"/>
        </w:rPr>
      </w:pPr>
      <w:r>
        <w:rPr>
          <w:szCs w:val="22"/>
        </w:rPr>
        <w:tab/>
        <w:t>(a)</w:t>
      </w:r>
      <w:r>
        <w:rPr>
          <w:szCs w:val="22"/>
        </w:rPr>
        <w:tab/>
        <w:t xml:space="preserve">means a contract in respect of which a declaration under the </w:t>
      </w:r>
      <w:r>
        <w:rPr>
          <w:i/>
          <w:iCs/>
          <w:szCs w:val="22"/>
        </w:rPr>
        <w:t>Gas Corporation Act 1994</w:t>
      </w:r>
      <w:r>
        <w:rPr>
          <w:szCs w:val="22"/>
        </w:rPr>
        <w:t xml:space="preserve"> Schedule 5 clause 6 was in force immediately before the coming into operation of the </w:t>
      </w:r>
      <w:r>
        <w:rPr>
          <w:i/>
          <w:iCs/>
          <w:szCs w:val="22"/>
        </w:rPr>
        <w:t>Dampier to Bunbury Pipeline Act 1997</w:t>
      </w:r>
      <w:r>
        <w:rPr>
          <w:szCs w:val="22"/>
        </w:rPr>
        <w:t xml:space="preserve"> Schedule 4 clause 17(4); and</w:t>
      </w:r>
    </w:p>
    <w:p>
      <w:pPr>
        <w:pStyle w:val="Defpara"/>
        <w:rPr>
          <w:szCs w:val="22"/>
        </w:rPr>
      </w:pPr>
      <w:r>
        <w:rPr>
          <w:szCs w:val="22"/>
        </w:rPr>
        <w:tab/>
        <w:t>(b)</w:t>
      </w:r>
      <w:r>
        <w:rPr>
          <w:szCs w:val="22"/>
        </w:rPr>
        <w:tab/>
        <w:t xml:space="preserve">includes a contract entered into — </w:t>
      </w:r>
    </w:p>
    <w:p>
      <w:pPr>
        <w:pStyle w:val="Defsubpara"/>
        <w:rPr>
          <w:szCs w:val="22"/>
        </w:rPr>
      </w:pPr>
      <w:r>
        <w:rPr>
          <w:szCs w:val="22"/>
        </w:rPr>
        <w:tab/>
        <w:t>(i)</w:t>
      </w:r>
      <w:r>
        <w:rPr>
          <w:szCs w:val="22"/>
        </w:rPr>
        <w:tab/>
        <w:t>in substitution for a contract referred to in paragraph (a) or any provision of such a contract; or</w:t>
      </w:r>
    </w:p>
    <w:p>
      <w:pPr>
        <w:pStyle w:val="Defsubpara"/>
        <w:rPr>
          <w:szCs w:val="22"/>
        </w:rPr>
      </w:pPr>
      <w:r>
        <w:rPr>
          <w:szCs w:val="22"/>
        </w:rPr>
        <w:lastRenderedPageBreak/>
        <w:tab/>
        <w:t>(ii)</w:t>
      </w:r>
      <w:r>
        <w:rPr>
          <w:szCs w:val="22"/>
        </w:rPr>
        <w:tab/>
        <w:t>by way of amendment of a contract referred to in paragraph (a) or subparagraph (i);</w:t>
      </w:r>
    </w:p>
    <w:p>
      <w:pPr>
        <w:pStyle w:val="Defstart"/>
        <w:rPr>
          <w:szCs w:val="22"/>
        </w:rPr>
      </w:pPr>
      <w:r>
        <w:rPr>
          <w:szCs w:val="22"/>
        </w:rPr>
        <w:tab/>
      </w:r>
      <w:r>
        <w:rPr>
          <w:rStyle w:val="CharDefText"/>
        </w:rPr>
        <w:t>national provisions</w:t>
      </w:r>
      <w:r>
        <w:rPr>
          <w:szCs w:val="22"/>
        </w:rPr>
        <w:t xml:space="preserve"> means the National Gas Access (Western Australia) Law, the Rules made under that Law, and the National Gas Access (Western Australia) Regulations;</w:t>
      </w:r>
    </w:p>
    <w:p>
      <w:pPr>
        <w:pStyle w:val="Defstart"/>
        <w:keepNext/>
        <w:keepLines/>
        <w:rPr>
          <w:szCs w:val="22"/>
        </w:rPr>
      </w:pPr>
      <w:r>
        <w:rPr>
          <w:szCs w:val="22"/>
        </w:rPr>
        <w:tab/>
      </w:r>
      <w:r>
        <w:rPr>
          <w:rStyle w:val="CharDefText"/>
        </w:rPr>
        <w:t>relevant national provisions</w:t>
      </w:r>
      <w:r>
        <w:rPr>
          <w:szCs w:val="22"/>
        </w:rPr>
        <w:t xml:space="preserve"> means any of the national provisions having the same purpose as a provision of the Gas Code, as defined in the National Gas Access (Western Australia) Law section 2.</w:t>
      </w:r>
    </w:p>
    <w:p>
      <w:pPr>
        <w:pStyle w:val="Heading5"/>
      </w:pPr>
      <w:bookmarkStart w:id="50" w:name="_Toc158374559"/>
      <w:r>
        <w:rPr>
          <w:rStyle w:val="CharSectno"/>
        </w:rPr>
        <w:t>20</w:t>
      </w:r>
      <w:r>
        <w:t>.</w:t>
      </w:r>
      <w:r>
        <w:tab/>
        <w:t>Transitional provisions for Kalgoorlie to Kambalda pipeline</w:t>
      </w:r>
      <w:bookmarkEnd w:id="50"/>
    </w:p>
    <w:p>
      <w:pPr>
        <w:pStyle w:val="Subsection"/>
      </w:pPr>
      <w:r>
        <w:tab/>
        <w:t>(1)</w:t>
      </w:r>
      <w:r>
        <w:tab/>
        <w:t xml:space="preserve">This section applies to the pipeline to which licence PL27, granted under the </w:t>
      </w:r>
      <w:r>
        <w:rPr>
          <w:i/>
          <w:iCs/>
        </w:rPr>
        <w:t>Petroleum Pipelines Act 1969</w:t>
      </w:r>
      <w:r>
        <w:t>, applies.</w:t>
      </w:r>
    </w:p>
    <w:p>
      <w:pPr>
        <w:pStyle w:val="Subsection"/>
      </w:pPr>
      <w:r>
        <w:tab/>
        <w:t>(2)</w:t>
      </w:r>
      <w:r>
        <w:tab/>
        <w:t xml:space="preserve">A service provider has a period of 6 months after the day on which section 30 comes into operation (the </w:t>
      </w:r>
      <w:r>
        <w:rPr>
          <w:rStyle w:val="CharDefText"/>
        </w:rPr>
        <w:t>transitional period</w:t>
      </w:r>
      <w:r>
        <w:t xml:space="preserve">) within which to — </w:t>
      </w:r>
    </w:p>
    <w:p>
      <w:pPr>
        <w:pStyle w:val="Indenta"/>
      </w:pPr>
      <w:r>
        <w:tab/>
        <w:t>(a)</w:t>
      </w:r>
      <w:r>
        <w:tab/>
        <w:t>submit to the ERA an access arrangement; or</w:t>
      </w:r>
    </w:p>
    <w:p>
      <w:pPr>
        <w:pStyle w:val="Indenta"/>
      </w:pPr>
      <w:r>
        <w:tab/>
        <w:t>(b)</w:t>
      </w:r>
      <w:r>
        <w:tab/>
        <w:t xml:space="preserve">apply for a determination that the pipeline be no longer a covered pipeline; or </w:t>
      </w:r>
    </w:p>
    <w:p>
      <w:pPr>
        <w:pStyle w:val="Indenta"/>
      </w:pPr>
      <w:r>
        <w:tab/>
        <w:t>(c)</w:t>
      </w:r>
      <w:r>
        <w:tab/>
        <w:t>apply under section 112 of the National Gas Access (Western Australia) Law for a light regulation determination.</w:t>
      </w:r>
    </w:p>
    <w:p>
      <w:pPr>
        <w:pStyle w:val="Subsection"/>
      </w:pPr>
      <w:r>
        <w:tab/>
        <w:t>(3)</w:t>
      </w:r>
      <w:r>
        <w:tab/>
        <w:t>Despite section 111(b) of the National Gas Access (Western Australia) Law, an application may be made in accordance with subsection (2)(c), even though there is no applicable access arrangement for the pipeline, and Chapter 3 Part 2 Division 1 Subdivision 1 of that Law applies to the application.</w:t>
      </w:r>
    </w:p>
    <w:p>
      <w:pPr>
        <w:pStyle w:val="Heading5"/>
      </w:pPr>
      <w:bookmarkStart w:id="51" w:name="_Toc158374560"/>
      <w:r>
        <w:rPr>
          <w:rStyle w:val="CharSectno"/>
        </w:rPr>
        <w:t>21</w:t>
      </w:r>
      <w:r>
        <w:t>.</w:t>
      </w:r>
      <w:r>
        <w:tab/>
        <w:t>Regulations</w:t>
      </w:r>
      <w:bookmarkEnd w:id="51"/>
    </w:p>
    <w:p>
      <w:pPr>
        <w:pStyle w:val="Subsection"/>
      </w:pPr>
      <w:r>
        <w:tab/>
        <w:t>(1)</w:t>
      </w:r>
      <w:r>
        <w:tab/>
        <w:t>Without limiting the power to make regulations under Part 3, the Governor acting with the advice and consent of the Executive Council may make other regulations contemplated by, or necessary or expedient for giving effect to, this Act.</w:t>
      </w:r>
    </w:p>
    <w:p>
      <w:pPr>
        <w:pStyle w:val="Subsection"/>
      </w:pPr>
      <w:r>
        <w:lastRenderedPageBreak/>
        <w:tab/>
        <w:t>(2)</w:t>
      </w:r>
      <w:r>
        <w:tab/>
        <w:t>Regulations under subsection (1) may make provision for and in relation to the imposition and payment of fees and charges in connection with the performance of functions the arbitrator has under this Act, to the extent that the costs connected with performing those functions are not covered by fees under the National Gas Access (Western Australia) Regulations.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(4)</w:t>
      </w:r>
      <w:r>
        <w:tab/>
        <w:t>Despite the National Gas Access (Western Australia) Law or Rules made under that Law, regulations under subsection (1) may make provision for further matters to affect the setting of a reference tariff for a reference service provided by means of a distribution pipeline to the extent that the service is used for the supply of natural gas to an end user prescribed by the regulations to be a small use customer for the purposes of this subsection.</w:t>
      </w:r>
    </w:p>
    <w:p>
      <w:pPr>
        <w:pStyle w:val="Subsection"/>
      </w:pPr>
      <w:r>
        <w:tab/>
        <w:t>(5)</w:t>
      </w:r>
      <w:r>
        <w:tab/>
        <w:t>Regulations under subsection (1) may prescribe a period ending not later than 31 December 2031 as a period during which the fixed principle referred to in clause 7.13(a)(ii) of the Revised Access Arrangement for the Dampier to Bunbury Natural Gas Pipeline dated 21 November 2006 applies despite anything in the National Gas Access (Western Australia) Law or Rules made under that Law, and during a period prescribed the fixed principle applies accordingly.</w:t>
      </w:r>
    </w:p>
    <w:p>
      <w:pPr>
        <w:pStyle w:val="Heading5"/>
      </w:pPr>
      <w:bookmarkStart w:id="52" w:name="_Toc158374561"/>
      <w:r>
        <w:rPr>
          <w:rStyle w:val="CharSectno"/>
        </w:rPr>
        <w:t>22</w:t>
      </w:r>
      <w:r>
        <w:t>.</w:t>
      </w:r>
      <w:r>
        <w:tab/>
        <w:t>Review of Act</w:t>
      </w:r>
      <w:bookmarkEnd w:id="52"/>
    </w:p>
    <w:p>
      <w:pPr>
        <w:pStyle w:val="Subsection"/>
      </w:pPr>
      <w:r>
        <w:tab/>
        <w:t>(1)</w:t>
      </w:r>
      <w:r>
        <w:tab/>
        <w:t xml:space="preserve">The Minister is to cause </w:t>
      </w:r>
      <w:r>
        <w:rPr>
          <w:szCs w:val="22"/>
        </w:rPr>
        <w:t>a person, other than an officer of a department or body for which the Minister is responsible, to carry out a review</w:t>
      </w:r>
      <w:r>
        <w:t xml:space="preserve"> of the operation and effectiveness of this Act as soon as is practicable after the review day described in </w:t>
      </w:r>
      <w:r>
        <w:lastRenderedPageBreak/>
        <w:t xml:space="preserve">subsection (2) and, in the course of that review, consideration is to be given, and regard is to be had, to — </w:t>
      </w:r>
    </w:p>
    <w:p>
      <w:pPr>
        <w:pStyle w:val="Indenta"/>
      </w:pPr>
      <w:r>
        <w:tab/>
        <w:t>(a)</w:t>
      </w:r>
      <w:r>
        <w:tab/>
        <w:t>the effectiveness of the operations of the ERA and the WA arbitrator; and</w:t>
      </w:r>
    </w:p>
    <w:p>
      <w:pPr>
        <w:pStyle w:val="Indenta"/>
      </w:pPr>
      <w:r>
        <w:tab/>
        <w:t>(b)</w:t>
      </w:r>
      <w:r>
        <w:tab/>
        <w:t>the need for the continuation of section 21(4) and (5); and</w:t>
      </w:r>
    </w:p>
    <w:p>
      <w:pPr>
        <w:pStyle w:val="Indenta"/>
      </w:pPr>
      <w:r>
        <w:tab/>
        <w:t>(c)</w:t>
      </w:r>
      <w:r>
        <w:tab/>
        <w:t>any other matters that appear to the Minister to be relevant to the operation and effectiveness of this Act.</w:t>
      </w:r>
    </w:p>
    <w:p>
      <w:pPr>
        <w:pStyle w:val="Subsection"/>
      </w:pPr>
      <w:r>
        <w:tab/>
        <w:t>(2)</w:t>
      </w:r>
      <w:r>
        <w:tab/>
        <w:t xml:space="preserve">The review day is 1 July 2013 unless, before that day a licence is granted under the </w:t>
      </w:r>
      <w:r>
        <w:rPr>
          <w:i/>
          <w:iCs/>
        </w:rPr>
        <w:t>Petroleum Pipelines Act 1969</w:t>
      </w:r>
      <w:r>
        <w:t xml:space="preserve"> for a pipeline that is to be partly in the jurisdictional area of this State and partly in the jurisdictional area of the Northern Territory or South Australia, in which case the review day is the day on which the licence is granted.</w:t>
      </w:r>
    </w:p>
    <w:p>
      <w:pPr>
        <w:pStyle w:val="Subsection"/>
        <w:rPr>
          <w:szCs w:val="22"/>
        </w:rPr>
      </w:pPr>
      <w:r>
        <w:rPr>
          <w:sz w:val="22"/>
          <w:szCs w:val="22"/>
        </w:rPr>
        <w:tab/>
      </w:r>
      <w:r>
        <w:t>(3)</w:t>
      </w:r>
      <w:r>
        <w:rPr>
          <w:sz w:val="22"/>
          <w:szCs w:val="22"/>
        </w:rPr>
        <w:tab/>
      </w:r>
      <w:r>
        <w:rPr>
          <w:szCs w:val="22"/>
        </w:rPr>
        <w:t>The person carrying out the review is to prepare and give to the Minister a report based on the review within sufficient time to enable the Minister to comply with subsection (4).</w:t>
      </w:r>
    </w:p>
    <w:p>
      <w:pPr>
        <w:pStyle w:val="Subsection"/>
        <w:rPr>
          <w:sz w:val="22"/>
          <w:szCs w:val="22"/>
        </w:rPr>
      </w:pPr>
      <w:r>
        <w:tab/>
        <w:t>(4)</w:t>
      </w:r>
      <w:r>
        <w:tab/>
        <w:t>The Minister is to prepare a response to the report and, as soon as is practicable after the response is prepared, and in any event not more than 12 months after the review day described in subsection (2), cause the report and the response to be laid before each House of Parliament.</w:t>
      </w:r>
    </w:p>
    <w:p>
      <w:pPr>
        <w:pStyle w:val="Heading2"/>
      </w:pPr>
      <w:bookmarkStart w:id="53" w:name="_Toc156818925"/>
      <w:bookmarkStart w:id="54" w:name="_Toc156990342"/>
      <w:bookmarkStart w:id="55" w:name="_Toc158374562"/>
      <w:r>
        <w:rPr>
          <w:rStyle w:val="CharPartNo"/>
        </w:rPr>
        <w:lastRenderedPageBreak/>
        <w:t>Part 7</w:t>
      </w:r>
      <w:r>
        <w:t> — </w:t>
      </w:r>
      <w:r>
        <w:rPr>
          <w:rStyle w:val="CharPartText"/>
        </w:rPr>
        <w:t>Various Acts amended</w:t>
      </w:r>
      <w:bookmarkEnd w:id="53"/>
      <w:bookmarkEnd w:id="54"/>
      <w:bookmarkEnd w:id="55"/>
    </w:p>
    <w:p>
      <w:pPr>
        <w:pStyle w:val="Heading3"/>
        <w:spacing w:before="120"/>
      </w:pPr>
      <w:bookmarkStart w:id="56" w:name="_Toc156818926"/>
      <w:bookmarkStart w:id="57" w:name="_Toc156990343"/>
      <w:bookmarkStart w:id="58" w:name="_Toc158374563"/>
      <w:r>
        <w:rPr>
          <w:rStyle w:val="CharDivNo"/>
        </w:rPr>
        <w:t>Division 1</w:t>
      </w:r>
      <w:r>
        <w:t> — </w:t>
      </w:r>
      <w:r>
        <w:rPr>
          <w:rStyle w:val="CharDivText"/>
          <w:i/>
        </w:rPr>
        <w:t>Gas Pipelines Access (Western Australia) Act 1998</w:t>
      </w:r>
      <w:bookmarkEnd w:id="56"/>
      <w:bookmarkEnd w:id="57"/>
      <w:bookmarkEnd w:id="58"/>
    </w:p>
    <w:p>
      <w:pPr>
        <w:pStyle w:val="Heading5"/>
        <w:spacing w:before="120"/>
      </w:pPr>
      <w:bookmarkStart w:id="59" w:name="_Toc158374564"/>
      <w:r>
        <w:rPr>
          <w:rStyle w:val="CharSectno"/>
        </w:rPr>
        <w:t>23</w:t>
      </w:r>
      <w:r>
        <w:t>.</w:t>
      </w:r>
      <w:r>
        <w:tab/>
        <w:t>Act amended</w:t>
      </w:r>
      <w:bookmarkEnd w:id="59"/>
    </w:p>
    <w:p>
      <w:pPr>
        <w:pStyle w:val="Subsection"/>
      </w:pPr>
      <w:r>
        <w:tab/>
      </w:r>
      <w:r>
        <w:tab/>
        <w:t xml:space="preserve">This Division amends the </w:t>
      </w:r>
      <w:r>
        <w:rPr>
          <w:i/>
          <w:iCs/>
        </w:rPr>
        <w:t>Gas Pipelines Access (Western Australia) Act 1998</w:t>
      </w:r>
      <w:r>
        <w:t>.</w:t>
      </w:r>
    </w:p>
    <w:p>
      <w:pPr>
        <w:pStyle w:val="Heading5"/>
        <w:spacing w:before="120"/>
      </w:pPr>
      <w:bookmarkStart w:id="60" w:name="_Toc158374565"/>
      <w:r>
        <w:rPr>
          <w:rStyle w:val="CharSectno"/>
        </w:rPr>
        <w:t>24</w:t>
      </w:r>
      <w:r>
        <w:t>.</w:t>
      </w:r>
      <w:r>
        <w:tab/>
        <w:t>Long title replaced</w:t>
      </w:r>
      <w:bookmarkEnd w:id="60"/>
    </w:p>
    <w:p>
      <w:pPr>
        <w:pStyle w:val="Subsection"/>
      </w:pPr>
      <w:r>
        <w:tab/>
      </w:r>
      <w:r>
        <w:tab/>
        <w:t>Delete the long title and insert:</w:t>
      </w:r>
    </w:p>
    <w:p>
      <w:pPr>
        <w:pStyle w:val="BlankOpen"/>
      </w:pPr>
    </w:p>
    <w:p>
      <w:pPr>
        <w:pStyle w:val="zLongTitle"/>
      </w:pPr>
      <w:r>
        <w:t>An Act to provide for a review board and for an official who may arbitrate certain disputes, and for related purposes.</w:t>
      </w:r>
    </w:p>
    <w:p>
      <w:pPr>
        <w:pStyle w:val="BlankClose"/>
      </w:pPr>
    </w:p>
    <w:p>
      <w:pPr>
        <w:pStyle w:val="Heading5"/>
      </w:pPr>
      <w:bookmarkStart w:id="61" w:name="_Toc158374566"/>
      <w:r>
        <w:rPr>
          <w:rStyle w:val="CharSectno"/>
        </w:rPr>
        <w:t>25</w:t>
      </w:r>
      <w:r>
        <w:t>.</w:t>
      </w:r>
      <w:r>
        <w:tab/>
        <w:t>Preamble deleted</w:t>
      </w:r>
      <w:bookmarkEnd w:id="61"/>
    </w:p>
    <w:p>
      <w:pPr>
        <w:pStyle w:val="Subsection"/>
      </w:pPr>
      <w:r>
        <w:tab/>
      </w:r>
      <w:r>
        <w:tab/>
        <w:t>Delete the preamble.</w:t>
      </w:r>
    </w:p>
    <w:p>
      <w:pPr>
        <w:pStyle w:val="Heading5"/>
      </w:pPr>
      <w:bookmarkStart w:id="62" w:name="_Toc158374567"/>
      <w:r>
        <w:rPr>
          <w:rStyle w:val="CharSectno"/>
        </w:rPr>
        <w:t>26</w:t>
      </w:r>
      <w:r>
        <w:t>.</w:t>
      </w:r>
      <w:r>
        <w:tab/>
        <w:t>Section 1 amended</w:t>
      </w:r>
      <w:bookmarkEnd w:id="62"/>
    </w:p>
    <w:p>
      <w:pPr>
        <w:pStyle w:val="Subsection"/>
      </w:pPr>
      <w:r>
        <w:tab/>
      </w:r>
      <w:r>
        <w:tab/>
        <w:t>In section 1 delete “</w:t>
      </w:r>
      <w:r>
        <w:rPr>
          <w:i/>
          <w:iCs/>
        </w:rPr>
        <w:t>Gas Pipelines Access (Western Australia) Act 1998.</w:t>
      </w:r>
      <w:r>
        <w:t>” and insert:</w:t>
      </w:r>
    </w:p>
    <w:p>
      <w:pPr>
        <w:pStyle w:val="BlankOpen"/>
      </w:pPr>
    </w:p>
    <w:p>
      <w:pPr>
        <w:pStyle w:val="Subsection"/>
        <w:rPr>
          <w:i/>
          <w:iCs/>
        </w:rPr>
      </w:pPr>
      <w:r>
        <w:tab/>
      </w:r>
      <w:r>
        <w:tab/>
      </w:r>
      <w:r>
        <w:rPr>
          <w:i/>
          <w:iCs/>
        </w:rPr>
        <w:t>Energy Arbitration and Review Act 1998.</w:t>
      </w:r>
    </w:p>
    <w:p>
      <w:pPr>
        <w:pStyle w:val="BlankClose"/>
      </w:pPr>
    </w:p>
    <w:p>
      <w:pPr>
        <w:pStyle w:val="Heading5"/>
      </w:pPr>
      <w:bookmarkStart w:id="63" w:name="_Toc158374568"/>
      <w:r>
        <w:rPr>
          <w:rStyle w:val="CharSectno"/>
        </w:rPr>
        <w:t>27</w:t>
      </w:r>
      <w:r>
        <w:t>.</w:t>
      </w:r>
      <w:r>
        <w:tab/>
        <w:t>Sections 2 to 4 deleted</w:t>
      </w:r>
      <w:bookmarkEnd w:id="63"/>
    </w:p>
    <w:p>
      <w:pPr>
        <w:pStyle w:val="Subsection"/>
      </w:pPr>
      <w:r>
        <w:tab/>
      </w:r>
      <w:r>
        <w:tab/>
        <w:t>Delete sections 2 to 4.</w:t>
      </w:r>
    </w:p>
    <w:p>
      <w:pPr>
        <w:pStyle w:val="Heading5"/>
      </w:pPr>
      <w:bookmarkStart w:id="64" w:name="_Toc158374569"/>
      <w:r>
        <w:rPr>
          <w:rStyle w:val="CharSectno"/>
        </w:rPr>
        <w:t>28</w:t>
      </w:r>
      <w:r>
        <w:t>.</w:t>
      </w:r>
      <w:r>
        <w:tab/>
        <w:t>Section 5 amended</w:t>
      </w:r>
      <w:bookmarkEnd w:id="64"/>
    </w:p>
    <w:p>
      <w:pPr>
        <w:pStyle w:val="Subsection"/>
      </w:pPr>
      <w:r>
        <w:tab/>
      </w:r>
      <w:r>
        <w:tab/>
        <w:t>In section 5 delete “bind” and all of the section before it and insert:</w:t>
      </w:r>
    </w:p>
    <w:p>
      <w:pPr>
        <w:pStyle w:val="BlankOpen"/>
      </w:pPr>
    </w:p>
    <w:p>
      <w:pPr>
        <w:pStyle w:val="Subsection"/>
      </w:pPr>
      <w:r>
        <w:tab/>
      </w:r>
      <w:r>
        <w:tab/>
        <w:t>This Act binds</w:t>
      </w:r>
    </w:p>
    <w:p>
      <w:pPr>
        <w:pStyle w:val="BlankClose"/>
      </w:pPr>
    </w:p>
    <w:p>
      <w:pPr>
        <w:pStyle w:val="Heading5"/>
      </w:pPr>
      <w:bookmarkStart w:id="65" w:name="_Toc158374570"/>
      <w:r>
        <w:rPr>
          <w:rStyle w:val="CharSectno"/>
        </w:rPr>
        <w:lastRenderedPageBreak/>
        <w:t>29</w:t>
      </w:r>
      <w:r>
        <w:t>.</w:t>
      </w:r>
      <w:r>
        <w:tab/>
        <w:t>Sections 6 to 8 deleted</w:t>
      </w:r>
      <w:bookmarkEnd w:id="65"/>
    </w:p>
    <w:p>
      <w:pPr>
        <w:pStyle w:val="Subsection"/>
        <w:spacing w:before="120"/>
      </w:pPr>
      <w:r>
        <w:tab/>
      </w:r>
      <w:r>
        <w:tab/>
        <w:t>Delete sections 6 to 8.</w:t>
      </w:r>
    </w:p>
    <w:p>
      <w:pPr>
        <w:pStyle w:val="Heading5"/>
      </w:pPr>
      <w:bookmarkStart w:id="66" w:name="_Toc158374571"/>
      <w:r>
        <w:rPr>
          <w:rStyle w:val="CharSectno"/>
        </w:rPr>
        <w:t>30</w:t>
      </w:r>
      <w:r>
        <w:t>.</w:t>
      </w:r>
      <w:r>
        <w:tab/>
        <w:t>Parts 2 to 5 deleted</w:t>
      </w:r>
      <w:bookmarkEnd w:id="66"/>
    </w:p>
    <w:p>
      <w:pPr>
        <w:pStyle w:val="Subsection"/>
        <w:spacing w:before="120"/>
      </w:pPr>
      <w:r>
        <w:tab/>
      </w:r>
      <w:r>
        <w:tab/>
        <w:t>Delete Parts 2 to 5.</w:t>
      </w:r>
    </w:p>
    <w:p>
      <w:pPr>
        <w:pStyle w:val="Heading5"/>
      </w:pPr>
      <w:bookmarkStart w:id="67" w:name="_Toc158374572"/>
      <w:r>
        <w:rPr>
          <w:rStyle w:val="CharSectno"/>
        </w:rPr>
        <w:t>31</w:t>
      </w:r>
      <w:r>
        <w:t>.</w:t>
      </w:r>
      <w:r>
        <w:tab/>
        <w:t>Part 6 heading replaced</w:t>
      </w:r>
      <w:bookmarkEnd w:id="67"/>
    </w:p>
    <w:p>
      <w:pPr>
        <w:pStyle w:val="Subsection"/>
        <w:spacing w:before="120"/>
      </w:pPr>
      <w:r>
        <w:tab/>
      </w:r>
      <w:r>
        <w:tab/>
        <w:t>Delete the heading to Part 6 and insert:</w:t>
      </w:r>
    </w:p>
    <w:p>
      <w:pPr>
        <w:pStyle w:val="BlankOpen"/>
      </w:pPr>
    </w:p>
    <w:p>
      <w:pPr>
        <w:pStyle w:val="zHeading2"/>
        <w:spacing w:before="0"/>
      </w:pPr>
      <w:bookmarkStart w:id="68" w:name="_Toc156818936"/>
      <w:bookmarkStart w:id="69" w:name="_Toc156990353"/>
      <w:bookmarkStart w:id="70" w:name="_Toc158374573"/>
      <w:r>
        <w:t>Part 6</w:t>
      </w:r>
      <w:r>
        <w:rPr>
          <w:b w:val="0"/>
        </w:rPr>
        <w:t> </w:t>
      </w:r>
      <w:r>
        <w:t>—</w:t>
      </w:r>
      <w:r>
        <w:rPr>
          <w:b w:val="0"/>
        </w:rPr>
        <w:t> </w:t>
      </w:r>
      <w:r>
        <w:t>Review board and arbitrator</w:t>
      </w:r>
      <w:bookmarkEnd w:id="68"/>
      <w:bookmarkEnd w:id="69"/>
      <w:bookmarkEnd w:id="70"/>
    </w:p>
    <w:p>
      <w:pPr>
        <w:pStyle w:val="BlankClose"/>
      </w:pPr>
    </w:p>
    <w:p>
      <w:pPr>
        <w:pStyle w:val="Heading5"/>
        <w:spacing w:before="180"/>
      </w:pPr>
      <w:bookmarkStart w:id="71" w:name="_Toc158374574"/>
      <w:r>
        <w:rPr>
          <w:rStyle w:val="CharSectno"/>
        </w:rPr>
        <w:t>32</w:t>
      </w:r>
      <w:r>
        <w:t>.</w:t>
      </w:r>
      <w:r>
        <w:tab/>
        <w:t>Part 6 Division 1 deleted</w:t>
      </w:r>
      <w:bookmarkEnd w:id="71"/>
    </w:p>
    <w:p>
      <w:pPr>
        <w:pStyle w:val="Subsection"/>
        <w:spacing w:before="120"/>
      </w:pPr>
      <w:r>
        <w:tab/>
      </w:r>
      <w:r>
        <w:tab/>
        <w:t>Delete Part 6 Division 1.</w:t>
      </w:r>
    </w:p>
    <w:p>
      <w:pPr>
        <w:pStyle w:val="Heading5"/>
        <w:spacing w:before="180"/>
      </w:pPr>
      <w:bookmarkStart w:id="72" w:name="_Toc158374575"/>
      <w:r>
        <w:rPr>
          <w:rStyle w:val="CharSectno"/>
        </w:rPr>
        <w:t>33</w:t>
      </w:r>
      <w:r>
        <w:t>.</w:t>
      </w:r>
      <w:r>
        <w:tab/>
        <w:t>Part 6 Division 2 heading replaced</w:t>
      </w:r>
      <w:bookmarkEnd w:id="72"/>
    </w:p>
    <w:p>
      <w:pPr>
        <w:pStyle w:val="Subsection"/>
        <w:spacing w:before="120"/>
      </w:pPr>
      <w:r>
        <w:tab/>
      </w:r>
      <w:r>
        <w:tab/>
        <w:t>Delete the heading to Part 6 Division 2 and insert:</w:t>
      </w:r>
    </w:p>
    <w:p>
      <w:pPr>
        <w:pStyle w:val="BlankOpen"/>
      </w:pPr>
    </w:p>
    <w:p>
      <w:pPr>
        <w:pStyle w:val="zHeading3"/>
        <w:spacing w:before="0"/>
      </w:pPr>
      <w:bookmarkStart w:id="73" w:name="_Toc156818939"/>
      <w:bookmarkStart w:id="74" w:name="_Toc156990356"/>
      <w:bookmarkStart w:id="75" w:name="_Toc158374576"/>
      <w:r>
        <w:t>Division 2 — Review board</w:t>
      </w:r>
      <w:bookmarkEnd w:id="73"/>
      <w:bookmarkEnd w:id="74"/>
      <w:bookmarkEnd w:id="75"/>
    </w:p>
    <w:p>
      <w:pPr>
        <w:pStyle w:val="BlankClose"/>
      </w:pPr>
    </w:p>
    <w:p>
      <w:pPr>
        <w:pStyle w:val="Heading5"/>
        <w:spacing w:before="180"/>
      </w:pPr>
      <w:bookmarkStart w:id="76" w:name="_Toc158374577"/>
      <w:r>
        <w:rPr>
          <w:rStyle w:val="CharSectno"/>
        </w:rPr>
        <w:t>34</w:t>
      </w:r>
      <w:r>
        <w:t>.</w:t>
      </w:r>
      <w:r>
        <w:tab/>
        <w:t>Section 49 amended</w:t>
      </w:r>
      <w:bookmarkEnd w:id="76"/>
    </w:p>
    <w:p>
      <w:pPr>
        <w:pStyle w:val="Subsection"/>
        <w:spacing w:before="120"/>
      </w:pPr>
      <w:r>
        <w:tab/>
      </w:r>
      <w:r>
        <w:tab/>
        <w:t xml:space="preserve">In section 49 in the definition of </w:t>
      </w:r>
      <w:r>
        <w:rPr>
          <w:b/>
          <w:bCs/>
          <w:i/>
          <w:iCs/>
        </w:rPr>
        <w:t>Board</w:t>
      </w:r>
      <w:r>
        <w:t xml:space="preserve"> delete “Western Australian Gas Review Board” and insert:</w:t>
      </w:r>
    </w:p>
    <w:p>
      <w:pPr>
        <w:pStyle w:val="BlankOpen"/>
      </w:pPr>
    </w:p>
    <w:p>
      <w:pPr>
        <w:pStyle w:val="Subsection"/>
      </w:pPr>
      <w:r>
        <w:tab/>
      </w:r>
      <w:r>
        <w:tab/>
        <w:t>Western Australian Electricity Review Board</w:t>
      </w:r>
    </w:p>
    <w:p>
      <w:pPr>
        <w:pStyle w:val="BlankClose"/>
      </w:pPr>
    </w:p>
    <w:p>
      <w:pPr>
        <w:pStyle w:val="Heading5"/>
        <w:spacing w:before="180"/>
      </w:pPr>
      <w:bookmarkStart w:id="77" w:name="_Toc158374578"/>
      <w:r>
        <w:rPr>
          <w:rStyle w:val="CharSectno"/>
        </w:rPr>
        <w:t>35</w:t>
      </w:r>
      <w:r>
        <w:t>.</w:t>
      </w:r>
      <w:r>
        <w:tab/>
        <w:t>Part 6 Division 2 Subdivision 2 heading replaced</w:t>
      </w:r>
      <w:bookmarkEnd w:id="77"/>
    </w:p>
    <w:p>
      <w:pPr>
        <w:pStyle w:val="Subsection"/>
        <w:spacing w:before="120"/>
      </w:pPr>
      <w:r>
        <w:tab/>
      </w:r>
      <w:r>
        <w:tab/>
        <w:t>Delete the heading to Part 6 Division 2 Subdivision 2 and insert:</w:t>
      </w:r>
    </w:p>
    <w:p>
      <w:pPr>
        <w:pStyle w:val="BlankOpen"/>
      </w:pPr>
    </w:p>
    <w:p>
      <w:pPr>
        <w:pStyle w:val="zHeading4"/>
        <w:spacing w:before="0"/>
      </w:pPr>
      <w:bookmarkStart w:id="78" w:name="_Toc156818942"/>
      <w:bookmarkStart w:id="79" w:name="_Toc156990359"/>
      <w:bookmarkStart w:id="80" w:name="_Toc158374579"/>
      <w:r>
        <w:t>Subdivision 2 — Western Australian Electricity Review Board established</w:t>
      </w:r>
      <w:bookmarkEnd w:id="78"/>
      <w:bookmarkEnd w:id="79"/>
      <w:bookmarkEnd w:id="80"/>
    </w:p>
    <w:p>
      <w:pPr>
        <w:pStyle w:val="BlankClose"/>
      </w:pPr>
    </w:p>
    <w:p>
      <w:pPr>
        <w:pStyle w:val="Heading5"/>
      </w:pPr>
      <w:bookmarkStart w:id="81" w:name="_Toc158374580"/>
      <w:r>
        <w:rPr>
          <w:rStyle w:val="CharSectno"/>
        </w:rPr>
        <w:lastRenderedPageBreak/>
        <w:t>36</w:t>
      </w:r>
      <w:r>
        <w:t>.</w:t>
      </w:r>
      <w:r>
        <w:tab/>
        <w:t>Section 50 amended</w:t>
      </w:r>
      <w:bookmarkEnd w:id="81"/>
    </w:p>
    <w:p>
      <w:pPr>
        <w:pStyle w:val="Subsection"/>
      </w:pPr>
      <w:r>
        <w:tab/>
        <w:t>(1)</w:t>
      </w:r>
      <w:r>
        <w:tab/>
        <w:t>In section 50(1) delete “Western Australian Gas Review Board” and insert:</w:t>
      </w:r>
    </w:p>
    <w:p>
      <w:pPr>
        <w:pStyle w:val="BlankOpen"/>
      </w:pPr>
    </w:p>
    <w:p>
      <w:pPr>
        <w:pStyle w:val="Subsection"/>
      </w:pPr>
      <w:r>
        <w:tab/>
      </w:r>
      <w:r>
        <w:tab/>
        <w:t>Western Australian Electricity Review Board</w:t>
      </w:r>
    </w:p>
    <w:p>
      <w:pPr>
        <w:pStyle w:val="BlankClose"/>
      </w:pPr>
    </w:p>
    <w:p>
      <w:pPr>
        <w:pStyle w:val="Subsection"/>
      </w:pPr>
      <w:r>
        <w:tab/>
        <w:t>(2)</w:t>
      </w:r>
      <w:r>
        <w:tab/>
        <w:t>After section 50(1) insert:</w:t>
      </w:r>
    </w:p>
    <w:p>
      <w:pPr>
        <w:pStyle w:val="BlankOpen"/>
      </w:pPr>
    </w:p>
    <w:p>
      <w:pPr>
        <w:pStyle w:val="zSubsection"/>
        <w:spacing w:before="0"/>
      </w:pPr>
      <w:r>
        <w:tab/>
        <w:t>(2A)</w:t>
      </w:r>
      <w:r>
        <w:tab/>
        <w:t xml:space="preserve">The Board has functions under the </w:t>
      </w:r>
      <w:r>
        <w:rPr>
          <w:i/>
          <w:iCs/>
        </w:rPr>
        <w:t>Electricity Industry Act 2004</w:t>
      </w:r>
      <w:r>
        <w:t>.</w:t>
      </w:r>
    </w:p>
    <w:p>
      <w:pPr>
        <w:pStyle w:val="BlankClose"/>
      </w:pPr>
    </w:p>
    <w:p>
      <w:pPr>
        <w:pStyle w:val="Heading5"/>
      </w:pPr>
      <w:bookmarkStart w:id="82" w:name="_Toc158374581"/>
      <w:r>
        <w:rPr>
          <w:rStyle w:val="CharSectno"/>
        </w:rPr>
        <w:t>37</w:t>
      </w:r>
      <w:r>
        <w:t>.</w:t>
      </w:r>
      <w:r>
        <w:tab/>
        <w:t>Section 57 amended</w:t>
      </w:r>
      <w:bookmarkEnd w:id="82"/>
    </w:p>
    <w:p>
      <w:pPr>
        <w:pStyle w:val="Subsection"/>
      </w:pPr>
      <w:r>
        <w:tab/>
      </w:r>
      <w:r>
        <w:tab/>
        <w:t>In section 57(1) delete “the Gas Pipelines Access (Western Australia) Law and”.</w:t>
      </w:r>
    </w:p>
    <w:p>
      <w:pPr>
        <w:pStyle w:val="Heading5"/>
      </w:pPr>
      <w:bookmarkStart w:id="83" w:name="_Toc158374582"/>
      <w:r>
        <w:rPr>
          <w:rStyle w:val="CharSectno"/>
        </w:rPr>
        <w:t>38</w:t>
      </w:r>
      <w:r>
        <w:t>.</w:t>
      </w:r>
      <w:r>
        <w:tab/>
        <w:t>Section 59 amended</w:t>
      </w:r>
      <w:bookmarkEnd w:id="83"/>
    </w:p>
    <w:p>
      <w:pPr>
        <w:pStyle w:val="Subsection"/>
      </w:pPr>
      <w:r>
        <w:tab/>
      </w:r>
      <w:r>
        <w:tab/>
        <w:t>In section 59(4) delete “Subject to the Gas Pipelines Access (Western Australia) Law, a party” and insert:</w:t>
      </w:r>
    </w:p>
    <w:p>
      <w:pPr>
        <w:pStyle w:val="BlankOpen"/>
      </w:pPr>
    </w:p>
    <w:p>
      <w:pPr>
        <w:pStyle w:val="Subsection"/>
      </w:pPr>
      <w:r>
        <w:tab/>
      </w:r>
      <w:r>
        <w:tab/>
        <w:t>A party</w:t>
      </w:r>
    </w:p>
    <w:p>
      <w:pPr>
        <w:pStyle w:val="BlankClose"/>
      </w:pPr>
    </w:p>
    <w:p>
      <w:pPr>
        <w:pStyle w:val="Heading5"/>
      </w:pPr>
      <w:bookmarkStart w:id="84" w:name="_Toc158374583"/>
      <w:r>
        <w:rPr>
          <w:rStyle w:val="CharSectno"/>
        </w:rPr>
        <w:t>39</w:t>
      </w:r>
      <w:r>
        <w:t>.</w:t>
      </w:r>
      <w:r>
        <w:tab/>
        <w:t>Section 61 amended</w:t>
      </w:r>
      <w:bookmarkEnd w:id="84"/>
    </w:p>
    <w:p>
      <w:pPr>
        <w:pStyle w:val="Subsection"/>
      </w:pPr>
      <w:r>
        <w:tab/>
      </w:r>
      <w:r>
        <w:tab/>
        <w:t xml:space="preserve">In section 61 in the definition of </w:t>
      </w:r>
      <w:r>
        <w:rPr>
          <w:b/>
          <w:bCs/>
          <w:i/>
          <w:iCs/>
        </w:rPr>
        <w:t>arbitrator</w:t>
      </w:r>
      <w:r>
        <w:t xml:space="preserve"> delete “Gas” and insert:</w:t>
      </w:r>
    </w:p>
    <w:p>
      <w:pPr>
        <w:pStyle w:val="BlankOpen"/>
        <w:keepNext w:val="0"/>
        <w:keepLines w:val="0"/>
      </w:pPr>
    </w:p>
    <w:p>
      <w:pPr>
        <w:pStyle w:val="Subsection"/>
      </w:pPr>
      <w:r>
        <w:tab/>
      </w:r>
      <w:r>
        <w:tab/>
        <w:t>Energy</w:t>
      </w:r>
    </w:p>
    <w:p>
      <w:pPr>
        <w:pStyle w:val="BlankClose"/>
        <w:keepLines w:val="0"/>
      </w:pPr>
    </w:p>
    <w:p>
      <w:pPr>
        <w:pStyle w:val="Heading5"/>
      </w:pPr>
      <w:bookmarkStart w:id="85" w:name="_Toc158374584"/>
      <w:r>
        <w:rPr>
          <w:rStyle w:val="CharSectno"/>
        </w:rPr>
        <w:lastRenderedPageBreak/>
        <w:t>40</w:t>
      </w:r>
      <w:r>
        <w:t>.</w:t>
      </w:r>
      <w:r>
        <w:tab/>
        <w:t>Part 6 Division 3 Subdivision 2 heading amended</w:t>
      </w:r>
      <w:bookmarkEnd w:id="85"/>
    </w:p>
    <w:p>
      <w:pPr>
        <w:pStyle w:val="Subsection"/>
        <w:keepNext/>
      </w:pPr>
      <w:r>
        <w:tab/>
      </w:r>
      <w:r>
        <w:tab/>
        <w:t>In the heading to Part 6 Division 3 Subdivision 2 delete “</w:t>
      </w:r>
      <w:r>
        <w:rPr>
          <w:b/>
        </w:rPr>
        <w:t>Gas</w:t>
      </w:r>
      <w:r>
        <w:t>” and insert:</w:t>
      </w:r>
    </w:p>
    <w:p>
      <w:pPr>
        <w:pStyle w:val="BlankOpen"/>
      </w:pPr>
    </w:p>
    <w:p>
      <w:pPr>
        <w:pStyle w:val="Subsection"/>
      </w:pPr>
      <w:r>
        <w:tab/>
      </w:r>
      <w:r>
        <w:tab/>
      </w:r>
      <w:r>
        <w:rPr>
          <w:b/>
        </w:rPr>
        <w:t>Energy</w:t>
      </w:r>
    </w:p>
    <w:p>
      <w:pPr>
        <w:pStyle w:val="BlankClose"/>
      </w:pPr>
    </w:p>
    <w:p>
      <w:pPr>
        <w:pStyle w:val="Heading5"/>
      </w:pPr>
      <w:bookmarkStart w:id="86" w:name="_Toc158374585"/>
      <w:r>
        <w:rPr>
          <w:rStyle w:val="CharSectno"/>
        </w:rPr>
        <w:t>41</w:t>
      </w:r>
      <w:r>
        <w:t>.</w:t>
      </w:r>
      <w:r>
        <w:tab/>
        <w:t>Section 62 amended</w:t>
      </w:r>
      <w:bookmarkEnd w:id="86"/>
    </w:p>
    <w:p>
      <w:pPr>
        <w:pStyle w:val="Subsection"/>
      </w:pPr>
      <w:r>
        <w:tab/>
      </w:r>
      <w:r>
        <w:tab/>
        <w:t>In section 62(1) delete “Gas” and insert:</w:t>
      </w:r>
    </w:p>
    <w:p>
      <w:pPr>
        <w:pStyle w:val="BlankOpen"/>
      </w:pPr>
    </w:p>
    <w:p>
      <w:pPr>
        <w:pStyle w:val="Subsection"/>
      </w:pPr>
      <w:r>
        <w:tab/>
      </w:r>
      <w:r>
        <w:tab/>
        <w:t>Energy</w:t>
      </w:r>
    </w:p>
    <w:p>
      <w:pPr>
        <w:pStyle w:val="BlankClose"/>
      </w:pPr>
    </w:p>
    <w:p>
      <w:pPr>
        <w:pStyle w:val="Heading5"/>
      </w:pPr>
      <w:bookmarkStart w:id="87" w:name="_Toc158374586"/>
      <w:r>
        <w:rPr>
          <w:rStyle w:val="CharSectno"/>
        </w:rPr>
        <w:t>42</w:t>
      </w:r>
      <w:r>
        <w:t>.</w:t>
      </w:r>
      <w:r>
        <w:tab/>
        <w:t>Section 73 amended</w:t>
      </w:r>
      <w:bookmarkEnd w:id="87"/>
    </w:p>
    <w:p>
      <w:pPr>
        <w:pStyle w:val="Subsection"/>
      </w:pPr>
      <w:r>
        <w:tab/>
      </w:r>
      <w:r>
        <w:tab/>
        <w:t>In section 73(1):</w:t>
      </w:r>
    </w:p>
    <w:p>
      <w:pPr>
        <w:pStyle w:val="Indenta"/>
      </w:pPr>
      <w:r>
        <w:tab/>
        <w:t>(a)</w:t>
      </w:r>
      <w:r>
        <w:tab/>
        <w:t>delete paragraphs (a) and (c) and insert:</w:t>
      </w:r>
    </w:p>
    <w:p>
      <w:pPr>
        <w:pStyle w:val="BlankOpen"/>
      </w:pPr>
    </w:p>
    <w:p>
      <w:pPr>
        <w:pStyle w:val="zIndenta"/>
        <w:spacing w:before="0"/>
        <w:ind w:right="565"/>
      </w:pPr>
      <w:r>
        <w:tab/>
        <w:t>(a)</w:t>
      </w:r>
      <w:r>
        <w:tab/>
        <w:t xml:space="preserve">by or under the </w:t>
      </w:r>
      <w:r>
        <w:rPr>
          <w:i/>
          <w:iCs/>
        </w:rPr>
        <w:t>National Gas Access (WA) Act 2009</w:t>
      </w:r>
      <w:r>
        <w:t>; or</w:t>
      </w:r>
    </w:p>
    <w:p>
      <w:pPr>
        <w:pStyle w:val="zIndenta"/>
      </w:pPr>
      <w:r>
        <w:tab/>
        <w:t>(b)</w:t>
      </w:r>
      <w:r>
        <w:tab/>
        <w:t xml:space="preserve">by or under the </w:t>
      </w:r>
      <w:r>
        <w:rPr>
          <w:i/>
          <w:iCs/>
        </w:rPr>
        <w:t>Electricity Industry Act 2004</w:t>
      </w:r>
      <w:r>
        <w:t>; or</w:t>
      </w:r>
    </w:p>
    <w:p>
      <w:pPr>
        <w:pStyle w:val="BlankClose"/>
      </w:pPr>
    </w:p>
    <w:p>
      <w:pPr>
        <w:pStyle w:val="Indenta"/>
      </w:pPr>
      <w:r>
        <w:tab/>
        <w:t>(b)</w:t>
      </w:r>
      <w:r>
        <w:tab/>
        <w:t>after paragraph (d) delete “and” and insert:</w:t>
      </w:r>
    </w:p>
    <w:p>
      <w:pPr>
        <w:pStyle w:val="BlankOpen"/>
      </w:pPr>
    </w:p>
    <w:p>
      <w:pPr>
        <w:pStyle w:val="Indenta"/>
      </w:pPr>
      <w:r>
        <w:tab/>
      </w:r>
      <w:r>
        <w:tab/>
        <w:t>or</w:t>
      </w:r>
    </w:p>
    <w:p>
      <w:pPr>
        <w:pStyle w:val="BlankClose"/>
      </w:pPr>
    </w:p>
    <w:p>
      <w:pPr>
        <w:pStyle w:val="Heading5"/>
      </w:pPr>
      <w:bookmarkStart w:id="88" w:name="_Toc158374587"/>
      <w:r>
        <w:rPr>
          <w:rStyle w:val="CharSectno"/>
        </w:rPr>
        <w:t>43</w:t>
      </w:r>
      <w:r>
        <w:t>.</w:t>
      </w:r>
      <w:r>
        <w:tab/>
        <w:t>Section 74 amended</w:t>
      </w:r>
      <w:bookmarkEnd w:id="88"/>
    </w:p>
    <w:p>
      <w:pPr>
        <w:pStyle w:val="Subsection"/>
      </w:pPr>
      <w:r>
        <w:tab/>
      </w:r>
      <w:r>
        <w:tab/>
        <w:t>After section 74(2) insert:</w:t>
      </w:r>
    </w:p>
    <w:p>
      <w:pPr>
        <w:pStyle w:val="BlankOpen"/>
      </w:pPr>
    </w:p>
    <w:p>
      <w:pPr>
        <w:pStyle w:val="zSubsection"/>
        <w:spacing w:before="0"/>
      </w:pPr>
      <w:r>
        <w:tab/>
        <w:t>(3)</w:t>
      </w:r>
      <w:r>
        <w:tab/>
        <w:t xml:space="preserve">Regulations referred to in subsection (1) may make provision for and in relation to the imposition and payment of fees and charges in connection with the </w:t>
      </w:r>
      <w:r>
        <w:lastRenderedPageBreak/>
        <w:t>performance of functions the arbitrator has under those regulations.</w:t>
      </w:r>
    </w:p>
    <w:p>
      <w:pPr>
        <w:pStyle w:val="z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BlankClose"/>
      </w:pPr>
    </w:p>
    <w:p>
      <w:pPr>
        <w:pStyle w:val="Heading5"/>
      </w:pPr>
      <w:bookmarkStart w:id="89" w:name="_Toc158374588"/>
      <w:r>
        <w:rPr>
          <w:rStyle w:val="CharSectno"/>
        </w:rPr>
        <w:t>44</w:t>
      </w:r>
      <w:r>
        <w:t>.</w:t>
      </w:r>
      <w:r>
        <w:tab/>
        <w:t>Section 76 amended</w:t>
      </w:r>
      <w:bookmarkEnd w:id="89"/>
    </w:p>
    <w:p>
      <w:pPr>
        <w:pStyle w:val="Subsection"/>
      </w:pPr>
      <w:r>
        <w:tab/>
      </w:r>
      <w:r>
        <w:tab/>
        <w:t>In section 76:</w:t>
      </w:r>
    </w:p>
    <w:p>
      <w:pPr>
        <w:pStyle w:val="Indenta"/>
      </w:pPr>
      <w:r>
        <w:tab/>
        <w:t>(a)</w:t>
      </w:r>
      <w:r>
        <w:tab/>
        <w:t>delete “under the Code” and insert:</w:t>
      </w:r>
    </w:p>
    <w:p>
      <w:pPr>
        <w:pStyle w:val="BlankOpen"/>
      </w:pPr>
    </w:p>
    <w:p>
      <w:pPr>
        <w:pStyle w:val="Indenta"/>
      </w:pPr>
      <w:r>
        <w:tab/>
      </w:r>
      <w:r>
        <w:tab/>
        <w:t>in performing functions referred to in section 73(1)</w:t>
      </w:r>
    </w:p>
    <w:p>
      <w:pPr>
        <w:pStyle w:val="BlankClose"/>
      </w:pPr>
    </w:p>
    <w:p>
      <w:pPr>
        <w:pStyle w:val="Indenta"/>
      </w:pPr>
      <w:r>
        <w:tab/>
        <w:t>(b)</w:t>
      </w:r>
      <w:r>
        <w:tab/>
        <w:t>delete “local Regulator as defined in section 11.” and insert:</w:t>
      </w:r>
    </w:p>
    <w:p>
      <w:pPr>
        <w:pStyle w:val="BlankOpen"/>
      </w:pPr>
    </w:p>
    <w:p>
      <w:pPr>
        <w:pStyle w:val="zSubsection"/>
        <w:spacing w:before="0"/>
      </w:pPr>
      <w:r>
        <w:tab/>
      </w:r>
      <w:r>
        <w:tab/>
        <w:t xml:space="preserve">Economic Regulation Authority established by the </w:t>
      </w:r>
      <w:r>
        <w:rPr>
          <w:i/>
          <w:iCs/>
        </w:rPr>
        <w:t>Economic Regulation Authority Act 2003</w:t>
      </w:r>
      <w:r>
        <w:t>.</w:t>
      </w:r>
    </w:p>
    <w:p>
      <w:pPr>
        <w:pStyle w:val="BlankClose"/>
      </w:pPr>
    </w:p>
    <w:p>
      <w:pPr>
        <w:pStyle w:val="Heading5"/>
      </w:pPr>
      <w:bookmarkStart w:id="90" w:name="_Toc158374589"/>
      <w:r>
        <w:rPr>
          <w:rStyle w:val="CharSectno"/>
        </w:rPr>
        <w:t>45</w:t>
      </w:r>
      <w:r>
        <w:t>.</w:t>
      </w:r>
      <w:r>
        <w:tab/>
        <w:t>Section 77 amended</w:t>
      </w:r>
      <w:bookmarkEnd w:id="90"/>
    </w:p>
    <w:p>
      <w:pPr>
        <w:pStyle w:val="Subsection"/>
      </w:pPr>
      <w:r>
        <w:tab/>
      </w:r>
      <w:r>
        <w:tab/>
        <w:t>In section 77 delete “provided for by the Gas Pipelines Access (Western Australia) Law and the regulations” and insert:</w:t>
      </w:r>
    </w:p>
    <w:p>
      <w:pPr>
        <w:pStyle w:val="BlankOpen"/>
      </w:pPr>
    </w:p>
    <w:p>
      <w:pPr>
        <w:pStyle w:val="Subsection"/>
        <w:keepNext/>
        <w:keepLines/>
      </w:pPr>
      <w:r>
        <w:tab/>
      </w:r>
      <w:r>
        <w:tab/>
        <w:t>involved in performing the arbitrator’s functions</w:t>
      </w:r>
    </w:p>
    <w:p>
      <w:pPr>
        <w:pStyle w:val="BlankClose"/>
        <w:keepNext/>
      </w:pPr>
    </w:p>
    <w:p>
      <w:pPr>
        <w:pStyle w:val="Heading5"/>
      </w:pPr>
      <w:bookmarkStart w:id="91" w:name="_Toc158374590"/>
      <w:r>
        <w:rPr>
          <w:rStyle w:val="CharSectno"/>
        </w:rPr>
        <w:t>46</w:t>
      </w:r>
      <w:r>
        <w:t>.</w:t>
      </w:r>
      <w:r>
        <w:tab/>
        <w:t>Section 81 amended</w:t>
      </w:r>
      <w:bookmarkEnd w:id="91"/>
    </w:p>
    <w:p>
      <w:pPr>
        <w:pStyle w:val="Subsection"/>
        <w:rPr>
          <w:b/>
          <w:i/>
        </w:rPr>
      </w:pPr>
      <w:r>
        <w:tab/>
      </w:r>
      <w:r>
        <w:tab/>
        <w:t>In section 81 delete “under this Act”.</w:t>
      </w:r>
    </w:p>
    <w:p>
      <w:pPr>
        <w:pStyle w:val="Heading5"/>
      </w:pPr>
      <w:bookmarkStart w:id="92" w:name="_Toc158374591"/>
      <w:r>
        <w:rPr>
          <w:rStyle w:val="CharSectno"/>
        </w:rPr>
        <w:lastRenderedPageBreak/>
        <w:t>47</w:t>
      </w:r>
      <w:r>
        <w:t>.</w:t>
      </w:r>
      <w:r>
        <w:tab/>
        <w:t>Section 82 amended</w:t>
      </w:r>
      <w:bookmarkEnd w:id="92"/>
    </w:p>
    <w:p>
      <w:pPr>
        <w:pStyle w:val="Subsection"/>
        <w:keepNext/>
      </w:pPr>
      <w:r>
        <w:tab/>
        <w:t>(1)</w:t>
      </w:r>
      <w:r>
        <w:tab/>
        <w:t>In section 82(2) after “called” insert:</w:t>
      </w:r>
    </w:p>
    <w:p>
      <w:pPr>
        <w:pStyle w:val="BlankOpen"/>
      </w:pPr>
    </w:p>
    <w:p>
      <w:pPr>
        <w:pStyle w:val="zSubsection"/>
        <w:spacing w:before="0"/>
      </w:pPr>
      <w:r>
        <w:tab/>
      </w:r>
      <w:r>
        <w:tab/>
        <w:t>the “Western Australian Energy Disputes Arbitrator Account”, and it is to be a continuation of the account formerly called</w:t>
      </w:r>
    </w:p>
    <w:p>
      <w:pPr>
        <w:pStyle w:val="BlankClose"/>
      </w:pPr>
    </w:p>
    <w:p>
      <w:pPr>
        <w:pStyle w:val="Subsection"/>
      </w:pPr>
      <w:r>
        <w:tab/>
        <w:t>(2)</w:t>
      </w:r>
      <w:r>
        <w:tab/>
        <w:t>Delete section 82(3)(a)(ii) and insert:</w:t>
      </w:r>
    </w:p>
    <w:p>
      <w:pPr>
        <w:pStyle w:val="BlankOpen"/>
      </w:pPr>
    </w:p>
    <w:p>
      <w:pPr>
        <w:pStyle w:val="zIndenti"/>
        <w:spacing w:before="0"/>
      </w:pPr>
      <w:r>
        <w:tab/>
        <w:t>(ii)</w:t>
      </w:r>
      <w:r>
        <w:tab/>
        <w:t>fees and charges payable to the arbitrator or the Board in connection with the performance of the functions of the arbitrator or the Board;</w:t>
      </w:r>
    </w:p>
    <w:p>
      <w:pPr>
        <w:pStyle w:val="BlankClose"/>
      </w:pPr>
    </w:p>
    <w:p>
      <w:pPr>
        <w:pStyle w:val="Heading5"/>
      </w:pPr>
      <w:bookmarkStart w:id="93" w:name="_Toc158374592"/>
      <w:r>
        <w:rPr>
          <w:rStyle w:val="CharSectno"/>
        </w:rPr>
        <w:t>48</w:t>
      </w:r>
      <w:r>
        <w:t>.</w:t>
      </w:r>
      <w:r>
        <w:tab/>
        <w:t>Section 87 deleted</w:t>
      </w:r>
      <w:bookmarkEnd w:id="93"/>
    </w:p>
    <w:p>
      <w:pPr>
        <w:pStyle w:val="Subsection"/>
      </w:pPr>
      <w:r>
        <w:tab/>
      </w:r>
      <w:r>
        <w:tab/>
        <w:t>Delete section 87.</w:t>
      </w:r>
    </w:p>
    <w:p>
      <w:pPr>
        <w:pStyle w:val="Heading5"/>
      </w:pPr>
      <w:bookmarkStart w:id="94" w:name="_Toc158374593"/>
      <w:r>
        <w:rPr>
          <w:rStyle w:val="CharSectno"/>
        </w:rPr>
        <w:t>49</w:t>
      </w:r>
      <w:r>
        <w:t>.</w:t>
      </w:r>
      <w:r>
        <w:tab/>
        <w:t>Section 88 deleted</w:t>
      </w:r>
      <w:bookmarkEnd w:id="94"/>
    </w:p>
    <w:p>
      <w:pPr>
        <w:pStyle w:val="Subsection"/>
      </w:pPr>
      <w:r>
        <w:tab/>
      </w:r>
      <w:r>
        <w:tab/>
        <w:t>Delete section 88.</w:t>
      </w:r>
    </w:p>
    <w:p>
      <w:pPr>
        <w:pStyle w:val="Heading5"/>
      </w:pPr>
      <w:bookmarkStart w:id="95" w:name="_Toc158374594"/>
      <w:r>
        <w:rPr>
          <w:rStyle w:val="CharSectno"/>
        </w:rPr>
        <w:t>50</w:t>
      </w:r>
      <w:r>
        <w:t>.</w:t>
      </w:r>
      <w:r>
        <w:tab/>
        <w:t>Parts 7 and 8 deleted</w:t>
      </w:r>
      <w:bookmarkEnd w:id="95"/>
    </w:p>
    <w:p>
      <w:pPr>
        <w:pStyle w:val="Subsection"/>
      </w:pPr>
      <w:r>
        <w:tab/>
      </w:r>
      <w:r>
        <w:tab/>
        <w:t>Delete Parts 7 and 8.</w:t>
      </w:r>
    </w:p>
    <w:p>
      <w:pPr>
        <w:pStyle w:val="Heading5"/>
      </w:pPr>
      <w:bookmarkStart w:id="96" w:name="_Toc158374595"/>
      <w:r>
        <w:rPr>
          <w:rStyle w:val="CharSectno"/>
        </w:rPr>
        <w:t>51</w:t>
      </w:r>
      <w:r>
        <w:t>.</w:t>
      </w:r>
      <w:r>
        <w:tab/>
        <w:t>Schedules deleted</w:t>
      </w:r>
      <w:bookmarkEnd w:id="96"/>
    </w:p>
    <w:p>
      <w:pPr>
        <w:pStyle w:val="Subsection"/>
      </w:pPr>
      <w:r>
        <w:tab/>
      </w:r>
      <w:r>
        <w:tab/>
        <w:t>Delete Schedule 1 and its Appendix and Schedules 2 and 3.</w:t>
      </w:r>
    </w:p>
    <w:p>
      <w:pPr>
        <w:pStyle w:val="Heading3"/>
      </w:pPr>
      <w:bookmarkStart w:id="97" w:name="_Toc156818959"/>
      <w:bookmarkStart w:id="98" w:name="_Toc156990376"/>
      <w:bookmarkStart w:id="99" w:name="_Toc158374596"/>
      <w:r>
        <w:rPr>
          <w:rStyle w:val="CharDivNo"/>
        </w:rPr>
        <w:t>Division 2</w:t>
      </w:r>
      <w:r>
        <w:t> — </w:t>
      </w:r>
      <w:r>
        <w:rPr>
          <w:rStyle w:val="CharDivText"/>
          <w:i/>
          <w:iCs/>
        </w:rPr>
        <w:t>Economic Regulation Authority Act 2003</w:t>
      </w:r>
      <w:bookmarkEnd w:id="97"/>
      <w:bookmarkEnd w:id="98"/>
      <w:bookmarkEnd w:id="99"/>
    </w:p>
    <w:p>
      <w:pPr>
        <w:pStyle w:val="Heading5"/>
      </w:pPr>
      <w:bookmarkStart w:id="100" w:name="_Toc158374597"/>
      <w:r>
        <w:rPr>
          <w:rStyle w:val="CharSectno"/>
        </w:rPr>
        <w:t>52</w:t>
      </w:r>
      <w:r>
        <w:t>.</w:t>
      </w:r>
      <w:r>
        <w:tab/>
        <w:t>Act amended</w:t>
      </w:r>
      <w:bookmarkEnd w:id="100"/>
    </w:p>
    <w:p>
      <w:pPr>
        <w:pStyle w:val="Subsection"/>
      </w:pPr>
      <w:r>
        <w:tab/>
      </w:r>
      <w:r>
        <w:tab/>
        <w:t xml:space="preserve">This Division amends the </w:t>
      </w:r>
      <w:r>
        <w:rPr>
          <w:i/>
          <w:iCs/>
        </w:rPr>
        <w:t>Economic Regulation Authority Act 2003</w:t>
      </w:r>
      <w:r>
        <w:t>.</w:t>
      </w:r>
    </w:p>
    <w:p>
      <w:pPr>
        <w:pStyle w:val="Heading5"/>
      </w:pPr>
      <w:bookmarkStart w:id="101" w:name="_Toc158374598"/>
      <w:r>
        <w:rPr>
          <w:rStyle w:val="CharSectno"/>
        </w:rPr>
        <w:lastRenderedPageBreak/>
        <w:t>53</w:t>
      </w:r>
      <w:r>
        <w:t>.</w:t>
      </w:r>
      <w:r>
        <w:tab/>
        <w:t>Section 25 amended</w:t>
      </w:r>
      <w:bookmarkEnd w:id="101"/>
    </w:p>
    <w:p>
      <w:pPr>
        <w:pStyle w:val="Subsection"/>
      </w:pPr>
      <w:r>
        <w:tab/>
      </w:r>
      <w:r>
        <w:tab/>
        <w:t>In section 25:</w:t>
      </w:r>
    </w:p>
    <w:p>
      <w:pPr>
        <w:pStyle w:val="Indenta"/>
      </w:pPr>
      <w:r>
        <w:tab/>
        <w:t>(a)</w:t>
      </w:r>
      <w:r>
        <w:tab/>
        <w:t>delete paragraph (c) and insert:</w:t>
      </w:r>
    </w:p>
    <w:p>
      <w:pPr>
        <w:pStyle w:val="BlankOpen"/>
      </w:pPr>
    </w:p>
    <w:p>
      <w:pPr>
        <w:pStyle w:val="zIndenta"/>
        <w:spacing w:before="0"/>
        <w:rPr>
          <w:iCs/>
        </w:rPr>
      </w:pPr>
      <w:r>
        <w:tab/>
        <w:t>(c)</w:t>
      </w:r>
      <w:r>
        <w:tab/>
        <w:t xml:space="preserve">the functions it is given by or under the </w:t>
      </w:r>
      <w:r>
        <w:rPr>
          <w:i/>
          <w:iCs/>
          <w:snapToGrid w:val="0"/>
        </w:rPr>
        <w:t>National Gas Access (WA) Act 2009</w:t>
      </w:r>
      <w:r>
        <w:rPr>
          <w:iCs/>
          <w:snapToGrid w:val="0"/>
        </w:rPr>
        <w:t>; and</w:t>
      </w:r>
    </w:p>
    <w:p>
      <w:pPr>
        <w:pStyle w:val="BlankClose"/>
      </w:pPr>
    </w:p>
    <w:p>
      <w:pPr>
        <w:pStyle w:val="Indenta"/>
      </w:pPr>
      <w:r>
        <w:tab/>
        <w:t>(b)</w:t>
      </w:r>
      <w:r>
        <w:tab/>
        <w:t>after each of paragraphs (a), (b) and (d) insert:</w:t>
      </w:r>
    </w:p>
    <w:p>
      <w:pPr>
        <w:pStyle w:val="BlankOpen"/>
      </w:pPr>
    </w:p>
    <w:p>
      <w:pPr>
        <w:pStyle w:val="Indenta"/>
      </w:pPr>
      <w:r>
        <w:tab/>
      </w:r>
      <w:r>
        <w:tab/>
        <w:t>and</w:t>
      </w:r>
    </w:p>
    <w:p>
      <w:pPr>
        <w:pStyle w:val="BlankClose"/>
      </w:pPr>
    </w:p>
    <w:p>
      <w:pPr>
        <w:pStyle w:val="Heading5"/>
      </w:pPr>
      <w:bookmarkStart w:id="102" w:name="_Toc158374599"/>
      <w:r>
        <w:rPr>
          <w:rStyle w:val="CharSectno"/>
        </w:rPr>
        <w:t>54</w:t>
      </w:r>
      <w:r>
        <w:t>.</w:t>
      </w:r>
      <w:r>
        <w:tab/>
        <w:t>Section 28 amended</w:t>
      </w:r>
      <w:bookmarkEnd w:id="102"/>
    </w:p>
    <w:p>
      <w:pPr>
        <w:pStyle w:val="Subsection"/>
        <w:keepNext/>
      </w:pPr>
      <w:r>
        <w:tab/>
        <w:t>(1)</w:t>
      </w:r>
      <w:r>
        <w:tab/>
        <w:t xml:space="preserve">In section 28(3)(b) delete “referred to in section 36(1) of the </w:t>
      </w:r>
      <w:r>
        <w:rPr>
          <w:i/>
          <w:iCs/>
        </w:rPr>
        <w:t>Gas Pipelines Access (Western Australia) Act 1998</w:t>
      </w:r>
      <w:r>
        <w:t xml:space="preserve"> or” and insert:</w:t>
      </w:r>
    </w:p>
    <w:p>
      <w:pPr>
        <w:pStyle w:val="BlankOpen"/>
      </w:pPr>
    </w:p>
    <w:p>
      <w:pPr>
        <w:pStyle w:val="z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Subsection"/>
      </w:pPr>
      <w:r>
        <w:tab/>
        <w:t>(2)</w:t>
      </w:r>
      <w:r>
        <w:tab/>
        <w:t>In section 28(5)(b) delete “</w:t>
      </w:r>
      <w:r>
        <w:rPr>
          <w:i/>
          <w:iCs/>
        </w:rPr>
        <w:t>Gas Pipelines Access (Western Australia) Act 1998</w:t>
      </w:r>
      <w:r>
        <w:t>, must send a copy of the direction to the Code Registrar within the meaning of that Act.” and insert:</w:t>
      </w:r>
    </w:p>
    <w:p>
      <w:pPr>
        <w:pStyle w:val="BlankOpen"/>
      </w:pPr>
    </w:p>
    <w:p>
      <w:pPr>
        <w:pStyle w:val="zIndenta"/>
        <w:spacing w:before="0"/>
      </w:pPr>
      <w:r>
        <w:tab/>
      </w:r>
      <w:r>
        <w:tab/>
      </w:r>
      <w:r>
        <w:rPr>
          <w:i/>
          <w:iCs/>
          <w:snapToGrid w:val="0"/>
        </w:rPr>
        <w:t>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of South Australia.</w:t>
      </w:r>
    </w:p>
    <w:p>
      <w:pPr>
        <w:pStyle w:val="BlankClose"/>
      </w:pPr>
    </w:p>
    <w:p>
      <w:pPr>
        <w:pStyle w:val="Heading5"/>
      </w:pPr>
      <w:bookmarkStart w:id="103" w:name="_Toc158374600"/>
      <w:r>
        <w:rPr>
          <w:rStyle w:val="CharSectno"/>
        </w:rPr>
        <w:lastRenderedPageBreak/>
        <w:t>55</w:t>
      </w:r>
      <w:r>
        <w:t>.</w:t>
      </w:r>
      <w:r>
        <w:tab/>
        <w:t>Section 32 amended</w:t>
      </w:r>
      <w:bookmarkEnd w:id="103"/>
    </w:p>
    <w:p>
      <w:pPr>
        <w:pStyle w:val="Subsection"/>
        <w:keepNext/>
        <w:spacing w:before="120"/>
      </w:pPr>
      <w:r>
        <w:tab/>
      </w:r>
      <w:r>
        <w:tab/>
        <w:t>In section 32(1) delete “Gas Pipelines Access (Western Australia) Law” and insert:</w:t>
      </w:r>
    </w:p>
    <w:p>
      <w:pPr>
        <w:pStyle w:val="BlankOpen"/>
      </w:pPr>
    </w:p>
    <w:p>
      <w:pPr>
        <w:pStyle w:val="Subsection"/>
      </w:pPr>
      <w:r>
        <w:tab/>
      </w:r>
      <w:r>
        <w:tab/>
        <w:t>National Gas Access (Western Australia) Law</w:t>
      </w:r>
    </w:p>
    <w:p>
      <w:pPr>
        <w:pStyle w:val="BlankClose"/>
      </w:pPr>
    </w:p>
    <w:p>
      <w:pPr>
        <w:pStyle w:val="Heading3"/>
      </w:pPr>
      <w:bookmarkStart w:id="104" w:name="_Toc156818964"/>
      <w:bookmarkStart w:id="105" w:name="_Toc156990381"/>
      <w:bookmarkStart w:id="106" w:name="_Toc158374601"/>
      <w:r>
        <w:rPr>
          <w:rStyle w:val="CharDivNo"/>
        </w:rPr>
        <w:t>Division 3</w:t>
      </w:r>
      <w:r>
        <w:t> — </w:t>
      </w:r>
      <w:r>
        <w:rPr>
          <w:rStyle w:val="CharDivText"/>
          <w:i/>
          <w:iCs/>
        </w:rPr>
        <w:t>Electricity Industry Act 2004</w:t>
      </w:r>
      <w:bookmarkEnd w:id="104"/>
      <w:bookmarkEnd w:id="105"/>
      <w:bookmarkEnd w:id="106"/>
    </w:p>
    <w:p>
      <w:pPr>
        <w:pStyle w:val="Heading5"/>
      </w:pPr>
      <w:bookmarkStart w:id="107" w:name="_Toc158374602"/>
      <w:r>
        <w:rPr>
          <w:rStyle w:val="CharSectno"/>
        </w:rPr>
        <w:t>56</w:t>
      </w:r>
      <w:r>
        <w:t>.</w:t>
      </w:r>
      <w:r>
        <w:tab/>
        <w:t>Act amended</w:t>
      </w:r>
      <w:bookmarkEnd w:id="107"/>
    </w:p>
    <w:p>
      <w:pPr>
        <w:pStyle w:val="Subsection"/>
        <w:spacing w:before="120"/>
      </w:pPr>
      <w:r>
        <w:tab/>
      </w:r>
      <w:r>
        <w:tab/>
        <w:t xml:space="preserve">This Division amends the </w:t>
      </w:r>
      <w:r>
        <w:rPr>
          <w:i/>
          <w:iCs/>
        </w:rPr>
        <w:t>Electricity Industry Act 2004</w:t>
      </w:r>
      <w:r>
        <w:t>.</w:t>
      </w:r>
    </w:p>
    <w:p>
      <w:pPr>
        <w:pStyle w:val="Heading5"/>
      </w:pPr>
      <w:bookmarkStart w:id="108" w:name="_Toc158374603"/>
      <w:r>
        <w:rPr>
          <w:rStyle w:val="CharSectno"/>
        </w:rPr>
        <w:t>57</w:t>
      </w:r>
      <w:r>
        <w:t>.</w:t>
      </w:r>
      <w:r>
        <w:tab/>
        <w:t>Section 3 amended</w:t>
      </w:r>
      <w:bookmarkEnd w:id="108"/>
    </w:p>
    <w:p>
      <w:pPr>
        <w:pStyle w:val="Subsection"/>
        <w:spacing w:before="120"/>
      </w:pPr>
      <w:r>
        <w:tab/>
      </w:r>
      <w:r>
        <w:tab/>
        <w:t>In section 3:</w:t>
      </w:r>
    </w:p>
    <w:p>
      <w:pPr>
        <w:pStyle w:val="Indenta"/>
      </w:pPr>
      <w:r>
        <w:tab/>
        <w:t>(a)</w:t>
      </w:r>
      <w:r>
        <w:tab/>
        <w:t xml:space="preserve">in the definition of </w:t>
      </w:r>
      <w:r>
        <w:rPr>
          <w:b/>
          <w:bCs/>
          <w:i/>
          <w:iCs/>
        </w:rPr>
        <w:t>arbitrator</w:t>
      </w:r>
      <w:r>
        <w:t xml:space="preserve"> delete “</w:t>
      </w:r>
      <w:r>
        <w:rPr>
          <w:i/>
          <w:iCs/>
        </w:rPr>
        <w:t>Gas Pipelines Access (Western Australia) Act 1998</w:t>
      </w:r>
      <w:r>
        <w:t>” and insert:</w:t>
      </w:r>
    </w:p>
    <w:p>
      <w:pPr>
        <w:pStyle w:val="BlankOpen"/>
      </w:pPr>
    </w:p>
    <w:p>
      <w:pPr>
        <w:pStyle w:val="Indenta"/>
        <w:rPr>
          <w:i/>
          <w:iCs/>
        </w:rPr>
      </w:pPr>
      <w:r>
        <w:tab/>
      </w:r>
      <w:r>
        <w:tab/>
      </w:r>
      <w:r>
        <w:rPr>
          <w:i/>
          <w:iCs/>
        </w:rPr>
        <w:t>Energy Arbitration and Review Act 1998</w:t>
      </w:r>
    </w:p>
    <w:p>
      <w:pPr>
        <w:pStyle w:val="BlankClose"/>
      </w:pPr>
    </w:p>
    <w:p>
      <w:pPr>
        <w:pStyle w:val="Indenta"/>
      </w:pPr>
      <w:r>
        <w:tab/>
        <w:t>(b)</w:t>
      </w:r>
      <w:r>
        <w:tab/>
        <w:t xml:space="preserve">in the definition of </w:t>
      </w:r>
      <w:r>
        <w:rPr>
          <w:b/>
          <w:bCs/>
          <w:i/>
          <w:iCs/>
        </w:rPr>
        <w:t>Board</w:t>
      </w:r>
      <w:r>
        <w:t xml:space="preserve"> delete “</w:t>
      </w:r>
      <w:r>
        <w:rPr>
          <w:i/>
          <w:iCs/>
        </w:rPr>
        <w:t>Gas Pipelines Access (Western Australia) Act 1998</w:t>
      </w:r>
      <w:r>
        <w:t>” and insert:</w:t>
      </w:r>
    </w:p>
    <w:p>
      <w:pPr>
        <w:pStyle w:val="BlankOpen"/>
      </w:pPr>
    </w:p>
    <w:p>
      <w:pPr>
        <w:pStyle w:val="Indenta"/>
        <w:rPr>
          <w:i/>
          <w:iCs/>
        </w:rPr>
      </w:pPr>
      <w:r>
        <w:tab/>
      </w:r>
      <w:r>
        <w:tab/>
      </w:r>
      <w:r>
        <w:rPr>
          <w:i/>
          <w:iCs/>
        </w:rPr>
        <w:t>Energy Arbitration and Review Act 1998</w:t>
      </w:r>
    </w:p>
    <w:p>
      <w:pPr>
        <w:pStyle w:val="BlankClose"/>
      </w:pPr>
    </w:p>
    <w:p>
      <w:pPr>
        <w:pStyle w:val="Heading5"/>
      </w:pPr>
      <w:bookmarkStart w:id="109" w:name="_Toc158374604"/>
      <w:r>
        <w:rPr>
          <w:rStyle w:val="CharSectno"/>
        </w:rPr>
        <w:t>58</w:t>
      </w:r>
      <w:r>
        <w:t>.</w:t>
      </w:r>
      <w:r>
        <w:tab/>
        <w:t>Section 113 deleted</w:t>
      </w:r>
      <w:bookmarkEnd w:id="109"/>
    </w:p>
    <w:p>
      <w:pPr>
        <w:pStyle w:val="Subsection"/>
        <w:spacing w:before="120"/>
      </w:pPr>
      <w:r>
        <w:tab/>
      </w:r>
      <w:r>
        <w:tab/>
        <w:t>Delete section 113.</w:t>
      </w:r>
    </w:p>
    <w:p>
      <w:pPr>
        <w:pStyle w:val="Heading5"/>
      </w:pPr>
      <w:bookmarkStart w:id="110" w:name="_Toc158374605"/>
      <w:r>
        <w:rPr>
          <w:rStyle w:val="CharSectno"/>
        </w:rPr>
        <w:t>59</w:t>
      </w:r>
      <w:r>
        <w:t>.</w:t>
      </w:r>
      <w:r>
        <w:tab/>
        <w:t>Section 125 amended</w:t>
      </w:r>
      <w:bookmarkEnd w:id="110"/>
    </w:p>
    <w:p>
      <w:pPr>
        <w:pStyle w:val="Subsection"/>
        <w:spacing w:before="120"/>
      </w:pPr>
      <w:r>
        <w:tab/>
        <w:t>(1)</w:t>
      </w:r>
      <w:r>
        <w:tab/>
        <w:t>Delete section 125(2)(b) and insert:</w:t>
      </w:r>
    </w:p>
    <w:p>
      <w:pPr>
        <w:pStyle w:val="BlankOpen"/>
      </w:pPr>
    </w:p>
    <w:p>
      <w:pPr>
        <w:pStyle w:val="zIndenta"/>
        <w:spacing w:before="0"/>
      </w:pPr>
      <w:r>
        <w:tab/>
        <w:t>(b)</w:t>
      </w:r>
      <w:r>
        <w:tab/>
        <w:t>make other provisions that it is necessary or convenient to make,</w:t>
      </w:r>
    </w:p>
    <w:p>
      <w:pPr>
        <w:pStyle w:val="BlankClose"/>
      </w:pPr>
    </w:p>
    <w:p>
      <w:pPr>
        <w:pStyle w:val="Subsection"/>
      </w:pPr>
      <w:r>
        <w:lastRenderedPageBreak/>
        <w:tab/>
        <w:t>(2)</w:t>
      </w:r>
      <w:r>
        <w:tab/>
        <w:t>After section 125(2) insert:</w:t>
      </w:r>
    </w:p>
    <w:p>
      <w:pPr>
        <w:pStyle w:val="BlankOpen"/>
      </w:pPr>
    </w:p>
    <w:p>
      <w:pPr>
        <w:pStyle w:val="zSubsection"/>
        <w:spacing w:before="0"/>
      </w:pPr>
      <w:r>
        <w:tab/>
        <w:t>(3A)</w:t>
      </w:r>
      <w:r>
        <w:tab/>
        <w:t xml:space="preserve">Regulations that, immediately before the day on which the </w:t>
      </w:r>
      <w:r>
        <w:rPr>
          <w:i/>
          <w:iCs/>
        </w:rPr>
        <w:t>National Gas Access (WA) Act 2009</w:t>
      </w:r>
      <w:r>
        <w:t xml:space="preserve"> section 59(1) comes into operation, apply provisions of the </w:t>
      </w:r>
      <w:r>
        <w:rPr>
          <w:i/>
          <w:iCs/>
        </w:rPr>
        <w:t>Gas Pipelines Access (Western Australia) Act 1998</w:t>
      </w:r>
      <w:r>
        <w:t xml:space="preserve"> continue to have the effect they had immediately before that day until the contrary intention appears from a regulation made after that day.</w:t>
      </w:r>
    </w:p>
    <w:p>
      <w:pPr>
        <w:pStyle w:val="BlankClose"/>
      </w:pPr>
    </w:p>
    <w:p>
      <w:pPr>
        <w:pStyle w:val="Heading5"/>
      </w:pPr>
      <w:bookmarkStart w:id="111" w:name="_Toc158374606"/>
      <w:r>
        <w:rPr>
          <w:rStyle w:val="CharSectno"/>
        </w:rPr>
        <w:t>60</w:t>
      </w:r>
      <w:r>
        <w:t>.</w:t>
      </w:r>
      <w:r>
        <w:tab/>
        <w:t>Section 130 amended</w:t>
      </w:r>
      <w:bookmarkEnd w:id="111"/>
    </w:p>
    <w:p>
      <w:pPr>
        <w:pStyle w:val="Subsection"/>
      </w:pPr>
      <w:r>
        <w:tab/>
        <w:t>(1)</w:t>
      </w:r>
      <w:r>
        <w:tab/>
        <w:t xml:space="preserve">In section 130(1) in the definition of </w:t>
      </w:r>
      <w:r>
        <w:rPr>
          <w:b/>
          <w:bCs/>
          <w:i/>
          <w:iCs/>
        </w:rPr>
        <w:t>gas pipelines access provisions</w:t>
      </w:r>
      <w:r>
        <w:t xml:space="preserve"> delete “Schedule 1.” and insert:</w:t>
      </w:r>
    </w:p>
    <w:p>
      <w:pPr>
        <w:pStyle w:val="BlankOpen"/>
      </w:pPr>
    </w:p>
    <w:p>
      <w:pPr>
        <w:pStyle w:val="zDefstart"/>
        <w:spacing w:before="0"/>
        <w:ind w:right="486"/>
      </w:pPr>
      <w:r>
        <w:tab/>
        <w:t xml:space="preserve">Schedule 1 as in force immediately before the day on which the </w:t>
      </w:r>
      <w:r>
        <w:rPr>
          <w:i/>
          <w:iCs/>
        </w:rPr>
        <w:t>National Gas Access (WA) Act 2009</w:t>
      </w:r>
      <w:r>
        <w:t xml:space="preserve"> section 51 deleted it.</w:t>
      </w:r>
    </w:p>
    <w:p>
      <w:pPr>
        <w:pStyle w:val="BlankClose"/>
      </w:pPr>
    </w:p>
    <w:p>
      <w:pPr>
        <w:pStyle w:val="Subsection"/>
      </w:pPr>
      <w:r>
        <w:tab/>
        <w:t>(2)</w:t>
      </w:r>
      <w:r>
        <w:tab/>
        <w:t>In section 130(8) delete “</w:t>
      </w:r>
      <w:r>
        <w:rPr>
          <w:i/>
          <w:iCs/>
        </w:rPr>
        <w:t>Gas Pipelines Access (Western Australia)</w:t>
      </w:r>
      <w:r>
        <w:t>” and insert:</w:t>
      </w:r>
    </w:p>
    <w:p>
      <w:pPr>
        <w:pStyle w:val="BlankOpen"/>
      </w:pPr>
    </w:p>
    <w:p>
      <w:pPr>
        <w:pStyle w:val="Subsection"/>
        <w:rPr>
          <w:i/>
          <w:iCs/>
        </w:rPr>
      </w:pPr>
      <w:r>
        <w:tab/>
      </w:r>
      <w:r>
        <w:tab/>
      </w:r>
      <w:r>
        <w:rPr>
          <w:i/>
          <w:iCs/>
        </w:rPr>
        <w:t>Energy Arbitration and Review</w:t>
      </w:r>
    </w:p>
    <w:p>
      <w:pPr>
        <w:pStyle w:val="BlankClose"/>
      </w:pPr>
    </w:p>
    <w:p>
      <w:pPr>
        <w:pStyle w:val="Subsection"/>
      </w:pPr>
      <w:r>
        <w:tab/>
        <w:t>(3)</w:t>
      </w:r>
      <w:r>
        <w:tab/>
        <w:t>Delete section 130(9) and insert:</w:t>
      </w:r>
    </w:p>
    <w:p>
      <w:pPr>
        <w:pStyle w:val="BlankOpen"/>
      </w:pPr>
    </w:p>
    <w:p>
      <w:pPr>
        <w:pStyle w:val="zSubsection"/>
        <w:spacing w:before="0"/>
      </w:pPr>
      <w:r>
        <w:tab/>
        <w:t>(9)</w:t>
      </w:r>
      <w:r>
        <w:tab/>
        <w:t>For proceedings to which subsection (8) extends the provisions described in that subsection, sections 57(1) and 59(4) of those provisions apply only to the extent that it is consistent with the Code for them to apply.</w:t>
      </w:r>
    </w:p>
    <w:p>
      <w:pPr>
        <w:pStyle w:val="BlankClose"/>
      </w:pPr>
    </w:p>
    <w:p>
      <w:pPr>
        <w:pStyle w:val="Heading5"/>
      </w:pPr>
      <w:bookmarkStart w:id="112" w:name="_Toc158374607"/>
      <w:r>
        <w:rPr>
          <w:rStyle w:val="CharSectno"/>
        </w:rPr>
        <w:lastRenderedPageBreak/>
        <w:t>61</w:t>
      </w:r>
      <w:r>
        <w:t>.</w:t>
      </w:r>
      <w:r>
        <w:tab/>
        <w:t>Section 133 amended</w:t>
      </w:r>
      <w:bookmarkEnd w:id="112"/>
    </w:p>
    <w:p>
      <w:pPr>
        <w:pStyle w:val="Subsection"/>
        <w:keepNext/>
      </w:pPr>
      <w:r>
        <w:tab/>
      </w:r>
      <w:r>
        <w:tab/>
        <w:t>In section 133(1) before “in connection with” insert:</w:t>
      </w:r>
    </w:p>
    <w:p>
      <w:pPr>
        <w:pStyle w:val="BlankOpen"/>
      </w:pPr>
    </w:p>
    <w:p>
      <w:pPr>
        <w:pStyle w:val="zSubsection"/>
        <w:spacing w:before="0"/>
      </w:pPr>
      <w:r>
        <w:tab/>
      </w:r>
      <w:r>
        <w:tab/>
        <w:t>in relation to the imposition and payment of fees and charges in connection with any matter under this Act, including</w:t>
      </w:r>
    </w:p>
    <w:p>
      <w:pPr>
        <w:pStyle w:val="BlankClose"/>
      </w:pPr>
    </w:p>
    <w:p>
      <w:pPr>
        <w:pStyle w:val="Heading3"/>
      </w:pPr>
      <w:bookmarkStart w:id="113" w:name="_Toc156818971"/>
      <w:bookmarkStart w:id="114" w:name="_Toc156990388"/>
      <w:bookmarkStart w:id="115" w:name="_Toc158374608"/>
      <w:r>
        <w:rPr>
          <w:rStyle w:val="CharDivNo"/>
        </w:rPr>
        <w:t>Division 4</w:t>
      </w:r>
      <w:r>
        <w:t> — </w:t>
      </w:r>
      <w:r>
        <w:rPr>
          <w:rStyle w:val="CharDivText"/>
          <w:i/>
          <w:iCs/>
        </w:rPr>
        <w:t>Energy Coordination Act 1994</w:t>
      </w:r>
      <w:bookmarkEnd w:id="113"/>
      <w:bookmarkEnd w:id="114"/>
      <w:bookmarkEnd w:id="115"/>
    </w:p>
    <w:p>
      <w:pPr>
        <w:pStyle w:val="Heading5"/>
      </w:pPr>
      <w:bookmarkStart w:id="116" w:name="_Toc158374609"/>
      <w:r>
        <w:rPr>
          <w:rStyle w:val="CharSectno"/>
        </w:rPr>
        <w:t>62</w:t>
      </w:r>
      <w:r>
        <w:t>.</w:t>
      </w:r>
      <w:r>
        <w:tab/>
        <w:t>Act amended</w:t>
      </w:r>
      <w:bookmarkEnd w:id="116"/>
    </w:p>
    <w:p>
      <w:pPr>
        <w:pStyle w:val="Subsection"/>
      </w:pPr>
      <w:r>
        <w:tab/>
      </w:r>
      <w:r>
        <w:tab/>
        <w:t xml:space="preserve">This Division amends the </w:t>
      </w:r>
      <w:r>
        <w:rPr>
          <w:i/>
          <w:iCs/>
        </w:rPr>
        <w:t>Energy Coordination Act 1994</w:t>
      </w:r>
      <w:r>
        <w:t>.</w:t>
      </w:r>
    </w:p>
    <w:p>
      <w:pPr>
        <w:pStyle w:val="Heading5"/>
        <w:spacing w:before="120"/>
      </w:pPr>
      <w:bookmarkStart w:id="117" w:name="_Toc158374610"/>
      <w:r>
        <w:rPr>
          <w:rStyle w:val="CharSectno"/>
        </w:rPr>
        <w:t>63</w:t>
      </w:r>
      <w:r>
        <w:t>.</w:t>
      </w:r>
      <w:r>
        <w:tab/>
        <w:t>Section 11J deleted</w:t>
      </w:r>
      <w:bookmarkEnd w:id="117"/>
    </w:p>
    <w:p>
      <w:pPr>
        <w:pStyle w:val="Subsection"/>
        <w:spacing w:before="100"/>
      </w:pPr>
      <w:r>
        <w:tab/>
      </w:r>
      <w:r>
        <w:tab/>
        <w:t>Delete section 11J.</w:t>
      </w:r>
    </w:p>
    <w:p>
      <w:pPr>
        <w:pStyle w:val="Heading5"/>
      </w:pPr>
      <w:bookmarkStart w:id="118" w:name="_Toc158374611"/>
      <w:r>
        <w:rPr>
          <w:rStyle w:val="CharSectno"/>
        </w:rPr>
        <w:t>64</w:t>
      </w:r>
      <w:r>
        <w:t>.</w:t>
      </w:r>
      <w:r>
        <w:tab/>
        <w:t>Section 11M amended</w:t>
      </w:r>
      <w:bookmarkEnd w:id="118"/>
    </w:p>
    <w:p>
      <w:pPr>
        <w:pStyle w:val="Subsection"/>
        <w:spacing w:before="100"/>
      </w:pPr>
      <w:r>
        <w:tab/>
      </w:r>
      <w:r>
        <w:tab/>
        <w:t>In section 11M(5) delete paragraph (a) and “or” after it and insert:</w:t>
      </w:r>
    </w:p>
    <w:p>
      <w:pPr>
        <w:pStyle w:val="BlankOpen"/>
      </w:pPr>
    </w:p>
    <w:p>
      <w:pPr>
        <w:pStyle w:val="zIndenta"/>
        <w:spacing w:before="0"/>
      </w:pPr>
      <w:r>
        <w:tab/>
        <w:t>(a)</w:t>
      </w:r>
      <w:r>
        <w:tab/>
        <w:t>the National Gas Access (Western Australia) Law; or</w:t>
      </w:r>
    </w:p>
    <w:p>
      <w:pPr>
        <w:pStyle w:val="BlankClose"/>
      </w:pPr>
    </w:p>
    <w:p>
      <w:pPr>
        <w:pStyle w:val="Heading5"/>
      </w:pPr>
      <w:bookmarkStart w:id="119" w:name="_Toc158374612"/>
      <w:r>
        <w:rPr>
          <w:rStyle w:val="CharSectno"/>
        </w:rPr>
        <w:t>65</w:t>
      </w:r>
      <w:r>
        <w:t>.</w:t>
      </w:r>
      <w:r>
        <w:tab/>
        <w:t>Section 11V amended</w:t>
      </w:r>
      <w:bookmarkEnd w:id="119"/>
    </w:p>
    <w:p>
      <w:pPr>
        <w:pStyle w:val="Subsection"/>
        <w:spacing w:before="100"/>
      </w:pPr>
      <w:r>
        <w:tab/>
      </w:r>
      <w:r>
        <w:tab/>
        <w:t>Delete section 11V(2) and insert:</w:t>
      </w:r>
    </w:p>
    <w:p>
      <w:pPr>
        <w:pStyle w:val="BlankOpen"/>
      </w:pPr>
    </w:p>
    <w:p>
      <w:pPr>
        <w:pStyle w:val="zSubsection"/>
        <w:spacing w:before="0"/>
      </w:pPr>
      <w:r>
        <w:tab/>
        <w:t>(2)</w:t>
      </w:r>
      <w:r>
        <w:tab/>
        <w:t>A licence does not have effect to the extent that it would be inconsistent with the National Gas Access (Western Australia) Law.</w:t>
      </w:r>
    </w:p>
    <w:p>
      <w:pPr>
        <w:pStyle w:val="BlankClose"/>
      </w:pPr>
    </w:p>
    <w:p>
      <w:pPr>
        <w:pStyle w:val="Heading5"/>
      </w:pPr>
      <w:bookmarkStart w:id="120" w:name="_Toc158374613"/>
      <w:r>
        <w:rPr>
          <w:rStyle w:val="CharSectno"/>
        </w:rPr>
        <w:lastRenderedPageBreak/>
        <w:t>66</w:t>
      </w:r>
      <w:r>
        <w:t>.</w:t>
      </w:r>
      <w:r>
        <w:tab/>
        <w:t>Section 11ZAC amended</w:t>
      </w:r>
      <w:bookmarkEnd w:id="120"/>
    </w:p>
    <w:p>
      <w:pPr>
        <w:pStyle w:val="Subsection"/>
        <w:keepNext/>
        <w:spacing w:before="100"/>
      </w:pPr>
      <w:r>
        <w:tab/>
      </w:r>
      <w:r>
        <w:tab/>
        <w:t>Delete section 11ZAC(4)(b) and insert:</w:t>
      </w:r>
    </w:p>
    <w:p>
      <w:pPr>
        <w:pStyle w:val="BlankOpen"/>
      </w:pPr>
    </w:p>
    <w:p>
      <w:pPr>
        <w:pStyle w:val="zIndenta"/>
        <w:spacing w:before="0"/>
      </w:pPr>
      <w:r>
        <w:tab/>
        <w:t>(b)</w:t>
      </w:r>
      <w:r>
        <w:tab/>
        <w:t>an access arrangement under the National Gas Access (Western Australia) Law.</w:t>
      </w:r>
    </w:p>
    <w:p>
      <w:pPr>
        <w:pStyle w:val="BlankClose"/>
      </w:pPr>
    </w:p>
    <w:p>
      <w:pPr>
        <w:pStyle w:val="Heading5"/>
      </w:pPr>
      <w:bookmarkStart w:id="121" w:name="_Toc158374614"/>
      <w:r>
        <w:rPr>
          <w:rStyle w:val="CharSectno"/>
        </w:rPr>
        <w:t>67</w:t>
      </w:r>
      <w:r>
        <w:t>.</w:t>
      </w:r>
      <w:r>
        <w:tab/>
        <w:t>Schedule 1A amended</w:t>
      </w:r>
      <w:bookmarkEnd w:id="121"/>
    </w:p>
    <w:p>
      <w:pPr>
        <w:pStyle w:val="Subsection"/>
      </w:pPr>
      <w:r>
        <w:tab/>
      </w:r>
      <w:r>
        <w:tab/>
        <w:t>In Schedule 1A in paragraph (a) delete “</w:t>
      </w:r>
      <w:r>
        <w:rPr>
          <w:sz w:val="22"/>
        </w:rPr>
        <w:t>Gas Pipelines Access (Western Australia) Law;</w:t>
      </w:r>
      <w:r>
        <w:t>” and insert:</w:t>
      </w:r>
    </w:p>
    <w:p>
      <w:pPr>
        <w:pStyle w:val="BlankOpen"/>
      </w:pPr>
    </w:p>
    <w:p>
      <w:pPr>
        <w:pStyle w:val="Subsection"/>
        <w:rPr>
          <w:sz w:val="22"/>
        </w:rPr>
      </w:pPr>
      <w:r>
        <w:tab/>
      </w:r>
      <w:r>
        <w:tab/>
      </w:r>
      <w:r>
        <w:rPr>
          <w:sz w:val="22"/>
        </w:rPr>
        <w:t>National Gas Access (Western Australia) Law;</w:t>
      </w:r>
    </w:p>
    <w:p>
      <w:pPr>
        <w:pStyle w:val="BlankClose"/>
      </w:pPr>
    </w:p>
    <w:p>
      <w:pPr>
        <w:pStyle w:val="Heading3"/>
      </w:pPr>
      <w:bookmarkStart w:id="122" w:name="_Toc156818978"/>
      <w:bookmarkStart w:id="123" w:name="_Toc156990395"/>
      <w:bookmarkStart w:id="124" w:name="_Toc158374615"/>
      <w:r>
        <w:rPr>
          <w:rStyle w:val="CharDivNo"/>
        </w:rPr>
        <w:t>Division 5</w:t>
      </w:r>
      <w:r>
        <w:t> — </w:t>
      </w:r>
      <w:r>
        <w:rPr>
          <w:rStyle w:val="CharDivText"/>
          <w:iCs/>
        </w:rPr>
        <w:t>Other Acts amended</w:t>
      </w:r>
      <w:bookmarkEnd w:id="122"/>
      <w:bookmarkEnd w:id="123"/>
      <w:bookmarkEnd w:id="124"/>
    </w:p>
    <w:p>
      <w:pPr>
        <w:pStyle w:val="Heading5"/>
      </w:pPr>
      <w:bookmarkStart w:id="125" w:name="_Toc158374616"/>
      <w:r>
        <w:rPr>
          <w:rStyle w:val="CharSectno"/>
        </w:rPr>
        <w:t>68</w:t>
      </w:r>
      <w:r>
        <w:t>.</w:t>
      </w:r>
      <w:r>
        <w:tab/>
      </w:r>
      <w:r>
        <w:rPr>
          <w:i/>
          <w:iCs/>
        </w:rPr>
        <w:t>Constitution Acts Amendment Act 1899 amended</w:t>
      </w:r>
      <w:bookmarkEnd w:id="125"/>
    </w:p>
    <w:p>
      <w:pPr>
        <w:pStyle w:val="Subsection"/>
      </w:pPr>
      <w:r>
        <w:tab/>
        <w:t>(1)</w:t>
      </w:r>
      <w:r>
        <w:tab/>
        <w:t xml:space="preserve">This section amends the </w:t>
      </w:r>
      <w:r>
        <w:rPr>
          <w:i/>
          <w:iCs/>
        </w:rPr>
        <w:t>Constitution Acts Amendment Act 1899</w:t>
      </w:r>
      <w:r>
        <w:t>.</w:t>
      </w:r>
    </w:p>
    <w:p>
      <w:pPr>
        <w:pStyle w:val="Subsection"/>
      </w:pPr>
      <w:r>
        <w:tab/>
        <w:t>(2)</w:t>
      </w:r>
      <w:r>
        <w:tab/>
        <w:t>In Schedule V Part 1 Division 1 in the item for the Western Australian Gas Disputes Arbitrator:</w:t>
      </w:r>
    </w:p>
    <w:p>
      <w:pPr>
        <w:pStyle w:val="Indenta"/>
      </w:pPr>
      <w:r>
        <w:tab/>
        <w:t>(a)</w:t>
      </w:r>
      <w:r>
        <w:tab/>
        <w:t>delete “</w:t>
      </w:r>
      <w:r>
        <w:rPr>
          <w:sz w:val="22"/>
        </w:rPr>
        <w:t>Gas Disputes</w:t>
      </w:r>
      <w:r>
        <w:t>” and insert:</w:t>
      </w:r>
    </w:p>
    <w:p>
      <w:pPr>
        <w:pStyle w:val="BlankOpen"/>
      </w:pPr>
    </w:p>
    <w:p>
      <w:pPr>
        <w:pStyle w:val="Indenta"/>
        <w:rPr>
          <w:sz w:val="22"/>
        </w:rPr>
      </w:pPr>
      <w:r>
        <w:tab/>
      </w:r>
      <w:r>
        <w:tab/>
      </w:r>
      <w:r>
        <w:rPr>
          <w:sz w:val="22"/>
        </w:rPr>
        <w:t>Energy Disputes</w:t>
      </w:r>
    </w:p>
    <w:p>
      <w:pPr>
        <w:pStyle w:val="BlankClose"/>
      </w:pPr>
    </w:p>
    <w:p>
      <w:pPr>
        <w:pStyle w:val="Indenta"/>
      </w:pPr>
      <w:r>
        <w:tab/>
        <w:t>(b)</w:t>
      </w:r>
      <w:r>
        <w:tab/>
        <w:t>delete “</w:t>
      </w:r>
      <w:r>
        <w:rPr>
          <w:i/>
          <w:iCs/>
          <w:sz w:val="22"/>
        </w:rPr>
        <w:t>Gas Pipelines Access (Western Australia)</w:t>
      </w:r>
      <w:r>
        <w:t>” and insert:</w:t>
      </w:r>
    </w:p>
    <w:p>
      <w:pPr>
        <w:pStyle w:val="BlankOpen"/>
      </w:pPr>
    </w:p>
    <w:p>
      <w:pPr>
        <w:pStyle w:val="Indenta"/>
        <w:rPr>
          <w:i/>
          <w:iCs/>
          <w:sz w:val="22"/>
        </w:rPr>
      </w:pPr>
      <w:r>
        <w:tab/>
      </w:r>
      <w:r>
        <w:tab/>
      </w:r>
      <w:r>
        <w:rPr>
          <w:i/>
          <w:iCs/>
          <w:sz w:val="22"/>
        </w:rPr>
        <w:t>Energy Arbitration and Review</w:t>
      </w:r>
    </w:p>
    <w:p>
      <w:pPr>
        <w:pStyle w:val="BlankClose"/>
      </w:pPr>
    </w:p>
    <w:p>
      <w:pPr>
        <w:pStyle w:val="Heading5"/>
      </w:pPr>
      <w:bookmarkStart w:id="126" w:name="_Toc158374617"/>
      <w:r>
        <w:rPr>
          <w:rStyle w:val="CharSectno"/>
        </w:rPr>
        <w:t>69</w:t>
      </w:r>
      <w:r>
        <w:t>.</w:t>
      </w:r>
      <w:r>
        <w:tab/>
      </w:r>
      <w:r>
        <w:rPr>
          <w:i/>
          <w:iCs/>
        </w:rPr>
        <w:t>Financial Management Act 2006 amended</w:t>
      </w:r>
      <w:bookmarkEnd w:id="126"/>
    </w:p>
    <w:p>
      <w:pPr>
        <w:pStyle w:val="Subsection"/>
      </w:pPr>
      <w:r>
        <w:tab/>
        <w:t>(1)</w:t>
      </w:r>
      <w:r>
        <w:tab/>
        <w:t xml:space="preserve">This section amends the </w:t>
      </w:r>
      <w:r>
        <w:rPr>
          <w:i/>
          <w:iCs/>
        </w:rPr>
        <w:t>Financial Management Act 2006</w:t>
      </w:r>
      <w:r>
        <w:t>.</w:t>
      </w:r>
    </w:p>
    <w:p>
      <w:pPr>
        <w:pStyle w:val="Subsection"/>
      </w:pPr>
      <w:r>
        <w:lastRenderedPageBreak/>
        <w:tab/>
        <w:t>(2)</w:t>
      </w:r>
      <w:r>
        <w:tab/>
        <w:t>In Schedule 1 in the item “Western Australian Gas Disputes Arbitrator” delete “</w:t>
      </w:r>
      <w:r>
        <w:rPr>
          <w:sz w:val="22"/>
        </w:rPr>
        <w:t>Gas</w:t>
      </w:r>
      <w:r>
        <w:t>” and insert:</w:t>
      </w:r>
    </w:p>
    <w:p>
      <w:pPr>
        <w:pStyle w:val="BlankOpen"/>
      </w:pPr>
    </w:p>
    <w:p>
      <w:pPr>
        <w:pStyle w:val="Subsection"/>
        <w:rPr>
          <w:sz w:val="22"/>
        </w:rPr>
      </w:pPr>
      <w:r>
        <w:tab/>
      </w:r>
      <w:r>
        <w:tab/>
      </w:r>
      <w:r>
        <w:rPr>
          <w:sz w:val="22"/>
        </w:rPr>
        <w:t>Energy</w:t>
      </w:r>
    </w:p>
    <w:p>
      <w:pPr>
        <w:pStyle w:val="BlankClose"/>
      </w:pPr>
    </w:p>
    <w:p>
      <w:pPr>
        <w:pStyle w:val="Heading5"/>
      </w:pPr>
      <w:bookmarkStart w:id="127" w:name="_Toc158374618"/>
      <w:r>
        <w:rPr>
          <w:rStyle w:val="CharSectno"/>
        </w:rPr>
        <w:t>70</w:t>
      </w:r>
      <w:r>
        <w:t>.</w:t>
      </w:r>
      <w:r>
        <w:tab/>
      </w:r>
      <w:r>
        <w:rPr>
          <w:i/>
          <w:iCs/>
        </w:rPr>
        <w:t>Freedom of Information Act 1992 amended</w:t>
      </w:r>
      <w:bookmarkEnd w:id="127"/>
    </w:p>
    <w:p>
      <w:pPr>
        <w:pStyle w:val="Subsection"/>
      </w:pPr>
      <w:r>
        <w:tab/>
        <w:t>(1)</w:t>
      </w:r>
      <w:r>
        <w:tab/>
        <w:t xml:space="preserve">This section amends the </w:t>
      </w:r>
      <w:r>
        <w:rPr>
          <w:i/>
          <w:iCs/>
        </w:rPr>
        <w:t>Freedom of Information Act 1992</w:t>
      </w:r>
      <w:r>
        <w:t>.</w:t>
      </w:r>
    </w:p>
    <w:p>
      <w:pPr>
        <w:pStyle w:val="Subsection"/>
      </w:pPr>
      <w:r>
        <w:tab/>
        <w:t>(2)</w:t>
      </w:r>
      <w:r>
        <w:tab/>
        <w:t>Delete the Glossary clause 7A(1) and insert:</w:t>
      </w:r>
    </w:p>
    <w:p>
      <w:pPr>
        <w:pStyle w:val="BlankOpen"/>
      </w:pPr>
    </w:p>
    <w:p>
      <w:pPr>
        <w:pStyle w:val="zySubsection"/>
        <w:spacing w:before="0"/>
      </w:pPr>
      <w:r>
        <w:tab/>
        <w:t>(1)</w:t>
      </w:r>
      <w:r>
        <w:tab/>
        <w:t xml:space="preserve">In this clause — </w:t>
      </w:r>
    </w:p>
    <w:p>
      <w:pPr>
        <w:pStyle w:val="zyDefstart"/>
        <w:ind w:right="606"/>
      </w:pPr>
      <w:r>
        <w:tab/>
      </w:r>
      <w:r>
        <w:rPr>
          <w:rStyle w:val="CharDefText"/>
        </w:rPr>
        <w:t>access regulation functions</w:t>
      </w:r>
      <w:r>
        <w:t xml:space="preserve"> means the functions given by or under the </w:t>
      </w:r>
      <w:r>
        <w:rPr>
          <w:i/>
          <w:iCs/>
        </w:rPr>
        <w:t>National Gas Access (WA) Act 2009</w:t>
      </w:r>
      <w:r>
        <w:t>;</w:t>
      </w:r>
    </w:p>
    <w:p>
      <w:pPr>
        <w:pStyle w:val="zyDefstart"/>
      </w:pPr>
      <w:r>
        <w:tab/>
      </w:r>
      <w:r>
        <w:rPr>
          <w:rStyle w:val="CharDefText"/>
        </w:rPr>
        <w:t>arbitrator</w:t>
      </w:r>
      <w:r>
        <w:t xml:space="preserve"> has the meaning given in section 61 of the </w:t>
      </w:r>
      <w:r>
        <w:rPr>
          <w:i/>
        </w:rPr>
        <w:t>Energy Arbitration and Review Act 1998</w:t>
      </w:r>
      <w:r>
        <w:t>;</w:t>
      </w:r>
    </w:p>
    <w:p>
      <w:pPr>
        <w:pStyle w:val="zyDefstart"/>
      </w:pPr>
      <w:r>
        <w:tab/>
      </w:r>
      <w:r>
        <w:rPr>
          <w:rStyle w:val="CharDefText"/>
        </w:rPr>
        <w:t>Authority</w:t>
      </w:r>
      <w:r>
        <w:t xml:space="preserve"> means the Economic Regulation Authority established by the </w:t>
      </w:r>
      <w:r>
        <w:rPr>
          <w:i/>
          <w:iCs/>
        </w:rPr>
        <w:t>Economic Regulation Authority Act 2003</w:t>
      </w:r>
      <w:r>
        <w:t>;</w:t>
      </w:r>
    </w:p>
    <w:p>
      <w:pPr>
        <w:pStyle w:val="zyDefstart"/>
      </w:pPr>
      <w:r>
        <w:tab/>
      </w:r>
      <w:r>
        <w:rPr>
          <w:rStyle w:val="CharDefText"/>
        </w:rPr>
        <w:t>Board</w:t>
      </w:r>
      <w:r>
        <w:t xml:space="preserve"> has the meaning given in section 49 of the </w:t>
      </w:r>
      <w:r>
        <w:rPr>
          <w:i/>
          <w:iCs/>
        </w:rPr>
        <w:t>Energy Arbitration and Review Act 1998</w:t>
      </w:r>
      <w:r>
        <w:t>.</w:t>
      </w:r>
    </w:p>
    <w:p>
      <w:pPr>
        <w:pStyle w:val="BlankClose"/>
      </w:pPr>
    </w:p>
    <w:p>
      <w:pPr>
        <w:pStyle w:val="Heading5"/>
      </w:pPr>
      <w:bookmarkStart w:id="128" w:name="_Toc158374619"/>
      <w:r>
        <w:rPr>
          <w:rStyle w:val="CharSectno"/>
        </w:rPr>
        <w:t>71</w:t>
      </w:r>
      <w:r>
        <w:t>.</w:t>
      </w:r>
      <w:r>
        <w:tab/>
      </w:r>
      <w:r>
        <w:rPr>
          <w:i/>
        </w:rPr>
        <w:t>Parliamentary Commissioner Act 1971</w:t>
      </w:r>
      <w:r>
        <w:rPr>
          <w:i/>
          <w:iCs/>
        </w:rPr>
        <w:t xml:space="preserve"> amended</w:t>
      </w:r>
      <w:bookmarkEnd w:id="128"/>
    </w:p>
    <w:p>
      <w:pPr>
        <w:pStyle w:val="Subsection"/>
      </w:pPr>
      <w:r>
        <w:tab/>
        <w:t>(1)</w:t>
      </w:r>
      <w:r>
        <w:tab/>
        <w:t xml:space="preserve">This section amends the </w:t>
      </w:r>
      <w:r>
        <w:rPr>
          <w:i/>
          <w:iCs/>
        </w:rPr>
        <w:t>Parliamentary Commissioner Act 1971</w:t>
      </w:r>
      <w:r>
        <w:t>.</w:t>
      </w:r>
    </w:p>
    <w:p>
      <w:pPr>
        <w:pStyle w:val="Subsection"/>
      </w:pPr>
      <w:r>
        <w:tab/>
        <w:t>(2)</w:t>
      </w:r>
      <w:r>
        <w:tab/>
        <w:t>In Schedule 1 in the item for the Economic Regulation Authority delete “</w:t>
      </w:r>
      <w:r>
        <w:rPr>
          <w:sz w:val="22"/>
        </w:rPr>
        <w:t xml:space="preserve">referred to in section 36(1) of the </w:t>
      </w:r>
      <w:r>
        <w:rPr>
          <w:i/>
          <w:iCs/>
          <w:sz w:val="22"/>
        </w:rPr>
        <w:t>Gas Pipelines Access (Western Australia) Act 1998</w:t>
      </w:r>
      <w:r>
        <w:rPr>
          <w:sz w:val="22"/>
        </w:rPr>
        <w:t xml:space="preserve"> and</w:t>
      </w:r>
      <w:r>
        <w:t>” and insert:</w:t>
      </w:r>
    </w:p>
    <w:p>
      <w:pPr>
        <w:pStyle w:val="BlankOpen"/>
      </w:pPr>
    </w:p>
    <w:p>
      <w:pPr>
        <w:pStyle w:val="zy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Heading5"/>
      </w:pPr>
      <w:bookmarkStart w:id="129" w:name="_Toc158374620"/>
      <w:r>
        <w:rPr>
          <w:rStyle w:val="CharSectno"/>
        </w:rPr>
        <w:lastRenderedPageBreak/>
        <w:t>72</w:t>
      </w:r>
      <w:r>
        <w:t>.</w:t>
      </w:r>
      <w:r>
        <w:tab/>
      </w:r>
      <w:r>
        <w:rPr>
          <w:i/>
          <w:iCs/>
        </w:rPr>
        <w:t>Petroleum Pipelines Act 1969 amended</w:t>
      </w:r>
      <w:bookmarkEnd w:id="129"/>
    </w:p>
    <w:p>
      <w:pPr>
        <w:pStyle w:val="Subsection"/>
        <w:keepNext/>
      </w:pPr>
      <w:r>
        <w:tab/>
        <w:t>(1)</w:t>
      </w:r>
      <w:r>
        <w:tab/>
        <w:t xml:space="preserve">This section amends the </w:t>
      </w:r>
      <w:r>
        <w:rPr>
          <w:i/>
          <w:iCs/>
        </w:rPr>
        <w:t>Petroleum Pipelines Act 1969</w:t>
      </w:r>
      <w:r>
        <w:t>.</w:t>
      </w:r>
    </w:p>
    <w:p>
      <w:pPr>
        <w:pStyle w:val="Subsection"/>
      </w:pPr>
      <w:r>
        <w:tab/>
        <w:t>(2)</w:t>
      </w:r>
      <w:r>
        <w:tab/>
        <w:t>Delete section 5A.</w:t>
      </w:r>
    </w:p>
    <w:p>
      <w:pPr>
        <w:sectPr>
          <w:headerReference w:type="even" r:id="rId24"/>
          <w:headerReference w:type="default" r:id="rId25"/>
          <w:headerReference w:type="first" r:id="rId26"/>
          <w:endnotePr>
            <w:numFmt w:val="decimal"/>
          </w:endnotePr>
          <w:pgSz w:w="11907" w:h="16840" w:code="9"/>
          <w:pgMar w:top="2381" w:right="2410" w:bottom="3544" w:left="2410" w:header="720" w:footer="3544" w:gutter="0"/>
          <w:cols w:space="720"/>
          <w:noEndnote/>
          <w:docGrid w:linePitch="326"/>
        </w:sectPr>
      </w:pPr>
    </w:p>
    <w:p>
      <w:pPr>
        <w:pStyle w:val="yScheduleHeading"/>
      </w:pPr>
      <w:bookmarkStart w:id="130" w:name="_Toc156818984"/>
      <w:bookmarkStart w:id="131" w:name="_Toc156990401"/>
      <w:bookmarkStart w:id="132" w:name="_Toc158374621"/>
      <w:r>
        <w:rPr>
          <w:rStyle w:val="CharSchNo"/>
        </w:rPr>
        <w:lastRenderedPageBreak/>
        <w:t>Schedule 1</w:t>
      </w:r>
      <w:r>
        <w:rPr>
          <w:rStyle w:val="CharSDivNo"/>
        </w:rPr>
        <w:t> </w:t>
      </w:r>
      <w:r>
        <w:t>— </w:t>
      </w:r>
      <w:r>
        <w:rPr>
          <w:rStyle w:val="CharSchText"/>
        </w:rPr>
        <w:t>Some modifications to National Gas Law as in Schedule to South Australian Act</w:t>
      </w:r>
      <w:bookmarkEnd w:id="130"/>
      <w:bookmarkEnd w:id="131"/>
      <w:bookmarkEnd w:id="132"/>
    </w:p>
    <w:p>
      <w:pPr>
        <w:pStyle w:val="yShoulderClause"/>
      </w:pPr>
      <w:r>
        <w:t>[s. 7(2)]</w:t>
      </w:r>
    </w:p>
    <w:p>
      <w:pPr>
        <w:pStyle w:val="yHeading5"/>
      </w:pPr>
      <w:bookmarkStart w:id="133" w:name="_Toc158374622"/>
      <w:r>
        <w:rPr>
          <w:rStyle w:val="CharSClsNo"/>
        </w:rPr>
        <w:t>1</w:t>
      </w:r>
      <w:r>
        <w:t>.</w:t>
      </w:r>
      <w:r>
        <w:tab/>
        <w:t>Purpose of this Schedule</w:t>
      </w:r>
      <w:bookmarkEnd w:id="133"/>
    </w:p>
    <w:p>
      <w:pPr>
        <w:pStyle w:val="ySubsection"/>
        <w:spacing w:before="180"/>
      </w:pPr>
      <w:r>
        <w:tab/>
        <w:t>(1)</w:t>
      </w:r>
      <w:r>
        <w:tab/>
        <w:t>This Schedule makes the modifications to the underlying National Gas Law that, together with modifications giving effect to section 7A(3) and (4), result in the text that section 7(1) applies as the National Gas Access (Western Australia) Law.</w:t>
      </w:r>
    </w:p>
    <w:p>
      <w:pPr>
        <w:pStyle w:val="ySubsection"/>
      </w:pPr>
      <w:r>
        <w:tab/>
        <w:t>(2)</w:t>
      </w:r>
      <w:r>
        <w:tab/>
        <w:t xml:space="preserve">In subclause (1) — </w:t>
      </w:r>
    </w:p>
    <w:p>
      <w:pPr>
        <w:pStyle w:val="yDefstart"/>
      </w:pPr>
      <w:r>
        <w:tab/>
      </w:r>
      <w:r>
        <w:rPr>
          <w:rStyle w:val="CharDefText"/>
        </w:rPr>
        <w:t>underlying National Gas Law</w:t>
      </w:r>
      <w:r>
        <w:t xml:space="preserve"> means the National Gas Law, as set out in the South Australian Act Schedule for the time being in force.</w:t>
      </w:r>
    </w:p>
    <w:p>
      <w:pPr>
        <w:pStyle w:val="yHeading5"/>
      </w:pPr>
      <w:bookmarkStart w:id="134" w:name="_Toc158374623"/>
      <w:r>
        <w:rPr>
          <w:rStyle w:val="CharSClsNo"/>
        </w:rPr>
        <w:t>2</w:t>
      </w:r>
      <w:r>
        <w:t>.</w:t>
      </w:r>
      <w:r>
        <w:tab/>
        <w:t>Section 1 modified</w:t>
      </w:r>
      <w:bookmarkEnd w:id="134"/>
    </w:p>
    <w:p>
      <w:pPr>
        <w:pStyle w:val="ySubsection"/>
        <w:spacing w:before="180"/>
      </w:pPr>
      <w:r>
        <w:tab/>
      </w:r>
      <w:r>
        <w:tab/>
        <w:t>In section 1 after “National Gas” insert —</w:t>
      </w:r>
    </w:p>
    <w:p>
      <w:pPr>
        <w:pStyle w:val="BlankOpen"/>
      </w:pPr>
    </w:p>
    <w:p>
      <w:pPr>
        <w:pStyle w:val="ySubsection"/>
        <w:rPr>
          <w:sz w:val="23"/>
        </w:rPr>
      </w:pPr>
      <w:r>
        <w:tab/>
      </w:r>
      <w:r>
        <w:tab/>
      </w:r>
      <w:r>
        <w:rPr>
          <w:sz w:val="23"/>
        </w:rPr>
        <w:t>Access</w:t>
      </w:r>
    </w:p>
    <w:p>
      <w:pPr>
        <w:pStyle w:val="BlankClose"/>
      </w:pPr>
    </w:p>
    <w:p>
      <w:pPr>
        <w:pStyle w:val="yHeading5"/>
      </w:pPr>
      <w:bookmarkStart w:id="135" w:name="_Toc158374624"/>
      <w:r>
        <w:rPr>
          <w:rStyle w:val="CharSClsNo"/>
        </w:rPr>
        <w:t>3</w:t>
      </w:r>
      <w:r>
        <w:t>.</w:t>
      </w:r>
      <w:r>
        <w:tab/>
        <w:t>Section 2 modified</w:t>
      </w:r>
      <w:bookmarkEnd w:id="135"/>
    </w:p>
    <w:p>
      <w:pPr>
        <w:pStyle w:val="ySubsection"/>
      </w:pPr>
      <w:r>
        <w:tab/>
        <w:t>(1)</w:t>
      </w:r>
      <w:r>
        <w:tab/>
        <w:t xml:space="preserve">In section 2 delete the definitions of </w:t>
      </w:r>
      <w:r>
        <w:rPr>
          <w:b/>
          <w:bCs/>
          <w:i/>
          <w:iCs/>
        </w:rPr>
        <w:t>dispute resolution body</w:t>
      </w:r>
      <w:r>
        <w:t xml:space="preserve">, </w:t>
      </w:r>
      <w:r>
        <w:rPr>
          <w:rStyle w:val="CharDefText"/>
        </w:rPr>
        <w:t>initial National Gas Rules</w:t>
      </w:r>
      <w:r>
        <w:t xml:space="preserve">, </w:t>
      </w:r>
      <w:r>
        <w:rPr>
          <w:b/>
          <w:bCs/>
          <w:i/>
          <w:iCs/>
        </w:rPr>
        <w:t>old access law</w:t>
      </w:r>
      <w:r>
        <w:t xml:space="preserve"> and </w:t>
      </w:r>
      <w:r>
        <w:rPr>
          <w:b/>
          <w:bCs/>
          <w:i/>
          <w:iCs/>
        </w:rPr>
        <w:t>Regulations</w:t>
      </w:r>
      <w:r>
        <w:t>.</w:t>
      </w:r>
    </w:p>
    <w:p>
      <w:pPr>
        <w:pStyle w:val="ySubsection"/>
        <w:keepNext/>
      </w:pPr>
      <w:r>
        <w:tab/>
        <w:t>(2)</w:t>
      </w:r>
      <w:r>
        <w:tab/>
        <w:t>In section 2 insert in alphabetical order:</w:t>
      </w:r>
    </w:p>
    <w:p>
      <w:pPr>
        <w:pStyle w:val="BlankOpen"/>
      </w:pPr>
    </w:p>
    <w:p>
      <w:pPr>
        <w:pStyle w:val="zDefstart"/>
        <w:spacing w:before="0"/>
        <w:ind w:right="566"/>
        <w:rPr>
          <w:sz w:val="23"/>
        </w:rPr>
      </w:pPr>
      <w:r>
        <w:rPr>
          <w:sz w:val="23"/>
        </w:rPr>
        <w:tab/>
      </w:r>
      <w:r>
        <w:rPr>
          <w:rStyle w:val="CharDefText"/>
          <w:sz w:val="23"/>
        </w:rPr>
        <w:t>dispute resolution body</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zDefstart"/>
        <w:ind w:right="567"/>
      </w:pPr>
      <w:r>
        <w:rPr>
          <w:sz w:val="23"/>
        </w:rPr>
        <w:tab/>
      </w:r>
      <w:r>
        <w:rPr>
          <w:rStyle w:val="CharDefText"/>
          <w:sz w:val="23"/>
        </w:rPr>
        <w:t>initial National Gas Rules</w:t>
      </w:r>
      <w:r>
        <w:rPr>
          <w:sz w:val="23"/>
        </w:rPr>
        <w:t xml:space="preserve"> means — </w:t>
      </w:r>
    </w:p>
    <w:p>
      <w:pPr>
        <w:pStyle w:val="zDefpara"/>
        <w:rPr>
          <w:sz w:val="23"/>
          <w:szCs w:val="23"/>
        </w:rPr>
      </w:pPr>
      <w:r>
        <w:rPr>
          <w:sz w:val="23"/>
          <w:szCs w:val="23"/>
        </w:rPr>
        <w:tab/>
        <w:t>(a)</w:t>
      </w:r>
      <w:r>
        <w:rPr>
          <w:sz w:val="23"/>
          <w:szCs w:val="23"/>
        </w:rPr>
        <w:tab/>
        <w:t xml:space="preserve">the National Gas Rules that, when the </w:t>
      </w:r>
      <w:r>
        <w:rPr>
          <w:i/>
          <w:sz w:val="23"/>
          <w:szCs w:val="23"/>
        </w:rPr>
        <w:t>National Gas Access (WA) Act 2009</w:t>
      </w:r>
      <w:r>
        <w:rPr>
          <w:sz w:val="23"/>
          <w:szCs w:val="23"/>
        </w:rPr>
        <w:t xml:space="preserve"> section 30 came into operation, applied under section 294; and</w:t>
      </w:r>
    </w:p>
    <w:p>
      <w:pPr>
        <w:pStyle w:val="zDefpara"/>
        <w:rPr>
          <w:sz w:val="23"/>
          <w:szCs w:val="23"/>
        </w:rPr>
      </w:pPr>
      <w:r>
        <w:rPr>
          <w:sz w:val="23"/>
          <w:szCs w:val="23"/>
        </w:rPr>
        <w:tab/>
        <w:t>(b)</w:t>
      </w:r>
      <w:r>
        <w:rPr>
          <w:sz w:val="23"/>
          <w:szCs w:val="23"/>
        </w:rPr>
        <w:tab/>
        <w:t xml:space="preserve">the </w:t>
      </w:r>
      <w:bookmarkStart w:id="136" w:name="RuleErr_5"/>
      <w:r>
        <w:rPr>
          <w:i/>
          <w:sz w:val="23"/>
          <w:szCs w:val="23"/>
        </w:rPr>
        <w:t>National Gas Access (Pipelines-Arbitration Amendment) Rules 2017</w:t>
      </w:r>
      <w:bookmarkEnd w:id="136"/>
      <w:r>
        <w:rPr>
          <w:sz w:val="23"/>
          <w:szCs w:val="23"/>
        </w:rPr>
        <w:t xml:space="preserve"> made by the Minister for </w:t>
      </w:r>
      <w:r>
        <w:rPr>
          <w:sz w:val="23"/>
          <w:szCs w:val="23"/>
        </w:rPr>
        <w:lastRenderedPageBreak/>
        <w:t xml:space="preserve">Mineral Resources and Energy of South Australia under the National Gas (South Australia) Law section 294F (notice of which was published in the </w:t>
      </w:r>
      <w:r>
        <w:rPr>
          <w:i/>
          <w:sz w:val="23"/>
          <w:szCs w:val="23"/>
        </w:rPr>
        <w:t>Government Gazette</w:t>
      </w:r>
      <w:r>
        <w:rPr>
          <w:sz w:val="23"/>
          <w:szCs w:val="23"/>
        </w:rPr>
        <w:t xml:space="preserve"> of South Australia on 1 August 2017 at p. 2994); and</w:t>
      </w:r>
    </w:p>
    <w:p>
      <w:pPr>
        <w:pStyle w:val="zDefpara"/>
      </w:pPr>
      <w:r>
        <w:rPr>
          <w:sz w:val="23"/>
          <w:szCs w:val="23"/>
        </w:rPr>
        <w:tab/>
        <w:t>(c)</w:t>
      </w:r>
      <w:r>
        <w:rPr>
          <w:sz w:val="23"/>
          <w:szCs w:val="23"/>
        </w:rPr>
        <w:tab/>
        <w:t xml:space="preserve">the </w:t>
      </w:r>
      <w:r>
        <w:rPr>
          <w:i/>
          <w:sz w:val="23"/>
          <w:szCs w:val="23"/>
        </w:rPr>
        <w:t>National Gas (Binding Rate of Return Instrument) Amendment Rule 2019</w:t>
      </w:r>
      <w:r>
        <w:rPr>
          <w:sz w:val="23"/>
          <w:szCs w:val="23"/>
        </w:rPr>
        <w:t xml:space="preserve"> made by the Minister for Energy and Mining of South Australia under the National Gas (South Australia) Law section 294CA (notice of which was published in the </w:t>
      </w:r>
      <w:r>
        <w:rPr>
          <w:i/>
          <w:sz w:val="23"/>
          <w:szCs w:val="23"/>
        </w:rPr>
        <w:t>Government Gazette</w:t>
      </w:r>
      <w:r>
        <w:rPr>
          <w:sz w:val="23"/>
          <w:szCs w:val="23"/>
        </w:rPr>
        <w:t xml:space="preserve"> of South Australia on 7 February 2019 at p. 404);</w:t>
      </w:r>
    </w:p>
    <w:p>
      <w:pPr>
        <w:pStyle w:val="zDefstart"/>
        <w:rPr>
          <w:sz w:val="23"/>
        </w:rPr>
      </w:pPr>
      <w:r>
        <w:rPr>
          <w:sz w:val="23"/>
        </w:rPr>
        <w:tab/>
      </w:r>
      <w:r>
        <w:rPr>
          <w:rStyle w:val="CharDefText"/>
          <w:sz w:val="23"/>
        </w:rPr>
        <w:t>old access law</w:t>
      </w:r>
      <w:r>
        <w:rPr>
          <w:sz w:val="23"/>
        </w:rPr>
        <w:t xml:space="preserve"> means Schedule 1 to the </w:t>
      </w:r>
      <w:r>
        <w:rPr>
          <w:i/>
          <w:iCs/>
          <w:sz w:val="23"/>
        </w:rPr>
        <w:t>Gas Pipelines Access (Western Australia) Act 1998</w:t>
      </w:r>
      <w:r>
        <w:rPr>
          <w:sz w:val="23"/>
        </w:rPr>
        <w:t xml:space="preserve"> as in force from time to time before the commencement of section 30 of the </w:t>
      </w:r>
      <w:r>
        <w:rPr>
          <w:i/>
          <w:iCs/>
          <w:sz w:val="23"/>
        </w:rPr>
        <w:t>National Gas Access (WA) Act 2009</w:t>
      </w:r>
      <w:r>
        <w:rPr>
          <w:sz w:val="23"/>
        </w:rPr>
        <w:t>;</w:t>
      </w:r>
    </w:p>
    <w:p>
      <w:pPr>
        <w:pStyle w:val="zDefstart"/>
        <w:rPr>
          <w:sz w:val="23"/>
        </w:rPr>
      </w:pPr>
      <w:r>
        <w:rPr>
          <w:sz w:val="23"/>
        </w:rPr>
        <w:tab/>
      </w:r>
      <w:r>
        <w:rPr>
          <w:rStyle w:val="CharDefText"/>
          <w:sz w:val="23"/>
        </w:rPr>
        <w:t>Regulations</w:t>
      </w:r>
      <w:r>
        <w:rPr>
          <w:sz w:val="23"/>
        </w:rPr>
        <w:t xml:space="preserve"> means the regulations made under Part 3 of the </w:t>
      </w:r>
      <w:r>
        <w:rPr>
          <w:i/>
          <w:sz w:val="23"/>
        </w:rPr>
        <w:t>National Gas Access (WA) Act 2009</w:t>
      </w:r>
      <w:r>
        <w:rPr>
          <w:sz w:val="23"/>
        </w:rPr>
        <w:t xml:space="preserve"> that apply as a law of this jurisdiction;</w:t>
      </w:r>
    </w:p>
    <w:p>
      <w:pPr>
        <w:pStyle w:val="zDefstart"/>
        <w:rPr>
          <w:iCs/>
          <w:sz w:val="23"/>
        </w:rPr>
      </w:pPr>
      <w:r>
        <w:rPr>
          <w:sz w:val="23"/>
        </w:rPr>
        <w:tab/>
      </w:r>
      <w:r>
        <w:rPr>
          <w:rStyle w:val="CharDefText"/>
          <w:sz w:val="23"/>
        </w:rPr>
        <w:t>regulator</w:t>
      </w:r>
      <w:r>
        <w:rPr>
          <w:sz w:val="23"/>
        </w:rPr>
        <w:t xml:space="preserve"> has the meaning given to that term in </w:t>
      </w:r>
      <w:r>
        <w:rPr>
          <w:iCs/>
          <w:sz w:val="23"/>
        </w:rPr>
        <w:t xml:space="preserve">section 9(1) of </w:t>
      </w:r>
      <w:r>
        <w:rPr>
          <w:sz w:val="23"/>
        </w:rPr>
        <w:t xml:space="preserve">the </w:t>
      </w:r>
      <w:r>
        <w:rPr>
          <w:i/>
          <w:sz w:val="23"/>
        </w:rPr>
        <w:t>National Gas Access (WA) Act 2009</w:t>
      </w:r>
      <w:r>
        <w:rPr>
          <w:sz w:val="23"/>
        </w:rPr>
        <w:t>;</w:t>
      </w:r>
    </w:p>
    <w:p>
      <w:pPr>
        <w:pStyle w:val="zDefstart"/>
      </w:pPr>
      <w:r>
        <w:rPr>
          <w:sz w:val="23"/>
        </w:rPr>
        <w:tab/>
      </w:r>
      <w:r>
        <w:rPr>
          <w:rStyle w:val="CharDefText"/>
          <w:sz w:val="23"/>
        </w:rPr>
        <w:t>WA arbitrator</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BlankClose"/>
      </w:pPr>
    </w:p>
    <w:p>
      <w:pPr>
        <w:pStyle w:val="ySubsection"/>
      </w:pPr>
      <w:r>
        <w:tab/>
        <w:t>(3)</w:t>
      </w:r>
      <w:r>
        <w:tab/>
        <w:t xml:space="preserve">In section 2 in the definition of </w:t>
      </w:r>
      <w:r>
        <w:rPr>
          <w:b/>
          <w:bCs/>
          <w:i/>
          <w:iCs/>
        </w:rPr>
        <w:t>AER</w:t>
      </w:r>
      <w:r>
        <w:t xml:space="preserve"> after “Commonwealth” insert:</w:t>
      </w:r>
    </w:p>
    <w:p>
      <w:pPr>
        <w:pStyle w:val="BlankOpen"/>
      </w:pPr>
    </w:p>
    <w:p>
      <w:pPr>
        <w:pStyle w:val="zDefstart"/>
        <w:spacing w:before="0"/>
        <w:rPr>
          <w:sz w:val="23"/>
        </w:rPr>
      </w:pPr>
      <w:r>
        <w:rPr>
          <w:sz w:val="23"/>
        </w:rPr>
        <w:tab/>
        <w:t>except if section 2A requires the term to be given a different meaning</w:t>
      </w:r>
    </w:p>
    <w:p>
      <w:pPr>
        <w:pStyle w:val="BlankClose"/>
      </w:pPr>
    </w:p>
    <w:p>
      <w:pPr>
        <w:pStyle w:val="ySubsection"/>
      </w:pPr>
      <w:r>
        <w:tab/>
        <w:t>(4)</w:t>
      </w:r>
      <w:r>
        <w:tab/>
        <w:t xml:space="preserve">In section 2 in the definition of </w:t>
      </w:r>
      <w:r>
        <w:rPr>
          <w:b/>
          <w:bCs/>
          <w:i/>
          <w:iCs/>
        </w:rPr>
        <w:t>Gas Code</w:t>
      </w:r>
      <w:r>
        <w:t xml:space="preserve"> delete “</w:t>
      </w:r>
      <w:r>
        <w:rPr>
          <w:sz w:val="23"/>
        </w:rPr>
        <w:t xml:space="preserve">in force from time to time before the commencement of section 20 of the </w:t>
      </w:r>
      <w:r>
        <w:rPr>
          <w:i/>
          <w:iCs/>
          <w:sz w:val="23"/>
        </w:rPr>
        <w:t>National Gas (South Australia) Act 2008</w:t>
      </w:r>
      <w:r>
        <w:rPr>
          <w:sz w:val="23"/>
        </w:rPr>
        <w:t xml:space="preserve"> of South Australia;</w:t>
      </w:r>
      <w:r>
        <w:t>” and insert:</w:t>
      </w:r>
    </w:p>
    <w:p>
      <w:pPr>
        <w:pStyle w:val="BlankOpen"/>
      </w:pPr>
    </w:p>
    <w:p>
      <w:pPr>
        <w:pStyle w:val="zDefstart"/>
        <w:spacing w:before="0"/>
        <w:rPr>
          <w:sz w:val="23"/>
        </w:rPr>
      </w:pPr>
      <w:r>
        <w:tab/>
      </w:r>
      <w:r>
        <w:rPr>
          <w:sz w:val="23"/>
        </w:rPr>
        <w:t xml:space="preserve">amended and applying from time to time before the commencement of section 30 of the </w:t>
      </w:r>
      <w:r>
        <w:rPr>
          <w:i/>
          <w:iCs/>
          <w:sz w:val="23"/>
        </w:rPr>
        <w:t>National Gas Access (WA) Act 2009</w:t>
      </w:r>
      <w:r>
        <w:rPr>
          <w:sz w:val="23"/>
        </w:rPr>
        <w:t xml:space="preserve"> as a law of Western Australia;</w:t>
      </w:r>
    </w:p>
    <w:p>
      <w:pPr>
        <w:pStyle w:val="BlankClose"/>
      </w:pPr>
    </w:p>
    <w:p>
      <w:pPr>
        <w:pStyle w:val="yEdnotesubsection"/>
      </w:pPr>
      <w:r>
        <w:tab/>
        <w:t>[(5)</w:t>
      </w:r>
      <w:r>
        <w:tab/>
        <w:t>deleted]</w:t>
      </w:r>
    </w:p>
    <w:p>
      <w:pPr>
        <w:pStyle w:val="yFootnotesection"/>
        <w:rPr>
          <w:sz w:val="23"/>
        </w:rPr>
      </w:pPr>
      <w:r>
        <w:tab/>
        <w:t>[Clause 3 amended: Gazette 22 Dec 2017 p. 5985; 5 Apr 2019 p. 1009.]</w:t>
      </w:r>
    </w:p>
    <w:p>
      <w:pPr>
        <w:pStyle w:val="yHeading5"/>
      </w:pPr>
      <w:bookmarkStart w:id="137" w:name="_Toc158374625"/>
      <w:r>
        <w:rPr>
          <w:rStyle w:val="CharSClsNo"/>
        </w:rPr>
        <w:t>4</w:t>
      </w:r>
      <w:r>
        <w:t>.</w:t>
      </w:r>
      <w:r>
        <w:tab/>
        <w:t>Sections 2A and 2B inserted</w:t>
      </w:r>
      <w:bookmarkEnd w:id="137"/>
    </w:p>
    <w:p>
      <w:pPr>
        <w:pStyle w:val="ySubsection"/>
      </w:pPr>
      <w:r>
        <w:tab/>
      </w:r>
      <w:r>
        <w:tab/>
        <w:t>After section 2 insert:</w:t>
      </w:r>
    </w:p>
    <w:p>
      <w:pPr>
        <w:pStyle w:val="BlankOpen"/>
      </w:pPr>
    </w:p>
    <w:p>
      <w:pPr>
        <w:pStyle w:val="zHeading5"/>
        <w:spacing w:before="0"/>
      </w:pPr>
      <w:bookmarkStart w:id="138" w:name="_Toc158374626"/>
      <w:r>
        <w:t>2A.</w:t>
      </w:r>
      <w:r>
        <w:rPr>
          <w:b w:val="0"/>
        </w:rPr>
        <w:tab/>
      </w:r>
      <w:r>
        <w:t>Meaning of AER modified</w:t>
      </w:r>
      <w:bookmarkEnd w:id="138"/>
    </w:p>
    <w:p>
      <w:pPr>
        <w:pStyle w:val="zSubsection"/>
        <w:rPr>
          <w:sz w:val="23"/>
        </w:rPr>
      </w:pPr>
      <w:r>
        <w:rPr>
          <w:sz w:val="23"/>
        </w:rPr>
        <w:tab/>
        <w:t>(1)</w:t>
      </w:r>
      <w:r>
        <w:rPr>
          <w:sz w:val="23"/>
        </w:rPr>
        <w:tab/>
        <w:t xml:space="preserve">In this Law, other than in the definition of </w:t>
      </w:r>
      <w:r>
        <w:rPr>
          <w:b/>
          <w:bCs/>
          <w:i/>
          <w:iCs/>
          <w:sz w:val="23"/>
        </w:rPr>
        <w:t>AER</w:t>
      </w:r>
      <w:r>
        <w:rPr>
          <w:sz w:val="23"/>
        </w:rPr>
        <w:t xml:space="preserve"> in section 2, a reference to the AER is to be read as a reference to the regulator (whether the ERA or the AER) except to the extent that subsection (2) gives a different meaning.</w:t>
      </w:r>
    </w:p>
    <w:p>
      <w:pPr>
        <w:pStyle w:val="zSubsection"/>
        <w:rPr>
          <w:sz w:val="23"/>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zHeading5"/>
      </w:pPr>
      <w:bookmarkStart w:id="139" w:name="_Toc158374627"/>
      <w:r>
        <w:t>2B.</w:t>
      </w:r>
      <w:r>
        <w:rPr>
          <w:b w:val="0"/>
        </w:rPr>
        <w:tab/>
      </w:r>
      <w:r>
        <w:t>References to WA application Act</w:t>
      </w:r>
      <w:bookmarkEnd w:id="139"/>
    </w:p>
    <w:p>
      <w:pPr>
        <w:pStyle w:val="zSubsection"/>
        <w:rPr>
          <w:sz w:val="23"/>
        </w:rPr>
      </w:pPr>
      <w:r>
        <w:rPr>
          <w:sz w:val="23"/>
        </w:rPr>
        <w:tab/>
      </w:r>
      <w:r>
        <w:rPr>
          <w:sz w:val="23"/>
        </w:rPr>
        <w:tab/>
        <w:t xml:space="preserve">In this Law, a reference to </w:t>
      </w:r>
      <w:r>
        <w:rPr>
          <w:color w:val="000000"/>
          <w:sz w:val="23"/>
          <w:szCs w:val="23"/>
        </w:rPr>
        <w:t xml:space="preserve">the </w:t>
      </w:r>
      <w:r>
        <w:rPr>
          <w:i/>
          <w:iCs/>
          <w:color w:val="000000"/>
          <w:sz w:val="23"/>
          <w:szCs w:val="23"/>
        </w:rPr>
        <w:t>National Gas Access (Western Australia)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BlankClose"/>
      </w:pPr>
    </w:p>
    <w:p>
      <w:pPr>
        <w:pStyle w:val="yHeading5"/>
      </w:pPr>
      <w:bookmarkStart w:id="140" w:name="_Toc158374628"/>
      <w:r>
        <w:rPr>
          <w:rStyle w:val="CharSClsNo"/>
        </w:rPr>
        <w:lastRenderedPageBreak/>
        <w:t>5</w:t>
      </w:r>
      <w:r>
        <w:t>.</w:t>
      </w:r>
      <w:r>
        <w:tab/>
        <w:t>Chapter 1 Part 1A inserted</w:t>
      </w:r>
      <w:bookmarkEnd w:id="140"/>
    </w:p>
    <w:p>
      <w:pPr>
        <w:pStyle w:val="ySubsection"/>
        <w:keepNext/>
      </w:pPr>
      <w:r>
        <w:tab/>
      </w:r>
      <w:r>
        <w:tab/>
        <w:t>After Chapter 1 Part 1 insert:</w:t>
      </w:r>
    </w:p>
    <w:p>
      <w:pPr>
        <w:pStyle w:val="BlankOpen"/>
      </w:pPr>
    </w:p>
    <w:p>
      <w:pPr>
        <w:pStyle w:val="zHeading3"/>
        <w:spacing w:before="0"/>
      </w:pPr>
      <w:bookmarkStart w:id="141" w:name="_Toc156818992"/>
      <w:bookmarkStart w:id="142" w:name="_Toc156990409"/>
      <w:bookmarkStart w:id="143" w:name="_Toc158374629"/>
      <w:r>
        <w:t>Part 1A</w:t>
      </w:r>
      <w:r>
        <w:rPr>
          <w:b w:val="0"/>
        </w:rPr>
        <w:t> — </w:t>
      </w:r>
      <w:r>
        <w:t>Postponement of Natural Gas Services Bulletin Board provisions</w:t>
      </w:r>
      <w:bookmarkEnd w:id="141"/>
      <w:bookmarkEnd w:id="142"/>
      <w:bookmarkEnd w:id="143"/>
    </w:p>
    <w:p>
      <w:pPr>
        <w:pStyle w:val="zHeading5"/>
      </w:pPr>
      <w:bookmarkStart w:id="144" w:name="_Toc158374630"/>
      <w:r>
        <w:t>20A.</w:t>
      </w:r>
      <w:r>
        <w:rPr>
          <w:b w:val="0"/>
        </w:rPr>
        <w:tab/>
      </w:r>
      <w:r>
        <w:t>Minister may fix day on which provisions apply</w:t>
      </w:r>
      <w:bookmarkEnd w:id="144"/>
    </w:p>
    <w:p>
      <w:pPr>
        <w:pStyle w:val="zSubsection"/>
        <w:rPr>
          <w:sz w:val="23"/>
        </w:rPr>
      </w:pPr>
      <w:r>
        <w:rPr>
          <w:sz w:val="23"/>
        </w:rPr>
        <w:tab/>
      </w:r>
      <w:r>
        <w:rPr>
          <w:sz w:val="23"/>
        </w:rPr>
        <w:tab/>
        <w:t xml:space="preserve">To the extent that a provision of this Law relates to the Natural Gas Services Bulletin Board, the provision does not apply before a day is fixed by the Minister, by an order notice of which is published in the </w:t>
      </w:r>
      <w:r>
        <w:rPr>
          <w:i/>
          <w:sz w:val="23"/>
        </w:rPr>
        <w:t>Government Gazette</w:t>
      </w:r>
      <w:r>
        <w:rPr>
          <w:sz w:val="23"/>
        </w:rPr>
        <w:t>, as the day on and after which provisions of this Law relating to the Natural Gas Services Bulletin Board apply.</w:t>
      </w:r>
    </w:p>
    <w:p>
      <w:pPr>
        <w:pStyle w:val="yHeading5"/>
      </w:pPr>
      <w:bookmarkStart w:id="145" w:name="_Toc158374631"/>
      <w:r>
        <w:rPr>
          <w:rStyle w:val="CharSClsNo"/>
        </w:rPr>
        <w:t>5A</w:t>
      </w:r>
      <w:r>
        <w:t>.</w:t>
      </w:r>
      <w:r>
        <w:tab/>
        <w:t>Section 23A modified</w:t>
      </w:r>
      <w:bookmarkEnd w:id="145"/>
    </w:p>
    <w:p>
      <w:pPr>
        <w:pStyle w:val="ySubsection"/>
      </w:pPr>
      <w:r>
        <w:tab/>
      </w:r>
      <w:r>
        <w:tab/>
        <w:t xml:space="preserve">In section 23A delete “Without limiting Part 3 of the </w:t>
      </w:r>
      <w:r>
        <w:rPr>
          <w:i/>
        </w:rPr>
        <w:t>National Gas (South Australia) Act 2008</w:t>
      </w:r>
      <w:r>
        <w:t xml:space="preserve"> of South Australia,” and insert:</w:t>
      </w:r>
    </w:p>
    <w:p>
      <w:pPr>
        <w:pStyle w:val="BlankOpen"/>
      </w:pPr>
    </w:p>
    <w:p>
      <w:pPr>
        <w:pStyle w:val="zyMiscellaneousBody"/>
        <w:tabs>
          <w:tab w:val="left" w:pos="851"/>
        </w:tabs>
      </w:pPr>
      <w:r>
        <w:tab/>
        <w:t xml:space="preserve">Without limiting the </w:t>
      </w:r>
      <w:r>
        <w:rPr>
          <w:i/>
          <w:iCs/>
        </w:rPr>
        <w:t>National Gas Access (WA) Act 2009</w:t>
      </w:r>
      <w:r>
        <w:t xml:space="preserve"> Part 3,</w:t>
      </w:r>
    </w:p>
    <w:p>
      <w:pPr>
        <w:pStyle w:val="BlankClose"/>
      </w:pPr>
    </w:p>
    <w:p>
      <w:pPr>
        <w:pStyle w:val="yFootnotesection"/>
        <w:rPr>
          <w:rStyle w:val="CharSClsNo"/>
        </w:rPr>
      </w:pPr>
      <w:r>
        <w:tab/>
        <w:t>[Clause 5A inserted: SL 2024/5 r. 4.]</w:t>
      </w:r>
    </w:p>
    <w:p>
      <w:pPr>
        <w:pStyle w:val="yHeading5"/>
        <w:spacing w:before="120"/>
      </w:pPr>
      <w:bookmarkStart w:id="146" w:name="_Toc158374632"/>
      <w:r>
        <w:rPr>
          <w:rStyle w:val="CharSClsNo"/>
        </w:rPr>
        <w:t>6</w:t>
      </w:r>
      <w:r>
        <w:t>.</w:t>
      </w:r>
      <w:r>
        <w:tab/>
        <w:t>Section 29 modified</w:t>
      </w:r>
      <w:bookmarkEnd w:id="146"/>
    </w:p>
    <w:p>
      <w:pPr>
        <w:pStyle w:val="ySubsection"/>
      </w:pPr>
      <w:r>
        <w:tab/>
      </w:r>
      <w:r>
        <w:tab/>
        <w:t>In section 29 after “Commonwealth” insert:</w:t>
      </w:r>
    </w:p>
    <w:p>
      <w:pPr>
        <w:pStyle w:val="BlankOpen"/>
      </w:pPr>
    </w:p>
    <w:p>
      <w:pPr>
        <w:pStyle w:val="zSubsection"/>
        <w:spacing w:before="0"/>
      </w:pPr>
      <w:r>
        <w:tab/>
      </w:r>
      <w:r>
        <w:tab/>
      </w:r>
      <w:r>
        <w:rPr>
          <w:sz w:val="23"/>
        </w:rPr>
        <w:t xml:space="preserve">or by the ERA under section 29 of the </w:t>
      </w:r>
      <w:r>
        <w:rPr>
          <w:i/>
          <w:iCs/>
          <w:sz w:val="23"/>
        </w:rPr>
        <w:t>Economic Regulation Authority Act 2003</w:t>
      </w:r>
    </w:p>
    <w:p>
      <w:pPr>
        <w:pStyle w:val="BlankClose"/>
      </w:pPr>
    </w:p>
    <w:p>
      <w:pPr>
        <w:pStyle w:val="yHeading5"/>
        <w:spacing w:before="120"/>
      </w:pPr>
      <w:bookmarkStart w:id="147" w:name="_Toc158374633"/>
      <w:r>
        <w:rPr>
          <w:rStyle w:val="CharSClsNo"/>
        </w:rPr>
        <w:t>7</w:t>
      </w:r>
      <w:r>
        <w:t>.</w:t>
      </w:r>
      <w:r>
        <w:tab/>
        <w:t>Section 30 modified</w:t>
      </w:r>
      <w:bookmarkEnd w:id="147"/>
    </w:p>
    <w:p>
      <w:pPr>
        <w:pStyle w:val="ySubsection"/>
        <w:keepNext/>
      </w:pPr>
      <w:r>
        <w:tab/>
        <w:t>(1)</w:t>
      </w:r>
      <w:r>
        <w:tab/>
        <w:t>In section 30 delete “</w:t>
      </w:r>
      <w:r>
        <w:rPr>
          <w:sz w:val="23"/>
        </w:rPr>
        <w:t>Section 44AAF</w:t>
      </w:r>
      <w:r>
        <w:t>” and insert:</w:t>
      </w:r>
    </w:p>
    <w:p>
      <w:pPr>
        <w:pStyle w:val="BlankOpen"/>
      </w:pPr>
    </w:p>
    <w:p>
      <w:pPr>
        <w:pStyle w:val="zSubsection"/>
        <w:spacing w:before="0"/>
        <w:rPr>
          <w:sz w:val="23"/>
        </w:rPr>
      </w:pPr>
      <w:r>
        <w:rPr>
          <w:sz w:val="23"/>
        </w:rPr>
        <w:tab/>
        <w:t>(1)</w:t>
      </w:r>
      <w:r>
        <w:rPr>
          <w:sz w:val="23"/>
        </w:rPr>
        <w:tab/>
        <w:t>Section 44AAF</w:t>
      </w:r>
    </w:p>
    <w:p>
      <w:pPr>
        <w:pStyle w:val="BlankClose"/>
      </w:pPr>
    </w:p>
    <w:p>
      <w:pPr>
        <w:pStyle w:val="ySubsection"/>
      </w:pPr>
      <w:r>
        <w:lastRenderedPageBreak/>
        <w:tab/>
        <w:t>(2)</w:t>
      </w:r>
      <w:r>
        <w:tab/>
        <w:t>At the end of section 30 insert:</w:t>
      </w:r>
    </w:p>
    <w:p>
      <w:pPr>
        <w:pStyle w:val="BlankOpen"/>
      </w:pPr>
    </w:p>
    <w:p>
      <w:pPr>
        <w:pStyle w:val="zSubsection"/>
        <w:spacing w:before="0"/>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pStyle w:val="zIndenta"/>
        <w:rPr>
          <w:sz w:val="23"/>
        </w:rPr>
      </w:pPr>
      <w:r>
        <w:rPr>
          <w:sz w:val="23"/>
        </w:rPr>
        <w:tab/>
        <w:t>(a)</w:t>
      </w:r>
      <w:r>
        <w:rPr>
          <w:sz w:val="23"/>
        </w:rPr>
        <w:tab/>
        <w:t>delete subsection (3)(c) of the adopted section and insert:</w:t>
      </w:r>
    </w:p>
    <w:p>
      <w:pPr>
        <w:pStyle w:val="BlankOpen"/>
      </w:pPr>
    </w:p>
    <w:p>
      <w:pPr>
        <w:pStyle w:val="zIndenta"/>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pStyle w:val="zIndenta"/>
        <w:rPr>
          <w:sz w:val="23"/>
        </w:rPr>
      </w:pPr>
      <w:r>
        <w:rPr>
          <w:sz w:val="23"/>
        </w:rPr>
        <w:tab/>
        <w:t>(b)</w:t>
      </w:r>
      <w:r>
        <w:rPr>
          <w:sz w:val="23"/>
        </w:rPr>
        <w:tab/>
        <w:t>delete subsection (6)(a)(i) of the adopted section and insert:</w:t>
      </w:r>
    </w:p>
    <w:p>
      <w:pPr>
        <w:pStyle w:val="BlankOpen"/>
      </w:pPr>
    </w:p>
    <w:p>
      <w:pPr>
        <w:pStyle w:val="zIndenti"/>
        <w:spacing w:before="0"/>
        <w:rPr>
          <w:sz w:val="23"/>
        </w:rPr>
      </w:pPr>
      <w:r>
        <w:rPr>
          <w:sz w:val="23"/>
        </w:rPr>
        <w:tab/>
        <w:t>(i)</w:t>
      </w:r>
      <w:r>
        <w:rPr>
          <w:sz w:val="23"/>
        </w:rPr>
        <w:tab/>
        <w:t>an ERA member, a person assisting the ERA in the performance of its functions or a delegate of the ERA;</w:t>
      </w:r>
    </w:p>
    <w:p>
      <w:pPr>
        <w:pStyle w:val="BlankClose"/>
      </w:pPr>
    </w:p>
    <w:p>
      <w:pPr>
        <w:pStyle w:val="yHeading5"/>
      </w:pPr>
      <w:bookmarkStart w:id="148" w:name="_Toc158374634"/>
      <w:r>
        <w:rPr>
          <w:rStyle w:val="CharSClsNo"/>
        </w:rPr>
        <w:t>7A</w:t>
      </w:r>
      <w:r>
        <w:t>.</w:t>
      </w:r>
      <w:r>
        <w:tab/>
        <w:t>Section 30R deleted</w:t>
      </w:r>
      <w:bookmarkEnd w:id="148"/>
    </w:p>
    <w:p>
      <w:pPr>
        <w:pStyle w:val="ySubsection"/>
      </w:pPr>
      <w:r>
        <w:tab/>
      </w:r>
      <w:r>
        <w:tab/>
        <w:t>Delete section 30R.</w:t>
      </w:r>
    </w:p>
    <w:p>
      <w:pPr>
        <w:pStyle w:val="yFootnotesection"/>
        <w:rPr>
          <w:sz w:val="23"/>
        </w:rPr>
      </w:pPr>
      <w:r>
        <w:tab/>
        <w:t>[Clause 7A inserted: Gazette 5 Apr 2019 p. 1010.]</w:t>
      </w:r>
    </w:p>
    <w:p>
      <w:pPr>
        <w:pStyle w:val="yHeading5"/>
        <w:spacing w:before="120"/>
      </w:pPr>
      <w:bookmarkStart w:id="149" w:name="_Toc158374635"/>
      <w:r>
        <w:rPr>
          <w:rStyle w:val="CharSClsNo"/>
        </w:rPr>
        <w:t>8</w:t>
      </w:r>
      <w:r>
        <w:t>.</w:t>
      </w:r>
      <w:r>
        <w:tab/>
        <w:t>Chapter 2 Part 1A inserted</w:t>
      </w:r>
      <w:bookmarkEnd w:id="149"/>
    </w:p>
    <w:p>
      <w:pPr>
        <w:pStyle w:val="ySubsection"/>
      </w:pPr>
      <w:r>
        <w:tab/>
      </w:r>
      <w:r>
        <w:tab/>
        <w:t>After Chapter 2 Part 1 insert:</w:t>
      </w:r>
    </w:p>
    <w:p>
      <w:pPr>
        <w:pStyle w:val="BlankOpen"/>
      </w:pPr>
    </w:p>
    <w:p>
      <w:pPr>
        <w:pStyle w:val="zHeading3"/>
        <w:spacing w:before="0"/>
      </w:pPr>
      <w:bookmarkStart w:id="150" w:name="_Toc156818999"/>
      <w:bookmarkStart w:id="151" w:name="_Toc156990416"/>
      <w:bookmarkStart w:id="152" w:name="_Toc158374636"/>
      <w:r>
        <w:t>Part 1A</w:t>
      </w:r>
      <w:r>
        <w:rPr>
          <w:b w:val="0"/>
        </w:rPr>
        <w:t> — </w:t>
      </w:r>
      <w:r>
        <w:t>Functions and powers of WA arbitrator</w:t>
      </w:r>
      <w:bookmarkEnd w:id="150"/>
      <w:bookmarkEnd w:id="151"/>
      <w:bookmarkEnd w:id="152"/>
    </w:p>
    <w:p>
      <w:pPr>
        <w:pStyle w:val="zHeading5"/>
      </w:pPr>
      <w:bookmarkStart w:id="153" w:name="_Toc158374637"/>
      <w:r>
        <w:t>68A.</w:t>
      </w:r>
      <w:r>
        <w:rPr>
          <w:b w:val="0"/>
        </w:rPr>
        <w:tab/>
      </w:r>
      <w:r>
        <w:t>Manner in which WA arbitrator must perform or exercise certain functions or powers</w:t>
      </w:r>
      <w:bookmarkEnd w:id="153"/>
    </w:p>
    <w:p>
      <w:pPr>
        <w:pStyle w:val="zSubsection"/>
        <w:rPr>
          <w:sz w:val="23"/>
        </w:rPr>
      </w:pPr>
      <w:r>
        <w:rPr>
          <w:sz w:val="23"/>
        </w:rPr>
        <w:tab/>
        <w:t>(1)</w:t>
      </w:r>
      <w:r>
        <w:rPr>
          <w:sz w:val="23"/>
        </w:rPr>
        <w:tab/>
        <w:t xml:space="preserve">The WA arbitrator must, in performing or exercising a function or power that relates to an access determination, perform or exercise that function or power in a manner </w:t>
      </w:r>
      <w:r>
        <w:rPr>
          <w:sz w:val="23"/>
        </w:rPr>
        <w:lastRenderedPageBreak/>
        <w:t>that will or is likely to contribute to the achievement of the national gas objective.</w:t>
      </w:r>
    </w:p>
    <w:p>
      <w:pPr>
        <w:pStyle w:val="zSubsection"/>
        <w:rPr>
          <w:sz w:val="23"/>
        </w:rPr>
      </w:pPr>
      <w:r>
        <w:rPr>
          <w:sz w:val="23"/>
        </w:rPr>
        <w:tab/>
        <w:t>(2)</w:t>
      </w:r>
      <w:r>
        <w:rPr>
          <w:sz w:val="23"/>
        </w:rPr>
        <w:tab/>
        <w:t xml:space="preserve">In addition, the WA arbitrator — </w:t>
      </w:r>
    </w:p>
    <w:p>
      <w:pPr>
        <w:pStyle w:val="zIndenta"/>
        <w:rPr>
          <w:sz w:val="23"/>
        </w:rPr>
      </w:pPr>
      <w:r>
        <w:rPr>
          <w:sz w:val="23"/>
        </w:rPr>
        <w:tab/>
        <w:t>(a)</w:t>
      </w:r>
      <w:r>
        <w:rPr>
          <w:sz w:val="23"/>
        </w:rPr>
        <w:tab/>
        <w:t>must take into account the revenue and pricing principles when making an access determination relating to a rate or charge for a pipeline service; and</w:t>
      </w:r>
    </w:p>
    <w:p>
      <w:pPr>
        <w:pStyle w:val="zIndenta"/>
        <w:rPr>
          <w:sz w:val="23"/>
        </w:rPr>
      </w:pPr>
      <w:r>
        <w:rPr>
          <w:sz w:val="23"/>
        </w:rPr>
        <w:tab/>
        <w:t>(b)</w:t>
      </w:r>
      <w:r>
        <w:rPr>
          <w:sz w:val="23"/>
        </w:rPr>
        <w:tab/>
        <w:t>may take into account the revenue and pricing principles when performing or exercising any other function or power that relates to an access determination, if the WA arbitrator considers it appropriate to do so.</w:t>
      </w:r>
    </w:p>
    <w:p>
      <w:pPr>
        <w:pStyle w:val="zSubsection"/>
      </w:pPr>
      <w:r>
        <w:rPr>
          <w:sz w:val="23"/>
        </w:rPr>
        <w:tab/>
        <w:t>(3)</w:t>
      </w:r>
      <w:r>
        <w:rPr>
          <w:sz w:val="23"/>
        </w:rPr>
        <w:tab/>
        <w:t>For the purposes of subsection (2)(a), a reference to a reference service in the revenue and pricing principles must be read as a reference to a pipeline service.</w:t>
      </w:r>
    </w:p>
    <w:p>
      <w:pPr>
        <w:pStyle w:val="BlankClose"/>
      </w:pPr>
    </w:p>
    <w:p>
      <w:pPr>
        <w:pStyle w:val="yHeading5"/>
        <w:spacing w:before="120"/>
      </w:pPr>
      <w:bookmarkStart w:id="154" w:name="_Toc158374638"/>
      <w:r>
        <w:rPr>
          <w:rStyle w:val="CharSClsNo"/>
        </w:rPr>
        <w:t>9</w:t>
      </w:r>
      <w:r>
        <w:t>.</w:t>
      </w:r>
      <w:r>
        <w:tab/>
        <w:t>Section 181A inserted</w:t>
      </w:r>
      <w:bookmarkEnd w:id="154"/>
    </w:p>
    <w:p>
      <w:pPr>
        <w:pStyle w:val="ySubsection"/>
      </w:pPr>
      <w:r>
        <w:tab/>
      </w:r>
      <w:r>
        <w:tab/>
        <w:t>After section 181 insert:</w:t>
      </w:r>
    </w:p>
    <w:p>
      <w:pPr>
        <w:pStyle w:val="BlankOpen"/>
      </w:pPr>
    </w:p>
    <w:p>
      <w:pPr>
        <w:pStyle w:val="zHeading5"/>
        <w:spacing w:before="0"/>
      </w:pPr>
      <w:bookmarkStart w:id="155" w:name="_Toc158374639"/>
      <w:r>
        <w:t>181A.</w:t>
      </w:r>
      <w:r>
        <w:rPr>
          <w:b w:val="0"/>
        </w:rPr>
        <w:tab/>
      </w:r>
      <w:r>
        <w:t>Providing information for certain disputes</w:t>
      </w:r>
      <w:bookmarkEnd w:id="155"/>
    </w:p>
    <w:p>
      <w:pPr>
        <w:pStyle w:val="zSubsection"/>
        <w:rPr>
          <w:sz w:val="23"/>
        </w:rPr>
      </w:pPr>
      <w:r>
        <w:rPr>
          <w:sz w:val="23"/>
        </w:rPr>
        <w:tab/>
        <w:t>(1)</w:t>
      </w:r>
      <w:r>
        <w:rPr>
          <w:sz w:val="23"/>
        </w:rPr>
        <w:tab/>
        <w:t xml:space="preserve">If the dispute resolution body for a dispute notified under section 181(1) is the WA arbitrator — </w:t>
      </w:r>
    </w:p>
    <w:p>
      <w:pPr>
        <w:pStyle w:val="zIndenta"/>
        <w:rPr>
          <w:sz w:val="23"/>
        </w:rPr>
      </w:pPr>
      <w:r>
        <w:rPr>
          <w:sz w:val="23"/>
        </w:rPr>
        <w:tab/>
        <w:t>(a)</w:t>
      </w:r>
      <w:r>
        <w:rPr>
          <w:sz w:val="23"/>
        </w:rPr>
        <w:tab/>
        <w:t>the WA arbitrator is to inform the ERA that notification of the dispute has been received; and</w:t>
      </w:r>
    </w:p>
    <w:p>
      <w:pPr>
        <w:pStyle w:val="zIndenta"/>
        <w:rPr>
          <w:sz w:val="23"/>
        </w:rPr>
      </w:pPr>
      <w:r>
        <w:rPr>
          <w:sz w:val="23"/>
        </w:rPr>
        <w:tab/>
        <w:t>(b)</w:t>
      </w:r>
      <w:r>
        <w:rPr>
          <w:sz w:val="23"/>
        </w:rPr>
        <w:tab/>
        <w:t>the WA arbitrator may request the ERA to give the WA arbitrator any information in the ERA’s possession that is relevant to the dispute.</w:t>
      </w:r>
    </w:p>
    <w:p>
      <w:pPr>
        <w:pStyle w:val="zSubsection"/>
        <w:rPr>
          <w:sz w:val="23"/>
        </w:rPr>
      </w:pPr>
      <w:r>
        <w:rPr>
          <w:sz w:val="23"/>
        </w:rPr>
        <w:tab/>
        <w:t>(2)</w:t>
      </w:r>
      <w:r>
        <w:rPr>
          <w:sz w:val="23"/>
        </w:rPr>
        <w:tab/>
        <w:t>The ERA is to give the WA arbitrator the information requested, whether or not it is confidential and whether or not it came into the ERA’s possession for the purposes of resolving the dispute.</w:t>
      </w:r>
    </w:p>
    <w:p>
      <w:pPr>
        <w:pStyle w:val="zSubsection"/>
      </w:pPr>
      <w:r>
        <w:rPr>
          <w:sz w:val="23"/>
        </w:rPr>
        <w:tab/>
        <w:t>(3)</w:t>
      </w:r>
      <w:r>
        <w:rPr>
          <w:sz w:val="23"/>
        </w:rPr>
        <w:tab/>
        <w:t xml:space="preserve">If the ERA gives the WA arbitrator information that is confidential, the ERA is to identify the nature and extent </w:t>
      </w:r>
      <w:r>
        <w:rPr>
          <w:sz w:val="23"/>
        </w:rPr>
        <w:lastRenderedPageBreak/>
        <w:t>of the confidentiality and the WA arbitrator is to treat the information accordingly.</w:t>
      </w:r>
    </w:p>
    <w:p>
      <w:pPr>
        <w:pStyle w:val="BlankClose"/>
      </w:pPr>
    </w:p>
    <w:p>
      <w:pPr>
        <w:pStyle w:val="yHeading5"/>
      </w:pPr>
      <w:bookmarkStart w:id="156" w:name="_Toc158374640"/>
      <w:r>
        <w:rPr>
          <w:rStyle w:val="CharSClsNo"/>
        </w:rPr>
        <w:t>10</w:t>
      </w:r>
      <w:r>
        <w:t>.</w:t>
      </w:r>
      <w:r>
        <w:tab/>
        <w:t>Section 231 modified</w:t>
      </w:r>
      <w:bookmarkEnd w:id="156"/>
    </w:p>
    <w:p>
      <w:pPr>
        <w:pStyle w:val="ySubsection"/>
        <w:spacing w:before="100"/>
      </w:pPr>
      <w:r>
        <w:tab/>
        <w:t>(1)</w:t>
      </w:r>
      <w:r>
        <w:tab/>
        <w:t>After section 231(1) insert:</w:t>
      </w:r>
    </w:p>
    <w:p>
      <w:pPr>
        <w:pStyle w:val="BlankOpen"/>
      </w:pPr>
    </w:p>
    <w:p>
      <w:pPr>
        <w:pStyle w:val="zSubsection"/>
        <w:spacing w:before="0"/>
        <w:rPr>
          <w:sz w:val="23"/>
        </w:rPr>
      </w:pPr>
      <w:r>
        <w:rPr>
          <w:sz w:val="23"/>
        </w:rPr>
        <w:tab/>
        <w:t>(1A)</w:t>
      </w:r>
      <w:r>
        <w:rPr>
          <w:sz w:val="23"/>
        </w:rPr>
        <w:tab/>
        <w:t>When subsection (1) is read as if a reference in it to the AER were a reference to the ERA, the subsection is to be read as if “on behalf of the Commonwealth” had been deleted.</w:t>
      </w:r>
    </w:p>
    <w:p>
      <w:pPr>
        <w:pStyle w:val="BlankClose"/>
      </w:pPr>
    </w:p>
    <w:p>
      <w:pPr>
        <w:pStyle w:val="ySubsection"/>
      </w:pPr>
      <w:r>
        <w:tab/>
        <w:t>(2)</w:t>
      </w:r>
      <w:r>
        <w:tab/>
        <w:t>After section 231(3) insert:</w:t>
      </w:r>
    </w:p>
    <w:p>
      <w:pPr>
        <w:pStyle w:val="BlankOpen"/>
      </w:pPr>
    </w:p>
    <w:p>
      <w:pPr>
        <w:pStyle w:val="zSubsection"/>
        <w:spacing w:before="0"/>
        <w:rPr>
          <w:sz w:val="23"/>
        </w:rPr>
      </w:pPr>
      <w:r>
        <w:rPr>
          <w:sz w:val="23"/>
        </w:rPr>
        <w:tab/>
        <w:t>(3A)</w:t>
      </w:r>
      <w:r>
        <w:rPr>
          <w:sz w:val="23"/>
        </w:rPr>
        <w:tab/>
        <w:t>When subsection (3) is read as if a reference in it to the AER were a reference to the ERA, the subsection is to be read as if “on behalf of the Commonwealth” had been deleted.</w:t>
      </w:r>
    </w:p>
    <w:p>
      <w:pPr>
        <w:pStyle w:val="BlankClose"/>
      </w:pPr>
    </w:p>
    <w:p>
      <w:pPr>
        <w:pStyle w:val="yHeading5"/>
        <w:spacing w:before="120"/>
      </w:pPr>
      <w:bookmarkStart w:id="157" w:name="_Toc158374641"/>
      <w:r>
        <w:rPr>
          <w:rStyle w:val="CharSClsNo"/>
        </w:rPr>
        <w:t>11</w:t>
      </w:r>
      <w:r>
        <w:t>.</w:t>
      </w:r>
      <w:r>
        <w:tab/>
        <w:t>Section 240 modified</w:t>
      </w:r>
      <w:bookmarkEnd w:id="157"/>
    </w:p>
    <w:p>
      <w:pPr>
        <w:pStyle w:val="ySubsection"/>
      </w:pPr>
      <w:r>
        <w:tab/>
      </w:r>
      <w:r>
        <w:tab/>
        <w:t>In section 240 delete “</w:t>
      </w:r>
      <w:r>
        <w:rPr>
          <w:sz w:val="23"/>
        </w:rPr>
        <w:t>Commonwealth.</w:t>
      </w:r>
      <w:r>
        <w:t>” and insert:</w:t>
      </w:r>
    </w:p>
    <w:p>
      <w:pPr>
        <w:pStyle w:val="BlankOpen"/>
      </w:pPr>
    </w:p>
    <w:p>
      <w:pPr>
        <w:pStyle w:val="zSubsection"/>
        <w:spacing w:before="0"/>
        <w:rPr>
          <w:sz w:val="23"/>
        </w:rPr>
      </w:pPr>
      <w:r>
        <w:rPr>
          <w:sz w:val="23"/>
        </w:rPr>
        <w:tab/>
      </w:r>
      <w:r>
        <w:rPr>
          <w:sz w:val="23"/>
        </w:rPr>
        <w:tab/>
        <w:t>State of Western Australia except if the order is made on an application by the AER on behalf of the Commonwealth, in which case it is payable to the Commonwealth.</w:t>
      </w:r>
    </w:p>
    <w:p>
      <w:pPr>
        <w:pStyle w:val="BlankClose"/>
      </w:pPr>
    </w:p>
    <w:p>
      <w:pPr>
        <w:pStyle w:val="yHeading5"/>
        <w:spacing w:before="120"/>
      </w:pPr>
      <w:bookmarkStart w:id="158" w:name="_Toc158374642"/>
      <w:r>
        <w:rPr>
          <w:rStyle w:val="CharSClsNo"/>
        </w:rPr>
        <w:t>12</w:t>
      </w:r>
      <w:r>
        <w:t>.</w:t>
      </w:r>
      <w:r>
        <w:tab/>
        <w:t>Section 290 modified</w:t>
      </w:r>
      <w:bookmarkEnd w:id="158"/>
    </w:p>
    <w:p>
      <w:pPr>
        <w:pStyle w:val="ySubsection"/>
      </w:pPr>
      <w:r>
        <w:tab/>
      </w:r>
      <w:r>
        <w:tab/>
        <w:t xml:space="preserve">In section 290 in the definition of </w:t>
      </w:r>
      <w:r>
        <w:rPr>
          <w:b/>
          <w:bCs/>
          <w:i/>
          <w:iCs/>
        </w:rPr>
        <w:t>publish</w:t>
      </w:r>
      <w:r>
        <w:t xml:space="preserve"> paragraph (a) delete “section </w:t>
      </w:r>
      <w:r>
        <w:rPr>
          <w:sz w:val="23"/>
        </w:rPr>
        <w:t>294 or 315</w:t>
      </w:r>
      <w:r>
        <w:t>” and insert:</w:t>
      </w:r>
    </w:p>
    <w:p>
      <w:pPr>
        <w:pStyle w:val="BlankOpen"/>
      </w:pPr>
    </w:p>
    <w:p>
      <w:pPr>
        <w:pStyle w:val="ySubsection"/>
        <w:rPr>
          <w:sz w:val="23"/>
        </w:rPr>
      </w:pPr>
      <w:r>
        <w:tab/>
      </w:r>
      <w:r>
        <w:tab/>
      </w:r>
      <w:r>
        <w:rPr>
          <w:sz w:val="23"/>
        </w:rPr>
        <w:t>section 315</w:t>
      </w:r>
    </w:p>
    <w:p>
      <w:pPr>
        <w:pStyle w:val="BlankClose"/>
      </w:pPr>
    </w:p>
    <w:p>
      <w:pPr>
        <w:pStyle w:val="yHeading5"/>
      </w:pPr>
      <w:bookmarkStart w:id="159" w:name="_Toc158374643"/>
      <w:r>
        <w:rPr>
          <w:rStyle w:val="CharSClsNo"/>
        </w:rPr>
        <w:lastRenderedPageBreak/>
        <w:t>13</w:t>
      </w:r>
      <w:r>
        <w:t>.</w:t>
      </w:r>
      <w:r>
        <w:tab/>
        <w:t>Section 294 replaced</w:t>
      </w:r>
      <w:bookmarkEnd w:id="159"/>
    </w:p>
    <w:p>
      <w:pPr>
        <w:pStyle w:val="ySubsection"/>
      </w:pPr>
      <w:r>
        <w:tab/>
      </w:r>
      <w:r>
        <w:tab/>
        <w:t>Delete section 294 and insert:</w:t>
      </w:r>
    </w:p>
    <w:p>
      <w:pPr>
        <w:pStyle w:val="BlankOpen"/>
      </w:pPr>
    </w:p>
    <w:p>
      <w:pPr>
        <w:pStyle w:val="zHeading5"/>
        <w:spacing w:before="0"/>
      </w:pPr>
      <w:bookmarkStart w:id="160" w:name="_Toc158374644"/>
      <w:r>
        <w:rPr>
          <w:rStyle w:val="CharSectno"/>
        </w:rPr>
        <w:t>294</w:t>
      </w:r>
      <w:r>
        <w:t>.</w:t>
      </w:r>
      <w:r>
        <w:tab/>
        <w:t>Initial National Gas Rules for WA</w:t>
      </w:r>
      <w:bookmarkEnd w:id="160"/>
    </w:p>
    <w:p>
      <w:pPr>
        <w:pStyle w:val="zSubsection"/>
        <w:rPr>
          <w:color w:val="000000"/>
          <w:sz w:val="23"/>
          <w:szCs w:val="23"/>
        </w:rPr>
      </w:pPr>
      <w:r>
        <w:rPr>
          <w:color w:val="000000"/>
          <w:sz w:val="23"/>
          <w:szCs w:val="23"/>
        </w:rPr>
        <w:tab/>
        <w:t>(1)</w:t>
      </w:r>
      <w:r>
        <w:rPr>
          <w:color w:val="000000"/>
          <w:sz w:val="23"/>
          <w:szCs w:val="23"/>
        </w:rPr>
        <w:tab/>
        <w:t xml:space="preserve">The National Gas Rules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rPr>
        <w:t>Minister for Energy of South Australia, as affected, if applicable, by any amendments made by the AEMC under national gas legislation before the coming into operation of that section.</w:t>
      </w:r>
    </w:p>
    <w:p>
      <w:pPr>
        <w:pStyle w:val="zSubsection"/>
        <w:rPr>
          <w:color w:val="000000"/>
          <w:sz w:val="23"/>
          <w:szCs w:val="23"/>
        </w:rPr>
      </w:pPr>
      <w:r>
        <w:rPr>
          <w:color w:val="000000"/>
          <w:sz w:val="23"/>
          <w:szCs w:val="23"/>
        </w:rPr>
        <w:tab/>
        <w:t>(2)</w:t>
      </w:r>
      <w:r>
        <w:rPr>
          <w:color w:val="000000"/>
          <w:sz w:val="23"/>
          <w:szCs w:val="23"/>
        </w:rPr>
        <w:tab/>
        <w:t xml:space="preserve">Subsection (1) does not prevent the AEMC from making Rules under this Chapter that amend or revoke the </w:t>
      </w:r>
      <w:r>
        <w:rPr>
          <w:sz w:val="23"/>
        </w:rPr>
        <w:t>rules referred to in it.</w:t>
      </w:r>
    </w:p>
    <w:p>
      <w:pPr>
        <w:pStyle w:val="yFootnotesection"/>
        <w:rPr>
          <w:color w:val="000000"/>
          <w:sz w:val="23"/>
          <w:szCs w:val="23"/>
        </w:rPr>
      </w:pPr>
      <w:r>
        <w:tab/>
        <w:t>[Clause 13 amended: Gazette 22 Dec 2017 p. 5986.]</w:t>
      </w:r>
    </w:p>
    <w:p>
      <w:pPr>
        <w:pStyle w:val="yHeading5"/>
      </w:pPr>
      <w:bookmarkStart w:id="161" w:name="_Toc158374645"/>
      <w:r>
        <w:rPr>
          <w:rStyle w:val="CharSClsNo"/>
        </w:rPr>
        <w:t>13A</w:t>
      </w:r>
      <w:r>
        <w:t>.</w:t>
      </w:r>
      <w:r>
        <w:tab/>
        <w:t>Section 294FC modified</w:t>
      </w:r>
      <w:bookmarkEnd w:id="161"/>
    </w:p>
    <w:p>
      <w:pPr>
        <w:pStyle w:val="ySubsection"/>
      </w:pPr>
      <w:r>
        <w:tab/>
        <w:t>(1)</w:t>
      </w:r>
      <w:r>
        <w:tab/>
        <w:t>In section 294FC(1):</w:t>
      </w:r>
    </w:p>
    <w:p>
      <w:pPr>
        <w:pStyle w:val="yIndenta"/>
      </w:pPr>
      <w:r>
        <w:tab/>
        <w:t>(a)</w:t>
      </w:r>
      <w:r>
        <w:tab/>
        <w:t>delete “</w:t>
      </w:r>
      <w:r>
        <w:rPr>
          <w:sz w:val="23"/>
        </w:rPr>
        <w:t>this section—</w:t>
      </w:r>
      <w:r>
        <w:t>” and insert:</w:t>
      </w:r>
    </w:p>
    <w:p>
      <w:pPr>
        <w:pStyle w:val="BlankOpen"/>
      </w:pPr>
    </w:p>
    <w:p>
      <w:pPr>
        <w:pStyle w:val="zyMiscellaneousBody"/>
        <w:ind w:left="1560" w:hanging="993"/>
      </w:pPr>
      <w:r>
        <w:tab/>
        <w:t xml:space="preserve">the </w:t>
      </w:r>
      <w:r>
        <w:rPr>
          <w:i/>
        </w:rPr>
        <w:t>National Gas (South Australia) Law</w:t>
      </w:r>
      <w:r>
        <w:t xml:space="preserve"> (South Australia) section 294FC — </w:t>
      </w:r>
    </w:p>
    <w:p>
      <w:pPr>
        <w:pStyle w:val="BlankClose"/>
      </w:pPr>
    </w:p>
    <w:p>
      <w:pPr>
        <w:pStyle w:val="yIndenta"/>
      </w:pPr>
      <w:r>
        <w:tab/>
        <w:t>(b)</w:t>
      </w:r>
      <w:r>
        <w:tab/>
        <w:t xml:space="preserve">in paragraph (c) delete “of the enactment of the </w:t>
      </w:r>
      <w:r>
        <w:rPr>
          <w:i/>
        </w:rPr>
        <w:t>Statutes Amendment (National Energy Laws) (Emissions Reduction Objectives) Act 2023</w:t>
      </w:r>
      <w:r>
        <w:t xml:space="preserve"> of South Australia.” and insert:</w:t>
      </w:r>
    </w:p>
    <w:p>
      <w:pPr>
        <w:pStyle w:val="BlankOpen"/>
      </w:pPr>
    </w:p>
    <w:p>
      <w:pPr>
        <w:pStyle w:val="zyMiscellaneousBody"/>
        <w:tabs>
          <w:tab w:val="left" w:pos="2198"/>
        </w:tabs>
        <w:ind w:left="1617" w:hanging="1617"/>
        <w:rPr>
          <w:sz w:val="23"/>
          <w:szCs w:val="23"/>
        </w:rPr>
      </w:pPr>
      <w:r>
        <w:tab/>
      </w:r>
      <w:r>
        <w:rPr>
          <w:sz w:val="23"/>
          <w:szCs w:val="23"/>
        </w:rPr>
        <w:t xml:space="preserve">of — </w:t>
      </w:r>
    </w:p>
    <w:p>
      <w:pPr>
        <w:pStyle w:val="zyMiscellaneousBody"/>
        <w:tabs>
          <w:tab w:val="left" w:pos="2926"/>
        </w:tabs>
        <w:ind w:left="2359" w:hanging="518"/>
        <w:rPr>
          <w:sz w:val="23"/>
          <w:szCs w:val="23"/>
        </w:rPr>
      </w:pPr>
      <w:r>
        <w:rPr>
          <w:sz w:val="23"/>
          <w:szCs w:val="23"/>
        </w:rPr>
        <w:t>(i)</w:t>
      </w:r>
      <w:r>
        <w:rPr>
          <w:sz w:val="23"/>
          <w:szCs w:val="23"/>
        </w:rPr>
        <w:tab/>
        <w:t xml:space="preserve">the enactment of the </w:t>
      </w:r>
      <w:r>
        <w:rPr>
          <w:i/>
          <w:iCs/>
          <w:sz w:val="23"/>
          <w:szCs w:val="23"/>
        </w:rPr>
        <w:t>Statutes Amendment (National Energy Laws) (Emissions Reduction Objectives) Act 2023</w:t>
      </w:r>
      <w:r>
        <w:rPr>
          <w:sz w:val="23"/>
          <w:szCs w:val="23"/>
        </w:rPr>
        <w:t xml:space="preserve"> (South Australia); or</w:t>
      </w:r>
    </w:p>
    <w:p>
      <w:pPr>
        <w:pStyle w:val="zyMiscellaneousBody"/>
        <w:tabs>
          <w:tab w:val="left" w:pos="2926"/>
        </w:tabs>
        <w:ind w:left="2359" w:hanging="518"/>
      </w:pPr>
      <w:r>
        <w:rPr>
          <w:sz w:val="23"/>
          <w:szCs w:val="23"/>
        </w:rPr>
        <w:lastRenderedPageBreak/>
        <w:t>(ii)</w:t>
      </w:r>
      <w:r>
        <w:rPr>
          <w:sz w:val="23"/>
          <w:szCs w:val="23"/>
        </w:rPr>
        <w:tab/>
        <w:t xml:space="preserve">the amendment of this Law by virtue of the </w:t>
      </w:r>
      <w:r>
        <w:rPr>
          <w:i/>
          <w:sz w:val="23"/>
          <w:szCs w:val="23"/>
        </w:rPr>
        <w:t>National Gas Access (WA) Adoption of Amendments Order (No. 2) 2024</w:t>
      </w:r>
      <w:r>
        <w:rPr>
          <w:sz w:val="23"/>
          <w:szCs w:val="23"/>
        </w:rPr>
        <w:t xml:space="preserve"> clause 3 (the </w:t>
      </w:r>
      <w:r>
        <w:rPr>
          <w:rStyle w:val="CharDefText"/>
          <w:sz w:val="23"/>
          <w:szCs w:val="23"/>
        </w:rPr>
        <w:t>adopting clause</w:t>
      </w:r>
      <w:r>
        <w:rPr>
          <w:sz w:val="23"/>
          <w:szCs w:val="23"/>
        </w:rPr>
        <w:t>).</w:t>
      </w:r>
    </w:p>
    <w:p>
      <w:pPr>
        <w:pStyle w:val="BlankClose"/>
      </w:pPr>
    </w:p>
    <w:p>
      <w:pPr>
        <w:pStyle w:val="ySubsection"/>
      </w:pPr>
      <w:r>
        <w:tab/>
        <w:t>(2)</w:t>
      </w:r>
      <w:r>
        <w:tab/>
        <w:t>In section 294FC(8) insert in alphabetical order:</w:t>
      </w:r>
    </w:p>
    <w:p>
      <w:pPr>
        <w:pStyle w:val="BlankOpen"/>
      </w:pPr>
    </w:p>
    <w:p>
      <w:pPr>
        <w:pStyle w:val="zyMiscellaneousBody"/>
        <w:tabs>
          <w:tab w:val="left" w:pos="2127"/>
          <w:tab w:val="left" w:pos="2184"/>
        </w:tabs>
        <w:ind w:left="917" w:hanging="917"/>
        <w:rPr>
          <w:sz w:val="23"/>
          <w:szCs w:val="23"/>
        </w:rPr>
      </w:pPr>
      <w:r>
        <w:rPr>
          <w:sz w:val="23"/>
          <w:szCs w:val="23"/>
        </w:rPr>
        <w:tab/>
      </w:r>
      <w:r>
        <w:rPr>
          <w:rStyle w:val="CharDefText"/>
          <w:sz w:val="23"/>
          <w:szCs w:val="23"/>
        </w:rPr>
        <w:t xml:space="preserve">South Australian </w:t>
      </w:r>
      <w:r>
        <w:rPr>
          <w:b/>
          <w:i/>
          <w:sz w:val="23"/>
          <w:szCs w:val="23"/>
        </w:rPr>
        <w:t>Minister</w:t>
      </w:r>
      <w:r>
        <w:rPr>
          <w:sz w:val="23"/>
          <w:szCs w:val="23"/>
        </w:rPr>
        <w:t xml:space="preserve"> means the Minister in right of the Crown of South Australia administering the </w:t>
      </w:r>
      <w:r>
        <w:rPr>
          <w:i/>
          <w:iCs/>
          <w:sz w:val="23"/>
          <w:szCs w:val="23"/>
        </w:rPr>
        <w:t>National Gas (South Australia) Act 2008</w:t>
      </w:r>
      <w:r>
        <w:rPr>
          <w:sz w:val="23"/>
          <w:szCs w:val="23"/>
        </w:rPr>
        <w:t xml:space="preserve"> (South Australia) Part 2.</w:t>
      </w:r>
    </w:p>
    <w:p>
      <w:pPr>
        <w:pStyle w:val="BlankClose"/>
      </w:pPr>
    </w:p>
    <w:p>
      <w:pPr>
        <w:pStyle w:val="ySubsection"/>
      </w:pPr>
      <w:r>
        <w:tab/>
        <w:t>(3)</w:t>
      </w:r>
      <w:r>
        <w:tab/>
        <w:t xml:space="preserve">In section 294FC(8) in the definition of </w:t>
      </w:r>
      <w:r>
        <w:rPr>
          <w:b/>
          <w:i/>
          <w:sz w:val="23"/>
        </w:rPr>
        <w:t>amended objective</w:t>
      </w:r>
      <w:r>
        <w:t xml:space="preserve"> delete “</w:t>
      </w:r>
      <w:r>
        <w:rPr>
          <w:sz w:val="23"/>
        </w:rPr>
        <w:t>commencement of this section.</w:t>
      </w:r>
      <w:r>
        <w:t>” and insert:</w:t>
      </w:r>
    </w:p>
    <w:p>
      <w:pPr>
        <w:pStyle w:val="BlankOpen"/>
      </w:pPr>
    </w:p>
    <w:p>
      <w:pPr>
        <w:pStyle w:val="zyMiscellaneousBody"/>
        <w:tabs>
          <w:tab w:val="left" w:pos="851"/>
        </w:tabs>
      </w:pPr>
      <w:r>
        <w:tab/>
        <w:t>coming into operation of the adopting clause;</w:t>
      </w:r>
    </w:p>
    <w:p>
      <w:pPr>
        <w:pStyle w:val="BlankClose"/>
      </w:pPr>
    </w:p>
    <w:p>
      <w:pPr>
        <w:pStyle w:val="yFootnotesection"/>
        <w:rPr>
          <w:rStyle w:val="CharSClsNo"/>
        </w:rPr>
      </w:pPr>
      <w:r>
        <w:tab/>
        <w:t>[Clause 13A inserted: SL 2024/5 r. 5.]</w:t>
      </w:r>
    </w:p>
    <w:p>
      <w:pPr>
        <w:pStyle w:val="yHeading5"/>
        <w:spacing w:before="120"/>
      </w:pPr>
      <w:bookmarkStart w:id="162" w:name="_Toc158374646"/>
      <w:r>
        <w:rPr>
          <w:rStyle w:val="CharSClsNo"/>
        </w:rPr>
        <w:t>14</w:t>
      </w:r>
      <w:r>
        <w:t>.</w:t>
      </w:r>
      <w:r>
        <w:tab/>
        <w:t>Schedule 1 modified</w:t>
      </w:r>
      <w:bookmarkEnd w:id="162"/>
    </w:p>
    <w:p>
      <w:pPr>
        <w:pStyle w:val="ySubsection"/>
      </w:pPr>
      <w:r>
        <w:tab/>
      </w:r>
      <w:r>
        <w:tab/>
        <w:t>In Schedule 1 item 82 delete “</w:t>
      </w:r>
      <w:r>
        <w:rPr>
          <w:sz w:val="20"/>
        </w:rPr>
        <w:t xml:space="preserve">section 20 of the </w:t>
      </w:r>
      <w:r>
        <w:rPr>
          <w:i/>
          <w:iCs/>
          <w:sz w:val="20"/>
        </w:rPr>
        <w:t>National Gas (South Australia) Act 2008</w:t>
      </w:r>
      <w:r>
        <w:rPr>
          <w:sz w:val="20"/>
        </w:rPr>
        <w:t xml:space="preserve"> of South Australia.</w:t>
      </w:r>
      <w:r>
        <w:t>” and insert:</w:t>
      </w:r>
    </w:p>
    <w:p>
      <w:pPr>
        <w:pStyle w:val="BlankOpen"/>
      </w:pPr>
    </w:p>
    <w:p>
      <w:pPr>
        <w:pStyle w:val="zySubsection"/>
        <w:spacing w:before="0"/>
        <w:rPr>
          <w:sz w:val="20"/>
        </w:rPr>
      </w:pPr>
      <w:r>
        <w:tab/>
      </w:r>
      <w:r>
        <w:tab/>
      </w:r>
      <w:r>
        <w:rPr>
          <w:sz w:val="20"/>
        </w:rPr>
        <w:t xml:space="preserve">section 30 of the </w:t>
      </w:r>
      <w:r>
        <w:rPr>
          <w:i/>
          <w:iCs/>
          <w:sz w:val="20"/>
        </w:rPr>
        <w:t>National Gas Access (WA) Act 2009</w:t>
      </w:r>
      <w:r>
        <w:rPr>
          <w:sz w:val="20"/>
        </w:rPr>
        <w:t xml:space="preserve"> of Western Australia.</w:t>
      </w:r>
    </w:p>
    <w:p>
      <w:pPr>
        <w:pStyle w:val="BlankClose"/>
      </w:pPr>
    </w:p>
    <w:p>
      <w:pPr>
        <w:pStyle w:val="yHeading5"/>
      </w:pPr>
      <w:bookmarkStart w:id="163" w:name="_Toc158374647"/>
      <w:r>
        <w:rPr>
          <w:rStyle w:val="CharSClsNo"/>
        </w:rPr>
        <w:t>15</w:t>
      </w:r>
      <w:r>
        <w:t>.</w:t>
      </w:r>
      <w:r>
        <w:tab/>
        <w:t>Schedule 2 clause 27A inserted</w:t>
      </w:r>
      <w:bookmarkEnd w:id="163"/>
    </w:p>
    <w:p>
      <w:pPr>
        <w:pStyle w:val="ySubsection"/>
      </w:pPr>
      <w:r>
        <w:tab/>
      </w:r>
      <w:r>
        <w:tab/>
        <w:t>After Schedule 2 clause 27 insert:</w:t>
      </w:r>
    </w:p>
    <w:p>
      <w:pPr>
        <w:pStyle w:val="BlankOpen"/>
      </w:pPr>
    </w:p>
    <w:p>
      <w:pPr>
        <w:pStyle w:val="zyHeading5"/>
        <w:spacing w:before="0"/>
      </w:pPr>
      <w:bookmarkStart w:id="164" w:name="_Toc158374648"/>
      <w:r>
        <w:t>27A.</w:t>
      </w:r>
      <w:r>
        <w:rPr>
          <w:b w:val="0"/>
        </w:rPr>
        <w:tab/>
      </w:r>
      <w:r>
        <w:t>WA modifications of clause 27</w:t>
      </w:r>
      <w:bookmarkEnd w:id="164"/>
    </w:p>
    <w:p>
      <w:pPr>
        <w:pStyle w:val="zySubsection"/>
        <w:rPr>
          <w:sz w:val="23"/>
        </w:rPr>
      </w:pPr>
      <w:r>
        <w:rPr>
          <w:sz w:val="23"/>
        </w:rPr>
        <w:tab/>
      </w:r>
      <w:r>
        <w:rPr>
          <w:sz w:val="23"/>
        </w:rPr>
        <w:tab/>
        <w:t xml:space="preserve">Clause 27 applies to a conferral of power by this Law to the extent that the power derives from an amendment to the </w:t>
      </w:r>
      <w:r>
        <w:rPr>
          <w:color w:val="000000"/>
          <w:sz w:val="23"/>
          <w:szCs w:val="23"/>
        </w:rPr>
        <w:t xml:space="preserve">Schedule to the </w:t>
      </w:r>
      <w:r>
        <w:rPr>
          <w:i/>
          <w:iCs/>
          <w:color w:val="000000"/>
          <w:sz w:val="23"/>
          <w:szCs w:val="23"/>
        </w:rPr>
        <w:t>National Gas (South Australia) Act 2008</w:t>
      </w:r>
      <w:r>
        <w:rPr>
          <w:color w:val="000000"/>
          <w:sz w:val="23"/>
          <w:szCs w:val="23"/>
        </w:rPr>
        <w:t xml:space="preserve"> of South Australia</w:t>
      </w:r>
      <w:r>
        <w:rPr>
          <w:sz w:val="23"/>
        </w:rPr>
        <w:t xml:space="preserve"> — </w:t>
      </w:r>
    </w:p>
    <w:p>
      <w:pPr>
        <w:pStyle w:val="zyIndenta"/>
        <w:ind w:right="424"/>
        <w:rPr>
          <w:sz w:val="23"/>
        </w:rPr>
      </w:pPr>
      <w:r>
        <w:rPr>
          <w:sz w:val="23"/>
        </w:rPr>
        <w:lastRenderedPageBreak/>
        <w:tab/>
        <w:t>(a)</w:t>
      </w:r>
      <w:r>
        <w:rPr>
          <w:sz w:val="23"/>
        </w:rPr>
        <w:tab/>
        <w:t xml:space="preserve">as if references in clause 27(2), (5) and (6) to the commencement of the empowering provision referred to the time when the Western Australian National Gas Access Law text, as defined in section 7(2) of the </w:t>
      </w:r>
      <w:r>
        <w:rPr>
          <w:i/>
          <w:iCs/>
          <w:sz w:val="23"/>
        </w:rPr>
        <w:t>National Gas Access (WA) Act 2009</w:t>
      </w:r>
      <w:r>
        <w:rPr>
          <w:sz w:val="23"/>
        </w:rPr>
        <w:t>, is affected by the amendment; and</w:t>
      </w:r>
    </w:p>
    <w:p>
      <w:pPr>
        <w:pStyle w:val="zyIndenta"/>
        <w:rPr>
          <w:sz w:val="23"/>
        </w:rPr>
      </w:pPr>
      <w:r>
        <w:rPr>
          <w:sz w:val="23"/>
        </w:rPr>
        <w:tab/>
        <w:t>(b)</w:t>
      </w:r>
      <w:r>
        <w:rPr>
          <w:sz w:val="23"/>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pStyle w:val="zyIndenta"/>
      </w:pPr>
      <w:r>
        <w:rPr>
          <w:sz w:val="23"/>
        </w:rPr>
        <w:tab/>
        <w:t>(c)</w:t>
      </w:r>
      <w:r>
        <w:rPr>
          <w:sz w:val="23"/>
        </w:rPr>
        <w:tab/>
        <w:t>as if clause 27(7) had been omitted.</w:t>
      </w:r>
    </w:p>
    <w:p>
      <w:pPr>
        <w:pStyle w:val="BlankClose"/>
      </w:pPr>
    </w:p>
    <w:p>
      <w:pPr>
        <w:pStyle w:val="yHeading5"/>
      </w:pPr>
      <w:bookmarkStart w:id="165" w:name="_Toc158374649"/>
      <w:r>
        <w:rPr>
          <w:rStyle w:val="CharSClsNo"/>
        </w:rPr>
        <w:t>16</w:t>
      </w:r>
      <w:r>
        <w:t>.</w:t>
      </w:r>
      <w:r>
        <w:tab/>
        <w:t>Schedule 2 clause 34 modified</w:t>
      </w:r>
      <w:bookmarkEnd w:id="165"/>
    </w:p>
    <w:p>
      <w:pPr>
        <w:pStyle w:val="ySubsection"/>
      </w:pPr>
      <w:r>
        <w:tab/>
        <w:t>(1)</w:t>
      </w:r>
      <w:r>
        <w:tab/>
        <w:t>In Schedule 2 clause 34 delete “</w:t>
      </w:r>
      <w:r>
        <w:rPr>
          <w:sz w:val="23"/>
        </w:rPr>
        <w:t>In any proceedings</w:t>
      </w:r>
      <w:r>
        <w:t>” and insert:</w:t>
      </w:r>
    </w:p>
    <w:p>
      <w:pPr>
        <w:pStyle w:val="BlankOpen"/>
      </w:pPr>
    </w:p>
    <w:p>
      <w:pPr>
        <w:pStyle w:val="zySubsection"/>
        <w:spacing w:before="0"/>
        <w:rPr>
          <w:sz w:val="23"/>
        </w:rPr>
      </w:pPr>
      <w:r>
        <w:rPr>
          <w:sz w:val="23"/>
        </w:rPr>
        <w:tab/>
        <w:t>(1)</w:t>
      </w:r>
      <w:r>
        <w:rPr>
          <w:sz w:val="23"/>
        </w:rPr>
        <w:tab/>
        <w:t>In any proceedings</w:t>
      </w:r>
    </w:p>
    <w:p>
      <w:pPr>
        <w:pStyle w:val="BlankClose"/>
      </w:pPr>
    </w:p>
    <w:p>
      <w:pPr>
        <w:pStyle w:val="ySubsection"/>
      </w:pPr>
      <w:r>
        <w:tab/>
        <w:t>(2)</w:t>
      </w:r>
      <w:r>
        <w:tab/>
        <w:t>At the end of Schedule 2 clause 34 insert:</w:t>
      </w:r>
    </w:p>
    <w:p>
      <w:pPr>
        <w:pStyle w:val="BlankOpen"/>
      </w:pPr>
    </w:p>
    <w:p>
      <w:pPr>
        <w:pStyle w:val="zySubsection"/>
        <w:spacing w:before="0"/>
        <w:rPr>
          <w:sz w:val="23"/>
        </w:rPr>
      </w:pPr>
      <w:r>
        <w:rPr>
          <w:sz w:val="23"/>
        </w:rPr>
        <w:tab/>
        <w:t>(2)</w:t>
      </w:r>
      <w:r>
        <w:rPr>
          <w:sz w:val="23"/>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sz w:val="23"/>
        </w:rPr>
        <w:t>Trade Practices Act 1974</w:t>
      </w:r>
      <w:r>
        <w:rPr>
          <w:sz w:val="23"/>
        </w:rPr>
        <w:t xml:space="preserve"> of the Commonwealth” had been deleted and the following had been inserted instead:</w:t>
      </w:r>
    </w:p>
    <w:p>
      <w:pPr>
        <w:pStyle w:val="BlankOpen"/>
      </w:pPr>
    </w:p>
    <w:p>
      <w:pPr>
        <w:pStyle w:val="zySubsection"/>
        <w:spacing w:before="0"/>
        <w:rPr>
          <w:sz w:val="23"/>
        </w:rPr>
      </w:pPr>
      <w:r>
        <w:tab/>
      </w:r>
      <w:r>
        <w:tab/>
      </w:r>
      <w:r>
        <w:rPr>
          <w:sz w:val="23"/>
        </w:rPr>
        <w:t>a member of the ERA</w:t>
      </w:r>
    </w:p>
    <w:p>
      <w:pPr>
        <w:pStyle w:val="BlankClose"/>
      </w:pPr>
    </w:p>
    <w:p>
      <w:pPr>
        <w:pStyle w:val="yHeading5"/>
      </w:pPr>
      <w:bookmarkStart w:id="166" w:name="_Toc158374650"/>
      <w:r>
        <w:rPr>
          <w:rStyle w:val="CharSClsNo"/>
        </w:rPr>
        <w:lastRenderedPageBreak/>
        <w:t>17</w:t>
      </w:r>
      <w:r>
        <w:t>.</w:t>
      </w:r>
      <w:r>
        <w:tab/>
        <w:t>Schedule 2 clause 50 replaced</w:t>
      </w:r>
      <w:bookmarkEnd w:id="166"/>
    </w:p>
    <w:p>
      <w:pPr>
        <w:pStyle w:val="ySubsection"/>
        <w:keepNext/>
      </w:pPr>
      <w:r>
        <w:tab/>
      </w:r>
      <w:r>
        <w:tab/>
        <w:t>Delete Schedule 2 clause 50 and insert:</w:t>
      </w:r>
    </w:p>
    <w:p>
      <w:pPr>
        <w:pStyle w:val="BlankOpen"/>
      </w:pPr>
    </w:p>
    <w:p>
      <w:pPr>
        <w:pStyle w:val="zyHeading5"/>
        <w:spacing w:before="0"/>
      </w:pPr>
      <w:bookmarkStart w:id="167" w:name="_Toc158374651"/>
      <w:r>
        <w:t>50.</w:t>
      </w:r>
      <w:r>
        <w:rPr>
          <w:b w:val="0"/>
        </w:rPr>
        <w:tab/>
      </w:r>
      <w:r>
        <w:t>Attempts and incitement</w:t>
      </w:r>
      <w:bookmarkEnd w:id="167"/>
    </w:p>
    <w:p>
      <w:pPr>
        <w:pStyle w:val="zySubsection"/>
        <w:rPr>
          <w:sz w:val="23"/>
        </w:rPr>
      </w:pPr>
      <w:r>
        <w:rPr>
          <w:sz w:val="23"/>
        </w:rPr>
        <w:tab/>
      </w:r>
      <w:r>
        <w:rPr>
          <w:sz w:val="23"/>
        </w:rPr>
        <w:tab/>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BlankClose"/>
      </w:pPr>
    </w:p>
    <w:p>
      <w:pPr>
        <w:pStyle w:val="yHeading5"/>
      </w:pPr>
      <w:bookmarkStart w:id="168" w:name="_Toc158374652"/>
      <w:r>
        <w:rPr>
          <w:rStyle w:val="CharSClsNo"/>
        </w:rPr>
        <w:t>17A</w:t>
      </w:r>
      <w:r>
        <w:t>.</w:t>
      </w:r>
      <w:r>
        <w:tab/>
        <w:t>Schedule 2 clause 51 modified</w:t>
      </w:r>
      <w:bookmarkEnd w:id="168"/>
    </w:p>
    <w:p>
      <w:pPr>
        <w:pStyle w:val="ySubsection"/>
      </w:pPr>
      <w:r>
        <w:tab/>
      </w:r>
      <w:r>
        <w:tab/>
        <w:t xml:space="preserve">In Schedule 2 clause 51(3) delete the definition of </w:t>
      </w:r>
      <w:r>
        <w:rPr>
          <w:b/>
          <w:i/>
        </w:rPr>
        <w:t>statutory instrument</w:t>
      </w:r>
      <w:r>
        <w:t xml:space="preserve"> and insert:</w:t>
      </w:r>
    </w:p>
    <w:p>
      <w:pPr>
        <w:pStyle w:val="BlankOpen"/>
      </w:pPr>
    </w:p>
    <w:p>
      <w:pPr>
        <w:pStyle w:val="yDefstart"/>
      </w:pPr>
      <w:r>
        <w:tab/>
      </w:r>
      <w:r>
        <w:rPr>
          <w:rStyle w:val="CharDefText"/>
        </w:rPr>
        <w:t>statutory instrument</w:t>
      </w:r>
      <w:r>
        <w:t xml:space="preserve"> includes the Regulations, the rate of return instrument or the Rules.</w:t>
      </w:r>
    </w:p>
    <w:p>
      <w:pPr>
        <w:pStyle w:val="BlankClose"/>
      </w:pPr>
    </w:p>
    <w:p>
      <w:pPr>
        <w:pStyle w:val="yFootnotesection"/>
        <w:rPr>
          <w:sz w:val="23"/>
        </w:rPr>
      </w:pPr>
      <w:r>
        <w:tab/>
        <w:t>[Clause 17A inserted: Gazette 5 Apr 2019 p. 1010.]</w:t>
      </w:r>
    </w:p>
    <w:p>
      <w:pPr>
        <w:pStyle w:val="yHeading5"/>
        <w:spacing w:before="180"/>
      </w:pPr>
      <w:bookmarkStart w:id="169" w:name="_Toc158374653"/>
      <w:r>
        <w:rPr>
          <w:rStyle w:val="CharSClsNo"/>
        </w:rPr>
        <w:t>18</w:t>
      </w:r>
      <w:r>
        <w:t>.</w:t>
      </w:r>
      <w:r>
        <w:tab/>
        <w:t>Schedule 3 modified</w:t>
      </w:r>
      <w:bookmarkEnd w:id="169"/>
    </w:p>
    <w:p>
      <w:pPr>
        <w:pStyle w:val="ySubsection"/>
        <w:spacing w:before="120"/>
      </w:pPr>
      <w:r>
        <w:tab/>
        <w:t>(1)</w:t>
      </w:r>
      <w:r>
        <w:tab/>
        <w:t xml:space="preserve">In Schedule 3 clause 1 in the definition of </w:t>
      </w:r>
      <w:r>
        <w:rPr>
          <w:b/>
          <w:bCs/>
          <w:i/>
          <w:iCs/>
        </w:rPr>
        <w:t>commencement day</w:t>
      </w:r>
      <w:r>
        <w:t xml:space="preserve"> delete “</w:t>
      </w:r>
      <w:r>
        <w:rPr>
          <w:sz w:val="23"/>
        </w:rPr>
        <w:t>section 20 of the new application Act</w:t>
      </w:r>
      <w:r>
        <w:t>” and insert:</w:t>
      </w:r>
    </w:p>
    <w:p>
      <w:pPr>
        <w:pStyle w:val="BlankOpen"/>
      </w:pPr>
    </w:p>
    <w:p>
      <w:pPr>
        <w:pStyle w:val="zySubsection"/>
        <w:spacing w:before="0"/>
        <w:rPr>
          <w:sz w:val="23"/>
        </w:rPr>
      </w:pPr>
      <w:r>
        <w:tab/>
      </w:r>
      <w:r>
        <w:tab/>
      </w:r>
      <w:r>
        <w:rPr>
          <w:sz w:val="23"/>
        </w:rPr>
        <w:t xml:space="preserve">section 30 of the </w:t>
      </w:r>
      <w:r>
        <w:rPr>
          <w:i/>
          <w:iCs/>
          <w:sz w:val="23"/>
        </w:rPr>
        <w:t>National Gas Access (WA) Act 2009</w:t>
      </w:r>
    </w:p>
    <w:p>
      <w:pPr>
        <w:pStyle w:val="BlankClose"/>
      </w:pPr>
    </w:p>
    <w:p>
      <w:pPr>
        <w:pStyle w:val="ySubsection"/>
        <w:keepNext/>
      </w:pPr>
      <w:r>
        <w:tab/>
        <w:t>(2)</w:t>
      </w:r>
      <w:r>
        <w:tab/>
        <w:t>In Schedule 3 clause 45(3)(b) delete “</w:t>
      </w:r>
      <w:r>
        <w:rPr>
          <w:i/>
          <w:iCs/>
          <w:sz w:val="23"/>
        </w:rPr>
        <w:t>Gas Pipelines Access (South Australia) Regulations 1999</w:t>
      </w:r>
      <w:r>
        <w:rPr>
          <w:sz w:val="23"/>
        </w:rPr>
        <w:t xml:space="preserve"> were not revoked</w:t>
      </w:r>
      <w:r>
        <w:rPr>
          <w:i/>
          <w:iCs/>
          <w:sz w:val="23"/>
        </w:rPr>
        <w:t>.</w:t>
      </w:r>
      <w:r>
        <w:t>” and insert:</w:t>
      </w:r>
    </w:p>
    <w:p>
      <w:pPr>
        <w:pStyle w:val="BlankOpen"/>
      </w:pPr>
    </w:p>
    <w:p>
      <w:pPr>
        <w:pStyle w:val="zyIndenta"/>
        <w:spacing w:before="0"/>
        <w:rPr>
          <w:sz w:val="23"/>
        </w:rPr>
      </w:pPr>
      <w:r>
        <w:tab/>
      </w:r>
      <w:r>
        <w:tab/>
      </w:r>
      <w:r>
        <w:rPr>
          <w:i/>
          <w:iCs/>
          <w:sz w:val="23"/>
        </w:rPr>
        <w:t>Gas Pipelines Access (Western Australia) Regulations 2000</w:t>
      </w:r>
      <w:r>
        <w:rPr>
          <w:sz w:val="23"/>
        </w:rPr>
        <w:t xml:space="preserve"> were not repealed.</w:t>
      </w:r>
    </w:p>
    <w:p>
      <w:pPr>
        <w:pStyle w:val="ySubsection"/>
        <w:keepNext/>
      </w:pPr>
      <w:r>
        <w:lastRenderedPageBreak/>
        <w:tab/>
        <w:t>(2A)</w:t>
      </w:r>
      <w:r>
        <w:tab/>
        <w:t>In Schedule 3 clause 90:</w:t>
      </w:r>
    </w:p>
    <w:p>
      <w:pPr>
        <w:pStyle w:val="yIndenta"/>
        <w:keepNext/>
      </w:pPr>
      <w:r>
        <w:tab/>
        <w:t>(a)</w:t>
      </w:r>
      <w:r>
        <w:tab/>
        <w:t xml:space="preserve">delete “section 26 of the </w:t>
      </w:r>
      <w:r>
        <w:rPr>
          <w:i/>
        </w:rPr>
        <w:t>Statutes Amendment (National Energy Laws) (Rules) Act 2018</w:t>
      </w:r>
      <w:r>
        <w:t>” and insert:</w:t>
      </w:r>
    </w:p>
    <w:p>
      <w:pPr>
        <w:pStyle w:val="BlankOpen"/>
      </w:pPr>
    </w:p>
    <w:p>
      <w:pPr>
        <w:pStyle w:val="yIndenta"/>
      </w:pPr>
      <w:r>
        <w:tab/>
      </w:r>
      <w:r>
        <w:tab/>
        <w:t xml:space="preserve">virtue of the </w:t>
      </w:r>
      <w:r>
        <w:rPr>
          <w:i/>
        </w:rPr>
        <w:t>National Gas Access (WA) Adoption of Amendments Order 2020</w:t>
      </w:r>
      <w:r>
        <w:t xml:space="preserve"> clause 3 (the </w:t>
      </w:r>
      <w:r>
        <w:rPr>
          <w:rStyle w:val="CharDefText"/>
        </w:rPr>
        <w:t>adopting clause</w:t>
      </w:r>
      <w:r>
        <w:t>)</w:t>
      </w:r>
    </w:p>
    <w:p>
      <w:pPr>
        <w:pStyle w:val="BlankClose"/>
      </w:pPr>
    </w:p>
    <w:p>
      <w:pPr>
        <w:pStyle w:val="yIndenta"/>
      </w:pPr>
      <w:r>
        <w:tab/>
        <w:t>(b)</w:t>
      </w:r>
      <w:r>
        <w:tab/>
        <w:t>in paragraph (a) delete “commencement of this clause; or” and insert:</w:t>
      </w:r>
    </w:p>
    <w:p>
      <w:pPr>
        <w:pStyle w:val="BlankOpen"/>
      </w:pPr>
    </w:p>
    <w:p>
      <w:pPr>
        <w:pStyle w:val="yIndenta"/>
      </w:pPr>
      <w:r>
        <w:tab/>
      </w:r>
      <w:r>
        <w:tab/>
        <w:t>coming into operation of the adopting clause; or</w:t>
      </w:r>
    </w:p>
    <w:p>
      <w:pPr>
        <w:pStyle w:val="BlankClose"/>
      </w:pPr>
    </w:p>
    <w:p>
      <w:pPr>
        <w:pStyle w:val="yIndenta"/>
      </w:pPr>
      <w:r>
        <w:tab/>
        <w:t>(c)</w:t>
      </w:r>
      <w:r>
        <w:tab/>
        <w:t>in paragraph (b) delete “commencement of this clause,” and insert:</w:t>
      </w:r>
    </w:p>
    <w:p>
      <w:pPr>
        <w:pStyle w:val="BlankOpen"/>
      </w:pPr>
    </w:p>
    <w:p>
      <w:pPr>
        <w:pStyle w:val="yIndenta"/>
      </w:pPr>
      <w:r>
        <w:tab/>
      </w:r>
      <w:r>
        <w:tab/>
        <w:t>coming into operation of the adopting clause,</w:t>
      </w:r>
    </w:p>
    <w:p>
      <w:pPr>
        <w:pStyle w:val="BlankClose"/>
      </w:pPr>
    </w:p>
    <w:p>
      <w:pPr>
        <w:pStyle w:val="ySubsection"/>
      </w:pPr>
      <w:r>
        <w:tab/>
        <w:t>(3)</w:t>
      </w:r>
      <w:r>
        <w:tab/>
        <w:t>In Schedule 3 clause 95 insert in alphabetical order:</w:t>
      </w:r>
    </w:p>
    <w:p>
      <w:pPr>
        <w:pStyle w:val="BlankOpen"/>
      </w:pPr>
    </w:p>
    <w:p>
      <w:pPr>
        <w:pStyle w:val="zyDefstart"/>
        <w:rPr>
          <w:sz w:val="23"/>
          <w:szCs w:val="23"/>
        </w:rPr>
      </w:pPr>
      <w:r>
        <w:rPr>
          <w:sz w:val="23"/>
          <w:szCs w:val="23"/>
        </w:rPr>
        <w:tab/>
      </w:r>
      <w:r>
        <w:rPr>
          <w:rStyle w:val="CharDefText"/>
          <w:sz w:val="23"/>
          <w:szCs w:val="23"/>
        </w:rPr>
        <w:t>commencement</w:t>
      </w:r>
      <w:r>
        <w:rPr>
          <w:sz w:val="23"/>
          <w:szCs w:val="23"/>
        </w:rPr>
        <w:t xml:space="preserve"> means the coming into operation of the National Gas Access (WA) Adoption of Amendments Order 2019 clause 3;</w:t>
      </w:r>
    </w:p>
    <w:p>
      <w:pPr>
        <w:pStyle w:val="BlankClose"/>
      </w:pPr>
    </w:p>
    <w:p>
      <w:pPr>
        <w:pStyle w:val="ySubsection"/>
        <w:keepNext/>
      </w:pPr>
      <w:r>
        <w:tab/>
        <w:t>(4)</w:t>
      </w:r>
      <w:r>
        <w:tab/>
        <w:t>In Schedule 3 clause 96(1)(a) delete “</w:t>
      </w:r>
      <w:r>
        <w:rPr>
          <w:sz w:val="23"/>
          <w:szCs w:val="23"/>
        </w:rPr>
        <w:t>commencement of this clause;</w:t>
      </w:r>
      <w:r>
        <w:t>” and insert:</w:t>
      </w:r>
    </w:p>
    <w:p>
      <w:pPr>
        <w:pStyle w:val="BlankOpen"/>
      </w:pPr>
    </w:p>
    <w:p>
      <w:pPr>
        <w:pStyle w:val="ySubsection"/>
        <w:rPr>
          <w:sz w:val="23"/>
          <w:szCs w:val="23"/>
        </w:rPr>
      </w:pPr>
      <w:r>
        <w:rPr>
          <w:sz w:val="23"/>
          <w:szCs w:val="23"/>
        </w:rPr>
        <w:tab/>
      </w:r>
      <w:r>
        <w:rPr>
          <w:sz w:val="23"/>
          <w:szCs w:val="23"/>
        </w:rPr>
        <w:tab/>
        <w:t>commencement;</w:t>
      </w:r>
    </w:p>
    <w:p>
      <w:pPr>
        <w:pStyle w:val="BlankClose"/>
      </w:pPr>
    </w:p>
    <w:p>
      <w:pPr>
        <w:pStyle w:val="ySubsection"/>
      </w:pPr>
      <w:r>
        <w:tab/>
        <w:t>(5)</w:t>
      </w:r>
      <w:r>
        <w:tab/>
        <w:t>In Schedule 3 clause 97(1) delete “</w:t>
      </w:r>
      <w:r>
        <w:rPr>
          <w:sz w:val="23"/>
          <w:szCs w:val="23"/>
        </w:rPr>
        <w:t>commencement of this clause—</w:t>
      </w:r>
      <w:r>
        <w:t>” and insert:</w:t>
      </w:r>
    </w:p>
    <w:p>
      <w:pPr>
        <w:pStyle w:val="BlankOpen"/>
      </w:pPr>
    </w:p>
    <w:p>
      <w:pPr>
        <w:pStyle w:val="ySubsection"/>
        <w:rPr>
          <w:sz w:val="23"/>
          <w:szCs w:val="23"/>
        </w:rPr>
      </w:pPr>
      <w:r>
        <w:rPr>
          <w:sz w:val="23"/>
          <w:szCs w:val="23"/>
        </w:rPr>
        <w:tab/>
      </w:r>
      <w:r>
        <w:rPr>
          <w:sz w:val="23"/>
          <w:szCs w:val="23"/>
        </w:rPr>
        <w:tab/>
        <w:t xml:space="preserve">commencement— </w:t>
      </w:r>
    </w:p>
    <w:p>
      <w:pPr>
        <w:pStyle w:val="BlankClose"/>
      </w:pPr>
    </w:p>
    <w:p>
      <w:pPr>
        <w:pStyle w:val="ySubsection"/>
        <w:keepNext/>
      </w:pPr>
      <w:r>
        <w:lastRenderedPageBreak/>
        <w:tab/>
        <w:t>(6)</w:t>
      </w:r>
      <w:r>
        <w:tab/>
        <w:t xml:space="preserve">In Schedule 3 clause 98(3) delete the definitions of </w:t>
      </w:r>
      <w:r>
        <w:rPr>
          <w:b/>
          <w:i/>
        </w:rPr>
        <w:t>amended Law</w:t>
      </w:r>
      <w:r>
        <w:t xml:space="preserve"> and </w:t>
      </w:r>
      <w:r>
        <w:rPr>
          <w:b/>
          <w:i/>
        </w:rPr>
        <w:t>commencement</w:t>
      </w:r>
      <w:r>
        <w:t xml:space="preserve"> and insert:</w:t>
      </w:r>
    </w:p>
    <w:p>
      <w:pPr>
        <w:pStyle w:val="BlankOpen"/>
      </w:pPr>
    </w:p>
    <w:p>
      <w:pPr>
        <w:pStyle w:val="zyDefstart"/>
        <w:rPr>
          <w:sz w:val="23"/>
          <w:szCs w:val="23"/>
        </w:rPr>
      </w:pPr>
      <w:r>
        <w:rPr>
          <w:sz w:val="23"/>
          <w:szCs w:val="23"/>
        </w:rPr>
        <w:tab/>
      </w:r>
      <w:r>
        <w:rPr>
          <w:rStyle w:val="CharDefText"/>
          <w:sz w:val="23"/>
          <w:szCs w:val="23"/>
        </w:rPr>
        <w:t>amended Law</w:t>
      </w:r>
      <w:r>
        <w:rPr>
          <w:sz w:val="23"/>
          <w:szCs w:val="23"/>
        </w:rPr>
        <w:t xml:space="preserve"> means this Law as amended and modified by virtue of the </w:t>
      </w:r>
      <w:r>
        <w:rPr>
          <w:i/>
          <w:sz w:val="23"/>
          <w:szCs w:val="23"/>
        </w:rPr>
        <w:t>National Gas Access (WA) Adoption of Amendments Order 2019</w:t>
      </w:r>
      <w:r>
        <w:rPr>
          <w:sz w:val="23"/>
          <w:szCs w:val="23"/>
        </w:rPr>
        <w:t xml:space="preserve"> and the </w:t>
      </w:r>
      <w:r>
        <w:rPr>
          <w:i/>
          <w:sz w:val="23"/>
          <w:szCs w:val="23"/>
        </w:rPr>
        <w:t>National Gas Access (WA) (Act Amendment) Regulations 2019</w:t>
      </w:r>
      <w:r>
        <w:rPr>
          <w:sz w:val="23"/>
          <w:szCs w:val="23"/>
        </w:rPr>
        <w:t>.</w:t>
      </w:r>
    </w:p>
    <w:p>
      <w:pPr>
        <w:pStyle w:val="BlankClose"/>
      </w:pPr>
    </w:p>
    <w:p>
      <w:pPr>
        <w:pStyle w:val="ySubsection"/>
      </w:pPr>
      <w:r>
        <w:tab/>
        <w:t>(7)</w:t>
      </w:r>
      <w:r>
        <w:tab/>
        <w:t xml:space="preserve">In Schedule 3 clause 133 delete the definition of </w:t>
      </w:r>
      <w:r>
        <w:rPr>
          <w:b/>
          <w:i/>
          <w:sz w:val="23"/>
        </w:rPr>
        <w:t>amending Act</w:t>
      </w:r>
      <w:r>
        <w:t>.</w:t>
      </w:r>
    </w:p>
    <w:p>
      <w:pPr>
        <w:pStyle w:val="ySubsection"/>
      </w:pPr>
      <w:r>
        <w:tab/>
        <w:t>(8)</w:t>
      </w:r>
      <w:r>
        <w:tab/>
        <w:t>In Schedule 3 clause 133 insert in alphabetical order:</w:t>
      </w:r>
    </w:p>
    <w:p>
      <w:pPr>
        <w:pStyle w:val="BlankOpen"/>
      </w:pPr>
    </w:p>
    <w:p>
      <w:pPr>
        <w:pStyle w:val="zyMiscellaneousBody"/>
        <w:tabs>
          <w:tab w:val="left" w:pos="851"/>
        </w:tabs>
        <w:ind w:left="851" w:hanging="284"/>
      </w:pPr>
      <w:r>
        <w:rPr>
          <w:rStyle w:val="CharDefText"/>
          <w:sz w:val="23"/>
        </w:rPr>
        <w:tab/>
        <w:t>adopting clause</w:t>
      </w:r>
      <w:r>
        <w:t xml:space="preserve"> means the </w:t>
      </w:r>
      <w:r>
        <w:rPr>
          <w:i/>
          <w:iCs/>
        </w:rPr>
        <w:t>National Gas Access (WA) Adoption of Amendments Order (No. 2) 2024</w:t>
      </w:r>
      <w:r>
        <w:t xml:space="preserve"> clause 3;</w:t>
      </w:r>
    </w:p>
    <w:p>
      <w:pPr>
        <w:pStyle w:val="BlankOpen"/>
      </w:pPr>
    </w:p>
    <w:p>
      <w:pPr>
        <w:pStyle w:val="ySubsection"/>
      </w:pPr>
      <w:r>
        <w:tab/>
        <w:t>(9)</w:t>
      </w:r>
      <w:r>
        <w:tab/>
        <w:t xml:space="preserve">In Schedule 3 clause 133 in the definition of </w:t>
      </w:r>
      <w:r>
        <w:rPr>
          <w:b/>
          <w:i/>
          <w:sz w:val="23"/>
        </w:rPr>
        <w:t>amended objective</w:t>
      </w:r>
      <w:r>
        <w:t xml:space="preserve"> delete “</w:t>
      </w:r>
      <w:r>
        <w:rPr>
          <w:sz w:val="23"/>
        </w:rPr>
        <w:t>commencement of this clause;</w:t>
      </w:r>
      <w:r>
        <w:t>” and insert:</w:t>
      </w:r>
    </w:p>
    <w:p>
      <w:pPr>
        <w:pStyle w:val="BlankOpen"/>
      </w:pPr>
    </w:p>
    <w:p>
      <w:pPr>
        <w:pStyle w:val="zyMiscellaneousBody"/>
        <w:tabs>
          <w:tab w:val="left" w:pos="851"/>
        </w:tabs>
      </w:pPr>
      <w:r>
        <w:tab/>
        <w:t>coming into operation of the adopting clause;</w:t>
      </w:r>
    </w:p>
    <w:p>
      <w:pPr>
        <w:pStyle w:val="BlankClose"/>
      </w:pPr>
    </w:p>
    <w:p>
      <w:pPr>
        <w:pStyle w:val="ySubsection"/>
      </w:pPr>
      <w:r>
        <w:tab/>
        <w:t>(10)</w:t>
      </w:r>
      <w:r>
        <w:tab/>
        <w:t>In Schedule 3 clause 134:</w:t>
      </w:r>
    </w:p>
    <w:p>
      <w:pPr>
        <w:pStyle w:val="yIndenta"/>
      </w:pPr>
      <w:r>
        <w:tab/>
        <w:t>(a)</w:t>
      </w:r>
      <w:r>
        <w:tab/>
        <w:t>in subclause (2) delete “</w:t>
      </w:r>
      <w:r>
        <w:rPr>
          <w:sz w:val="23"/>
        </w:rPr>
        <w:t>Despite section 14 of the amending Act—</w:t>
      </w:r>
      <w:r>
        <w:t>” and insert:</w:t>
      </w:r>
    </w:p>
    <w:p>
      <w:pPr>
        <w:pStyle w:val="BlankOpen"/>
      </w:pPr>
    </w:p>
    <w:p>
      <w:pPr>
        <w:pStyle w:val="zyMiscellaneousBody"/>
        <w:tabs>
          <w:tab w:val="left" w:pos="1560"/>
        </w:tabs>
        <w:ind w:left="1560" w:hanging="993"/>
      </w:pPr>
      <w:r>
        <w:tab/>
        <w:t xml:space="preserve">Despite the coming into operation of the adopting clause — </w:t>
      </w:r>
    </w:p>
    <w:p>
      <w:pPr>
        <w:pStyle w:val="BlankClose"/>
      </w:pPr>
    </w:p>
    <w:p>
      <w:pPr>
        <w:pStyle w:val="yIndenta"/>
      </w:pPr>
      <w:r>
        <w:tab/>
        <w:t>(b)</w:t>
      </w:r>
      <w:r>
        <w:tab/>
        <w:t>in subclause (2)(a) delete “</w:t>
      </w:r>
      <w:r>
        <w:rPr>
          <w:sz w:val="23"/>
        </w:rPr>
        <w:t>that section</w:t>
      </w:r>
      <w:r>
        <w:t>” and insert:</w:t>
      </w:r>
    </w:p>
    <w:p>
      <w:pPr>
        <w:pStyle w:val="BlankOpen"/>
      </w:pPr>
    </w:p>
    <w:p>
      <w:pPr>
        <w:pStyle w:val="zyMiscellaneousBody"/>
        <w:tabs>
          <w:tab w:val="left" w:pos="1560"/>
        </w:tabs>
      </w:pPr>
      <w:r>
        <w:tab/>
        <w:t>the adopting clause</w:t>
      </w:r>
    </w:p>
    <w:p>
      <w:pPr>
        <w:pStyle w:val="BlankClose"/>
      </w:pPr>
    </w:p>
    <w:p>
      <w:pPr>
        <w:pStyle w:val="yIndenta"/>
        <w:keepNext/>
        <w:tabs>
          <w:tab w:val="left" w:pos="5245"/>
        </w:tabs>
      </w:pPr>
      <w:r>
        <w:lastRenderedPageBreak/>
        <w:tab/>
        <w:t>(c)</w:t>
      </w:r>
      <w:r>
        <w:tab/>
        <w:t>in subclause (2)(a) delete “</w:t>
      </w:r>
      <w:r>
        <w:rPr>
          <w:sz w:val="23"/>
        </w:rPr>
        <w:t>commencement of this clause; and</w:t>
      </w:r>
      <w:r>
        <w:t>” and insert:</w:t>
      </w:r>
    </w:p>
    <w:p>
      <w:pPr>
        <w:pStyle w:val="BlankOpen"/>
      </w:pPr>
    </w:p>
    <w:p>
      <w:pPr>
        <w:pStyle w:val="zyMiscellaneousBody"/>
        <w:tabs>
          <w:tab w:val="left" w:pos="1560"/>
        </w:tabs>
      </w:pPr>
      <w:r>
        <w:tab/>
        <w:t>coming into operation of the adopting clause; and</w:t>
      </w:r>
    </w:p>
    <w:p>
      <w:pPr>
        <w:pStyle w:val="BlankClose"/>
      </w:pPr>
    </w:p>
    <w:p>
      <w:pPr>
        <w:pStyle w:val="yIndenta"/>
      </w:pPr>
      <w:r>
        <w:tab/>
        <w:t>(d)</w:t>
      </w:r>
      <w:r>
        <w:tab/>
        <w:t>in subclause (3)(a) delete “commencement of this clause” and insert:</w:t>
      </w:r>
    </w:p>
    <w:p>
      <w:pPr>
        <w:pStyle w:val="BlankOpen"/>
      </w:pPr>
    </w:p>
    <w:p>
      <w:pPr>
        <w:pStyle w:val="zyMiscellaneousBody"/>
        <w:tabs>
          <w:tab w:val="left" w:pos="1560"/>
        </w:tabs>
      </w:pPr>
      <w:r>
        <w:tab/>
        <w:t>coming into operation of the adopting clause</w:t>
      </w:r>
    </w:p>
    <w:p>
      <w:pPr>
        <w:pStyle w:val="BlankClose"/>
      </w:pPr>
    </w:p>
    <w:p>
      <w:pPr>
        <w:pStyle w:val="ySubsection"/>
      </w:pPr>
      <w:r>
        <w:tab/>
        <w:t>(11)</w:t>
      </w:r>
      <w:r>
        <w:tab/>
        <w:t>In Schedule 3 clause 135(2) delete “commencement of this clause,” and insert:</w:t>
      </w:r>
    </w:p>
    <w:p>
      <w:pPr>
        <w:pStyle w:val="BlankOpen"/>
      </w:pPr>
    </w:p>
    <w:p>
      <w:pPr>
        <w:pStyle w:val="zyMiscellaneousBody"/>
        <w:tabs>
          <w:tab w:val="left" w:pos="851"/>
          <w:tab w:val="left" w:pos="1560"/>
        </w:tabs>
        <w:ind w:left="0"/>
      </w:pPr>
      <w:r>
        <w:tab/>
        <w:t>coming into operation of the adopting clause,</w:t>
      </w:r>
    </w:p>
    <w:p>
      <w:pPr>
        <w:pStyle w:val="BlankOpen"/>
      </w:pPr>
    </w:p>
    <w:p>
      <w:pPr>
        <w:pStyle w:val="ySubsection"/>
      </w:pPr>
      <w:r>
        <w:tab/>
        <w:t>(12)</w:t>
      </w:r>
      <w:r>
        <w:tab/>
        <w:t>In Schedule 3 clause 136(1) and (2) delete “</w:t>
      </w:r>
      <w:r>
        <w:rPr>
          <w:sz w:val="23"/>
        </w:rPr>
        <w:t>commencement of this clause,</w:t>
      </w:r>
      <w:r>
        <w:t>” and insert:</w:t>
      </w:r>
    </w:p>
    <w:p>
      <w:pPr>
        <w:pStyle w:val="BlankOpen"/>
      </w:pPr>
    </w:p>
    <w:p>
      <w:pPr>
        <w:pStyle w:val="zyMiscellaneousBody"/>
        <w:tabs>
          <w:tab w:val="left" w:pos="851"/>
          <w:tab w:val="left" w:pos="1560"/>
        </w:tabs>
        <w:ind w:left="0"/>
      </w:pPr>
      <w:r>
        <w:tab/>
        <w:t>coming into operation of the adopting clause,</w:t>
      </w:r>
    </w:p>
    <w:p>
      <w:pPr>
        <w:pStyle w:val="BlankClose"/>
      </w:pPr>
    </w:p>
    <w:p>
      <w:pPr>
        <w:pStyle w:val="ySubsection"/>
      </w:pPr>
      <w:r>
        <w:tab/>
        <w:t>(13)</w:t>
      </w:r>
      <w:r>
        <w:tab/>
        <w:t>In Schedule 3 clause 138(1) and (2) delete “</w:t>
      </w:r>
      <w:r>
        <w:rPr>
          <w:sz w:val="23"/>
        </w:rPr>
        <w:t>commencement of this clause—</w:t>
      </w:r>
      <w:r>
        <w:t>” and insert:</w:t>
      </w:r>
    </w:p>
    <w:p>
      <w:pPr>
        <w:pStyle w:val="BlankOpen"/>
      </w:pPr>
    </w:p>
    <w:p>
      <w:pPr>
        <w:pStyle w:val="zyMiscellaneousBody"/>
        <w:tabs>
          <w:tab w:val="left" w:pos="851"/>
          <w:tab w:val="left" w:pos="1560"/>
        </w:tabs>
        <w:ind w:left="0"/>
      </w:pPr>
      <w:r>
        <w:tab/>
        <w:t xml:space="preserve">coming into operation of the adopting clause — </w:t>
      </w:r>
    </w:p>
    <w:p>
      <w:pPr>
        <w:pStyle w:val="BlankClose"/>
      </w:pPr>
    </w:p>
    <w:p>
      <w:pPr>
        <w:pStyle w:val="yFootnotesection"/>
      </w:pPr>
      <w:r>
        <w:tab/>
        <w:t>[Clause 18 amended: Gazette 5 Apr 2019 p. 1010; SL 2020/194 r. 4; SL 2024/5 r. 6.]</w:t>
      </w:r>
    </w:p>
    <w:p>
      <w:pPr>
        <w:pStyle w:val="yFootnotesection"/>
        <w:jc w:val="center"/>
        <w:rPr>
          <w:sz w:val="23"/>
        </w:rP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p>
    <w:p>
      <w:pPr>
        <w:pStyle w:val="nHeading2"/>
      </w:pPr>
      <w:bookmarkStart w:id="171" w:name="_Toc156819017"/>
      <w:bookmarkStart w:id="172" w:name="_Toc156990434"/>
      <w:bookmarkStart w:id="173" w:name="_Toc158374654"/>
      <w:bookmarkStart w:id="174" w:name="_Hlk158363721"/>
      <w:r>
        <w:lastRenderedPageBreak/>
        <w:t xml:space="preserve">Notes about </w:t>
      </w:r>
      <w:r>
        <w:rPr>
          <w:i/>
          <w:iCs/>
        </w:rPr>
        <w:t>National Gas Access (WA) Act 2009</w:t>
      </w:r>
      <w:bookmarkEnd w:id="171"/>
      <w:bookmarkEnd w:id="172"/>
      <w:bookmarkEnd w:id="173"/>
    </w:p>
    <w:p>
      <w:pPr>
        <w:pStyle w:val="nStatement"/>
      </w:pPr>
      <w:r>
        <w:t xml:space="preserve">This is a compilation of the </w:t>
      </w:r>
      <w:r>
        <w:rPr>
          <w:i/>
          <w:snapToGrid w:val="0"/>
        </w:rPr>
        <w:t>National Gas Access (WA) Act 2009</w:t>
      </w:r>
      <w:r>
        <w:t xml:space="preserve"> and includes amendments made by other written laws. For provisions that have come into operation see the compilation table.</w:t>
      </w:r>
    </w:p>
    <w:p>
      <w:pPr>
        <w:pStyle w:val="nHeading3"/>
        <w:rPr>
          <w:snapToGrid w:val="0"/>
        </w:rPr>
      </w:pPr>
      <w:bookmarkStart w:id="175" w:name="_Toc158374655"/>
      <w:r>
        <w:rPr>
          <w:snapToGrid w:val="0"/>
        </w:rPr>
        <w:t>Compilation table</w:t>
      </w:r>
      <w:bookmarkEnd w:id="175"/>
    </w:p>
    <w:tbl>
      <w:tblPr>
        <w:tblW w:w="711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32"/>
        <w:gridCol w:w="2236"/>
        <w:gridCol w:w="1021"/>
        <w:gridCol w:w="1134"/>
        <w:gridCol w:w="49"/>
        <w:gridCol w:w="2616"/>
        <w:gridCol w:w="24"/>
      </w:tblGrid>
      <w:tr>
        <w:trPr>
          <w:gridAfter w:val="1"/>
          <w:wAfter w:w="24" w:type="dxa"/>
          <w:tblHeader/>
        </w:trPr>
        <w:tc>
          <w:tcPr>
            <w:tcW w:w="2268" w:type="dxa"/>
            <w:gridSpan w:val="2"/>
          </w:tcPr>
          <w:p>
            <w:pPr>
              <w:pStyle w:val="nTable"/>
              <w:spacing w:after="40"/>
              <w:rPr>
                <w:b/>
              </w:rPr>
            </w:pPr>
            <w:r>
              <w:rPr>
                <w:b/>
              </w:rPr>
              <w:t>Short title</w:t>
            </w:r>
          </w:p>
        </w:tc>
        <w:tc>
          <w:tcPr>
            <w:tcW w:w="1021"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665" w:type="dxa"/>
            <w:gridSpan w:val="2"/>
          </w:tcPr>
          <w:p>
            <w:pPr>
              <w:pStyle w:val="nTable"/>
              <w:spacing w:after="40"/>
              <w:rPr>
                <w:b/>
              </w:rPr>
            </w:pPr>
            <w:r>
              <w:rPr>
                <w:b/>
              </w:rPr>
              <w:t>Commencement</w:t>
            </w:r>
          </w:p>
        </w:tc>
      </w:tr>
      <w:tr>
        <w:trPr>
          <w:gridAfter w:val="1"/>
          <w:wAfter w:w="24" w:type="dxa"/>
        </w:trPr>
        <w:tc>
          <w:tcPr>
            <w:tcW w:w="2268" w:type="dxa"/>
            <w:gridSpan w:val="2"/>
            <w:tcBorders>
              <w:bottom w:val="nil"/>
            </w:tcBorders>
          </w:tcPr>
          <w:p>
            <w:pPr>
              <w:pStyle w:val="nTable"/>
              <w:spacing w:after="40"/>
            </w:pPr>
            <w:r>
              <w:rPr>
                <w:i/>
              </w:rPr>
              <w:t>National Gas Access (WA) Act 2009</w:t>
            </w:r>
          </w:p>
        </w:tc>
        <w:tc>
          <w:tcPr>
            <w:tcW w:w="1021" w:type="dxa"/>
            <w:tcBorders>
              <w:bottom w:val="nil"/>
            </w:tcBorders>
          </w:tcPr>
          <w:p>
            <w:pPr>
              <w:pStyle w:val="nTable"/>
              <w:spacing w:after="40"/>
            </w:pPr>
            <w:r>
              <w:t>16 of 2009</w:t>
            </w:r>
          </w:p>
        </w:tc>
        <w:tc>
          <w:tcPr>
            <w:tcW w:w="1134" w:type="dxa"/>
            <w:tcBorders>
              <w:bottom w:val="nil"/>
            </w:tcBorders>
          </w:tcPr>
          <w:p>
            <w:pPr>
              <w:pStyle w:val="nTable"/>
              <w:spacing w:after="40"/>
            </w:pPr>
            <w:r>
              <w:t>1 Sep 2009</w:t>
            </w:r>
          </w:p>
        </w:tc>
        <w:tc>
          <w:tcPr>
            <w:tcW w:w="2665" w:type="dxa"/>
            <w:gridSpan w:val="2"/>
            <w:tcBorders>
              <w:bottom w:val="nil"/>
            </w:tcBorders>
          </w:tcPr>
          <w:p>
            <w:pPr>
              <w:pStyle w:val="nTable"/>
              <w:spacing w:after="40"/>
            </w:pPr>
            <w:r>
              <w:t>s. 1 and 2: 1 Sep 2009 (see s. 2(a));</w:t>
            </w:r>
            <w:r>
              <w:br/>
              <w:t xml:space="preserve">Act other than s. 1 and 2: 1 Jan 2010 (see s. 2(b) and </w:t>
            </w:r>
            <w:r>
              <w:rPr>
                <w:i/>
                <w:iCs/>
              </w:rPr>
              <w:t>Gazette</w:t>
            </w:r>
            <w:r>
              <w:t xml:space="preserve"> 31 Dec 2009 p. 5327)</w:t>
            </w:r>
          </w:p>
        </w:tc>
      </w:tr>
      <w:tr>
        <w:trPr>
          <w:gridAfter w:val="1"/>
          <w:wAfter w:w="24" w:type="dxa"/>
        </w:trPr>
        <w:tc>
          <w:tcPr>
            <w:tcW w:w="2268" w:type="dxa"/>
            <w:gridSpan w:val="2"/>
            <w:tcBorders>
              <w:top w:val="nil"/>
              <w:bottom w:val="nil"/>
            </w:tcBorders>
          </w:tcPr>
          <w:p>
            <w:pPr>
              <w:pStyle w:val="nTable"/>
              <w:spacing w:after="40"/>
            </w:pPr>
            <w:r>
              <w:rPr>
                <w:i/>
                <w:snapToGrid w:val="0"/>
              </w:rPr>
              <w:t>Petroleum and Energy Legislation Amendment Act 2010</w:t>
            </w:r>
            <w:r>
              <w:rPr>
                <w:iCs/>
                <w:snapToGrid w:val="0"/>
              </w:rPr>
              <w:t xml:space="preserve"> s. 184</w:t>
            </w:r>
          </w:p>
        </w:tc>
        <w:tc>
          <w:tcPr>
            <w:tcW w:w="1021" w:type="dxa"/>
            <w:tcBorders>
              <w:top w:val="nil"/>
              <w:bottom w:val="nil"/>
            </w:tcBorders>
          </w:tcPr>
          <w:p>
            <w:pPr>
              <w:pStyle w:val="nTable"/>
              <w:spacing w:after="40"/>
            </w:pPr>
            <w:r>
              <w:t>42 of 2010</w:t>
            </w:r>
          </w:p>
        </w:tc>
        <w:tc>
          <w:tcPr>
            <w:tcW w:w="1134" w:type="dxa"/>
            <w:tcBorders>
              <w:top w:val="nil"/>
              <w:bottom w:val="nil"/>
            </w:tcBorders>
          </w:tcPr>
          <w:p>
            <w:pPr>
              <w:pStyle w:val="nTable"/>
              <w:spacing w:after="40"/>
            </w:pPr>
            <w:r>
              <w:t>28 Oct 2010</w:t>
            </w:r>
          </w:p>
        </w:tc>
        <w:tc>
          <w:tcPr>
            <w:tcW w:w="2665" w:type="dxa"/>
            <w:gridSpan w:val="2"/>
            <w:tcBorders>
              <w:top w:val="nil"/>
              <w:bottom w:val="nil"/>
            </w:tcBorders>
          </w:tcPr>
          <w:p>
            <w:pPr>
              <w:pStyle w:val="nTable"/>
              <w:spacing w:after="40"/>
            </w:pPr>
            <w:r>
              <w:t xml:space="preserve">25 May 2011 (see s. 2(b) </w:t>
            </w:r>
            <w:r>
              <w:rPr>
                <w:i/>
              </w:rPr>
              <w:t>Gazette</w:t>
            </w:r>
            <w:r>
              <w:t xml:space="preserve"> 24 May 2011 p. 1892)</w:t>
            </w:r>
          </w:p>
        </w:tc>
      </w:tr>
      <w:tr>
        <w:trPr>
          <w:gridAfter w:val="1"/>
          <w:wAfter w:w="24" w:type="dxa"/>
        </w:trPr>
        <w:tc>
          <w:tcPr>
            <w:tcW w:w="4423" w:type="dxa"/>
            <w:gridSpan w:val="4"/>
            <w:tcBorders>
              <w:top w:val="nil"/>
              <w:bottom w:val="nil"/>
            </w:tcBorders>
          </w:tcPr>
          <w:p>
            <w:pPr>
              <w:pStyle w:val="nTable"/>
              <w:spacing w:after="40"/>
            </w:pPr>
            <w:r>
              <w:rPr>
                <w:i/>
                <w:snapToGrid w:val="0"/>
              </w:rPr>
              <w:t>National Gas Access (WA) (Act Amendment) Regulations 2017</w:t>
            </w:r>
            <w:r>
              <w:rPr>
                <w:snapToGrid w:val="0"/>
              </w:rPr>
              <w:t xml:space="preserve"> published in </w:t>
            </w:r>
            <w:r>
              <w:rPr>
                <w:i/>
                <w:snapToGrid w:val="0"/>
              </w:rPr>
              <w:t xml:space="preserve">Gazette </w:t>
            </w:r>
            <w:r>
              <w:rPr>
                <w:snapToGrid w:val="0"/>
              </w:rPr>
              <w:t>22 Dec 2017 p. 5985</w:t>
            </w:r>
            <w:r>
              <w:rPr>
                <w:snapToGrid w:val="0"/>
              </w:rPr>
              <w:noBreakHyphen/>
              <w:t>6</w:t>
            </w:r>
          </w:p>
        </w:tc>
        <w:tc>
          <w:tcPr>
            <w:tcW w:w="2665" w:type="dxa"/>
            <w:gridSpan w:val="2"/>
            <w:tcBorders>
              <w:top w:val="nil"/>
              <w:bottom w:val="nil"/>
            </w:tcBorders>
          </w:tcPr>
          <w:p>
            <w:pPr>
              <w:pStyle w:val="nTable"/>
              <w:spacing w:after="40"/>
            </w:pPr>
            <w:r>
              <w:rPr>
                <w:bCs/>
                <w:snapToGrid w:val="0"/>
                <w:spacing w:val="-2"/>
              </w:rPr>
              <w:t>r. 1 and 2: 22 Dec 2017 (see r. 2(a));</w:t>
            </w:r>
            <w:r>
              <w:rPr>
                <w:bCs/>
                <w:snapToGrid w:val="0"/>
                <w:spacing w:val="-2"/>
              </w:rPr>
              <w:br/>
              <w:t xml:space="preserve">Regulations other than r. 1 and 2: 23 Dec 2017 (see r. 2(b) and </w:t>
            </w:r>
            <w:r>
              <w:rPr>
                <w:bCs/>
                <w:i/>
                <w:snapToGrid w:val="0"/>
                <w:spacing w:val="-2"/>
              </w:rPr>
              <w:t>Gazette</w:t>
            </w:r>
            <w:r>
              <w:rPr>
                <w:bCs/>
                <w:snapToGrid w:val="0"/>
                <w:spacing w:val="-2"/>
              </w:rPr>
              <w:t xml:space="preserve"> 22 Dec 2017 p. 5984)</w:t>
            </w:r>
          </w:p>
        </w:tc>
      </w:tr>
      <w:tr>
        <w:trPr>
          <w:gridAfter w:val="1"/>
          <w:wAfter w:w="24" w:type="dxa"/>
        </w:trPr>
        <w:tc>
          <w:tcPr>
            <w:tcW w:w="4423" w:type="dxa"/>
            <w:gridSpan w:val="4"/>
            <w:tcBorders>
              <w:top w:val="nil"/>
              <w:bottom w:val="nil"/>
            </w:tcBorders>
          </w:tcPr>
          <w:p>
            <w:pPr>
              <w:pStyle w:val="nTable"/>
              <w:spacing w:after="40"/>
              <w:rPr>
                <w:i/>
                <w:snapToGrid w:val="0"/>
              </w:rPr>
            </w:pPr>
            <w:r>
              <w:rPr>
                <w:i/>
                <w:snapToGrid w:val="0"/>
              </w:rPr>
              <w:t>National Gas Access (WA) (Act Amendment) Regulations 2019</w:t>
            </w:r>
            <w:r>
              <w:rPr>
                <w:snapToGrid w:val="0"/>
              </w:rPr>
              <w:t xml:space="preserve"> published in </w:t>
            </w:r>
            <w:r>
              <w:rPr>
                <w:i/>
                <w:snapToGrid w:val="0"/>
              </w:rPr>
              <w:t xml:space="preserve">Gazette </w:t>
            </w:r>
            <w:r>
              <w:rPr>
                <w:snapToGrid w:val="0"/>
              </w:rPr>
              <w:t>5 Apr 2019 p. 1009</w:t>
            </w:r>
            <w:r>
              <w:rPr>
                <w:snapToGrid w:val="0"/>
              </w:rPr>
              <w:noBreakHyphen/>
              <w:t>10</w:t>
            </w:r>
          </w:p>
        </w:tc>
        <w:tc>
          <w:tcPr>
            <w:tcW w:w="2665" w:type="dxa"/>
            <w:gridSpan w:val="2"/>
            <w:tcBorders>
              <w:top w:val="nil"/>
              <w:bottom w:val="nil"/>
            </w:tcBorders>
          </w:tcPr>
          <w:p>
            <w:pPr>
              <w:pStyle w:val="nTable"/>
              <w:spacing w:after="40"/>
              <w:rPr>
                <w:bCs/>
                <w:snapToGrid w:val="0"/>
                <w:spacing w:val="-2"/>
              </w:rPr>
            </w:pPr>
            <w:r>
              <w:rPr>
                <w:bCs/>
                <w:snapToGrid w:val="0"/>
                <w:spacing w:val="-2"/>
              </w:rPr>
              <w:t>r. 1 and 2: 5 Apr 2019 (see r. 2(a));</w:t>
            </w:r>
            <w:r>
              <w:rPr>
                <w:bCs/>
                <w:snapToGrid w:val="0"/>
                <w:spacing w:val="-2"/>
              </w:rPr>
              <w:br/>
              <w:t xml:space="preserve">Regulations other than r. 1 and 2: 6 Apr 2019 (see r. 2(b) and </w:t>
            </w:r>
            <w:r>
              <w:rPr>
                <w:bCs/>
                <w:i/>
                <w:snapToGrid w:val="0"/>
                <w:spacing w:val="-2"/>
              </w:rPr>
              <w:t>Gazette</w:t>
            </w:r>
            <w:r>
              <w:rPr>
                <w:bCs/>
                <w:snapToGrid w:val="0"/>
                <w:spacing w:val="-2"/>
              </w:rPr>
              <w:t xml:space="preserve"> 5 Apr 2019 p. 1007)</w:t>
            </w:r>
          </w:p>
        </w:tc>
      </w:tr>
      <w:tr>
        <w:trPr>
          <w:gridAfter w:val="1"/>
          <w:wAfter w:w="24" w:type="dxa"/>
        </w:trPr>
        <w:tc>
          <w:tcPr>
            <w:tcW w:w="4423" w:type="dxa"/>
            <w:gridSpan w:val="4"/>
            <w:tcBorders>
              <w:top w:val="nil"/>
              <w:bottom w:val="nil"/>
            </w:tcBorders>
          </w:tcPr>
          <w:p>
            <w:pPr>
              <w:pStyle w:val="nTable"/>
              <w:spacing w:after="40"/>
              <w:rPr>
                <w:snapToGrid w:val="0"/>
              </w:rPr>
            </w:pPr>
            <w:r>
              <w:rPr>
                <w:i/>
              </w:rPr>
              <w:t>National Gas Access (WA) (Act Amendment) Regulations 2020</w:t>
            </w:r>
            <w:r>
              <w:t xml:space="preserve"> (SL 2020/194)</w:t>
            </w:r>
          </w:p>
        </w:tc>
        <w:tc>
          <w:tcPr>
            <w:tcW w:w="2665" w:type="dxa"/>
            <w:gridSpan w:val="2"/>
            <w:tcBorders>
              <w:top w:val="nil"/>
              <w:bottom w:val="nil"/>
            </w:tcBorders>
          </w:tcPr>
          <w:p>
            <w:pPr>
              <w:pStyle w:val="nTable"/>
              <w:spacing w:after="40"/>
              <w:rPr>
                <w:bCs/>
                <w:snapToGrid w:val="0"/>
                <w:spacing w:val="-2"/>
              </w:rPr>
            </w:pPr>
            <w:r>
              <w:rPr>
                <w:bCs/>
                <w:snapToGrid w:val="0"/>
                <w:spacing w:val="-2"/>
              </w:rPr>
              <w:t>r. 1 and 2: 9 Oct 2020 (see r. 2(a));</w:t>
            </w:r>
            <w:r>
              <w:rPr>
                <w:bCs/>
                <w:snapToGrid w:val="0"/>
                <w:spacing w:val="-2"/>
              </w:rPr>
              <w:br/>
              <w:t>Regulations other than r. 1 and 2: 10 Oct 2020 (see r. 2(b) and SL 2020/195 cl. 2(b))</w:t>
            </w:r>
          </w:p>
        </w:tc>
      </w:tr>
      <w:tr>
        <w:tblPrEx>
          <w:tblBorders>
            <w:top w:val="none" w:sz="0" w:space="0" w:color="auto"/>
            <w:bottom w:val="none" w:sz="0" w:space="0" w:color="auto"/>
            <w:insideH w:val="none" w:sz="0" w:space="0" w:color="auto"/>
          </w:tblBorders>
          <w:tblCellMar>
            <w:left w:w="60" w:type="dxa"/>
            <w:right w:w="60" w:type="dxa"/>
          </w:tblCellMar>
        </w:tblPrEx>
        <w:trPr>
          <w:gridBefore w:val="1"/>
          <w:wBefore w:w="32" w:type="dxa"/>
          <w:cantSplit/>
        </w:trPr>
        <w:tc>
          <w:tcPr>
            <w:tcW w:w="4440" w:type="dxa"/>
            <w:gridSpan w:val="4"/>
            <w:tcBorders>
              <w:bottom w:val="single" w:sz="4" w:space="0" w:color="auto"/>
            </w:tcBorders>
          </w:tcPr>
          <w:p>
            <w:pPr>
              <w:keepLines/>
              <w:autoSpaceDE w:val="0"/>
              <w:autoSpaceDN w:val="0"/>
              <w:adjustRightInd w:val="0"/>
              <w:spacing w:before="80"/>
              <w:rPr>
                <w:color w:val="000000"/>
                <w:sz w:val="20"/>
              </w:rPr>
            </w:pPr>
            <w:r>
              <w:rPr>
                <w:i/>
                <w:iCs/>
                <w:color w:val="000000"/>
                <w:sz w:val="20"/>
              </w:rPr>
              <w:t>National Gas Access (WA) (Act Amendment) Regulations (No. 2) 2024 (</w:t>
            </w:r>
            <w:r>
              <w:rPr>
                <w:color w:val="000000"/>
                <w:sz w:val="20"/>
              </w:rPr>
              <w:t>SL 2024/5)</w:t>
            </w:r>
          </w:p>
        </w:tc>
        <w:tc>
          <w:tcPr>
            <w:tcW w:w="2640" w:type="dxa"/>
            <w:gridSpan w:val="2"/>
            <w:tcBorders>
              <w:bottom w:val="single" w:sz="4" w:space="0" w:color="auto"/>
            </w:tcBorders>
          </w:tcPr>
          <w:p>
            <w:pPr>
              <w:keepLines/>
              <w:autoSpaceDE w:val="0"/>
              <w:autoSpaceDN w:val="0"/>
              <w:adjustRightInd w:val="0"/>
              <w:spacing w:before="80"/>
              <w:rPr>
                <w:color w:val="000000"/>
                <w:sz w:val="20"/>
              </w:rPr>
            </w:pPr>
            <w:r>
              <w:rPr>
                <w:color w:val="000000"/>
                <w:sz w:val="20"/>
              </w:rPr>
              <w:t>r. 1 and 2: 24 Jan 2024 (see r. 2(a));</w:t>
            </w:r>
            <w:r>
              <w:rPr>
                <w:color w:val="000000"/>
                <w:sz w:val="20"/>
              </w:rPr>
              <w:br/>
              <w:t xml:space="preserve">Regulations other than r. 1 and 2: 25 Jan 2024 (see r. 2(b) and </w:t>
            </w:r>
            <w:r>
              <w:rPr>
                <w:i/>
                <w:iCs/>
                <w:color w:val="000000"/>
                <w:sz w:val="20"/>
              </w:rPr>
              <w:t>Gazette</w:t>
            </w:r>
            <w:r>
              <w:rPr>
                <w:color w:val="000000"/>
                <w:sz w:val="20"/>
              </w:rPr>
              <w:t xml:space="preserve"> 24 Jan 2024 p. 91</w:t>
            </w:r>
            <w:r>
              <w:rPr>
                <w:color w:val="000000"/>
                <w:sz w:val="20"/>
              </w:rPr>
              <w:noBreakHyphen/>
              <w:t>2)</w:t>
            </w:r>
          </w:p>
        </w:tc>
      </w:tr>
      <w:bookmarkEnd w:id="174"/>
    </w:tbl>
    <w:p>
      <w:pPr>
        <w:sectPr>
          <w:headerReference w:type="even" r:id="rId30"/>
          <w:headerReference w:type="default" r:id="rId31"/>
          <w:endnotePr>
            <w:numFmt w:val="decimal"/>
          </w:endnotePr>
          <w:pgSz w:w="11907" w:h="16840" w:code="9"/>
          <w:pgMar w:top="2381" w:right="2410" w:bottom="3544" w:left="2410" w:header="720" w:footer="3544" w:gutter="0"/>
          <w:cols w:space="720"/>
          <w:noEndnote/>
          <w:docGrid w:linePitch="326"/>
        </w:sectPr>
      </w:pPr>
    </w:p>
    <w:p>
      <w:pPr>
        <w:pStyle w:val="yScheduleHeading"/>
        <w:pageBreakBefore w:val="0"/>
      </w:pPr>
      <w:bookmarkStart w:id="176" w:name="_Toc156819019"/>
      <w:bookmarkStart w:id="177" w:name="_Toc156990436"/>
      <w:bookmarkStart w:id="178" w:name="_Toc158374656"/>
      <w:r>
        <w:rPr>
          <w:rStyle w:val="CharSchNo"/>
        </w:rPr>
        <w:lastRenderedPageBreak/>
        <w:t>Note</w:t>
      </w:r>
      <w:r>
        <w:rPr>
          <w:rStyle w:val="CharSDivNo"/>
        </w:rPr>
        <w:t> </w:t>
      </w:r>
      <w:r>
        <w:t>—</w:t>
      </w:r>
      <w:r>
        <w:rPr>
          <w:rStyle w:val="CharSDivText"/>
        </w:rPr>
        <w:t> </w:t>
      </w:r>
      <w:r>
        <w:rPr>
          <w:rStyle w:val="CharSchText"/>
        </w:rPr>
        <w:t>Western Australian National Gas Access Law text</w:t>
      </w:r>
      <w:bookmarkEnd w:id="176"/>
      <w:bookmarkEnd w:id="177"/>
      <w:bookmarkEnd w:id="178"/>
    </w:p>
    <w:p>
      <w:pPr>
        <w:pStyle w:val="ySubsection"/>
        <w:rPr>
          <w:b/>
          <w:bCs/>
          <w:i/>
          <w:iCs/>
        </w:rPr>
      </w:pPr>
      <w:r>
        <w:rPr>
          <w:b/>
          <w:bCs/>
          <w:i/>
          <w:iCs/>
        </w:rPr>
        <w:tab/>
      </w:r>
      <w:r>
        <w:rPr>
          <w:b/>
          <w:bCs/>
          <w:i/>
          <w:iCs/>
        </w:rPr>
        <w:tab/>
        <w:t>[This note is not part of the Act.  It shows the text that, under section 7(1), applies as the National Gas Access (Western Australia) Law.]</w:t>
      </w:r>
    </w:p>
    <w:p>
      <w:pPr>
        <w:pStyle w:val="Heading2"/>
        <w:pageBreakBefore w:val="0"/>
      </w:pPr>
      <w:bookmarkStart w:id="179" w:name="_Toc156819020"/>
      <w:bookmarkStart w:id="180" w:name="_Toc156990437"/>
      <w:bookmarkStart w:id="181" w:name="_Toc158374657"/>
      <w:r>
        <w:rPr>
          <w:rStyle w:val="CharPartNo"/>
          <w:sz w:val="28"/>
        </w:rPr>
        <w:t xml:space="preserve">Chapter 1 </w:t>
      </w:r>
      <w:r>
        <w:t>—</w:t>
      </w:r>
      <w:r>
        <w:rPr>
          <w:color w:val="000000"/>
          <w:szCs w:val="34"/>
        </w:rPr>
        <w:t xml:space="preserve"> </w:t>
      </w:r>
      <w:r>
        <w:rPr>
          <w:rStyle w:val="CharPartText"/>
          <w:sz w:val="28"/>
        </w:rPr>
        <w:t>Preliminary</w:t>
      </w:r>
      <w:bookmarkEnd w:id="179"/>
      <w:bookmarkEnd w:id="180"/>
      <w:bookmarkEnd w:id="181"/>
    </w:p>
    <w:p>
      <w:pPr>
        <w:pStyle w:val="Heading3"/>
        <w:rPr>
          <w:szCs w:val="26"/>
        </w:rPr>
      </w:pPr>
      <w:bookmarkStart w:id="182" w:name="_Toc156819021"/>
      <w:bookmarkStart w:id="183" w:name="_Toc156990438"/>
      <w:bookmarkStart w:id="184" w:name="_Toc158374658"/>
      <w:r>
        <w:rPr>
          <w:rStyle w:val="CharDivNo"/>
        </w:rPr>
        <w:t xml:space="preserve">Part 1 </w:t>
      </w:r>
      <w:r>
        <w:rPr>
          <w:szCs w:val="26"/>
        </w:rPr>
        <w:t>—</w:t>
      </w:r>
      <w:r>
        <w:rPr>
          <w:color w:val="000000"/>
          <w:szCs w:val="32"/>
        </w:rPr>
        <w:t xml:space="preserve"> </w:t>
      </w:r>
      <w:r>
        <w:rPr>
          <w:rStyle w:val="CharDivText"/>
        </w:rPr>
        <w:t>Citation and interpretation</w:t>
      </w:r>
      <w:bookmarkEnd w:id="182"/>
      <w:bookmarkEnd w:id="183"/>
      <w:bookmarkEnd w:id="184"/>
    </w:p>
    <w:p>
      <w:pPr>
        <w:pStyle w:val="Heading5"/>
      </w:pPr>
      <w:bookmarkStart w:id="185" w:name="_Toc158374659"/>
      <w:r>
        <w:rPr>
          <w:rStyle w:val="CharSectno"/>
        </w:rPr>
        <w:t>1</w:t>
      </w:r>
      <w:r>
        <w:t>.</w:t>
      </w:r>
      <w:r>
        <w:tab/>
        <w:t>Citation</w:t>
      </w:r>
      <w:bookmarkEnd w:id="185"/>
    </w:p>
    <w:p>
      <w:pPr>
        <w:keepLines/>
        <w:autoSpaceDE w:val="0"/>
        <w:autoSpaceDN w:val="0"/>
        <w:adjustRightInd w:val="0"/>
        <w:spacing w:before="120"/>
        <w:ind w:left="1588"/>
        <w:rPr>
          <w:color w:val="000000"/>
          <w:sz w:val="23"/>
          <w:szCs w:val="23"/>
        </w:rPr>
      </w:pPr>
      <w:r>
        <w:rPr>
          <w:color w:val="000000"/>
          <w:sz w:val="23"/>
          <w:szCs w:val="23"/>
        </w:rPr>
        <w:t>This law may be cited as the National Gas Access Law.</w:t>
      </w:r>
    </w:p>
    <w:p>
      <w:pPr>
        <w:pStyle w:val="Footnotesection"/>
        <w:rPr>
          <w:color w:val="000000"/>
          <w:sz w:val="23"/>
          <w:szCs w:val="23"/>
        </w:rPr>
      </w:pPr>
      <w:r>
        <w:tab/>
        <w:t>[Section 1 modified: WA Act Sch. 1 cl. 2.]</w:t>
      </w:r>
    </w:p>
    <w:p>
      <w:pPr>
        <w:pStyle w:val="Heading5"/>
      </w:pPr>
      <w:bookmarkStart w:id="186" w:name="_Toc158374660"/>
      <w:r>
        <w:rPr>
          <w:rStyle w:val="CharSectno"/>
        </w:rPr>
        <w:t>2</w:t>
      </w:r>
      <w:r>
        <w:t>.</w:t>
      </w:r>
      <w:r>
        <w:tab/>
        <w:t>Definitions</w:t>
      </w:r>
      <w:bookmarkEnd w:id="186"/>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autoSpaceDE w:val="0"/>
        <w:autoSpaceDN w:val="0"/>
        <w:adjustRightInd w:val="0"/>
        <w:spacing w:before="120"/>
        <w:ind w:left="1588"/>
        <w:rPr>
          <w:color w:val="000000"/>
          <w:sz w:val="23"/>
          <w:szCs w:val="23"/>
        </w:rPr>
      </w:pPr>
      <w:r>
        <w:rPr>
          <w:rStyle w:val="CharDefText"/>
          <w:sz w:val="23"/>
        </w:rPr>
        <w:t>15</w:t>
      </w:r>
      <w:r>
        <w:rPr>
          <w:rStyle w:val="CharDefText"/>
          <w:sz w:val="23"/>
        </w:rPr>
        <w:noBreakHyphen/>
        <w:t>year no</w:t>
      </w:r>
      <w:r>
        <w:rPr>
          <w:rStyle w:val="CharDefText"/>
          <w:sz w:val="23"/>
        </w:rPr>
        <w:noBreakHyphen/>
        <w:t>coverage determination</w:t>
      </w:r>
      <w:r>
        <w:rPr>
          <w:color w:val="000000"/>
          <w:sz w:val="23"/>
          <w:szCs w:val="23"/>
        </w:rPr>
        <w:t xml:space="preserve"> means a determination of a relevant Minister under Chapter 5 Part 2;</w:t>
      </w:r>
    </w:p>
    <w:p>
      <w:pPr>
        <w:keepLines/>
        <w:autoSpaceDE w:val="0"/>
        <w:autoSpaceDN w:val="0"/>
        <w:adjustRightInd w:val="0"/>
        <w:spacing w:before="120"/>
        <w:ind w:left="1588"/>
        <w:rPr>
          <w:color w:val="000000"/>
          <w:sz w:val="23"/>
          <w:szCs w:val="23"/>
        </w:rPr>
      </w:pPr>
      <w:r>
        <w:rPr>
          <w:rStyle w:val="CharDefText"/>
          <w:sz w:val="23"/>
        </w:rPr>
        <w:t>ACCC</w:t>
      </w:r>
      <w:r>
        <w:rPr>
          <w:color w:val="000000"/>
          <w:sz w:val="23"/>
          <w:szCs w:val="23"/>
        </w:rPr>
        <w:t xml:space="preserve"> means the Australian Competition and Consumer Commission established by section 6A of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access arrangement</w:t>
      </w:r>
      <w:r>
        <w:rPr>
          <w:bCs/>
          <w:i/>
          <w:iCs/>
          <w:color w:val="000000"/>
          <w:sz w:val="23"/>
          <w:szCs w:val="23"/>
        </w:rPr>
        <w:t xml:space="preserve"> </w:t>
      </w:r>
      <w:r>
        <w:rPr>
          <w:color w:val="000000"/>
          <w:sz w:val="23"/>
          <w:szCs w:val="23"/>
        </w:rPr>
        <w:t>means an arrangement setting out terms and conditions about access to pipeline services provided or to be provided by means of a pipeline;</w:t>
      </w:r>
    </w:p>
    <w:p>
      <w:pPr>
        <w:keepLines/>
        <w:autoSpaceDE w:val="0"/>
        <w:autoSpaceDN w:val="0"/>
        <w:adjustRightInd w:val="0"/>
        <w:spacing w:before="120"/>
        <w:ind w:left="1588"/>
        <w:rPr>
          <w:color w:val="000000"/>
          <w:sz w:val="23"/>
          <w:szCs w:val="23"/>
        </w:rPr>
      </w:pPr>
      <w:r>
        <w:rPr>
          <w:rStyle w:val="CharDefText"/>
          <w:bCs/>
          <w:sz w:val="23"/>
        </w:rPr>
        <w:t>access determination</w:t>
      </w:r>
      <w:r>
        <w:rPr>
          <w:bCs/>
          <w:i/>
          <w:iCs/>
          <w:color w:val="000000"/>
          <w:sz w:val="23"/>
          <w:szCs w:val="23"/>
        </w:rPr>
        <w:t xml:space="preserve"> </w:t>
      </w:r>
      <w:r>
        <w:rPr>
          <w:color w:val="000000"/>
          <w:sz w:val="23"/>
          <w:szCs w:val="23"/>
        </w:rPr>
        <w:t>means a determination of the dispute resolution body under Chapter 6 Part 3 and includes a determination varied under Part 4 of that Chapter;</w:t>
      </w:r>
    </w:p>
    <w:p>
      <w:pPr>
        <w:keepLines/>
        <w:autoSpaceDE w:val="0"/>
        <w:autoSpaceDN w:val="0"/>
        <w:adjustRightInd w:val="0"/>
        <w:spacing w:before="120"/>
        <w:ind w:left="1588"/>
        <w:rPr>
          <w:color w:val="000000"/>
          <w:sz w:val="23"/>
          <w:szCs w:val="23"/>
        </w:rPr>
      </w:pPr>
      <w:r>
        <w:rPr>
          <w:rStyle w:val="CharDefText"/>
          <w:bCs/>
          <w:sz w:val="23"/>
        </w:rPr>
        <w:t>AEMC</w:t>
      </w:r>
      <w:r>
        <w:rPr>
          <w:color w:val="000000"/>
          <w:sz w:val="23"/>
          <w:szCs w:val="23"/>
        </w:rPr>
        <w:t xml:space="preserve"> means the Australian Energy Market Commission established by section 5 of the </w:t>
      </w:r>
      <w:r>
        <w:rPr>
          <w:i/>
          <w:iCs/>
          <w:color w:val="000000"/>
          <w:sz w:val="23"/>
          <w:szCs w:val="23"/>
        </w:rPr>
        <w:t>Australian Energy Market Commission Establishment Act 2004</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AER</w:t>
      </w:r>
      <w:r>
        <w:rPr>
          <w:color w:val="000000"/>
          <w:sz w:val="23"/>
          <w:szCs w:val="23"/>
        </w:rPr>
        <w:t xml:space="preserve"> means the Australian Energy Regulator established by section 44AE of the </w:t>
      </w:r>
      <w:r>
        <w:rPr>
          <w:i/>
          <w:iCs/>
          <w:color w:val="000000"/>
          <w:sz w:val="23"/>
          <w:szCs w:val="23"/>
        </w:rPr>
        <w:t>Trade Practices Act 1974</w:t>
      </w:r>
      <w:r>
        <w:rPr>
          <w:color w:val="000000"/>
          <w:sz w:val="23"/>
          <w:szCs w:val="23"/>
        </w:rPr>
        <w:t xml:space="preserve"> of the Commonwealth except if section 2A requires the term to be given a different meaning;</w:t>
      </w:r>
    </w:p>
    <w:p>
      <w:pPr>
        <w:autoSpaceDE w:val="0"/>
        <w:autoSpaceDN w:val="0"/>
        <w:adjustRightInd w:val="0"/>
        <w:spacing w:before="120"/>
        <w:ind w:left="1588"/>
        <w:rPr>
          <w:color w:val="000000"/>
          <w:sz w:val="23"/>
          <w:szCs w:val="23"/>
        </w:rPr>
      </w:pPr>
      <w:r>
        <w:rPr>
          <w:rStyle w:val="CharDefText"/>
          <w:bCs/>
          <w:sz w:val="23"/>
        </w:rPr>
        <w:lastRenderedPageBreak/>
        <w:t>AER economic regulatory decision</w:t>
      </w:r>
      <w:r>
        <w:rPr>
          <w:color w:val="000000"/>
          <w:sz w:val="23"/>
          <w:szCs w:val="23"/>
        </w:rPr>
        <w:t xml:space="preserve"> means a decision (however described) of the AER under this Law or the Rules performing or exercising an AER economic regulatory function or power;</w:t>
      </w:r>
    </w:p>
    <w:p>
      <w:pPr>
        <w:keepNext/>
        <w:keepLines/>
        <w:autoSpaceDE w:val="0"/>
        <w:autoSpaceDN w:val="0"/>
        <w:adjustRightInd w:val="0"/>
        <w:spacing w:before="120"/>
        <w:ind w:left="1588"/>
        <w:rPr>
          <w:color w:val="000000"/>
          <w:sz w:val="23"/>
          <w:szCs w:val="23"/>
        </w:rPr>
      </w:pPr>
      <w:r>
        <w:rPr>
          <w:rStyle w:val="CharDefText"/>
          <w:bCs/>
          <w:sz w:val="23"/>
        </w:rPr>
        <w:t>AER economic regulatory function or power</w:t>
      </w:r>
      <w:r>
        <w:rPr>
          <w:bCs/>
          <w:color w:val="000000"/>
          <w:sz w:val="23"/>
          <w:szCs w:val="23"/>
        </w:rPr>
        <w:t xml:space="preserve"> </w:t>
      </w:r>
      <w:r>
        <w:rPr>
          <w:color w:val="000000"/>
          <w:sz w:val="23"/>
          <w:szCs w:val="23"/>
        </w:rPr>
        <w:t>means a function or power performed or exercised by the AER under this Law or the Rules (other than making a rate of return instrument) that relates to the economic regulation of pipeline services provided by a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connection with,</w:t>
      </w:r>
    </w:p>
    <w:p>
      <w:pPr>
        <w:keepLines/>
        <w:autoSpaceDE w:val="0"/>
        <w:autoSpaceDN w:val="0"/>
        <w:adjustRightInd w:val="0"/>
        <w:spacing w:before="120"/>
        <w:ind w:left="1588"/>
        <w:rPr>
          <w:color w:val="000000"/>
          <w:sz w:val="23"/>
          <w:szCs w:val="23"/>
        </w:rPr>
      </w:pPr>
      <w:r>
        <w:rPr>
          <w:color w:val="000000"/>
          <w:sz w:val="23"/>
          <w:szCs w:val="23"/>
        </w:rPr>
        <w:t>a scheme pipeline and includes a function or power performed or exercised by the AER under this Law or the Rules (other than making a rate of return instrument) that relates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preparation of a service provider performance report;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ring fencing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applicable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 access determination (if the AER is the dispute resolution body);</w:t>
      </w:r>
    </w:p>
    <w:p>
      <w:pPr>
        <w:keepLines/>
        <w:autoSpaceDE w:val="0"/>
        <w:autoSpaceDN w:val="0"/>
        <w:adjustRightInd w:val="0"/>
        <w:spacing w:before="120"/>
        <w:ind w:left="1588"/>
        <w:rPr>
          <w:b/>
          <w:color w:val="000000"/>
          <w:sz w:val="20"/>
        </w:rPr>
      </w:pPr>
      <w:r>
        <w:rPr>
          <w:b/>
          <w:color w:val="000000"/>
          <w:sz w:val="20"/>
        </w:rPr>
        <w:t>Note—</w:t>
      </w:r>
    </w:p>
    <w:p>
      <w:pPr>
        <w:keepLines/>
        <w:autoSpaceDE w:val="0"/>
        <w:autoSpaceDN w:val="0"/>
        <w:adjustRightInd w:val="0"/>
        <w:spacing w:before="120"/>
        <w:ind w:left="2382"/>
        <w:rPr>
          <w:color w:val="000000"/>
          <w:sz w:val="20"/>
        </w:rPr>
      </w:pPr>
      <w:r>
        <w:rPr>
          <w:color w:val="000000"/>
          <w:sz w:val="20"/>
        </w:rPr>
        <w:t>The application of a rate of return instrument under this Law is an AER economic regulatory function or power. See section 30Q(2).</w:t>
      </w:r>
    </w:p>
    <w:p>
      <w:pPr>
        <w:keepLines/>
        <w:autoSpaceDE w:val="0"/>
        <w:autoSpaceDN w:val="0"/>
        <w:adjustRightInd w:val="0"/>
        <w:spacing w:before="120"/>
        <w:ind w:left="1588"/>
        <w:rPr>
          <w:color w:val="000000"/>
          <w:sz w:val="23"/>
          <w:szCs w:val="23"/>
        </w:rPr>
      </w:pPr>
      <w:r>
        <w:rPr>
          <w:rStyle w:val="CharDefText"/>
          <w:bCs/>
          <w:sz w:val="23"/>
        </w:rPr>
        <w:t>AER ring fencing determination</w:t>
      </w:r>
      <w:r>
        <w:rPr>
          <w:bCs/>
          <w:i/>
          <w:iCs/>
          <w:color w:val="000000"/>
          <w:sz w:val="23"/>
          <w:szCs w:val="23"/>
        </w:rPr>
        <w:t xml:space="preserve"> </w:t>
      </w:r>
      <w:r>
        <w:rPr>
          <w:color w:val="000000"/>
          <w:sz w:val="23"/>
          <w:szCs w:val="23"/>
        </w:rPr>
        <w:t>means a determination of the AER under section 143(1);</w:t>
      </w:r>
    </w:p>
    <w:p>
      <w:pPr>
        <w:keepNext/>
        <w:keepLines/>
        <w:autoSpaceDE w:val="0"/>
        <w:autoSpaceDN w:val="0"/>
        <w:adjustRightInd w:val="0"/>
        <w:spacing w:before="120"/>
        <w:ind w:left="1588"/>
        <w:rPr>
          <w:color w:val="000000"/>
          <w:sz w:val="23"/>
          <w:szCs w:val="23"/>
        </w:rPr>
      </w:pPr>
      <w:r>
        <w:rPr>
          <w:rStyle w:val="CharDefText"/>
          <w:bCs/>
          <w:sz w:val="23"/>
        </w:rPr>
        <w:t>applicable access arrangement</w:t>
      </w:r>
      <w:r>
        <w:rPr>
          <w:bCs/>
          <w:i/>
          <w:iCs/>
          <w:color w:val="000000"/>
          <w:sz w:val="23"/>
          <w:szCs w:val="23"/>
        </w:rPr>
        <w:t xml:space="preserve"> </w:t>
      </w:r>
      <w:r>
        <w:rPr>
          <w:color w:val="000000"/>
          <w:sz w:val="23"/>
          <w:szCs w:val="23"/>
        </w:rPr>
        <w:t>means a limited access arrangement or full access arrangement that has taken effect after being approved or made by the AER under the Rules and includes an applicable access arrangement as varied—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by an access determination as provided by this Law or the Rules;</w:t>
      </w:r>
    </w:p>
    <w:p>
      <w:pPr>
        <w:keepNext/>
        <w:keepLines/>
        <w:autoSpaceDE w:val="0"/>
        <w:autoSpaceDN w:val="0"/>
        <w:adjustRightInd w:val="0"/>
        <w:spacing w:before="120"/>
        <w:ind w:left="1588"/>
        <w:rPr>
          <w:color w:val="000000"/>
          <w:sz w:val="23"/>
          <w:szCs w:val="23"/>
        </w:rPr>
      </w:pPr>
      <w:r>
        <w:rPr>
          <w:rStyle w:val="CharDefText"/>
          <w:bCs/>
          <w:sz w:val="23"/>
        </w:rPr>
        <w:t>applicable access arrangement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limited access arrangement decision;</w:t>
      </w:r>
    </w:p>
    <w:p>
      <w:pPr>
        <w:keepLines/>
        <w:autoSpaceDE w:val="0"/>
        <w:autoSpaceDN w:val="0"/>
        <w:adjustRightInd w:val="0"/>
        <w:spacing w:before="120"/>
        <w:ind w:left="1588"/>
        <w:rPr>
          <w:color w:val="000000"/>
          <w:sz w:val="23"/>
          <w:szCs w:val="23"/>
        </w:rPr>
      </w:pPr>
      <w:r>
        <w:rPr>
          <w:rStyle w:val="CharDefText"/>
          <w:bCs/>
          <w:sz w:val="23"/>
        </w:rPr>
        <w:t>approved associate contract</w:t>
      </w:r>
      <w:r>
        <w:rPr>
          <w:bCs/>
          <w:i/>
          <w:iCs/>
          <w:color w:val="000000"/>
          <w:sz w:val="23"/>
          <w:szCs w:val="23"/>
        </w:rPr>
        <w:t xml:space="preserve"> </w:t>
      </w:r>
      <w:r>
        <w:rPr>
          <w:color w:val="000000"/>
          <w:sz w:val="23"/>
          <w:szCs w:val="23"/>
        </w:rPr>
        <w:t>means an associate contract approved by the AER under an associate contract decision;</w:t>
      </w:r>
    </w:p>
    <w:p>
      <w:pPr>
        <w:keepLines/>
        <w:autoSpaceDE w:val="0"/>
        <w:autoSpaceDN w:val="0"/>
        <w:adjustRightInd w:val="0"/>
        <w:spacing w:before="120"/>
        <w:ind w:left="1588"/>
        <w:rPr>
          <w:color w:val="000000"/>
          <w:sz w:val="23"/>
          <w:szCs w:val="23"/>
        </w:rPr>
      </w:pPr>
      <w:r>
        <w:rPr>
          <w:rStyle w:val="CharDefText"/>
          <w:bCs/>
          <w:sz w:val="23"/>
        </w:rPr>
        <w:t>associate</w:t>
      </w:r>
      <w:r>
        <w:rPr>
          <w:color w:val="000000"/>
          <w:sz w:val="23"/>
          <w:szCs w:val="23"/>
        </w:rPr>
        <w:t xml:space="preserve"> in relation to a person has the same meaning it would have under Division 2 of Part 1.2 of the </w:t>
      </w:r>
      <w:r>
        <w:rPr>
          <w:i/>
          <w:iCs/>
          <w:color w:val="000000"/>
          <w:sz w:val="23"/>
          <w:szCs w:val="23"/>
        </w:rPr>
        <w:t>Corporations Act 2001</w:t>
      </w:r>
      <w:r>
        <w:rPr>
          <w:color w:val="000000"/>
          <w:sz w:val="23"/>
          <w:szCs w:val="23"/>
        </w:rPr>
        <w:t xml:space="preserve"> of the Commonwealth if sections 13, 16(2) and 17 did not form part of that Act;</w:t>
      </w:r>
    </w:p>
    <w:p>
      <w:pPr>
        <w:keepNext/>
        <w:keepLines/>
        <w:autoSpaceDE w:val="0"/>
        <w:autoSpaceDN w:val="0"/>
        <w:adjustRightInd w:val="0"/>
        <w:spacing w:before="120"/>
        <w:ind w:left="1588"/>
        <w:rPr>
          <w:color w:val="000000"/>
          <w:sz w:val="23"/>
          <w:szCs w:val="23"/>
        </w:rPr>
      </w:pPr>
      <w:r>
        <w:rPr>
          <w:rStyle w:val="CharDefText"/>
          <w:bCs/>
          <w:sz w:val="23"/>
        </w:rPr>
        <w:t>associate contract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contract, arrangement or understanding between a service provider and an associate of the service provider in connection with the provision of an associate pipeline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contract, arrangement or understanding between a service provider and any person in connection with the provision of an associate pipeline service—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provides a direct or indirect benefit to an associate;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is not at arm’s length;</w:t>
      </w:r>
    </w:p>
    <w:p>
      <w:pPr>
        <w:keepLines/>
        <w:autoSpaceDE w:val="0"/>
        <w:autoSpaceDN w:val="0"/>
        <w:adjustRightInd w:val="0"/>
        <w:spacing w:before="120"/>
        <w:ind w:left="1588"/>
        <w:rPr>
          <w:color w:val="000000"/>
          <w:sz w:val="23"/>
          <w:szCs w:val="23"/>
        </w:rPr>
      </w:pPr>
      <w:r>
        <w:rPr>
          <w:rStyle w:val="CharDefText"/>
          <w:bCs/>
          <w:sz w:val="23"/>
        </w:rPr>
        <w:t>associate contract decision</w:t>
      </w:r>
      <w:r>
        <w:rPr>
          <w:bCs/>
          <w:i/>
          <w:iCs/>
          <w:color w:val="000000"/>
          <w:sz w:val="23"/>
          <w:szCs w:val="23"/>
        </w:rPr>
        <w:t xml:space="preserve"> </w:t>
      </w:r>
      <w:r>
        <w:rPr>
          <w:color w:val="000000"/>
          <w:sz w:val="23"/>
          <w:szCs w:val="23"/>
        </w:rPr>
        <w:t>means a decision of the AER under the Rules that approves or does not approve an associate contract for the purposes of Chapter 4 Part 2 Division 5;</w:t>
      </w:r>
    </w:p>
    <w:p>
      <w:pPr>
        <w:keepLines/>
        <w:autoSpaceDE w:val="0"/>
        <w:autoSpaceDN w:val="0"/>
        <w:adjustRightInd w:val="0"/>
        <w:spacing w:before="120"/>
        <w:ind w:left="1588"/>
        <w:rPr>
          <w:color w:val="000000"/>
          <w:sz w:val="23"/>
          <w:szCs w:val="23"/>
        </w:rPr>
      </w:pPr>
      <w:r>
        <w:rPr>
          <w:rStyle w:val="CharDefText"/>
          <w:bCs/>
          <w:sz w:val="23"/>
        </w:rPr>
        <w:t>associate pipeline service</w:t>
      </w:r>
      <w:r>
        <w:rPr>
          <w:bCs/>
          <w:i/>
          <w:iCs/>
          <w:color w:val="000000"/>
          <w:sz w:val="23"/>
          <w:szCs w:val="23"/>
        </w:rPr>
        <w:t xml:space="preserve"> </w:t>
      </w:r>
      <w:r>
        <w:rPr>
          <w:color w:val="000000"/>
          <w:sz w:val="23"/>
          <w:szCs w:val="23"/>
        </w:rPr>
        <w:t>means a pipeline service provided by means of a pipeline other than a pipeline to which a 15</w:t>
      </w:r>
      <w:r>
        <w:rPr>
          <w:color w:val="000000"/>
          <w:sz w:val="23"/>
          <w:szCs w:val="23"/>
        </w:rPr>
        <w:noBreakHyphen/>
        <w:t>year no coverage determination applies;</w:t>
      </w:r>
    </w:p>
    <w:p>
      <w:pPr>
        <w:keepNext/>
        <w:keepLines/>
        <w:autoSpaceDE w:val="0"/>
        <w:autoSpaceDN w:val="0"/>
        <w:adjustRightInd w:val="0"/>
        <w:spacing w:before="120"/>
        <w:ind w:left="1588"/>
        <w:rPr>
          <w:color w:val="000000"/>
          <w:sz w:val="23"/>
          <w:szCs w:val="23"/>
        </w:rPr>
      </w:pPr>
      <w:r>
        <w:rPr>
          <w:rStyle w:val="CharDefText"/>
          <w:bCs/>
          <w:sz w:val="23"/>
        </w:rPr>
        <w:lastRenderedPageBreak/>
        <w:t>Bulletin Board information</w:t>
      </w:r>
      <w:r>
        <w:rPr>
          <w:bCs/>
          <w:i/>
          <w:iCs/>
          <w:color w:val="000000"/>
          <w:sz w:val="23"/>
          <w:szCs w:val="23"/>
        </w:rPr>
        <w:t xml:space="preserve"> </w:t>
      </w:r>
      <w:r>
        <w:rPr>
          <w:color w:val="000000"/>
          <w:sz w:val="23"/>
          <w:szCs w:val="23"/>
        </w:rPr>
        <w:t>means information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gives to the Bulletin Board operator to comply with section 223(1);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gives to the Bulletin Board operator in circumstances expressly permitted by the Rules;</w:t>
      </w:r>
    </w:p>
    <w:p>
      <w:pPr>
        <w:keepLines/>
        <w:autoSpaceDE w:val="0"/>
        <w:autoSpaceDN w:val="0"/>
        <w:adjustRightInd w:val="0"/>
        <w:spacing w:before="120"/>
        <w:ind w:left="1588"/>
        <w:rPr>
          <w:color w:val="000000"/>
          <w:sz w:val="23"/>
          <w:szCs w:val="23"/>
        </w:rPr>
      </w:pPr>
      <w:r>
        <w:rPr>
          <w:rStyle w:val="CharDefText"/>
          <w:bCs/>
          <w:sz w:val="23"/>
        </w:rPr>
        <w:t>Bulletin Board operator</w:t>
      </w:r>
      <w:r>
        <w:rPr>
          <w:bCs/>
          <w:i/>
          <w:iCs/>
          <w:color w:val="000000"/>
          <w:sz w:val="23"/>
          <w:szCs w:val="23"/>
        </w:rPr>
        <w:t xml:space="preserve"> </w:t>
      </w:r>
      <w:r>
        <w:rPr>
          <w:color w:val="000000"/>
          <w:sz w:val="23"/>
          <w:szCs w:val="23"/>
        </w:rPr>
        <w:t>means the person prescribed by the Regulations for the purposes of section 217;</w:t>
      </w:r>
    </w:p>
    <w:p>
      <w:pPr>
        <w:keepLines/>
        <w:autoSpaceDE w:val="0"/>
        <w:autoSpaceDN w:val="0"/>
        <w:adjustRightInd w:val="0"/>
        <w:spacing w:before="120"/>
        <w:ind w:left="1588"/>
        <w:rPr>
          <w:color w:val="000000"/>
          <w:sz w:val="23"/>
          <w:szCs w:val="23"/>
        </w:rPr>
      </w:pPr>
      <w:r>
        <w:rPr>
          <w:rStyle w:val="CharDefText"/>
          <w:bCs/>
          <w:sz w:val="23"/>
        </w:rPr>
        <w:t>charge</w:t>
      </w:r>
      <w:r>
        <w:rPr>
          <w:color w:val="000000"/>
          <w:sz w:val="23"/>
          <w:szCs w:val="23"/>
        </w:rPr>
        <w:t>, in relation to a pipeline service, means the amount that is payable by a user to a service provider for the provision of the pipeline service to that user;</w:t>
      </w:r>
    </w:p>
    <w:p>
      <w:pPr>
        <w:keepNext/>
        <w:keepLines/>
        <w:autoSpaceDE w:val="0"/>
        <w:autoSpaceDN w:val="0"/>
        <w:adjustRightInd w:val="0"/>
        <w:spacing w:before="120"/>
        <w:ind w:left="1588"/>
        <w:rPr>
          <w:color w:val="000000"/>
          <w:sz w:val="23"/>
          <w:szCs w:val="23"/>
        </w:rPr>
      </w:pPr>
      <w:r>
        <w:rPr>
          <w:rStyle w:val="CharDefText"/>
          <w:bCs/>
          <w:sz w:val="23"/>
        </w:rPr>
        <w:t>civil penalty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breach of a civil penalty provision by a natural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amount not exceeding $20 000;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amount not exceeding $2 000 for every day during which the breach continues;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breach of a civil penalty provision by a body corporate—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amount not exceeding $100 000;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amount not exceeding $10 000 for every day during which the breach continues;</w:t>
      </w:r>
    </w:p>
    <w:p>
      <w:pPr>
        <w:keepLines/>
        <w:autoSpaceDE w:val="0"/>
        <w:autoSpaceDN w:val="0"/>
        <w:adjustRightInd w:val="0"/>
        <w:spacing w:before="120"/>
        <w:ind w:left="1588"/>
        <w:rPr>
          <w:color w:val="000000"/>
          <w:sz w:val="23"/>
          <w:szCs w:val="23"/>
        </w:rPr>
      </w:pPr>
      <w:r>
        <w:rPr>
          <w:rStyle w:val="CharDefText"/>
          <w:bCs/>
          <w:sz w:val="23"/>
        </w:rPr>
        <w:t>civil penalty provision</w:t>
      </w:r>
      <w:r>
        <w:rPr>
          <w:bCs/>
          <w:i/>
          <w:iCs/>
          <w:color w:val="000000"/>
          <w:sz w:val="23"/>
          <w:szCs w:val="23"/>
        </w:rPr>
        <w:t xml:space="preserve"> </w:t>
      </w:r>
      <w:r>
        <w:rPr>
          <w:color w:val="000000"/>
          <w:sz w:val="23"/>
          <w:szCs w:val="23"/>
        </w:rPr>
        <w:t>has the meaning given by section 3;</w:t>
      </w:r>
    </w:p>
    <w:p>
      <w:pPr>
        <w:keepNext/>
        <w:keepLines/>
        <w:autoSpaceDE w:val="0"/>
        <w:autoSpaceDN w:val="0"/>
        <w:adjustRightInd w:val="0"/>
        <w:spacing w:before="120"/>
        <w:ind w:left="1588"/>
        <w:rPr>
          <w:color w:val="000000"/>
          <w:sz w:val="23"/>
          <w:szCs w:val="23"/>
        </w:rPr>
      </w:pPr>
      <w:r>
        <w:rPr>
          <w:rStyle w:val="CharDefText"/>
          <w:bCs/>
          <w:sz w:val="23"/>
        </w:rPr>
        <w:t>classification decision under the Rules</w:t>
      </w:r>
      <w:r>
        <w:rPr>
          <w:bCs/>
          <w:i/>
          <w:iCs/>
          <w:color w:val="000000"/>
          <w:sz w:val="23"/>
          <w:szCs w:val="23"/>
        </w:rPr>
        <w:t xml:space="preserve"> </w:t>
      </w:r>
      <w:r>
        <w:rPr>
          <w:color w:val="000000"/>
          <w:sz w:val="23"/>
          <w:szCs w:val="23"/>
        </w:rPr>
        <w:t>means a decision of the NCC under the Rules that classifies either of the following pipelines as a cross boundary transmission pipeline, cross boundary distribution pipeline, transmission pipeline or a distribution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in respect of which a tender approval decision becomes irrevocable by operation of the Rules;</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a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means of which a service provider intends to provide pipeline services to which a full access arrangement voluntarily submitted to the AER for approval by that provider will apply, if approved;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respect of which the NCC has not previously made an initial classification decision;</w:t>
      </w:r>
    </w:p>
    <w:p>
      <w:pPr>
        <w:keepLines/>
        <w:autoSpaceDE w:val="0"/>
        <w:autoSpaceDN w:val="0"/>
        <w:adjustRightInd w:val="0"/>
        <w:spacing w:before="120"/>
        <w:ind w:left="1588"/>
        <w:rPr>
          <w:color w:val="000000"/>
          <w:sz w:val="23"/>
          <w:szCs w:val="23"/>
        </w:rPr>
      </w:pPr>
      <w:r>
        <w:rPr>
          <w:rStyle w:val="CharDefText"/>
          <w:bCs/>
          <w:sz w:val="23"/>
        </w:rPr>
        <w:t>commission</w:t>
      </w:r>
      <w:r>
        <w:rPr>
          <w:color w:val="000000"/>
          <w:sz w:val="23"/>
          <w:szCs w:val="23"/>
        </w:rPr>
        <w:t>, in relation to a pipeline, has the meaning given by section 12;</w:t>
      </w:r>
    </w:p>
    <w:p>
      <w:pPr>
        <w:keepLines/>
        <w:autoSpaceDE w:val="0"/>
        <w:autoSpaceDN w:val="0"/>
        <w:adjustRightInd w:val="0"/>
        <w:spacing w:before="120"/>
        <w:ind w:left="1588"/>
        <w:rPr>
          <w:color w:val="000000"/>
          <w:sz w:val="23"/>
          <w:szCs w:val="23"/>
        </w:rPr>
      </w:pPr>
      <w:r>
        <w:rPr>
          <w:rStyle w:val="CharDefText"/>
          <w:bCs/>
          <w:sz w:val="23"/>
        </w:rPr>
        <w:t>Commonwealth Minister</w:t>
      </w:r>
      <w:r>
        <w:rPr>
          <w:bCs/>
          <w:i/>
          <w:iCs/>
          <w:color w:val="000000"/>
          <w:sz w:val="23"/>
          <w:szCs w:val="23"/>
        </w:rPr>
        <w:t xml:space="preserve"> </w:t>
      </w:r>
      <w:r>
        <w:rPr>
          <w:color w:val="000000"/>
          <w:sz w:val="23"/>
          <w:szCs w:val="23"/>
        </w:rPr>
        <w:t xml:space="preserve">means the Minister of the Commonwealth administering the </w:t>
      </w:r>
      <w:r>
        <w:rPr>
          <w:i/>
          <w:iCs/>
          <w:color w:val="000000"/>
          <w:sz w:val="23"/>
          <w:szCs w:val="23"/>
        </w:rPr>
        <w:t>Australian Energy Market Act 2004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conduct provision</w:t>
      </w:r>
      <w:r>
        <w:rPr>
          <w:bCs/>
          <w:i/>
          <w:iCs/>
          <w:color w:val="000000"/>
          <w:sz w:val="23"/>
          <w:szCs w:val="23"/>
        </w:rPr>
        <w:t xml:space="preserve"> </w:t>
      </w:r>
      <w:r>
        <w:rPr>
          <w:color w:val="000000"/>
          <w:sz w:val="23"/>
          <w:szCs w:val="23"/>
        </w:rPr>
        <w:t>has the meaning given by section 4;</w:t>
      </w:r>
    </w:p>
    <w:p>
      <w:pPr>
        <w:keepLines/>
        <w:autoSpaceDE w:val="0"/>
        <w:autoSpaceDN w:val="0"/>
        <w:adjustRightInd w:val="0"/>
        <w:spacing w:before="120"/>
        <w:ind w:left="1588"/>
        <w:rPr>
          <w:color w:val="000000"/>
          <w:szCs w:val="23"/>
        </w:rPr>
      </w:pPr>
      <w:r>
        <w:rPr>
          <w:rStyle w:val="CharDefText"/>
          <w:bCs/>
          <w:sz w:val="23"/>
        </w:rPr>
        <w:t>constituent components</w:t>
      </w:r>
      <w:r>
        <w:rPr>
          <w:color w:val="000000"/>
          <w:szCs w:val="23"/>
        </w:rPr>
        <w:t>, in relation to a designated reviewable regulatory</w:t>
      </w:r>
      <w:r>
        <w:rPr>
          <w:color w:val="000000"/>
          <w:sz w:val="23"/>
          <w:szCs w:val="23"/>
        </w:rPr>
        <w:t xml:space="preserve"> </w:t>
      </w:r>
      <w:r>
        <w:rPr>
          <w:color w:val="000000"/>
          <w:szCs w:val="23"/>
        </w:rPr>
        <w:t>decision, means the matters that constitute the elements or components of the</w:t>
      </w:r>
      <w:r>
        <w:rPr>
          <w:color w:val="000000"/>
          <w:sz w:val="23"/>
          <w:szCs w:val="23"/>
        </w:rPr>
        <w:t xml:space="preserve"> </w:t>
      </w:r>
      <w:r>
        <w:rPr>
          <w:color w:val="000000"/>
          <w:szCs w:val="23"/>
        </w:rPr>
        <w:t>designated reviewable regulatory decision and on which that designated</w:t>
      </w:r>
      <w:r>
        <w:rPr>
          <w:color w:val="000000"/>
          <w:sz w:val="23"/>
          <w:szCs w:val="23"/>
        </w:rPr>
        <w:t xml:space="preserve"> </w:t>
      </w:r>
      <w:r>
        <w:rPr>
          <w:color w:val="000000"/>
          <w:szCs w:val="23"/>
        </w:rPr>
        <w:t>reviewable regulatory</w:t>
      </w:r>
      <w:r>
        <w:rPr>
          <w:color w:val="000000"/>
          <w:sz w:val="23"/>
          <w:szCs w:val="23"/>
        </w:rPr>
        <w:t xml:space="preserve"> decision is based and includes — </w:t>
      </w:r>
    </w:p>
    <w:p>
      <w:pPr>
        <w:keepLines/>
        <w:tabs>
          <w:tab w:val="center" w:pos="1985"/>
          <w:tab w:val="left" w:pos="2382"/>
        </w:tabs>
        <w:autoSpaceDE w:val="0"/>
        <w:autoSpaceDN w:val="0"/>
        <w:adjustRightInd w:val="0"/>
        <w:spacing w:before="120"/>
        <w:ind w:left="2382" w:hanging="794"/>
        <w:rPr>
          <w:color w:val="000000"/>
          <w:szCs w:val="23"/>
        </w:rPr>
      </w:pPr>
      <w:r>
        <w:rPr>
          <w:color w:val="000000"/>
          <w:sz w:val="23"/>
          <w:szCs w:val="23"/>
        </w:rPr>
        <w:tab/>
      </w:r>
      <w:r>
        <w:rPr>
          <w:color w:val="000000"/>
          <w:szCs w:val="23"/>
        </w:rPr>
        <w:t>(a)</w:t>
      </w:r>
      <w:r>
        <w:rPr>
          <w:color w:val="000000"/>
          <w:sz w:val="23"/>
          <w:szCs w:val="23"/>
        </w:rPr>
        <w:tab/>
      </w:r>
      <w:r>
        <w:rPr>
          <w:color w:val="000000"/>
          <w:szCs w:val="23"/>
        </w:rPr>
        <w:t>matters that go to the making of the designated reviewable regulatory</w:t>
      </w:r>
      <w:r>
        <w:rPr>
          <w:color w:val="000000"/>
          <w:sz w:val="23"/>
          <w:szCs w:val="23"/>
        </w:rPr>
        <w:t xml:space="preserve"> </w:t>
      </w:r>
      <w:r>
        <w:rPr>
          <w:color w:val="000000"/>
          <w:szCs w:val="23"/>
        </w:rPr>
        <w:t>decision; and</w:t>
      </w:r>
    </w:p>
    <w:p>
      <w:pPr>
        <w:keepLines/>
        <w:tabs>
          <w:tab w:val="center" w:pos="1985"/>
          <w:tab w:val="left" w:pos="2382"/>
        </w:tabs>
        <w:autoSpaceDE w:val="0"/>
        <w:autoSpaceDN w:val="0"/>
        <w:adjustRightInd w:val="0"/>
        <w:spacing w:before="120"/>
        <w:ind w:left="2382" w:hanging="794"/>
        <w:rPr>
          <w:color w:val="000000"/>
          <w:szCs w:val="23"/>
        </w:rPr>
      </w:pPr>
      <w:r>
        <w:rPr>
          <w:color w:val="000000"/>
          <w:sz w:val="23"/>
          <w:szCs w:val="23"/>
        </w:rPr>
        <w:tab/>
      </w:r>
      <w:r>
        <w:rPr>
          <w:color w:val="000000"/>
          <w:szCs w:val="23"/>
        </w:rPr>
        <w:t>(b)</w:t>
      </w:r>
      <w:r>
        <w:rPr>
          <w:color w:val="000000"/>
          <w:sz w:val="23"/>
          <w:szCs w:val="23"/>
        </w:rPr>
        <w:tab/>
      </w:r>
      <w:r>
        <w:rPr>
          <w:color w:val="000000"/>
          <w:szCs w:val="23"/>
        </w:rPr>
        <w:t>decisions made by the AER for the purposes of the designated</w:t>
      </w:r>
      <w:r>
        <w:rPr>
          <w:color w:val="000000"/>
          <w:sz w:val="23"/>
          <w:szCs w:val="23"/>
        </w:rPr>
        <w:t xml:space="preserve"> </w:t>
      </w:r>
      <w:r>
        <w:rPr>
          <w:color w:val="000000"/>
          <w:szCs w:val="23"/>
        </w:rPr>
        <w:t>reviewable regulatory decision;</w:t>
      </w:r>
    </w:p>
    <w:p>
      <w:pPr>
        <w:keepLines/>
        <w:autoSpaceDE w:val="0"/>
        <w:autoSpaceDN w:val="0"/>
        <w:adjustRightInd w:val="0"/>
        <w:spacing w:before="120"/>
        <w:ind w:left="1588"/>
        <w:rPr>
          <w:color w:val="000000"/>
          <w:sz w:val="23"/>
          <w:szCs w:val="23"/>
        </w:rPr>
      </w:pPr>
      <w:r>
        <w:rPr>
          <w:rStyle w:val="CharDefText"/>
          <w:bCs/>
          <w:sz w:val="23"/>
        </w:rPr>
        <w:t>coverage determination</w:t>
      </w:r>
      <w:r>
        <w:rPr>
          <w:bCs/>
          <w:i/>
          <w:iCs/>
          <w:color w:val="000000"/>
          <w:sz w:val="23"/>
          <w:szCs w:val="23"/>
        </w:rPr>
        <w:t xml:space="preserve"> </w:t>
      </w:r>
      <w:r>
        <w:rPr>
          <w:color w:val="000000"/>
          <w:sz w:val="23"/>
          <w:szCs w:val="23"/>
        </w:rPr>
        <w:t>means a determination of a relevant Minister under Chapter 3 Part 1 Division 1;</w:t>
      </w:r>
    </w:p>
    <w:p>
      <w:pPr>
        <w:keepLines/>
        <w:autoSpaceDE w:val="0"/>
        <w:autoSpaceDN w:val="0"/>
        <w:adjustRightInd w:val="0"/>
        <w:spacing w:before="120"/>
        <w:ind w:left="1588"/>
        <w:rPr>
          <w:color w:val="000000"/>
          <w:sz w:val="23"/>
          <w:szCs w:val="23"/>
        </w:rPr>
      </w:pPr>
      <w:r>
        <w:rPr>
          <w:rStyle w:val="CharDefText"/>
          <w:bCs/>
          <w:sz w:val="23"/>
        </w:rPr>
        <w:t>coverage recommendation</w:t>
      </w:r>
      <w:r>
        <w:rPr>
          <w:bCs/>
          <w:i/>
          <w:iCs/>
          <w:color w:val="000000"/>
          <w:sz w:val="23"/>
          <w:szCs w:val="23"/>
        </w:rPr>
        <w:t xml:space="preserve"> </w:t>
      </w:r>
      <w:r>
        <w:rPr>
          <w:color w:val="000000"/>
          <w:sz w:val="23"/>
          <w:szCs w:val="23"/>
        </w:rPr>
        <w:t>means a recommendation of the NCC under Chapter 3 Part 1 Division 1;</w:t>
      </w:r>
    </w:p>
    <w:p>
      <w:pPr>
        <w:keepLines/>
        <w:autoSpaceDE w:val="0"/>
        <w:autoSpaceDN w:val="0"/>
        <w:adjustRightInd w:val="0"/>
        <w:spacing w:before="120"/>
        <w:ind w:left="1588"/>
        <w:rPr>
          <w:color w:val="000000"/>
          <w:sz w:val="23"/>
          <w:szCs w:val="23"/>
        </w:rPr>
      </w:pPr>
      <w:r>
        <w:rPr>
          <w:rStyle w:val="CharDefText"/>
          <w:bCs/>
          <w:sz w:val="23"/>
        </w:rPr>
        <w:t>coverage revocation determination</w:t>
      </w:r>
      <w:r>
        <w:rPr>
          <w:bCs/>
          <w:i/>
          <w:iCs/>
          <w:color w:val="000000"/>
          <w:sz w:val="23"/>
          <w:szCs w:val="23"/>
        </w:rPr>
        <w:t xml:space="preserve"> </w:t>
      </w:r>
      <w:r>
        <w:rPr>
          <w:color w:val="000000"/>
          <w:sz w:val="23"/>
          <w:szCs w:val="23"/>
        </w:rPr>
        <w:t>means a determination of a relevant Minister under Chapter 3 Part 1 Division 2;</w:t>
      </w:r>
    </w:p>
    <w:p>
      <w:pPr>
        <w:keepLines/>
        <w:autoSpaceDE w:val="0"/>
        <w:autoSpaceDN w:val="0"/>
        <w:adjustRightInd w:val="0"/>
        <w:spacing w:before="120"/>
        <w:ind w:left="1588"/>
        <w:rPr>
          <w:color w:val="000000"/>
          <w:sz w:val="23"/>
          <w:szCs w:val="23"/>
        </w:rPr>
      </w:pPr>
      <w:r>
        <w:rPr>
          <w:rStyle w:val="CharDefText"/>
          <w:bCs/>
          <w:sz w:val="23"/>
        </w:rPr>
        <w:lastRenderedPageBreak/>
        <w:t>coverage revocation recommendation</w:t>
      </w:r>
      <w:r>
        <w:rPr>
          <w:bCs/>
          <w:i/>
          <w:iCs/>
          <w:color w:val="000000"/>
          <w:sz w:val="23"/>
          <w:szCs w:val="23"/>
        </w:rPr>
        <w:t xml:space="preserve"> </w:t>
      </w:r>
      <w:r>
        <w:rPr>
          <w:color w:val="000000"/>
          <w:sz w:val="23"/>
          <w:szCs w:val="23"/>
        </w:rPr>
        <w:t>means a recommendation of the NCC under Chapter 3 Part 1 Division 2;</w:t>
      </w:r>
    </w:p>
    <w:p>
      <w:pPr>
        <w:keepNext/>
        <w:keepLines/>
        <w:autoSpaceDE w:val="0"/>
        <w:autoSpaceDN w:val="0"/>
        <w:adjustRightInd w:val="0"/>
        <w:spacing w:before="120"/>
        <w:ind w:left="1588"/>
        <w:rPr>
          <w:color w:val="000000"/>
          <w:sz w:val="23"/>
          <w:szCs w:val="23"/>
        </w:rPr>
      </w:pPr>
      <w:r>
        <w:rPr>
          <w:rStyle w:val="CharDefText"/>
          <w:bCs/>
          <w:sz w:val="23"/>
        </w:rPr>
        <w:t>covered pipeline</w:t>
      </w:r>
      <w:r>
        <w:rPr>
          <w:bCs/>
          <w:i/>
          <w:iCs/>
          <w:color w:val="000000"/>
          <w:sz w:val="23"/>
          <w:szCs w:val="23"/>
        </w:rPr>
        <w:t xml:space="preserve"> </w:t>
      </w:r>
      <w:r>
        <w:rPr>
          <w:color w:val="000000"/>
          <w:sz w:val="23"/>
          <w:szCs w:val="23"/>
        </w:rPr>
        <w:t>means a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which a coverage determination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deemed to be a covered pipeline by operation of section 126 or 127;</w:t>
      </w:r>
    </w:p>
    <w:p>
      <w:pPr>
        <w:keepLines/>
        <w:autoSpaceDE w:val="0"/>
        <w:autoSpaceDN w:val="0"/>
        <w:adjustRightInd w:val="0"/>
        <w:spacing w:before="120"/>
        <w:ind w:left="1588"/>
        <w:rPr>
          <w:color w:val="000000"/>
          <w:sz w:val="23"/>
          <w:szCs w:val="23"/>
        </w:rPr>
      </w:pPr>
      <w:r>
        <w:rPr>
          <w:rStyle w:val="CharDefText"/>
          <w:bCs/>
          <w:sz w:val="23"/>
        </w:rPr>
        <w:t>covered pipeline service provider</w:t>
      </w:r>
      <w:r>
        <w:rPr>
          <w:bCs/>
          <w:i/>
          <w:iCs/>
          <w:color w:val="000000"/>
          <w:sz w:val="23"/>
          <w:szCs w:val="23"/>
        </w:rPr>
        <w:t xml:space="preserve"> </w:t>
      </w:r>
      <w:r>
        <w:rPr>
          <w:color w:val="000000"/>
          <w:sz w:val="23"/>
          <w:szCs w:val="23"/>
        </w:rPr>
        <w:t>means a service provider that provides or intends to provide pipeline services by means of a covered pipeline;</w:t>
      </w:r>
    </w:p>
    <w:p>
      <w:pPr>
        <w:keepLines/>
        <w:autoSpaceDE w:val="0"/>
        <w:autoSpaceDN w:val="0"/>
        <w:adjustRightInd w:val="0"/>
        <w:spacing w:before="120"/>
        <w:ind w:left="1588"/>
        <w:rPr>
          <w:color w:val="000000"/>
          <w:sz w:val="23"/>
          <w:szCs w:val="23"/>
        </w:rPr>
      </w:pPr>
      <w:r>
        <w:rPr>
          <w:rStyle w:val="CharDefText"/>
          <w:bCs/>
          <w:sz w:val="23"/>
        </w:rPr>
        <w:t>cross boundary distribution pipeline</w:t>
      </w:r>
      <w:r>
        <w:rPr>
          <w:bCs/>
          <w:i/>
          <w:iCs/>
          <w:color w:val="000000"/>
          <w:sz w:val="23"/>
          <w:szCs w:val="23"/>
        </w:rPr>
        <w:t xml:space="preserve"> </w:t>
      </w:r>
      <w:r>
        <w:rPr>
          <w:color w:val="000000"/>
          <w:sz w:val="23"/>
          <w:szCs w:val="23"/>
        </w:rPr>
        <w:t>means a distribution pipeline that is partly situated in the jurisdictional areas of 2 or more participating jurisdictions;</w:t>
      </w:r>
    </w:p>
    <w:p>
      <w:pPr>
        <w:keepLines/>
        <w:autoSpaceDE w:val="0"/>
        <w:autoSpaceDN w:val="0"/>
        <w:adjustRightInd w:val="0"/>
        <w:spacing w:before="120"/>
        <w:ind w:left="1588"/>
        <w:rPr>
          <w:color w:val="000000"/>
          <w:sz w:val="23"/>
          <w:szCs w:val="23"/>
        </w:rPr>
      </w:pPr>
      <w:r>
        <w:rPr>
          <w:rStyle w:val="CharDefText"/>
          <w:bCs/>
          <w:sz w:val="23"/>
        </w:rPr>
        <w:t>cross boundary transmission pipeline</w:t>
      </w:r>
      <w:r>
        <w:rPr>
          <w:bCs/>
          <w:i/>
          <w:iCs/>
          <w:color w:val="000000"/>
          <w:sz w:val="23"/>
          <w:szCs w:val="23"/>
        </w:rPr>
        <w:t xml:space="preserve"> </w:t>
      </w:r>
      <w:r>
        <w:rPr>
          <w:color w:val="000000"/>
          <w:sz w:val="23"/>
          <w:szCs w:val="23"/>
        </w:rPr>
        <w:t>means a transmission pipeline that is partly situated in the jurisdictional areas of 2 or more participating jurisdictions;</w:t>
      </w:r>
    </w:p>
    <w:p>
      <w:pPr>
        <w:keepNext/>
        <w:keepLines/>
        <w:autoSpaceDE w:val="0"/>
        <w:autoSpaceDN w:val="0"/>
        <w:adjustRightInd w:val="0"/>
        <w:spacing w:before="120"/>
        <w:ind w:left="1588"/>
        <w:rPr>
          <w:color w:val="000000"/>
          <w:sz w:val="23"/>
          <w:szCs w:val="23"/>
        </w:rPr>
      </w:pPr>
      <w:r>
        <w:rPr>
          <w:rStyle w:val="CharDefText"/>
          <w:bCs/>
          <w:sz w:val="23"/>
        </w:rPr>
        <w:t>designated pipeline</w:t>
      </w:r>
      <w:r>
        <w:rPr>
          <w:color w:val="000000"/>
          <w:sz w:val="23"/>
          <w:szCs w:val="23"/>
        </w:rPr>
        <w:t xml:space="preserve"> means a pipeline classified by the Regulations, or designated in the application Act of a participating jurisdiction, as a designated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light regulation determination cannot be made in respect of pipeline services provided by means of a designated pipeline: see sections 109 and 111.</w:t>
      </w:r>
    </w:p>
    <w:p>
      <w:pPr>
        <w:keepNext/>
        <w:keepLines/>
        <w:autoSpaceDE w:val="0"/>
        <w:autoSpaceDN w:val="0"/>
        <w:adjustRightInd w:val="0"/>
        <w:spacing w:before="120"/>
        <w:ind w:left="1588"/>
        <w:rPr>
          <w:color w:val="000000"/>
          <w:sz w:val="23"/>
          <w:szCs w:val="23"/>
        </w:rPr>
      </w:pPr>
      <w:r>
        <w:rPr>
          <w:rStyle w:val="CharDefText"/>
          <w:bCs/>
          <w:sz w:val="23"/>
          <w:szCs w:val="23"/>
        </w:rPr>
        <w:t>designated reviewable regulatory decision</w:t>
      </w:r>
      <w:r>
        <w:rPr>
          <w:color w:val="000000"/>
          <w:sz w:val="23"/>
          <w:szCs w:val="23"/>
        </w:rPr>
        <w:t xml:space="preserve"> means an applicable access arrangement decision (other than a full access arrangement decision that does not approve a full access arrangement);</w:t>
      </w:r>
    </w:p>
    <w:p>
      <w:pPr>
        <w:keepLines/>
        <w:autoSpaceDE w:val="0"/>
        <w:autoSpaceDN w:val="0"/>
        <w:adjustRightInd w:val="0"/>
        <w:spacing w:before="120"/>
        <w:ind w:left="1588"/>
        <w:rPr>
          <w:color w:val="000000"/>
          <w:sz w:val="23"/>
          <w:szCs w:val="23"/>
        </w:rPr>
      </w:pPr>
      <w:r>
        <w:rPr>
          <w:rStyle w:val="CharDefText"/>
          <w:bCs/>
          <w:sz w:val="23"/>
        </w:rPr>
        <w:t>developable capacity</w:t>
      </w:r>
      <w:r>
        <w:rPr>
          <w:bCs/>
          <w:i/>
          <w:iCs/>
          <w:color w:val="000000"/>
          <w:sz w:val="23"/>
          <w:szCs w:val="23"/>
        </w:rPr>
        <w:t xml:space="preserve"> </w:t>
      </w:r>
      <w:r>
        <w:rPr>
          <w:color w:val="000000"/>
          <w:sz w:val="23"/>
          <w:szCs w:val="23"/>
        </w:rPr>
        <w:t>means the difference between the current capacity of a covered pipeline and the capacity of a covered pipeline which would be available if a new facility was constructed, but does not include any new capacity of a covered pipeline resulting from an extension to the geographic range of a covered pipeline;</w:t>
      </w:r>
    </w:p>
    <w:p>
      <w:pPr>
        <w:keepLines/>
        <w:autoSpaceDE w:val="0"/>
        <w:autoSpaceDN w:val="0"/>
        <w:adjustRightInd w:val="0"/>
        <w:spacing w:before="120"/>
        <w:ind w:left="1588"/>
        <w:rPr>
          <w:color w:val="000000"/>
          <w:sz w:val="23"/>
          <w:szCs w:val="23"/>
        </w:rPr>
      </w:pPr>
      <w:r>
        <w:rPr>
          <w:rStyle w:val="CharDefText"/>
          <w:bCs/>
          <w:sz w:val="23"/>
        </w:rPr>
        <w:lastRenderedPageBreak/>
        <w:t>dispute resolution body</w:t>
      </w:r>
      <w:r>
        <w:rPr>
          <w:bCs/>
          <w:i/>
          <w:iCs/>
          <w:color w:val="000000"/>
          <w:sz w:val="23"/>
          <w:szCs w:val="23"/>
        </w:rPr>
        <w:t xml:space="preserve"> </w:t>
      </w:r>
      <w:r>
        <w:rPr>
          <w:sz w:val="23"/>
        </w:rPr>
        <w:t>has the meaning given to that term in</w:t>
      </w:r>
      <w:r>
        <w:rPr>
          <w:iCs/>
          <w:sz w:val="23"/>
        </w:rPr>
        <w:t xml:space="preserve"> section 9(1) of</w:t>
      </w:r>
      <w:r>
        <w:rPr>
          <w:sz w:val="23"/>
        </w:rPr>
        <w:t xml:space="preserve"> the </w:t>
      </w:r>
      <w:r>
        <w:rPr>
          <w:i/>
          <w:sz w:val="23"/>
        </w:rPr>
        <w:t>National Gas Access (WA) Act 2009</w:t>
      </w:r>
      <w:r>
        <w:rPr>
          <w:sz w:val="23"/>
        </w:rPr>
        <w:t>;</w:t>
      </w:r>
    </w:p>
    <w:p>
      <w:pPr>
        <w:keepNext/>
        <w:keepLines/>
        <w:autoSpaceDE w:val="0"/>
        <w:autoSpaceDN w:val="0"/>
        <w:adjustRightInd w:val="0"/>
        <w:spacing w:before="120"/>
        <w:ind w:left="1588"/>
        <w:rPr>
          <w:color w:val="000000"/>
          <w:sz w:val="23"/>
          <w:szCs w:val="23"/>
        </w:rPr>
      </w:pPr>
      <w:r>
        <w:rPr>
          <w:rStyle w:val="CharDefText"/>
          <w:bCs/>
          <w:sz w:val="23"/>
        </w:rPr>
        <w:t>distribution pipeline</w:t>
      </w:r>
      <w:r>
        <w:rPr>
          <w:bCs/>
          <w:i/>
          <w:iCs/>
          <w:color w:val="000000"/>
          <w:sz w:val="23"/>
          <w:szCs w:val="23"/>
        </w:rPr>
        <w:t xml:space="preserve"> </w:t>
      </w:r>
      <w:r>
        <w:rPr>
          <w:color w:val="000000"/>
          <w:sz w:val="23"/>
          <w:szCs w:val="23"/>
        </w:rPr>
        <w:t>means a pipeline that is classified in accordance with this Law or the Rules as a distribution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rPr>
      </w:pPr>
      <w:r>
        <w:rPr>
          <w:b/>
          <w:bCs/>
          <w:color w:val="000000"/>
          <w:sz w:val="23"/>
        </w:rPr>
        <w:t>Note—</w:t>
      </w:r>
    </w:p>
    <w:p>
      <w:pPr>
        <w:keepLines/>
        <w:autoSpaceDE w:val="0"/>
        <w:autoSpaceDN w:val="0"/>
        <w:adjustRightInd w:val="0"/>
        <w:spacing w:before="120"/>
        <w:ind w:left="2382"/>
        <w:rPr>
          <w:color w:val="000000"/>
          <w:sz w:val="23"/>
        </w:rPr>
      </w:pPr>
      <w:r>
        <w:rPr>
          <w:color w:val="000000"/>
          <w:sz w:val="23"/>
        </w:rPr>
        <w:t>See also sections 18 and 19.</w:t>
      </w:r>
    </w:p>
    <w:p>
      <w:pPr>
        <w:keepLines/>
        <w:autoSpaceDE w:val="0"/>
        <w:autoSpaceDN w:val="0"/>
        <w:adjustRightInd w:val="0"/>
        <w:spacing w:before="120"/>
        <w:ind w:left="1588"/>
        <w:rPr>
          <w:color w:val="000000"/>
          <w:sz w:val="23"/>
          <w:szCs w:val="23"/>
        </w:rPr>
      </w:pPr>
      <w:r>
        <w:rPr>
          <w:rStyle w:val="CharDefText"/>
          <w:bCs/>
          <w:sz w:val="23"/>
        </w:rPr>
        <w:t>draft Rule determination</w:t>
      </w:r>
      <w:r>
        <w:rPr>
          <w:bCs/>
          <w:i/>
          <w:iCs/>
          <w:color w:val="000000"/>
          <w:sz w:val="23"/>
          <w:szCs w:val="23"/>
        </w:rPr>
        <w:t xml:space="preserve"> </w:t>
      </w:r>
      <w:r>
        <w:rPr>
          <w:color w:val="000000"/>
          <w:sz w:val="23"/>
          <w:szCs w:val="23"/>
        </w:rPr>
        <w:t>means a determination of the AEMC under section 308;</w:t>
      </w:r>
    </w:p>
    <w:p>
      <w:pPr>
        <w:keepLines/>
        <w:autoSpaceDE w:val="0"/>
        <w:autoSpaceDN w:val="0"/>
        <w:adjustRightInd w:val="0"/>
        <w:spacing w:before="120"/>
        <w:ind w:left="1588"/>
        <w:rPr>
          <w:color w:val="000000"/>
          <w:sz w:val="23"/>
          <w:szCs w:val="23"/>
        </w:rPr>
      </w:pPr>
      <w:r>
        <w:rPr>
          <w:rStyle w:val="CharDefText"/>
          <w:bCs/>
          <w:sz w:val="23"/>
        </w:rPr>
        <w:t>end user</w:t>
      </w:r>
      <w:r>
        <w:rPr>
          <w:bCs/>
          <w:i/>
          <w:iCs/>
          <w:color w:val="000000"/>
          <w:sz w:val="23"/>
          <w:szCs w:val="23"/>
        </w:rPr>
        <w:t xml:space="preserve"> </w:t>
      </w:r>
      <w:r>
        <w:rPr>
          <w:color w:val="000000"/>
          <w:sz w:val="23"/>
          <w:szCs w:val="23"/>
        </w:rPr>
        <w:t>means a person who acquires natural gas or proposes to acquire natural gas for consumption purposes;</w:t>
      </w:r>
    </w:p>
    <w:p>
      <w:pPr>
        <w:keepLines/>
        <w:autoSpaceDE w:val="0"/>
        <w:autoSpaceDN w:val="0"/>
        <w:adjustRightInd w:val="0"/>
        <w:spacing w:before="120"/>
        <w:ind w:left="1588"/>
        <w:rPr>
          <w:color w:val="000000"/>
          <w:sz w:val="23"/>
          <w:szCs w:val="23"/>
        </w:rPr>
      </w:pPr>
      <w:r>
        <w:rPr>
          <w:rStyle w:val="CharDefText"/>
          <w:bCs/>
          <w:sz w:val="23"/>
        </w:rPr>
        <w:t>ERA</w:t>
      </w:r>
      <w:r>
        <w:rPr>
          <w:color w:val="000000"/>
          <w:sz w:val="23"/>
          <w:szCs w:val="23"/>
        </w:rPr>
        <w:t xml:space="preserve"> means the Economic Regulation Authority established by section 4 of the </w:t>
      </w:r>
      <w:r>
        <w:rPr>
          <w:i/>
          <w:iCs/>
          <w:color w:val="000000"/>
          <w:sz w:val="23"/>
          <w:szCs w:val="23"/>
        </w:rPr>
        <w:t>Economic Regulation Authority Act 2003</w:t>
      </w:r>
      <w:r>
        <w:rPr>
          <w:color w:val="000000"/>
          <w:sz w:val="23"/>
          <w:szCs w:val="23"/>
        </w:rPr>
        <w:t xml:space="preserve"> of Western Australia;</w:t>
      </w:r>
    </w:p>
    <w:p>
      <w:pPr>
        <w:keepNext/>
        <w:keepLines/>
        <w:autoSpaceDE w:val="0"/>
        <w:autoSpaceDN w:val="0"/>
        <w:adjustRightInd w:val="0"/>
        <w:spacing w:before="120"/>
        <w:ind w:left="1588"/>
        <w:rPr>
          <w:color w:val="000000"/>
          <w:sz w:val="23"/>
          <w:szCs w:val="23"/>
        </w:rPr>
      </w:pPr>
      <w:r>
        <w:rPr>
          <w:rStyle w:val="CharDefText"/>
          <w:bCs/>
          <w:sz w:val="23"/>
        </w:rPr>
        <w:t>extension and expansion requirements</w:t>
      </w:r>
      <w:r>
        <w:rPr>
          <w:bCs/>
          <w:i/>
          <w:iCs/>
          <w:color w:val="000000"/>
          <w:sz w:val="23"/>
          <w:szCs w:val="23"/>
        </w:rPr>
        <w:t xml:space="preserve"> </w:t>
      </w:r>
      <w:r>
        <w:rPr>
          <w:color w:val="000000"/>
          <w:sz w:val="23"/>
          <w:szCs w:val="23"/>
        </w:rPr>
        <w:t>means—</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requirements contained in an access arrangement that, in accordance with the Rules, specify—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circumstances when an extension to, or expansion of the capacity of, a covered pipeline is to be treated as forming part of the covered pipeline;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whether the pipeline services provided or to be provided by means of, or in connection with, spare capacity arising out of an extension to, or expansion of the capacity of, a covered pipeline will be subject to the applicable access arrangement applying to the pipeline services to which that arrangement applies;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lastRenderedPageBreak/>
        <w:tab/>
        <w:t>(iii)</w:t>
      </w:r>
      <w:r>
        <w:rPr>
          <w:color w:val="000000"/>
          <w:sz w:val="23"/>
          <w:szCs w:val="23"/>
        </w:rPr>
        <w:tab/>
        <w:t>whether an extension to, or expansion of the capacity of, a covered pipeline will affect a reference tariff, and if so, the effect on the reference tariff;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other requirements specified by the Rules as extension and expansion requirements;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sections 18 and 19.</w:t>
      </w:r>
    </w:p>
    <w:p>
      <w:pPr>
        <w:keepLines/>
        <w:autoSpaceDE w:val="0"/>
        <w:autoSpaceDN w:val="0"/>
        <w:adjustRightInd w:val="0"/>
        <w:spacing w:before="120"/>
        <w:ind w:left="1588"/>
        <w:rPr>
          <w:color w:val="000000"/>
          <w:sz w:val="23"/>
          <w:szCs w:val="23"/>
        </w:rPr>
      </w:pPr>
      <w:r>
        <w:rPr>
          <w:rStyle w:val="CharDefText"/>
          <w:bCs/>
          <w:sz w:val="23"/>
        </w:rPr>
        <w:t>final Rule determination</w:t>
      </w:r>
      <w:r>
        <w:rPr>
          <w:bCs/>
          <w:i/>
          <w:iCs/>
          <w:color w:val="000000"/>
          <w:sz w:val="23"/>
          <w:szCs w:val="23"/>
        </w:rPr>
        <w:t xml:space="preserve"> </w:t>
      </w:r>
      <w:r>
        <w:rPr>
          <w:color w:val="000000"/>
          <w:sz w:val="23"/>
          <w:szCs w:val="23"/>
        </w:rPr>
        <w:t>means a determination of the AEMC under section 311;</w:t>
      </w:r>
    </w:p>
    <w:p>
      <w:pPr>
        <w:keepLines/>
        <w:autoSpaceDE w:val="0"/>
        <w:autoSpaceDN w:val="0"/>
        <w:adjustRightInd w:val="0"/>
        <w:spacing w:before="120"/>
        <w:ind w:left="1588"/>
        <w:rPr>
          <w:color w:val="000000"/>
          <w:sz w:val="23"/>
          <w:szCs w:val="23"/>
        </w:rPr>
      </w:pPr>
      <w:r>
        <w:rPr>
          <w:rStyle w:val="CharDefText"/>
          <w:bCs/>
          <w:sz w:val="23"/>
        </w:rPr>
        <w:t>foreign company</w:t>
      </w:r>
      <w:r>
        <w:rPr>
          <w:bCs/>
          <w:i/>
          <w:iCs/>
          <w:color w:val="000000"/>
          <w:sz w:val="23"/>
          <w:szCs w:val="23"/>
        </w:rPr>
        <w:t xml:space="preserve"> </w:t>
      </w:r>
      <w:r>
        <w:rPr>
          <w:color w:val="000000"/>
          <w:sz w:val="23"/>
          <w:szCs w:val="23"/>
        </w:rPr>
        <w:t xml:space="preserve">has the same meaning as in the </w:t>
      </w:r>
      <w:r>
        <w:rPr>
          <w:i/>
          <w:iCs/>
          <w:color w:val="000000"/>
          <w:sz w:val="23"/>
          <w:szCs w:val="23"/>
        </w:rPr>
        <w:t>Corporations Act 2001</w:t>
      </w:r>
      <w:r>
        <w:rPr>
          <w:color w:val="000000"/>
          <w:sz w:val="23"/>
          <w:szCs w:val="23"/>
        </w:rPr>
        <w:t xml:space="preserve"> of the Commonwealth;</w:t>
      </w:r>
    </w:p>
    <w:p>
      <w:pPr>
        <w:keepNext/>
        <w:keepLines/>
        <w:autoSpaceDE w:val="0"/>
        <w:autoSpaceDN w:val="0"/>
        <w:adjustRightInd w:val="0"/>
        <w:spacing w:before="120"/>
        <w:ind w:left="1588"/>
        <w:rPr>
          <w:color w:val="000000"/>
          <w:sz w:val="23"/>
          <w:szCs w:val="23"/>
        </w:rPr>
      </w:pPr>
      <w:r>
        <w:rPr>
          <w:rStyle w:val="CharDefText"/>
          <w:bCs/>
          <w:sz w:val="23"/>
        </w:rPr>
        <w:t>foreign source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source beyond the outer limits of all of the following: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adjacent area of this jurisdiction;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adjacent area of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a source within the joint petroleum development area (within the meaning of the </w:t>
      </w:r>
      <w:r>
        <w:rPr>
          <w:i/>
          <w:iCs/>
          <w:color w:val="000000"/>
          <w:sz w:val="23"/>
          <w:szCs w:val="23"/>
        </w:rPr>
        <w:t>Petroleum (Timor Sea Treaty) Act 2003</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form of regulation</w:t>
      </w:r>
      <w:r>
        <w:rPr>
          <w:rStyle w:val="CharDefText"/>
          <w:sz w:val="23"/>
        </w:rPr>
        <w:t xml:space="preserve"> </w:t>
      </w:r>
      <w:r>
        <w:rPr>
          <w:rStyle w:val="CharDefText"/>
          <w:bCs/>
          <w:sz w:val="23"/>
        </w:rPr>
        <w:t>factors</w:t>
      </w:r>
      <w:r>
        <w:rPr>
          <w:color w:val="000000"/>
          <w:sz w:val="23"/>
          <w:szCs w:val="23"/>
        </w:rPr>
        <w:t xml:space="preserve"> has the meaning given by section 16;</w:t>
      </w:r>
    </w:p>
    <w:p>
      <w:pPr>
        <w:keepNext/>
        <w:keepLines/>
        <w:autoSpaceDE w:val="0"/>
        <w:autoSpaceDN w:val="0"/>
        <w:adjustRightInd w:val="0"/>
        <w:spacing w:before="120"/>
        <w:ind w:left="1588"/>
        <w:rPr>
          <w:color w:val="000000"/>
          <w:sz w:val="23"/>
          <w:szCs w:val="23"/>
        </w:rPr>
      </w:pPr>
      <w:r>
        <w:rPr>
          <w:rStyle w:val="CharDefText"/>
          <w:bCs/>
          <w:sz w:val="23"/>
        </w:rPr>
        <w:t>full access arrangement</w:t>
      </w:r>
      <w:r>
        <w:rPr>
          <w:bCs/>
          <w:i/>
          <w:iCs/>
          <w:color w:val="000000"/>
          <w:sz w:val="23"/>
          <w:szCs w:val="23"/>
        </w:rPr>
        <w:t xml:space="preserve"> </w:t>
      </w:r>
      <w:r>
        <w:rPr>
          <w:color w:val="000000"/>
          <w:sz w:val="23"/>
          <w:szCs w:val="23"/>
        </w:rPr>
        <w:t>means an access arrangement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provides for price or revenue regulation as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deals with all other matters for which the Rules require provision to be made in an access arrangement;</w:t>
      </w:r>
    </w:p>
    <w:p>
      <w:pPr>
        <w:keepNext/>
        <w:keepLines/>
        <w:autoSpaceDE w:val="0"/>
        <w:autoSpaceDN w:val="0"/>
        <w:adjustRightInd w:val="0"/>
        <w:spacing w:before="120"/>
        <w:ind w:left="1588"/>
        <w:rPr>
          <w:color w:val="000000"/>
          <w:sz w:val="23"/>
          <w:szCs w:val="23"/>
        </w:rPr>
      </w:pPr>
      <w:r>
        <w:rPr>
          <w:rStyle w:val="CharDefText"/>
          <w:bCs/>
          <w:sz w:val="23"/>
        </w:rPr>
        <w:lastRenderedPageBreak/>
        <w:t>full access arrangement decision</w:t>
      </w:r>
      <w:r>
        <w:rPr>
          <w:bCs/>
          <w:i/>
          <w:iCs/>
          <w:color w:val="000000"/>
          <w:sz w:val="23"/>
          <w:szCs w:val="23"/>
        </w:rPr>
        <w:t xml:space="preserve"> </w:t>
      </w:r>
      <w:r>
        <w:rPr>
          <w:color w:val="000000"/>
          <w:sz w:val="23"/>
          <w:szCs w:val="23"/>
        </w:rPr>
        <w:t>means a decision of the AER under the Rules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approves or does not approve a full access arrangement or revisions to an applicable access arrangement submitted to the AER under section 132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makes a full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place of a full access arrangement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does not submit a full access arrangement in accordance with section 132 or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makes revisions to an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place of revisions submitted to the AER under section 132 that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does not submit revisions to the AER under section 132;</w:t>
      </w:r>
    </w:p>
    <w:p>
      <w:pPr>
        <w:autoSpaceDE w:val="0"/>
        <w:autoSpaceDN w:val="0"/>
        <w:adjustRightInd w:val="0"/>
        <w:spacing w:before="120"/>
        <w:ind w:left="1588"/>
        <w:rPr>
          <w:color w:val="000000"/>
          <w:sz w:val="23"/>
          <w:szCs w:val="23"/>
        </w:rPr>
      </w:pPr>
      <w:r>
        <w:rPr>
          <w:rStyle w:val="CharDefText"/>
          <w:bCs/>
          <w:sz w:val="23"/>
        </w:rPr>
        <w:t>Gas Code</w:t>
      </w:r>
      <w:r>
        <w:rPr>
          <w:bCs/>
          <w:i/>
          <w:iCs/>
          <w:color w:val="000000"/>
          <w:sz w:val="23"/>
          <w:szCs w:val="23"/>
        </w:rPr>
        <w:t xml:space="preserve"> </w:t>
      </w:r>
      <w:r>
        <w:rPr>
          <w:color w:val="000000"/>
          <w:sz w:val="23"/>
          <w:szCs w:val="23"/>
        </w:rPr>
        <w:t xml:space="preserve">means the </w:t>
      </w:r>
      <w:r>
        <w:rPr>
          <w:i/>
          <w:iCs/>
          <w:color w:val="000000"/>
          <w:sz w:val="23"/>
          <w:szCs w:val="23"/>
        </w:rPr>
        <w:t>National Third Party Access Code for Natural Gas Pipeline Systems</w:t>
      </w:r>
      <w:r>
        <w:rPr>
          <w:color w:val="000000"/>
          <w:sz w:val="23"/>
          <w:szCs w:val="23"/>
        </w:rPr>
        <w:t xml:space="preserve"> set out in Schedule 2 to the </w:t>
      </w:r>
      <w:r>
        <w:rPr>
          <w:i/>
          <w:iCs/>
          <w:color w:val="000000"/>
          <w:sz w:val="23"/>
          <w:szCs w:val="23"/>
        </w:rPr>
        <w:t>Gas Pipelines Access (South Australia) Act 1997</w:t>
      </w:r>
      <w:r>
        <w:rPr>
          <w:color w:val="000000"/>
          <w:sz w:val="23"/>
          <w:szCs w:val="23"/>
        </w:rPr>
        <w:t xml:space="preserve"> of South Australia as amended and applying from time to time before the commencement of </w:t>
      </w:r>
      <w:r>
        <w:rPr>
          <w:sz w:val="23"/>
        </w:rPr>
        <w:t xml:space="preserve">section 30 of the </w:t>
      </w:r>
      <w:r>
        <w:rPr>
          <w:i/>
          <w:sz w:val="23"/>
        </w:rPr>
        <w:t>National Gas Access (WA) Act 2009</w:t>
      </w:r>
      <w:r>
        <w:rPr>
          <w:color w:val="000000"/>
          <w:sz w:val="23"/>
          <w:szCs w:val="23"/>
        </w:rPr>
        <w:t xml:space="preserve"> as a law of Western Australia;</w:t>
      </w:r>
    </w:p>
    <w:p>
      <w:pPr>
        <w:keepLines/>
        <w:autoSpaceDE w:val="0"/>
        <w:autoSpaceDN w:val="0"/>
        <w:adjustRightInd w:val="0"/>
        <w:spacing w:before="120"/>
        <w:ind w:left="1588"/>
        <w:rPr>
          <w:color w:val="000000"/>
          <w:sz w:val="23"/>
          <w:szCs w:val="23"/>
        </w:rPr>
      </w:pPr>
      <w:r>
        <w:rPr>
          <w:rStyle w:val="CharDefText"/>
          <w:bCs/>
          <w:sz w:val="23"/>
        </w:rPr>
        <w:t>gas market operator</w:t>
      </w:r>
      <w:r>
        <w:rPr>
          <w:bCs/>
          <w:i/>
          <w:iCs/>
          <w:color w:val="000000"/>
          <w:sz w:val="23"/>
          <w:szCs w:val="23"/>
        </w:rPr>
        <w:t xml:space="preserve"> </w:t>
      </w:r>
      <w:r>
        <w:rPr>
          <w:color w:val="000000"/>
          <w:sz w:val="23"/>
          <w:szCs w:val="23"/>
        </w:rPr>
        <w:t>means VENCorp or any other person or body prescribed by the Regulations to be a gas market operator;</w:t>
      </w:r>
    </w:p>
    <w:p>
      <w:pPr>
        <w:keepLines/>
        <w:autoSpaceDE w:val="0"/>
        <w:autoSpaceDN w:val="0"/>
        <w:adjustRightInd w:val="0"/>
        <w:spacing w:before="120"/>
        <w:ind w:left="1588"/>
        <w:rPr>
          <w:color w:val="000000"/>
          <w:sz w:val="23"/>
          <w:szCs w:val="23"/>
        </w:rPr>
      </w:pPr>
      <w:r>
        <w:rPr>
          <w:rStyle w:val="CharDefText"/>
          <w:bCs/>
          <w:sz w:val="23"/>
        </w:rPr>
        <w:t>general regulatory information order</w:t>
      </w:r>
      <w:r>
        <w:rPr>
          <w:bCs/>
          <w:i/>
          <w:iCs/>
          <w:color w:val="000000"/>
          <w:sz w:val="23"/>
          <w:szCs w:val="23"/>
        </w:rPr>
        <w:t xml:space="preserve"> </w:t>
      </w:r>
      <w:r>
        <w:rPr>
          <w:color w:val="000000"/>
          <w:sz w:val="23"/>
          <w:szCs w:val="23"/>
        </w:rPr>
        <w:t>has the meaning given by section 45;</w:t>
      </w:r>
    </w:p>
    <w:p>
      <w:pPr>
        <w:keepNext/>
        <w:keepLines/>
        <w:autoSpaceDE w:val="0"/>
        <w:autoSpaceDN w:val="0"/>
        <w:adjustRightInd w:val="0"/>
        <w:spacing w:before="120"/>
        <w:ind w:left="1588"/>
        <w:rPr>
          <w:color w:val="000000"/>
          <w:sz w:val="23"/>
          <w:szCs w:val="23"/>
        </w:rPr>
      </w:pPr>
      <w:r>
        <w:rPr>
          <w:rStyle w:val="CharDefText"/>
          <w:bCs/>
          <w:sz w:val="23"/>
        </w:rPr>
        <w:t>greenfields pipeline incentive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a price regulation exemption;</w:t>
      </w:r>
    </w:p>
    <w:p>
      <w:pPr>
        <w:keepLines/>
        <w:autoSpaceDE w:val="0"/>
        <w:autoSpaceDN w:val="0"/>
        <w:adjustRightInd w:val="0"/>
        <w:spacing w:before="120"/>
        <w:ind w:left="1588"/>
        <w:rPr>
          <w:color w:val="000000"/>
          <w:sz w:val="23"/>
          <w:szCs w:val="23"/>
        </w:rPr>
      </w:pPr>
      <w:r>
        <w:rPr>
          <w:rStyle w:val="CharDefText"/>
          <w:bCs/>
          <w:sz w:val="23"/>
        </w:rPr>
        <w:t>haulage</w:t>
      </w:r>
      <w:r>
        <w:rPr>
          <w:color w:val="000000"/>
          <w:sz w:val="23"/>
          <w:szCs w:val="23"/>
        </w:rPr>
        <w:t>, in relation to natural gas, includes conveyance or reticulation of natural gas;</w:t>
      </w:r>
    </w:p>
    <w:p>
      <w:pPr>
        <w:keepLines/>
        <w:autoSpaceDE w:val="0"/>
        <w:autoSpaceDN w:val="0"/>
        <w:adjustRightInd w:val="0"/>
        <w:spacing w:before="120"/>
        <w:ind w:left="1588"/>
        <w:rPr>
          <w:color w:val="000000"/>
          <w:sz w:val="23"/>
          <w:szCs w:val="23"/>
        </w:rPr>
      </w:pPr>
      <w:r>
        <w:rPr>
          <w:rStyle w:val="CharDefText"/>
          <w:bCs/>
          <w:sz w:val="23"/>
        </w:rPr>
        <w:t>initial classification decision</w:t>
      </w:r>
      <w:r>
        <w:rPr>
          <w:bCs/>
          <w:i/>
          <w:iCs/>
          <w:color w:val="000000"/>
          <w:sz w:val="23"/>
          <w:szCs w:val="23"/>
        </w:rPr>
        <w:t xml:space="preserve"> </w:t>
      </w:r>
      <w:r>
        <w:rPr>
          <w:color w:val="000000"/>
          <w:sz w:val="23"/>
          <w:szCs w:val="23"/>
        </w:rPr>
        <w:t>means a decision of the NCC under section 98 or 155;</w:t>
      </w:r>
    </w:p>
    <w:p>
      <w:pPr>
        <w:keepLines/>
        <w:autoSpaceDE w:val="0"/>
        <w:autoSpaceDN w:val="0"/>
        <w:adjustRightInd w:val="0"/>
        <w:spacing w:before="120"/>
        <w:ind w:left="1588" w:right="283"/>
      </w:pPr>
      <w:r>
        <w:rPr>
          <w:rStyle w:val="CharDefText"/>
          <w:sz w:val="23"/>
        </w:rPr>
        <w:t>initial National Gas Rules</w:t>
      </w:r>
      <w:r>
        <w:rPr>
          <w:sz w:val="23"/>
        </w:rPr>
        <w:t xml:space="preserve"> </w:t>
      </w:r>
      <w:r>
        <w:rPr>
          <w:color w:val="000000"/>
          <w:sz w:val="23"/>
          <w:szCs w:val="23"/>
        </w:rPr>
        <w:t>means</w:t>
      </w:r>
      <w:r>
        <w:rPr>
          <w:sz w:val="23"/>
        </w:rPr>
        <w:t xml:space="preserve"> — </w:t>
      </w:r>
    </w:p>
    <w:p>
      <w:pPr>
        <w:keepLines/>
        <w:tabs>
          <w:tab w:val="center" w:pos="1985"/>
          <w:tab w:val="left" w:pos="2382"/>
        </w:tabs>
        <w:autoSpaceDE w:val="0"/>
        <w:autoSpaceDN w:val="0"/>
        <w:adjustRightInd w:val="0"/>
        <w:spacing w:before="120"/>
        <w:ind w:left="2382" w:hanging="794"/>
        <w:rPr>
          <w:sz w:val="23"/>
          <w:szCs w:val="23"/>
        </w:rPr>
      </w:pPr>
      <w:r>
        <w:rPr>
          <w:sz w:val="23"/>
          <w:szCs w:val="23"/>
        </w:rPr>
        <w:tab/>
        <w:t>(a)</w:t>
      </w:r>
      <w:r>
        <w:rPr>
          <w:sz w:val="23"/>
          <w:szCs w:val="23"/>
        </w:rPr>
        <w:tab/>
        <w:t xml:space="preserve">the </w:t>
      </w:r>
      <w:r>
        <w:rPr>
          <w:color w:val="000000"/>
          <w:sz w:val="23"/>
          <w:szCs w:val="23"/>
        </w:rPr>
        <w:t>National</w:t>
      </w:r>
      <w:r>
        <w:rPr>
          <w:sz w:val="23"/>
          <w:szCs w:val="23"/>
        </w:rPr>
        <w:t xml:space="preserve"> Gas Rules that, when the </w:t>
      </w:r>
      <w:r>
        <w:rPr>
          <w:i/>
          <w:sz w:val="23"/>
          <w:szCs w:val="23"/>
        </w:rPr>
        <w:t>National Gas Access (WA) Act 2009</w:t>
      </w:r>
      <w:r>
        <w:rPr>
          <w:sz w:val="23"/>
          <w:szCs w:val="23"/>
        </w:rPr>
        <w:t xml:space="preserve"> section 30 came into operation, applied under section 294; and</w:t>
      </w:r>
    </w:p>
    <w:p>
      <w:pPr>
        <w:keepLines/>
        <w:tabs>
          <w:tab w:val="center" w:pos="1985"/>
          <w:tab w:val="left" w:pos="2382"/>
        </w:tabs>
        <w:autoSpaceDE w:val="0"/>
        <w:autoSpaceDN w:val="0"/>
        <w:adjustRightInd w:val="0"/>
        <w:spacing w:before="120"/>
        <w:ind w:left="2382" w:hanging="794"/>
        <w:rPr>
          <w:sz w:val="23"/>
          <w:szCs w:val="23"/>
        </w:rPr>
      </w:pPr>
      <w:r>
        <w:rPr>
          <w:sz w:val="23"/>
          <w:szCs w:val="23"/>
        </w:rPr>
        <w:tab/>
        <w:t>(b)</w:t>
      </w:r>
      <w:r>
        <w:rPr>
          <w:sz w:val="23"/>
          <w:szCs w:val="23"/>
        </w:rPr>
        <w:tab/>
      </w:r>
      <w:r>
        <w:rPr>
          <w:color w:val="000000"/>
          <w:sz w:val="23"/>
          <w:szCs w:val="23"/>
        </w:rPr>
        <w:t>the</w:t>
      </w:r>
      <w:r>
        <w:rPr>
          <w:sz w:val="23"/>
          <w:szCs w:val="23"/>
        </w:rPr>
        <w:t xml:space="preserve"> </w:t>
      </w:r>
      <w:r>
        <w:rPr>
          <w:i/>
          <w:sz w:val="23"/>
          <w:szCs w:val="23"/>
        </w:rPr>
        <w:t>National Gas Access (Pipelines-Arbitration Amendment) Rules 2017</w:t>
      </w:r>
      <w:r>
        <w:rPr>
          <w:sz w:val="23"/>
          <w:szCs w:val="23"/>
        </w:rPr>
        <w:t xml:space="preserve"> made by the Minister for Mineral Resources and Energy of South Australia under the National Gas (South Australia) Law section 294F (notice of which was published in the </w:t>
      </w:r>
      <w:r>
        <w:rPr>
          <w:i/>
          <w:sz w:val="23"/>
          <w:szCs w:val="23"/>
        </w:rPr>
        <w:t>Government Gazette</w:t>
      </w:r>
      <w:r>
        <w:rPr>
          <w:sz w:val="23"/>
          <w:szCs w:val="23"/>
        </w:rPr>
        <w:t xml:space="preserve"> of South Australia on 1 August 2017 at p. 2994);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w:t>
      </w:r>
      <w:r>
        <w:rPr>
          <w:i/>
          <w:color w:val="000000"/>
          <w:sz w:val="23"/>
          <w:szCs w:val="23"/>
        </w:rPr>
        <w:t>National Gas (Binding Rate of Return Instrument) Amendment Rule 2019</w:t>
      </w:r>
      <w:r>
        <w:rPr>
          <w:color w:val="000000"/>
          <w:sz w:val="23"/>
          <w:szCs w:val="23"/>
        </w:rPr>
        <w:t xml:space="preserve"> made by the Minister for Energy and Mining of South Australia under the National Gas (South Australia) Law section 294CA (notice of which was published in the </w:t>
      </w:r>
      <w:r>
        <w:rPr>
          <w:i/>
          <w:color w:val="000000"/>
          <w:sz w:val="23"/>
          <w:szCs w:val="23"/>
        </w:rPr>
        <w:t>Government Gazette</w:t>
      </w:r>
      <w:r>
        <w:rPr>
          <w:color w:val="000000"/>
          <w:sz w:val="23"/>
          <w:szCs w:val="23"/>
        </w:rPr>
        <w:t xml:space="preserve"> of South Australia on 7 February 2019 at p. 404);</w:t>
      </w:r>
    </w:p>
    <w:p>
      <w:pPr>
        <w:keepLines/>
        <w:autoSpaceDE w:val="0"/>
        <w:autoSpaceDN w:val="0"/>
        <w:adjustRightInd w:val="0"/>
        <w:spacing w:before="120"/>
        <w:ind w:left="1588"/>
        <w:rPr>
          <w:color w:val="000000"/>
          <w:sz w:val="23"/>
          <w:szCs w:val="23"/>
        </w:rPr>
      </w:pPr>
      <w:r>
        <w:rPr>
          <w:rStyle w:val="CharDefText"/>
          <w:bCs/>
          <w:sz w:val="23"/>
        </w:rPr>
        <w:t>international pipeline</w:t>
      </w:r>
      <w:r>
        <w:rPr>
          <w:bCs/>
          <w:i/>
          <w:iCs/>
          <w:color w:val="000000"/>
          <w:sz w:val="23"/>
          <w:szCs w:val="23"/>
        </w:rPr>
        <w:t xml:space="preserve"> </w:t>
      </w:r>
      <w:r>
        <w:rPr>
          <w:color w:val="000000"/>
          <w:sz w:val="23"/>
          <w:szCs w:val="23"/>
        </w:rPr>
        <w:t>means a pipeline for the haulage of gas from a foreign source;</w:t>
      </w:r>
    </w:p>
    <w:p>
      <w:pPr>
        <w:keepLines/>
        <w:autoSpaceDE w:val="0"/>
        <w:autoSpaceDN w:val="0"/>
        <w:adjustRightInd w:val="0"/>
        <w:spacing w:before="120"/>
        <w:ind w:left="1588"/>
        <w:rPr>
          <w:color w:val="000000"/>
          <w:sz w:val="23"/>
          <w:szCs w:val="23"/>
        </w:rPr>
      </w:pPr>
      <w:r>
        <w:rPr>
          <w:rStyle w:val="CharDefText"/>
          <w:bCs/>
          <w:sz w:val="23"/>
        </w:rPr>
        <w:t>jurisdictional determination criteria</w:t>
      </w:r>
      <w:r>
        <w:rPr>
          <w:color w:val="000000"/>
          <w:sz w:val="23"/>
          <w:szCs w:val="23"/>
        </w:rPr>
        <w:t>, in relation to a cross boundary distribution pipeline, has the meaning given by section 14;</w:t>
      </w:r>
    </w:p>
    <w:p>
      <w:pPr>
        <w:keepLines/>
        <w:autoSpaceDE w:val="0"/>
        <w:autoSpaceDN w:val="0"/>
        <w:adjustRightInd w:val="0"/>
        <w:spacing w:before="120"/>
        <w:ind w:left="1588"/>
        <w:rPr>
          <w:color w:val="000000"/>
          <w:sz w:val="23"/>
          <w:szCs w:val="23"/>
        </w:rPr>
      </w:pPr>
      <w:r>
        <w:rPr>
          <w:rStyle w:val="CharDefText"/>
          <w:bCs/>
          <w:sz w:val="23"/>
        </w:rPr>
        <w:t>jurisdictional gas legislation</w:t>
      </w:r>
      <w:r>
        <w:rPr>
          <w:bCs/>
          <w:i/>
          <w:iCs/>
          <w:color w:val="000000"/>
          <w:sz w:val="23"/>
          <w:szCs w:val="23"/>
        </w:rPr>
        <w:t xml:space="preserve"> </w:t>
      </w:r>
      <w:r>
        <w:rPr>
          <w:color w:val="000000"/>
          <w:sz w:val="23"/>
          <w:szCs w:val="23"/>
        </w:rPr>
        <w:t>means an Act of a participating jurisdiction (other than national gas legislation), or any instrument made or issued under or for the purposes of that Act, that regulates the haulage of gas in that jurisdiction;</w:t>
      </w:r>
    </w:p>
    <w:p>
      <w:pPr>
        <w:keepLines/>
        <w:autoSpaceDE w:val="0"/>
        <w:autoSpaceDN w:val="0"/>
        <w:adjustRightInd w:val="0"/>
        <w:spacing w:before="120"/>
        <w:ind w:left="1588"/>
        <w:rPr>
          <w:color w:val="000000"/>
          <w:sz w:val="23"/>
          <w:szCs w:val="23"/>
        </w:rPr>
      </w:pPr>
      <w:r>
        <w:rPr>
          <w:rStyle w:val="CharDefText"/>
          <w:bCs/>
          <w:sz w:val="23"/>
        </w:rPr>
        <w:lastRenderedPageBreak/>
        <w:t>light regulation determination</w:t>
      </w:r>
      <w:r>
        <w:rPr>
          <w:bCs/>
          <w:i/>
          <w:iCs/>
          <w:color w:val="000000"/>
          <w:sz w:val="23"/>
          <w:szCs w:val="23"/>
        </w:rPr>
        <w:t xml:space="preserve"> </w:t>
      </w:r>
      <w:r>
        <w:rPr>
          <w:color w:val="000000"/>
          <w:sz w:val="23"/>
          <w:szCs w:val="23"/>
        </w:rPr>
        <w:t>means a determination of the NCC under Chapter 3 Part 2 Division 1;</w:t>
      </w:r>
    </w:p>
    <w:p>
      <w:pPr>
        <w:keepLines/>
        <w:autoSpaceDE w:val="0"/>
        <w:autoSpaceDN w:val="0"/>
        <w:adjustRightInd w:val="0"/>
        <w:spacing w:before="120"/>
        <w:ind w:left="1588"/>
        <w:rPr>
          <w:color w:val="000000"/>
          <w:sz w:val="23"/>
          <w:szCs w:val="23"/>
        </w:rPr>
      </w:pPr>
      <w:r>
        <w:rPr>
          <w:rStyle w:val="CharDefText"/>
          <w:bCs/>
          <w:sz w:val="23"/>
        </w:rPr>
        <w:t>light regulation services</w:t>
      </w:r>
      <w:r>
        <w:rPr>
          <w:bCs/>
          <w:i/>
          <w:iCs/>
          <w:color w:val="000000"/>
          <w:sz w:val="23"/>
          <w:szCs w:val="23"/>
        </w:rPr>
        <w:t xml:space="preserve"> </w:t>
      </w:r>
      <w:r>
        <w:rPr>
          <w:color w:val="000000"/>
          <w:sz w:val="23"/>
          <w:szCs w:val="23"/>
        </w:rPr>
        <w:t>means pipeline services to which a light regulation determination applies;</w:t>
      </w:r>
    </w:p>
    <w:p>
      <w:pPr>
        <w:autoSpaceDE w:val="0"/>
        <w:autoSpaceDN w:val="0"/>
        <w:adjustRightInd w:val="0"/>
        <w:spacing w:before="120"/>
        <w:ind w:left="1588"/>
        <w:rPr>
          <w:color w:val="000000"/>
          <w:sz w:val="23"/>
          <w:szCs w:val="23"/>
        </w:rPr>
      </w:pPr>
      <w:r>
        <w:rPr>
          <w:rStyle w:val="CharDefText"/>
          <w:bCs/>
          <w:sz w:val="23"/>
        </w:rPr>
        <w:t>limited access arrangement</w:t>
      </w:r>
      <w:r>
        <w:rPr>
          <w:bCs/>
          <w:i/>
          <w:iCs/>
          <w:color w:val="000000"/>
          <w:sz w:val="23"/>
          <w:szCs w:val="23"/>
        </w:rPr>
        <w:t xml:space="preserve"> </w:t>
      </w:r>
      <w:r>
        <w:rPr>
          <w:color w:val="000000"/>
          <w:sz w:val="23"/>
          <w:szCs w:val="23"/>
        </w:rPr>
        <w:t>means an access arrangement that, under this Law and the Rules, is not required to make provision for price or revenue regulation but deals with the matters for which this Law and the Rules require provision to be made in an access arrangement;</w:t>
      </w:r>
    </w:p>
    <w:p>
      <w:pPr>
        <w:keepNext/>
        <w:keepLines/>
        <w:autoSpaceDE w:val="0"/>
        <w:autoSpaceDN w:val="0"/>
        <w:adjustRightInd w:val="0"/>
        <w:spacing w:before="120"/>
        <w:ind w:left="1588"/>
        <w:rPr>
          <w:color w:val="000000"/>
          <w:sz w:val="23"/>
          <w:szCs w:val="23"/>
        </w:rPr>
      </w:pPr>
      <w:r>
        <w:rPr>
          <w:rStyle w:val="CharDefText"/>
          <w:bCs/>
          <w:sz w:val="23"/>
        </w:rPr>
        <w:t>limited access arrangement decision</w:t>
      </w:r>
      <w:r>
        <w:rPr>
          <w:bCs/>
          <w:i/>
          <w:iCs/>
          <w:color w:val="000000"/>
          <w:sz w:val="23"/>
          <w:szCs w:val="23"/>
        </w:rPr>
        <w:t xml:space="preserve"> </w:t>
      </w:r>
      <w:r>
        <w:rPr>
          <w:color w:val="000000"/>
          <w:sz w:val="23"/>
          <w:szCs w:val="23"/>
        </w:rPr>
        <w:t>means a decision of the AER under the Rules that approves or does not approve—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limited access arrangement submitted to the AER under section 116 or 168;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revisions to a limited access arrangement submitted to the AER under section 116(3) or 168(3) or the Rules;</w:t>
      </w:r>
    </w:p>
    <w:p>
      <w:pPr>
        <w:keepLines/>
        <w:autoSpaceDE w:val="0"/>
        <w:autoSpaceDN w:val="0"/>
        <w:adjustRightInd w:val="0"/>
        <w:spacing w:before="120"/>
        <w:ind w:left="1588"/>
        <w:rPr>
          <w:color w:val="000000"/>
          <w:sz w:val="23"/>
          <w:szCs w:val="23"/>
        </w:rPr>
      </w:pPr>
      <w:r>
        <w:rPr>
          <w:rStyle w:val="CharDefText"/>
          <w:bCs/>
          <w:sz w:val="23"/>
        </w:rPr>
        <w:t>MCE</w:t>
      </w:r>
      <w:r>
        <w:rPr>
          <w:color w:val="000000"/>
          <w:sz w:val="23"/>
          <w:szCs w:val="23"/>
        </w:rPr>
        <w:t xml:space="preserve"> means the Ministerial Council on Energy established on 8 June 2001, being the Council of Ministers with primary carriage of energy matters at a national level comprising the Ministers representing the Commonwealth, the States, the Australian Capital Territory and the Northern Territory, acting in accordance with its own procedures;</w:t>
      </w:r>
    </w:p>
    <w:p>
      <w:pPr>
        <w:keepLines/>
        <w:autoSpaceDE w:val="0"/>
        <w:autoSpaceDN w:val="0"/>
        <w:adjustRightInd w:val="0"/>
        <w:spacing w:before="120"/>
        <w:ind w:left="1588"/>
        <w:rPr>
          <w:color w:val="000000"/>
          <w:sz w:val="23"/>
          <w:szCs w:val="23"/>
        </w:rPr>
      </w:pPr>
      <w:r>
        <w:rPr>
          <w:rStyle w:val="CharDefText"/>
          <w:bCs/>
          <w:sz w:val="23"/>
        </w:rPr>
        <w:t>MCE directed review</w:t>
      </w:r>
      <w:r>
        <w:rPr>
          <w:bCs/>
          <w:i/>
          <w:iCs/>
          <w:color w:val="000000"/>
          <w:sz w:val="23"/>
          <w:szCs w:val="23"/>
        </w:rPr>
        <w:t xml:space="preserve"> </w:t>
      </w:r>
      <w:r>
        <w:rPr>
          <w:color w:val="000000"/>
          <w:sz w:val="23"/>
          <w:szCs w:val="23"/>
        </w:rPr>
        <w:t>means a review conducted by the AEMC under Chapter 2 Part 2 Division 4;</w:t>
      </w:r>
    </w:p>
    <w:p>
      <w:pPr>
        <w:keepLines/>
        <w:autoSpaceDE w:val="0"/>
        <w:autoSpaceDN w:val="0"/>
        <w:adjustRightInd w:val="0"/>
        <w:spacing w:before="120"/>
        <w:ind w:left="1588"/>
        <w:rPr>
          <w:color w:val="000000"/>
          <w:sz w:val="23"/>
          <w:szCs w:val="23"/>
        </w:rPr>
      </w:pPr>
      <w:r>
        <w:rPr>
          <w:rStyle w:val="CharDefText"/>
          <w:bCs/>
          <w:sz w:val="23"/>
        </w:rPr>
        <w:t>MCE statement of policy principles</w:t>
      </w:r>
      <w:r>
        <w:rPr>
          <w:bCs/>
          <w:i/>
          <w:iCs/>
          <w:color w:val="000000"/>
          <w:sz w:val="23"/>
          <w:szCs w:val="23"/>
        </w:rPr>
        <w:t xml:space="preserve"> </w:t>
      </w:r>
      <w:r>
        <w:rPr>
          <w:color w:val="000000"/>
          <w:sz w:val="23"/>
          <w:szCs w:val="23"/>
        </w:rPr>
        <w:t>means a statement of policy principles issued by the MCE under section 25;</w:t>
      </w:r>
    </w:p>
    <w:p>
      <w:pPr>
        <w:keepLines/>
        <w:autoSpaceDE w:val="0"/>
        <w:autoSpaceDN w:val="0"/>
        <w:adjustRightInd w:val="0"/>
        <w:spacing w:before="120"/>
        <w:ind w:left="1588"/>
        <w:rPr>
          <w:color w:val="000000"/>
          <w:sz w:val="23"/>
          <w:szCs w:val="23"/>
        </w:rPr>
      </w:pPr>
      <w:r>
        <w:rPr>
          <w:rStyle w:val="CharDefText"/>
          <w:bCs/>
          <w:sz w:val="23"/>
        </w:rPr>
        <w:t>minimum ring fencing requirement</w:t>
      </w:r>
      <w:r>
        <w:rPr>
          <w:bCs/>
          <w:i/>
          <w:iCs/>
          <w:color w:val="000000"/>
          <w:sz w:val="23"/>
          <w:szCs w:val="23"/>
        </w:rPr>
        <w:t xml:space="preserve"> </w:t>
      </w:r>
      <w:r>
        <w:rPr>
          <w:color w:val="000000"/>
          <w:sz w:val="23"/>
          <w:szCs w:val="23"/>
        </w:rPr>
        <w:t>means a requirement under Chapter 4 Part 2 Division 2;</w:t>
      </w:r>
    </w:p>
    <w:p>
      <w:pPr>
        <w:keepLines/>
        <w:autoSpaceDE w:val="0"/>
        <w:autoSpaceDN w:val="0"/>
        <w:adjustRightInd w:val="0"/>
        <w:spacing w:before="120"/>
        <w:ind w:left="1588"/>
        <w:rPr>
          <w:color w:val="000000"/>
          <w:sz w:val="23"/>
          <w:szCs w:val="23"/>
        </w:rPr>
      </w:pPr>
      <w:r>
        <w:rPr>
          <w:rStyle w:val="CharDefText"/>
          <w:bCs/>
          <w:sz w:val="23"/>
        </w:rPr>
        <w:t>Minister of a participating jurisdiction</w:t>
      </w:r>
      <w:r>
        <w:rPr>
          <w:bCs/>
          <w:i/>
          <w:iCs/>
          <w:color w:val="000000"/>
          <w:sz w:val="23"/>
          <w:szCs w:val="23"/>
        </w:rPr>
        <w:t xml:space="preserve"> </w:t>
      </w:r>
      <w:r>
        <w:rPr>
          <w:color w:val="000000"/>
          <w:sz w:val="23"/>
          <w:szCs w:val="23"/>
        </w:rPr>
        <w:t>means a Minister who is a Minister of a participating jurisdiction within the meaning of section 22;</w:t>
      </w:r>
    </w:p>
    <w:p>
      <w:pPr>
        <w:keepNext/>
        <w:keepLines/>
        <w:autoSpaceDE w:val="0"/>
        <w:autoSpaceDN w:val="0"/>
        <w:adjustRightInd w:val="0"/>
        <w:spacing w:before="120"/>
        <w:ind w:left="1588"/>
        <w:rPr>
          <w:color w:val="000000"/>
          <w:sz w:val="23"/>
          <w:szCs w:val="23"/>
        </w:rPr>
      </w:pPr>
      <w:r>
        <w:rPr>
          <w:rStyle w:val="CharDefText"/>
          <w:bCs/>
          <w:sz w:val="23"/>
        </w:rPr>
        <w:lastRenderedPageBreak/>
        <w:t>Ministerial coverage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Commonwealth Minister under section 164;</w:t>
      </w:r>
    </w:p>
    <w:p>
      <w:pPr>
        <w:keepNext/>
        <w:keepLines/>
        <w:autoSpaceDE w:val="0"/>
        <w:autoSpaceDN w:val="0"/>
        <w:adjustRightInd w:val="0"/>
        <w:spacing w:before="120"/>
        <w:ind w:left="1588"/>
        <w:rPr>
          <w:color w:val="000000"/>
          <w:sz w:val="23"/>
          <w:szCs w:val="23"/>
        </w:rPr>
      </w:pPr>
      <w:r>
        <w:rPr>
          <w:rStyle w:val="CharDefText"/>
          <w:bCs/>
          <w:sz w:val="23"/>
        </w:rPr>
        <w:t>national gas legislation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w:t>
      </w:r>
      <w:r>
        <w:rPr>
          <w:i/>
          <w:iCs/>
          <w:color w:val="000000"/>
          <w:sz w:val="23"/>
          <w:szCs w:val="23"/>
        </w:rPr>
        <w:t>National Gas (South Australia) Act 2008</w:t>
      </w:r>
      <w:r>
        <w:rPr>
          <w:color w:val="000000"/>
          <w:sz w:val="23"/>
          <w:szCs w:val="23"/>
        </w:rPr>
        <w:t xml:space="preserve"> of South Australia and Regulations in force under that Act;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w:t>
      </w:r>
      <w:r>
        <w:rPr>
          <w:i/>
          <w:iCs/>
          <w:color w:val="000000"/>
          <w:sz w:val="23"/>
          <w:szCs w:val="23"/>
        </w:rPr>
        <w:t>National Gas (South Australia) Law</w:t>
      </w:r>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w:t>
      </w:r>
      <w:r>
        <w:rPr>
          <w:i/>
          <w:iCs/>
          <w:color w:val="000000"/>
          <w:sz w:val="23"/>
          <w:szCs w:val="23"/>
        </w:rPr>
        <w:t>National Gas Access (Western Australia) Act 2008</w:t>
      </w:r>
      <w:r>
        <w:rPr>
          <w:color w:val="000000"/>
          <w:sz w:val="23"/>
          <w:szCs w:val="23"/>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 xml:space="preserve">the National Gas Access (Western Australia) Law within the meaning given in the </w:t>
      </w:r>
      <w:r>
        <w:rPr>
          <w:i/>
          <w:iCs/>
          <w:color w:val="000000"/>
          <w:sz w:val="23"/>
          <w:szCs w:val="23"/>
        </w:rPr>
        <w:t>National Gas Access (Western Australia) Act 2008</w:t>
      </w:r>
      <w:r>
        <w:rPr>
          <w:color w:val="000000"/>
          <w:sz w:val="23"/>
          <w:szCs w:val="23"/>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 xml:space="preserve">Regulations made under the </w:t>
      </w:r>
      <w:r>
        <w:rPr>
          <w:i/>
          <w:iCs/>
          <w:color w:val="000000"/>
          <w:sz w:val="23"/>
          <w:szCs w:val="23"/>
        </w:rPr>
        <w:t>National Gas Access (Western Australia) Act 2008</w:t>
      </w:r>
      <w:r>
        <w:rPr>
          <w:color w:val="000000"/>
          <w:sz w:val="23"/>
          <w:szCs w:val="23"/>
        </w:rPr>
        <w:t xml:space="preserve"> of Western Australia for the purposes of the National Gas Access (Western Australia)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 Act of a participating jurisdiction (other than South Australia or Western Australia) that applies, as a law of that jurisdiction, any part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Regulations referred to in paragraph (a);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the National Gas Law set out in the Schedule to the </w:t>
      </w:r>
      <w:r>
        <w:rPr>
          <w:i/>
          <w:iCs/>
          <w:color w:val="000000"/>
          <w:sz w:val="23"/>
          <w:szCs w:val="23"/>
        </w:rPr>
        <w:t>National Gas (South Australia) Act 2008</w:t>
      </w:r>
      <w:r>
        <w:rPr>
          <w:color w:val="000000"/>
          <w:sz w:val="23"/>
          <w:szCs w:val="23"/>
        </w:rPr>
        <w:t xml:space="preserve"> of South Australia;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 xml:space="preserve">the National Gas Law set out in the Schedule to the </w:t>
      </w:r>
      <w:r>
        <w:rPr>
          <w:i/>
          <w:iCs/>
          <w:color w:val="000000"/>
          <w:sz w:val="23"/>
          <w:szCs w:val="23"/>
        </w:rPr>
        <w:t>National Gas (South Australia) Act 2008</w:t>
      </w:r>
      <w:r>
        <w:rPr>
          <w:color w:val="000000"/>
          <w:sz w:val="23"/>
          <w:szCs w:val="23"/>
        </w:rPr>
        <w:t xml:space="preserve"> of South Australia as applied as a law of a </w:t>
      </w:r>
      <w:r>
        <w:rPr>
          <w:color w:val="000000"/>
          <w:sz w:val="23"/>
          <w:szCs w:val="23"/>
        </w:rPr>
        <w:lastRenderedPageBreak/>
        <w:t>participating jurisdiction (other than South Australia or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the Regulations referred to in paragraph (a) as applied as a law of a participating jurisdiction (other than South Australia or Western Australia);</w:t>
      </w:r>
    </w:p>
    <w:p>
      <w:pPr>
        <w:keepLines/>
        <w:autoSpaceDE w:val="0"/>
        <w:autoSpaceDN w:val="0"/>
        <w:adjustRightInd w:val="0"/>
        <w:spacing w:before="120"/>
        <w:ind w:left="1588"/>
        <w:rPr>
          <w:color w:val="000000"/>
          <w:sz w:val="23"/>
          <w:szCs w:val="23"/>
        </w:rPr>
      </w:pPr>
      <w:r>
        <w:rPr>
          <w:rStyle w:val="CharDefText"/>
          <w:bCs/>
          <w:sz w:val="23"/>
        </w:rPr>
        <w:t>national gas objective</w:t>
      </w:r>
      <w:r>
        <w:rPr>
          <w:bCs/>
          <w:i/>
          <w:iCs/>
          <w:color w:val="000000"/>
          <w:sz w:val="23"/>
          <w:szCs w:val="23"/>
        </w:rPr>
        <w:t xml:space="preserve"> </w:t>
      </w:r>
      <w:r>
        <w:rPr>
          <w:color w:val="000000"/>
          <w:sz w:val="23"/>
          <w:szCs w:val="23"/>
        </w:rPr>
        <w:t>means the objective set out in section 23;</w:t>
      </w:r>
    </w:p>
    <w:p>
      <w:pPr>
        <w:keepNext/>
        <w:keepLines/>
        <w:autoSpaceDE w:val="0"/>
        <w:autoSpaceDN w:val="0"/>
        <w:adjustRightInd w:val="0"/>
        <w:spacing w:before="120"/>
        <w:ind w:left="1588"/>
        <w:rPr>
          <w:color w:val="000000"/>
          <w:sz w:val="23"/>
          <w:szCs w:val="23"/>
        </w:rPr>
      </w:pPr>
      <w:r>
        <w:rPr>
          <w:rStyle w:val="CharDefText"/>
          <w:bCs/>
          <w:sz w:val="23"/>
        </w:rPr>
        <w:t>National Gas Rules</w:t>
      </w:r>
      <w:r>
        <w:rPr>
          <w:bCs/>
          <w:i/>
          <w:iCs/>
          <w:color w:val="000000"/>
          <w:sz w:val="23"/>
          <w:szCs w:val="23"/>
        </w:rPr>
        <w:t xml:space="preserve"> </w:t>
      </w:r>
      <w:r>
        <w:rPr>
          <w:color w:val="000000"/>
          <w:sz w:val="23"/>
          <w:szCs w:val="23"/>
        </w:rPr>
        <w:t xml:space="preserve">or </w:t>
      </w:r>
      <w:r>
        <w:rPr>
          <w:rStyle w:val="CharDefText"/>
          <w:bCs/>
          <w:sz w:val="23"/>
        </w:rPr>
        <w:t>Rules</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initial National Gas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Rules made by the AEMC under this Law, including Rules that amend or revoke—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initial National Gas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Rules made by it;</w:t>
      </w:r>
    </w:p>
    <w:p>
      <w:pPr>
        <w:keepNext/>
        <w:keepLines/>
        <w:autoSpaceDE w:val="0"/>
        <w:autoSpaceDN w:val="0"/>
        <w:adjustRightInd w:val="0"/>
        <w:spacing w:before="120"/>
        <w:ind w:left="1588"/>
        <w:rPr>
          <w:color w:val="000000"/>
          <w:sz w:val="23"/>
          <w:szCs w:val="23"/>
        </w:rPr>
      </w:pPr>
      <w:r>
        <w:rPr>
          <w:rStyle w:val="CharDefText"/>
          <w:bCs/>
          <w:sz w:val="23"/>
        </w:rPr>
        <w:t>natural gas</w:t>
      </w:r>
      <w:r>
        <w:rPr>
          <w:bCs/>
          <w:i/>
          <w:iCs/>
          <w:color w:val="000000"/>
          <w:sz w:val="23"/>
          <w:szCs w:val="23"/>
        </w:rPr>
        <w:t xml:space="preserve"> </w:t>
      </w:r>
      <w:r>
        <w:rPr>
          <w:color w:val="000000"/>
          <w:sz w:val="23"/>
          <w:szCs w:val="23"/>
        </w:rPr>
        <w:t>means a substance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consists of naturally occurring hydrocarbons, or a naturally occurring mixture of hydrocarbons and non</w:t>
      </w:r>
      <w:r>
        <w:rPr>
          <w:color w:val="000000"/>
          <w:sz w:val="23"/>
          <w:szCs w:val="23"/>
        </w:rPr>
        <w:noBreakHyphen/>
        <w:t>hydrocarbons, the principal constituent of which is methane;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is suitable for consumption;</w:t>
      </w:r>
    </w:p>
    <w:p>
      <w:pPr>
        <w:keepNext/>
        <w:keepLines/>
        <w:autoSpaceDE w:val="0"/>
        <w:autoSpaceDN w:val="0"/>
        <w:adjustRightInd w:val="0"/>
        <w:spacing w:before="120"/>
        <w:ind w:left="1588"/>
        <w:rPr>
          <w:color w:val="000000"/>
          <w:sz w:val="23"/>
          <w:szCs w:val="23"/>
        </w:rPr>
      </w:pPr>
      <w:r>
        <w:rPr>
          <w:rStyle w:val="CharDefText"/>
          <w:bCs/>
          <w:sz w:val="23"/>
        </w:rPr>
        <w:t>natural gas service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supply of natural gas;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service ancillary to the service described in paragraph (b);</w:t>
      </w:r>
    </w:p>
    <w:p>
      <w:pPr>
        <w:keepLines/>
        <w:autoSpaceDE w:val="0"/>
        <w:autoSpaceDN w:val="0"/>
        <w:adjustRightInd w:val="0"/>
        <w:spacing w:before="120"/>
        <w:ind w:left="1588"/>
        <w:rPr>
          <w:color w:val="000000"/>
          <w:sz w:val="23"/>
          <w:szCs w:val="23"/>
        </w:rPr>
      </w:pPr>
      <w:r>
        <w:rPr>
          <w:rStyle w:val="CharDefText"/>
          <w:bCs/>
          <w:sz w:val="23"/>
        </w:rPr>
        <w:t>Natural Gas Services Bulletin Board</w:t>
      </w:r>
      <w:r>
        <w:rPr>
          <w:bCs/>
          <w:i/>
          <w:iCs/>
          <w:color w:val="000000"/>
          <w:sz w:val="23"/>
          <w:szCs w:val="23"/>
        </w:rPr>
        <w:t xml:space="preserve"> </w:t>
      </w:r>
      <w:r>
        <w:rPr>
          <w:color w:val="000000"/>
          <w:sz w:val="23"/>
          <w:szCs w:val="23"/>
        </w:rPr>
        <w:t>means the website maintained by the Bulletin Board operator that contains information of the kind specified in the Rules in relation to natural gas services;</w:t>
      </w:r>
    </w:p>
    <w:p>
      <w:pPr>
        <w:keepLines/>
        <w:autoSpaceDE w:val="0"/>
        <w:autoSpaceDN w:val="0"/>
        <w:adjustRightInd w:val="0"/>
        <w:spacing w:before="120"/>
        <w:ind w:left="1588"/>
        <w:rPr>
          <w:color w:val="000000"/>
          <w:sz w:val="23"/>
          <w:szCs w:val="23"/>
        </w:rPr>
      </w:pPr>
      <w:r>
        <w:rPr>
          <w:rStyle w:val="CharDefText"/>
          <w:bCs/>
          <w:sz w:val="23"/>
        </w:rPr>
        <w:lastRenderedPageBreak/>
        <w:t>NCC</w:t>
      </w:r>
      <w:r>
        <w:rPr>
          <w:color w:val="000000"/>
          <w:sz w:val="23"/>
          <w:szCs w:val="23"/>
        </w:rPr>
        <w:t xml:space="preserve"> means the National Competition Council established by section 29A of the </w:t>
      </w:r>
      <w:r>
        <w:rPr>
          <w:i/>
          <w:iCs/>
          <w:color w:val="000000"/>
          <w:sz w:val="23"/>
          <w:szCs w:val="23"/>
        </w:rPr>
        <w:t>Trade Practices Act 1974</w:t>
      </w:r>
      <w:r>
        <w:rPr>
          <w:color w:val="000000"/>
          <w:sz w:val="23"/>
          <w:szCs w:val="23"/>
        </w:rPr>
        <w:t xml:space="preserve"> of the Commonwealth;</w:t>
      </w:r>
    </w:p>
    <w:p>
      <w:pPr>
        <w:keepNext/>
        <w:keepLines/>
        <w:autoSpaceDE w:val="0"/>
        <w:autoSpaceDN w:val="0"/>
        <w:adjustRightInd w:val="0"/>
        <w:spacing w:before="120"/>
        <w:ind w:left="1588"/>
        <w:rPr>
          <w:color w:val="000000"/>
          <w:sz w:val="23"/>
          <w:szCs w:val="23"/>
        </w:rPr>
      </w:pPr>
      <w:r>
        <w:rPr>
          <w:rStyle w:val="CharDefText"/>
          <w:bCs/>
          <w:sz w:val="23"/>
        </w:rPr>
        <w:t>NCC recommendation or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no</w:t>
      </w:r>
      <w:r>
        <w:rPr>
          <w:color w:val="000000"/>
          <w:sz w:val="23"/>
          <w:szCs w:val="23"/>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price regulation exemption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 decision of the NCC under Chapter 3 Part 2 Division 2 to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 decision of the NCC not to make a decision referred to in paragraph (f) or (g);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advice under section 172;</w:t>
      </w:r>
    </w:p>
    <w:p>
      <w:pPr>
        <w:keepNext/>
        <w:keepLines/>
        <w:autoSpaceDE w:val="0"/>
        <w:autoSpaceDN w:val="0"/>
        <w:adjustRightInd w:val="0"/>
        <w:spacing w:before="120"/>
        <w:ind w:left="1588"/>
        <w:rPr>
          <w:color w:val="000000"/>
          <w:sz w:val="23"/>
          <w:szCs w:val="23"/>
        </w:rPr>
      </w:pPr>
      <w:r>
        <w:rPr>
          <w:rStyle w:val="CharDefText"/>
          <w:bCs/>
          <w:sz w:val="23"/>
        </w:rPr>
        <w:t>new facility</w:t>
      </w:r>
      <w:r>
        <w:rPr>
          <w:bCs/>
          <w:i/>
          <w:iCs/>
          <w:color w:val="000000"/>
          <w:sz w:val="23"/>
          <w:szCs w:val="23"/>
        </w:rPr>
        <w:t xml:space="preserve"> </w:t>
      </w:r>
      <w:r>
        <w:rPr>
          <w:color w:val="000000"/>
          <w:sz w:val="23"/>
          <w:szCs w:val="23"/>
        </w:rPr>
        <w:t>means an extension to, or expansion of the capacity of, a covered pipeline which is to be treated as part of the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extension and expansion requirements contained in an applicable access arrangement applying to the pipeline services provided by means of that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sections 18 and 19.</w:t>
      </w:r>
    </w:p>
    <w:p>
      <w:pPr>
        <w:keepLines/>
        <w:autoSpaceDE w:val="0"/>
        <w:autoSpaceDN w:val="0"/>
        <w:adjustRightInd w:val="0"/>
        <w:spacing w:before="120"/>
        <w:ind w:left="1588"/>
        <w:rPr>
          <w:color w:val="000000"/>
          <w:sz w:val="23"/>
          <w:szCs w:val="23"/>
        </w:rPr>
      </w:pPr>
      <w:r>
        <w:rPr>
          <w:rStyle w:val="CharDefText"/>
          <w:bCs/>
          <w:sz w:val="23"/>
        </w:rPr>
        <w:t>no</w:t>
      </w:r>
      <w:r>
        <w:rPr>
          <w:rStyle w:val="CharDefText"/>
          <w:bCs/>
          <w:sz w:val="23"/>
        </w:rPr>
        <w:noBreakHyphen/>
        <w:t>coverage recommendation</w:t>
      </w:r>
      <w:r>
        <w:rPr>
          <w:bCs/>
          <w:i/>
          <w:iCs/>
          <w:color w:val="000000"/>
          <w:sz w:val="23"/>
          <w:szCs w:val="23"/>
        </w:rPr>
        <w:t xml:space="preserve"> </w:t>
      </w:r>
      <w:r>
        <w:rPr>
          <w:color w:val="000000"/>
          <w:sz w:val="23"/>
          <w:szCs w:val="23"/>
        </w:rPr>
        <w:t>means a recommendation of the NCC under Chapter 5 Part 2;</w:t>
      </w:r>
    </w:p>
    <w:p>
      <w:pPr>
        <w:keepNext/>
        <w:autoSpaceDE w:val="0"/>
        <w:autoSpaceDN w:val="0"/>
        <w:adjustRightInd w:val="0"/>
        <w:spacing w:before="120"/>
        <w:ind w:left="1588"/>
        <w:rPr>
          <w:color w:val="000000"/>
          <w:sz w:val="23"/>
          <w:szCs w:val="23"/>
        </w:rPr>
      </w:pPr>
      <w:r>
        <w:rPr>
          <w:rStyle w:val="CharDefText"/>
          <w:bCs/>
          <w:sz w:val="23"/>
        </w:rPr>
        <w:lastRenderedPageBreak/>
        <w:t>non scheme pipeline user</w:t>
      </w:r>
      <w:r>
        <w:rPr>
          <w:bCs/>
          <w:i/>
          <w:iCs/>
          <w:color w:val="000000"/>
          <w:sz w:val="23"/>
          <w:szCs w:val="23"/>
        </w:rPr>
        <w:t xml:space="preserve"> </w:t>
      </w:r>
      <w:r>
        <w:rPr>
          <w:color w:val="000000"/>
          <w:sz w:val="23"/>
          <w:szCs w:val="23"/>
        </w:rPr>
        <w:t>means a person who—</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 party to a contract with a service provider under which the service provider provides or intends to provide a pipeline service to that person by means of a pipeline that is not a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a right under an access determination to be provided with a pipeline service by means of a pipeline that is not a scheme pipeline;</w:t>
      </w:r>
    </w:p>
    <w:p>
      <w:pPr>
        <w:autoSpaceDE w:val="0"/>
        <w:autoSpaceDN w:val="0"/>
        <w:adjustRightInd w:val="0"/>
        <w:spacing w:before="120"/>
        <w:ind w:left="1588"/>
        <w:rPr>
          <w:color w:val="000000"/>
          <w:sz w:val="23"/>
          <w:szCs w:val="23"/>
        </w:rPr>
      </w:pPr>
      <w:r>
        <w:rPr>
          <w:rStyle w:val="CharDefText"/>
          <w:bCs/>
          <w:sz w:val="23"/>
        </w:rPr>
        <w:t>offence provision</w:t>
      </w:r>
      <w:r>
        <w:rPr>
          <w:bCs/>
          <w:i/>
          <w:iCs/>
          <w:color w:val="000000"/>
          <w:sz w:val="23"/>
          <w:szCs w:val="23"/>
        </w:rPr>
        <w:t xml:space="preserve"> </w:t>
      </w:r>
      <w:r>
        <w:rPr>
          <w:color w:val="000000"/>
          <w:sz w:val="23"/>
          <w:szCs w:val="23"/>
        </w:rPr>
        <w:t>means a provision of this Law the breach or contravention of which by a person exposes that person to a finding of guilt by a court;</w:t>
      </w:r>
    </w:p>
    <w:p>
      <w:pPr>
        <w:keepLines/>
        <w:autoSpaceDE w:val="0"/>
        <w:autoSpaceDN w:val="0"/>
        <w:adjustRightInd w:val="0"/>
        <w:spacing w:before="120"/>
        <w:ind w:left="1588"/>
        <w:rPr>
          <w:color w:val="000000"/>
          <w:sz w:val="23"/>
          <w:szCs w:val="23"/>
        </w:rPr>
      </w:pPr>
      <w:r>
        <w:rPr>
          <w:rStyle w:val="CharDefText"/>
          <w:bCs/>
          <w:sz w:val="23"/>
        </w:rPr>
        <w:t>officer</w:t>
      </w:r>
      <w:r>
        <w:rPr>
          <w:color w:val="000000"/>
          <w:sz w:val="23"/>
          <w:szCs w:val="23"/>
        </w:rPr>
        <w:t xml:space="preserve"> has the same meaning as officer has in relation to a corporation under section 9 of the </w:t>
      </w:r>
      <w:r>
        <w:rPr>
          <w:i/>
          <w:iCs/>
          <w:color w:val="000000"/>
          <w:sz w:val="23"/>
          <w:szCs w:val="23"/>
        </w:rPr>
        <w:t>Corporations Act 2001</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old access law</w:t>
      </w:r>
      <w:r>
        <w:rPr>
          <w:bCs/>
          <w:i/>
          <w:iCs/>
          <w:color w:val="000000"/>
          <w:sz w:val="23"/>
          <w:szCs w:val="23"/>
        </w:rPr>
        <w:t xml:space="preserve"> </w:t>
      </w:r>
      <w:r>
        <w:rPr>
          <w:sz w:val="23"/>
        </w:rPr>
        <w:t xml:space="preserve">means Schedule 1 to the </w:t>
      </w:r>
      <w:r>
        <w:rPr>
          <w:i/>
          <w:sz w:val="23"/>
        </w:rPr>
        <w:t>Gas Pipelines Access (Western Australia) Act 1998</w:t>
      </w:r>
      <w:r>
        <w:rPr>
          <w:sz w:val="23"/>
        </w:rPr>
        <w:t xml:space="preserve"> as in force from time to time before the commencement of section 30 of the </w:t>
      </w:r>
      <w:r>
        <w:rPr>
          <w:i/>
          <w:sz w:val="23"/>
        </w:rPr>
        <w:t>National Gas Access (WA) Act 2009</w:t>
      </w:r>
      <w:r>
        <w:rPr>
          <w:sz w:val="23"/>
        </w:rPr>
        <w:t>;</w:t>
      </w:r>
    </w:p>
    <w:p>
      <w:pPr>
        <w:keepLines/>
        <w:autoSpaceDE w:val="0"/>
        <w:autoSpaceDN w:val="0"/>
        <w:adjustRightInd w:val="0"/>
        <w:spacing w:before="120"/>
        <w:ind w:left="1588"/>
        <w:rPr>
          <w:color w:val="000000"/>
          <w:sz w:val="23"/>
          <w:szCs w:val="23"/>
        </w:rPr>
      </w:pPr>
      <w:r>
        <w:rPr>
          <w:rStyle w:val="CharDefText"/>
          <w:bCs/>
          <w:sz w:val="23"/>
        </w:rPr>
        <w:t>old</w:t>
      </w:r>
      <w:r>
        <w:rPr>
          <w:rStyle w:val="CharDefText"/>
          <w:b w:val="0"/>
          <w:sz w:val="23"/>
        </w:rPr>
        <w:t xml:space="preserve"> </w:t>
      </w:r>
      <w:r>
        <w:rPr>
          <w:rStyle w:val="CharDefText"/>
          <w:bCs/>
          <w:sz w:val="23"/>
        </w:rPr>
        <w:t>scheme classification or determination</w:t>
      </w:r>
      <w:r>
        <w:rPr>
          <w:bCs/>
          <w:i/>
          <w:iCs/>
          <w:color w:val="000000"/>
          <w:sz w:val="23"/>
          <w:szCs w:val="23"/>
        </w:rPr>
        <w:t xml:space="preserve"> </w:t>
      </w:r>
      <w:r>
        <w:rPr>
          <w:color w:val="000000"/>
          <w:sz w:val="23"/>
          <w:szCs w:val="23"/>
        </w:rPr>
        <w:t>means a classification or determination under section 10 or 11 of the old access law in force at any time before the repeal of the old access law;</w:t>
      </w:r>
    </w:p>
    <w:p>
      <w:pPr>
        <w:keepNext/>
        <w:keepLines/>
        <w:autoSpaceDE w:val="0"/>
        <w:autoSpaceDN w:val="0"/>
        <w:adjustRightInd w:val="0"/>
        <w:spacing w:before="120"/>
        <w:ind w:left="1588"/>
        <w:rPr>
          <w:color w:val="000000"/>
          <w:sz w:val="23"/>
          <w:szCs w:val="23"/>
        </w:rPr>
      </w:pPr>
      <w:r>
        <w:rPr>
          <w:rStyle w:val="CharDefText"/>
          <w:bCs/>
          <w:sz w:val="23"/>
        </w:rPr>
        <w:t>old scheme distribution pipeline</w:t>
      </w:r>
      <w:r>
        <w:rPr>
          <w:bCs/>
          <w:i/>
          <w:iCs/>
          <w:color w:val="000000"/>
          <w:sz w:val="23"/>
          <w:szCs w:val="23"/>
        </w:rPr>
        <w:t xml:space="preserve"> </w:t>
      </w:r>
      <w:r>
        <w:rPr>
          <w:color w:val="000000"/>
          <w:sz w:val="23"/>
          <w:szCs w:val="23"/>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distribution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as defined in the Gas Code;</w:t>
      </w:r>
    </w:p>
    <w:p>
      <w:pPr>
        <w:keepNext/>
        <w:keepLines/>
        <w:autoSpaceDE w:val="0"/>
        <w:autoSpaceDN w:val="0"/>
        <w:adjustRightInd w:val="0"/>
        <w:spacing w:before="120"/>
        <w:ind w:left="1588"/>
        <w:rPr>
          <w:color w:val="000000"/>
          <w:sz w:val="23"/>
          <w:szCs w:val="23"/>
        </w:rPr>
      </w:pPr>
      <w:r>
        <w:rPr>
          <w:rStyle w:val="CharDefText"/>
          <w:bCs/>
          <w:sz w:val="23"/>
        </w:rPr>
        <w:t>old scheme transmission pipeline</w:t>
      </w:r>
      <w:r>
        <w:t xml:space="preserve"> </w:t>
      </w:r>
      <w:r>
        <w:rPr>
          <w:color w:val="000000"/>
          <w:sz w:val="23"/>
          <w:szCs w:val="23"/>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transmission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as defined in the Gas Code;</w:t>
      </w:r>
    </w:p>
    <w:p>
      <w:pPr>
        <w:keepLines/>
        <w:autoSpaceDE w:val="0"/>
        <w:autoSpaceDN w:val="0"/>
        <w:adjustRightInd w:val="0"/>
        <w:spacing w:before="120"/>
        <w:ind w:left="1588"/>
        <w:rPr>
          <w:color w:val="000000"/>
          <w:sz w:val="23"/>
          <w:szCs w:val="23"/>
        </w:rPr>
      </w:pPr>
      <w:r>
        <w:rPr>
          <w:rStyle w:val="CharDefText"/>
          <w:bCs/>
          <w:sz w:val="23"/>
        </w:rPr>
        <w:lastRenderedPageBreak/>
        <w:t>participating jurisdiction</w:t>
      </w:r>
      <w:r>
        <w:rPr>
          <w:bCs/>
          <w:i/>
          <w:iCs/>
          <w:color w:val="000000"/>
          <w:sz w:val="23"/>
          <w:szCs w:val="23"/>
        </w:rPr>
        <w:t xml:space="preserve"> </w:t>
      </w:r>
      <w:r>
        <w:rPr>
          <w:color w:val="000000"/>
          <w:sz w:val="23"/>
          <w:szCs w:val="23"/>
        </w:rPr>
        <w:t>means a jurisdiction that is a participating jurisdiction by reason of section 21;</w:t>
      </w:r>
    </w:p>
    <w:p>
      <w:pPr>
        <w:keepNext/>
        <w:autoSpaceDE w:val="0"/>
        <w:autoSpaceDN w:val="0"/>
        <w:adjustRightInd w:val="0"/>
        <w:spacing w:before="120"/>
        <w:ind w:left="1588"/>
        <w:rPr>
          <w:color w:val="000000"/>
          <w:sz w:val="23"/>
          <w:szCs w:val="23"/>
        </w:rPr>
      </w:pPr>
      <w:r>
        <w:rPr>
          <w:rStyle w:val="CharDefText"/>
          <w:bCs/>
          <w:sz w:val="23"/>
        </w:rPr>
        <w:t>pipeline</w:t>
      </w:r>
      <w:r>
        <w:rPr>
          <w:color w:val="000000"/>
          <w:sz w:val="23"/>
          <w:szCs w:val="23"/>
        </w:rPr>
        <w:t xml:space="preserve"> means—</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 or system of pipes for the haulage of natural gas, and any tanks, reservoirs, machinery or equipment directly attached to that pipe or system of pipes;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proposed pipe or system of pipes for the haulage of natural gas, and any proposed tanks, reservoirs, machinery or equipment proposed to be directly attached to the proposed pipe or system of pipes;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part of a pipe or system of pipes or proposed pipe or system of pipes referred to in paragraph (a) or (b),</w:t>
      </w:r>
    </w:p>
    <w:p>
      <w:pPr>
        <w:keepLines/>
        <w:autoSpaceDE w:val="0"/>
        <w:autoSpaceDN w:val="0"/>
        <w:adjustRightInd w:val="0"/>
        <w:spacing w:before="120"/>
        <w:ind w:left="1588"/>
        <w:rPr>
          <w:color w:val="000000"/>
          <w:sz w:val="23"/>
          <w:szCs w:val="23"/>
        </w:rPr>
      </w:pPr>
      <w:r>
        <w:rPr>
          <w:color w:val="000000"/>
          <w:sz w:val="23"/>
          <w:szCs w:val="23"/>
        </w:rPr>
        <w:t>but does not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unless paragraph (e) applies, anything upstream of a prescribed exit flange on a pipeline conveying natural gas from a prescribed gas processing plant;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if a connection point upstream of an exit flange on such a pipeline is prescribed, anything upstream of that point;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gathering system operated as part of an upstream producing operation;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any tanks, reservoirs, machinery or equipment used to remove or add components to or change natural gas (other than odourisation facilities) such as a gas processing plant;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anything downstream of a point on a pipeline from which a person takes natural gas for consumption purposes;</w:t>
      </w:r>
    </w:p>
    <w:p>
      <w:pPr>
        <w:keepLines/>
        <w:autoSpaceDE w:val="0"/>
        <w:autoSpaceDN w:val="0"/>
        <w:adjustRightInd w:val="0"/>
        <w:spacing w:before="120"/>
        <w:ind w:left="1588"/>
        <w:rPr>
          <w:color w:val="000000"/>
          <w:sz w:val="23"/>
          <w:szCs w:val="23"/>
        </w:rPr>
      </w:pPr>
      <w:r>
        <w:rPr>
          <w:rStyle w:val="CharDefText"/>
          <w:bCs/>
          <w:sz w:val="23"/>
        </w:rPr>
        <w:lastRenderedPageBreak/>
        <w:t>pipeline classification criterion</w:t>
      </w:r>
      <w:r>
        <w:rPr>
          <w:bCs/>
          <w:i/>
          <w:iCs/>
          <w:color w:val="000000"/>
          <w:sz w:val="23"/>
          <w:szCs w:val="23"/>
        </w:rPr>
        <w:t xml:space="preserve"> </w:t>
      </w:r>
      <w:r>
        <w:rPr>
          <w:color w:val="000000"/>
          <w:sz w:val="23"/>
          <w:szCs w:val="23"/>
        </w:rPr>
        <w:t>has the meaning given by section 13;</w:t>
      </w:r>
    </w:p>
    <w:p>
      <w:pPr>
        <w:keepLines/>
        <w:autoSpaceDE w:val="0"/>
        <w:autoSpaceDN w:val="0"/>
        <w:adjustRightInd w:val="0"/>
        <w:spacing w:before="120"/>
        <w:ind w:left="1588"/>
        <w:rPr>
          <w:color w:val="000000"/>
          <w:sz w:val="23"/>
          <w:szCs w:val="23"/>
        </w:rPr>
      </w:pPr>
      <w:r>
        <w:rPr>
          <w:rStyle w:val="CharDefText"/>
          <w:bCs/>
          <w:sz w:val="23"/>
        </w:rPr>
        <w:t>pipeline coverage criteria</w:t>
      </w:r>
      <w:r>
        <w:rPr>
          <w:bCs/>
          <w:i/>
          <w:iCs/>
          <w:color w:val="000000"/>
          <w:sz w:val="23"/>
          <w:szCs w:val="23"/>
        </w:rPr>
        <w:t xml:space="preserve"> </w:t>
      </w:r>
      <w:r>
        <w:rPr>
          <w:color w:val="000000"/>
          <w:sz w:val="23"/>
          <w:szCs w:val="23"/>
        </w:rPr>
        <w:t>has the meaning given by section 15;</w:t>
      </w:r>
    </w:p>
    <w:p>
      <w:pPr>
        <w:keepLines/>
        <w:autoSpaceDE w:val="0"/>
        <w:autoSpaceDN w:val="0"/>
        <w:adjustRightInd w:val="0"/>
        <w:spacing w:before="120"/>
        <w:ind w:left="1588"/>
        <w:rPr>
          <w:color w:val="000000"/>
          <w:sz w:val="23"/>
          <w:szCs w:val="23"/>
        </w:rPr>
      </w:pPr>
      <w:r>
        <w:rPr>
          <w:rStyle w:val="CharDefText"/>
          <w:bCs/>
          <w:sz w:val="23"/>
        </w:rPr>
        <w:t>pipeline reliability standard</w:t>
      </w:r>
      <w:r>
        <w:rPr>
          <w:bCs/>
          <w:i/>
          <w:iCs/>
          <w:color w:val="000000"/>
          <w:sz w:val="23"/>
          <w:szCs w:val="23"/>
        </w:rPr>
        <w:t xml:space="preserve"> </w:t>
      </w:r>
      <w:r>
        <w:rPr>
          <w:color w:val="000000"/>
          <w:sz w:val="23"/>
          <w:szCs w:val="23"/>
        </w:rPr>
        <w:t>means a standard imposed by or under an Act of a participating jurisdiction, or any instrument made or issued under or for the purposes of that Act, relating to the reliable haulage of natural gas in that jurisdiction;</w:t>
      </w:r>
    </w:p>
    <w:p>
      <w:pPr>
        <w:autoSpaceDE w:val="0"/>
        <w:autoSpaceDN w:val="0"/>
        <w:adjustRightInd w:val="0"/>
        <w:spacing w:before="120"/>
        <w:ind w:left="1588"/>
        <w:rPr>
          <w:color w:val="000000"/>
          <w:sz w:val="23"/>
          <w:szCs w:val="23"/>
        </w:rPr>
      </w:pPr>
      <w:r>
        <w:rPr>
          <w:rStyle w:val="CharDefText"/>
          <w:bCs/>
          <w:sz w:val="23"/>
        </w:rPr>
        <w:t>pipeline safety duty</w:t>
      </w:r>
      <w:r>
        <w:rPr>
          <w:bCs/>
          <w:i/>
          <w:iCs/>
          <w:color w:val="000000"/>
          <w:sz w:val="23"/>
          <w:szCs w:val="23"/>
        </w:rPr>
        <w:t xml:space="preserve"> </w:t>
      </w:r>
      <w:r>
        <w:rPr>
          <w:color w:val="000000"/>
          <w:sz w:val="23"/>
          <w:szCs w:val="23"/>
        </w:rPr>
        <w:t>means a duty or requirement under an Act of a participating jurisdiction, or any instrument made or issued under or for the purposes of that Act, relating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safe haulage of natural gas in that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safe operation of a pipeline in that jurisdiction;</w:t>
      </w:r>
    </w:p>
    <w:p>
      <w:pPr>
        <w:keepNext/>
        <w:keepLines/>
        <w:autoSpaceDE w:val="0"/>
        <w:autoSpaceDN w:val="0"/>
        <w:adjustRightInd w:val="0"/>
        <w:spacing w:before="120"/>
        <w:ind w:left="1588"/>
        <w:rPr>
          <w:color w:val="000000"/>
          <w:sz w:val="23"/>
          <w:szCs w:val="23"/>
        </w:rPr>
      </w:pPr>
      <w:r>
        <w:rPr>
          <w:rStyle w:val="CharDefText"/>
          <w:bCs/>
          <w:sz w:val="23"/>
        </w:rPr>
        <w:t>pipeline service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provided by means of a pipeline,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haulage service (such as firm haulage, interruptible haulage, spot haulage and backhaul);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service providing for, or facilitating, the interconnection of pipelines;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service ancillary to the provision of a service referred to in paragraph (a),</w:t>
      </w:r>
    </w:p>
    <w:p>
      <w:pPr>
        <w:keepLines/>
        <w:autoSpaceDE w:val="0"/>
        <w:autoSpaceDN w:val="0"/>
        <w:adjustRightInd w:val="0"/>
        <w:spacing w:before="120"/>
        <w:ind w:left="1588"/>
        <w:rPr>
          <w:color w:val="000000"/>
          <w:sz w:val="23"/>
          <w:szCs w:val="23"/>
        </w:rPr>
      </w:pPr>
      <w:r>
        <w:rPr>
          <w:color w:val="000000"/>
          <w:sz w:val="23"/>
          <w:szCs w:val="23"/>
        </w:rPr>
        <w:t>but does not include the production, sale or purchase of natural gas or processable gas;</w:t>
      </w:r>
    </w:p>
    <w:p>
      <w:pPr>
        <w:keepNext/>
        <w:keepLines/>
        <w:autoSpaceDE w:val="0"/>
        <w:autoSpaceDN w:val="0"/>
        <w:adjustRightInd w:val="0"/>
        <w:spacing w:before="120"/>
        <w:ind w:left="1588"/>
        <w:rPr>
          <w:color w:val="000000"/>
          <w:sz w:val="23"/>
          <w:szCs w:val="23"/>
        </w:rPr>
      </w:pPr>
      <w:r>
        <w:rPr>
          <w:rStyle w:val="CharDefText"/>
          <w:bCs/>
          <w:sz w:val="23"/>
        </w:rPr>
        <w:t>pipeline service standard</w:t>
      </w:r>
      <w:r>
        <w:rPr>
          <w:bCs/>
          <w:i/>
          <w:iCs/>
          <w:color w:val="000000"/>
          <w:sz w:val="23"/>
          <w:szCs w:val="23"/>
        </w:rPr>
        <w:t xml:space="preserve"> </w:t>
      </w:r>
      <w:r>
        <w:rPr>
          <w:color w:val="000000"/>
          <w:sz w:val="23"/>
          <w:szCs w:val="23"/>
        </w:rPr>
        <w:t>means a standard relating to the standard of the pipeline services provided by a service provider by means of a covered pipeline imposed—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or under jurisdictional gas legislation;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by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under an access arrangement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accordance with the Rules;</w:t>
      </w:r>
    </w:p>
    <w:p>
      <w:pPr>
        <w:keepNext/>
        <w:keepLines/>
        <w:autoSpaceDE w:val="0"/>
        <w:autoSpaceDN w:val="0"/>
        <w:adjustRightInd w:val="0"/>
        <w:spacing w:before="120"/>
        <w:ind w:left="1588"/>
        <w:rPr>
          <w:color w:val="000000"/>
          <w:sz w:val="23"/>
          <w:szCs w:val="23"/>
        </w:rPr>
      </w:pPr>
      <w:r>
        <w:rPr>
          <w:rStyle w:val="CharDefText"/>
          <w:bCs/>
          <w:sz w:val="23"/>
        </w:rPr>
        <w:t>price or revenue regulation</w:t>
      </w:r>
      <w:r>
        <w:rPr>
          <w:bCs/>
          <w:i/>
          <w:iCs/>
          <w:color w:val="000000"/>
          <w:sz w:val="23"/>
          <w:szCs w:val="23"/>
        </w:rPr>
        <w:t xml:space="preserve"> </w:t>
      </w:r>
      <w:r>
        <w:rPr>
          <w:color w:val="000000"/>
          <w:sz w:val="23"/>
          <w:szCs w:val="23"/>
        </w:rPr>
        <w:t>means regulation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prices, charges or tariffs for pipeline services to be, or that are to be, provided;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revenue to be, or that is to be, derived from the provision of pipeline services;</w:t>
      </w:r>
    </w:p>
    <w:p>
      <w:pPr>
        <w:keepLines/>
        <w:autoSpaceDE w:val="0"/>
        <w:autoSpaceDN w:val="0"/>
        <w:adjustRightInd w:val="0"/>
        <w:spacing w:before="120"/>
        <w:ind w:left="1588"/>
        <w:rPr>
          <w:color w:val="000000"/>
          <w:sz w:val="23"/>
          <w:szCs w:val="23"/>
        </w:rPr>
      </w:pPr>
      <w:r>
        <w:rPr>
          <w:rStyle w:val="CharDefText"/>
          <w:bCs/>
          <w:sz w:val="23"/>
        </w:rPr>
        <w:t>price regulation exemption</w:t>
      </w:r>
      <w:r>
        <w:rPr>
          <w:bCs/>
          <w:i/>
          <w:iCs/>
          <w:color w:val="000000"/>
          <w:sz w:val="23"/>
          <w:szCs w:val="23"/>
        </w:rPr>
        <w:t xml:space="preserve"> </w:t>
      </w:r>
      <w:r>
        <w:rPr>
          <w:color w:val="000000"/>
          <w:sz w:val="23"/>
          <w:szCs w:val="23"/>
        </w:rPr>
        <w:t>means an exemption under Chapter 5 Part 3;</w:t>
      </w:r>
    </w:p>
    <w:p>
      <w:pPr>
        <w:keepLines/>
        <w:autoSpaceDE w:val="0"/>
        <w:autoSpaceDN w:val="0"/>
        <w:adjustRightInd w:val="0"/>
        <w:spacing w:before="120"/>
        <w:ind w:left="1588"/>
        <w:rPr>
          <w:color w:val="000000"/>
          <w:sz w:val="23"/>
          <w:szCs w:val="23"/>
        </w:rPr>
      </w:pPr>
      <w:r>
        <w:rPr>
          <w:rStyle w:val="CharDefText"/>
          <w:bCs/>
          <w:sz w:val="23"/>
        </w:rPr>
        <w:t>price regulation exemption recommendation</w:t>
      </w:r>
      <w:r>
        <w:rPr>
          <w:bCs/>
          <w:i/>
          <w:iCs/>
          <w:color w:val="000000"/>
          <w:sz w:val="23"/>
          <w:szCs w:val="23"/>
        </w:rPr>
        <w:t xml:space="preserve"> </w:t>
      </w:r>
      <w:r>
        <w:rPr>
          <w:color w:val="000000"/>
          <w:sz w:val="23"/>
          <w:szCs w:val="23"/>
        </w:rPr>
        <w:t>means a recommendation of the NCC under section 162;</w:t>
      </w:r>
    </w:p>
    <w:p>
      <w:pPr>
        <w:keepNext/>
        <w:keepLines/>
        <w:autoSpaceDE w:val="0"/>
        <w:autoSpaceDN w:val="0"/>
        <w:adjustRightInd w:val="0"/>
        <w:spacing w:before="120"/>
        <w:ind w:left="1588"/>
        <w:rPr>
          <w:color w:val="000000"/>
          <w:sz w:val="23"/>
          <w:szCs w:val="23"/>
        </w:rPr>
      </w:pPr>
      <w:r>
        <w:rPr>
          <w:rStyle w:val="CharDefText"/>
          <w:bCs/>
          <w:sz w:val="23"/>
        </w:rPr>
        <w:t>processable gas</w:t>
      </w:r>
      <w:r>
        <w:rPr>
          <w:i/>
          <w:iCs/>
          <w:color w:val="000000"/>
          <w:sz w:val="23"/>
          <w:szCs w:val="23"/>
        </w:rPr>
        <w:t xml:space="preserve"> </w:t>
      </w:r>
      <w:r>
        <w:rPr>
          <w:color w:val="000000"/>
          <w:sz w:val="23"/>
          <w:szCs w:val="23"/>
        </w:rPr>
        <w:t>means a substance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consists of naturally occurring hydrocarbons, or a naturally occurring mixture of hydrocarbons and non</w:t>
      </w:r>
      <w:r>
        <w:rPr>
          <w:color w:val="000000"/>
          <w:sz w:val="23"/>
          <w:szCs w:val="23"/>
        </w:rPr>
        <w:noBreakHyphen/>
        <w:t>hydrocarbons, the principal constituent of which is methane;</w:t>
      </w:r>
    </w:p>
    <w:p>
      <w:pPr>
        <w:keepLines/>
        <w:autoSpaceDE w:val="0"/>
        <w:autoSpaceDN w:val="0"/>
        <w:adjustRightInd w:val="0"/>
        <w:spacing w:before="120"/>
        <w:ind w:left="1588"/>
        <w:rPr>
          <w:color w:val="000000"/>
          <w:sz w:val="23"/>
          <w:szCs w:val="23"/>
        </w:rPr>
      </w:pPr>
      <w:r>
        <w:rPr>
          <w:rStyle w:val="CharDefText"/>
          <w:bCs/>
          <w:sz w:val="23"/>
        </w:rPr>
        <w:t>producer</w:t>
      </w:r>
      <w:r>
        <w:rPr>
          <w:color w:val="000000"/>
          <w:sz w:val="23"/>
          <w:szCs w:val="23"/>
        </w:rPr>
        <w:t xml:space="preserve"> means a person who carries on a business of producing natural gas;</w:t>
      </w:r>
    </w:p>
    <w:p>
      <w:pPr>
        <w:keepLines/>
        <w:autoSpaceDE w:val="0"/>
        <w:autoSpaceDN w:val="0"/>
        <w:adjustRightInd w:val="0"/>
        <w:spacing w:before="120"/>
        <w:ind w:left="1588"/>
        <w:rPr>
          <w:color w:val="000000"/>
          <w:sz w:val="23"/>
          <w:szCs w:val="23"/>
        </w:rPr>
      </w:pPr>
      <w:r>
        <w:rPr>
          <w:rStyle w:val="CharDefText"/>
          <w:bCs/>
          <w:sz w:val="23"/>
        </w:rPr>
        <w:t>prospective user</w:t>
      </w:r>
      <w:r>
        <w:rPr>
          <w:bCs/>
          <w:i/>
          <w:iCs/>
          <w:color w:val="000000"/>
          <w:sz w:val="23"/>
          <w:szCs w:val="23"/>
        </w:rPr>
        <w:t xml:space="preserve"> </w:t>
      </w:r>
      <w:r>
        <w:rPr>
          <w:color w:val="000000"/>
          <w:sz w:val="23"/>
          <w:szCs w:val="23"/>
        </w:rPr>
        <w:t>has the meaning given by section 5;</w:t>
      </w:r>
    </w:p>
    <w:p>
      <w:pPr>
        <w:keepLines/>
        <w:autoSpaceDE w:val="0"/>
        <w:autoSpaceDN w:val="0"/>
        <w:adjustRightInd w:val="0"/>
        <w:spacing w:before="120"/>
        <w:ind w:left="1588"/>
        <w:rPr>
          <w:color w:val="000000"/>
          <w:sz w:val="23"/>
          <w:szCs w:val="23"/>
        </w:rPr>
      </w:pPr>
      <w:r>
        <w:rPr>
          <w:rStyle w:val="CharDefText"/>
          <w:bCs/>
          <w:sz w:val="23"/>
        </w:rPr>
        <w:t>queuing requirements</w:t>
      </w:r>
      <w:r>
        <w:rPr>
          <w:bCs/>
          <w:i/>
          <w:iCs/>
          <w:color w:val="000000"/>
          <w:sz w:val="23"/>
          <w:szCs w:val="23"/>
        </w:rPr>
        <w:t xml:space="preserve"> </w:t>
      </w:r>
      <w:r>
        <w:rPr>
          <w:color w:val="000000"/>
          <w:sz w:val="23"/>
          <w:szCs w:val="23"/>
        </w:rPr>
        <w:t>means terms and conditions providing for the priority that a prospective user has, as against any other prospective user, to obtain access to spare capacity and developable capacity;</w:t>
      </w:r>
    </w:p>
    <w:p>
      <w:pPr>
        <w:keepLines/>
        <w:autoSpaceDE w:val="0"/>
        <w:autoSpaceDN w:val="0"/>
        <w:adjustRightInd w:val="0"/>
        <w:spacing w:before="120"/>
        <w:ind w:left="1588"/>
        <w:rPr>
          <w:color w:val="000000"/>
          <w:sz w:val="23"/>
          <w:szCs w:val="23"/>
        </w:rPr>
      </w:pPr>
      <w:r>
        <w:rPr>
          <w:rStyle w:val="CharDefText"/>
          <w:sz w:val="23"/>
          <w:szCs w:val="23"/>
        </w:rPr>
        <w:t>rate of return instrument</w:t>
      </w:r>
      <w:r>
        <w:rPr>
          <w:color w:val="000000"/>
          <w:sz w:val="23"/>
          <w:szCs w:val="23"/>
        </w:rPr>
        <w:t>—see section 30D(2);</w:t>
      </w:r>
    </w:p>
    <w:p>
      <w:pPr>
        <w:keepLines/>
        <w:autoSpaceDE w:val="0"/>
        <w:autoSpaceDN w:val="0"/>
        <w:adjustRightInd w:val="0"/>
        <w:spacing w:before="120"/>
        <w:ind w:left="1588"/>
        <w:rPr>
          <w:color w:val="000000"/>
          <w:sz w:val="23"/>
          <w:szCs w:val="23"/>
        </w:rPr>
      </w:pPr>
      <w:r>
        <w:rPr>
          <w:rStyle w:val="CharDefText"/>
          <w:bCs/>
          <w:sz w:val="23"/>
        </w:rPr>
        <w:t>reclassification decision</w:t>
      </w:r>
      <w:r>
        <w:rPr>
          <w:bCs/>
          <w:i/>
          <w:iCs/>
          <w:color w:val="000000"/>
          <w:sz w:val="23"/>
          <w:szCs w:val="23"/>
        </w:rPr>
        <w:t xml:space="preserve"> </w:t>
      </w:r>
      <w:r>
        <w:rPr>
          <w:color w:val="000000"/>
          <w:sz w:val="23"/>
          <w:szCs w:val="23"/>
        </w:rPr>
        <w:t>means a decision of the NCC under Chapter 3 Part 5;</w:t>
      </w:r>
    </w:p>
    <w:p>
      <w:pPr>
        <w:keepLines/>
        <w:autoSpaceDE w:val="0"/>
        <w:autoSpaceDN w:val="0"/>
        <w:adjustRightInd w:val="0"/>
        <w:spacing w:before="120"/>
        <w:ind w:left="1588"/>
        <w:rPr>
          <w:color w:val="000000"/>
          <w:sz w:val="23"/>
          <w:szCs w:val="23"/>
        </w:rPr>
      </w:pPr>
      <w:r>
        <w:rPr>
          <w:rStyle w:val="CharDefText"/>
          <w:bCs/>
          <w:sz w:val="23"/>
        </w:rPr>
        <w:lastRenderedPageBreak/>
        <w:t>reference service</w:t>
      </w:r>
      <w:r>
        <w:rPr>
          <w:bCs/>
          <w:i/>
          <w:iCs/>
          <w:color w:val="000000"/>
          <w:sz w:val="23"/>
          <w:szCs w:val="23"/>
        </w:rPr>
        <w:t xml:space="preserve"> </w:t>
      </w:r>
      <w:r>
        <w:rPr>
          <w:color w:val="000000"/>
          <w:sz w:val="23"/>
          <w:szCs w:val="23"/>
        </w:rPr>
        <w:t>means a pipeline service specified by, or determined or approved by the AER under, the Rules as a reference service;</w:t>
      </w:r>
    </w:p>
    <w:p>
      <w:pPr>
        <w:keepNext/>
        <w:autoSpaceDE w:val="0"/>
        <w:autoSpaceDN w:val="0"/>
        <w:adjustRightInd w:val="0"/>
        <w:spacing w:before="120"/>
        <w:ind w:left="1588"/>
        <w:rPr>
          <w:color w:val="000000"/>
          <w:sz w:val="23"/>
          <w:szCs w:val="23"/>
        </w:rPr>
      </w:pPr>
      <w:r>
        <w:rPr>
          <w:rStyle w:val="CharDefText"/>
          <w:bCs/>
          <w:sz w:val="23"/>
        </w:rPr>
        <w:t>reference tariff</w:t>
      </w:r>
      <w:r>
        <w:rPr>
          <w:bCs/>
          <w:i/>
          <w:iCs/>
          <w:color w:val="000000"/>
          <w:sz w:val="23"/>
          <w:szCs w:val="23"/>
        </w:rPr>
        <w:t xml:space="preserve"> </w:t>
      </w:r>
      <w:r>
        <w:rPr>
          <w:color w:val="000000"/>
          <w:sz w:val="23"/>
          <w:szCs w:val="23"/>
        </w:rPr>
        <w:t>means a tariff or charge for a reference service—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specified in an applicable access arrangement approved or made under 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determined by applying the formula or methodology contained in an applicable access arrangement approved or made under a full access arrangement decision;</w:t>
      </w:r>
    </w:p>
    <w:p>
      <w:pPr>
        <w:keepLines/>
        <w:autoSpaceDE w:val="0"/>
        <w:autoSpaceDN w:val="0"/>
        <w:adjustRightInd w:val="0"/>
        <w:spacing w:before="120"/>
        <w:ind w:left="1588"/>
        <w:rPr>
          <w:color w:val="000000"/>
          <w:sz w:val="23"/>
          <w:szCs w:val="23"/>
        </w:rPr>
      </w:pPr>
      <w:r>
        <w:rPr>
          <w:rStyle w:val="CharDefText"/>
          <w:bCs/>
          <w:sz w:val="23"/>
        </w:rPr>
        <w:t>Regulations</w:t>
      </w:r>
      <w:r>
        <w:rPr>
          <w:color w:val="000000"/>
          <w:sz w:val="23"/>
          <w:szCs w:val="23"/>
        </w:rPr>
        <w:t xml:space="preserve"> </w:t>
      </w:r>
      <w:r>
        <w:rPr>
          <w:sz w:val="23"/>
        </w:rPr>
        <w:t xml:space="preserve">means the regulations made under Part 3 of the </w:t>
      </w:r>
      <w:r>
        <w:rPr>
          <w:i/>
          <w:sz w:val="23"/>
        </w:rPr>
        <w:t>National Gas Access (WA) Act 2009</w:t>
      </w:r>
      <w:r>
        <w:rPr>
          <w:sz w:val="23"/>
        </w:rPr>
        <w:t xml:space="preserve"> that apply as a law of this jurisdiction;</w:t>
      </w:r>
    </w:p>
    <w:p>
      <w:pPr>
        <w:keepLines/>
        <w:autoSpaceDE w:val="0"/>
        <w:autoSpaceDN w:val="0"/>
        <w:adjustRightInd w:val="0"/>
        <w:spacing w:before="120"/>
        <w:ind w:left="1588"/>
        <w:rPr>
          <w:color w:val="000000"/>
          <w:sz w:val="23"/>
          <w:szCs w:val="23"/>
        </w:rPr>
      </w:pPr>
      <w:r>
        <w:rPr>
          <w:rStyle w:val="CharDefText"/>
          <w:bCs/>
          <w:sz w:val="23"/>
        </w:rPr>
        <w:t>regulator</w:t>
      </w:r>
      <w:r>
        <w:rPr>
          <w:sz w:val="23"/>
        </w:rPr>
        <w:t xml:space="preserve"> has the meaning given to that term in </w:t>
      </w:r>
      <w:r>
        <w:rPr>
          <w:iCs/>
          <w:sz w:val="23"/>
        </w:rPr>
        <w:t xml:space="preserve">section 9(1) of </w:t>
      </w:r>
      <w:r>
        <w:rPr>
          <w:sz w:val="23"/>
        </w:rPr>
        <w:t xml:space="preserve">the </w:t>
      </w:r>
      <w:r>
        <w:rPr>
          <w:i/>
          <w:sz w:val="23"/>
        </w:rPr>
        <w:t>National Gas Access (WA) Act 2009;</w:t>
      </w:r>
    </w:p>
    <w:p>
      <w:pPr>
        <w:keepNext/>
        <w:keepLines/>
        <w:autoSpaceDE w:val="0"/>
        <w:autoSpaceDN w:val="0"/>
        <w:adjustRightInd w:val="0"/>
        <w:spacing w:before="120"/>
        <w:ind w:left="1588"/>
        <w:rPr>
          <w:color w:val="000000"/>
          <w:sz w:val="23"/>
          <w:szCs w:val="23"/>
        </w:rPr>
      </w:pPr>
      <w:r>
        <w:rPr>
          <w:rStyle w:val="CharDefText"/>
          <w:bCs/>
          <w:sz w:val="23"/>
        </w:rPr>
        <w:t>regulatory information instrument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general regulatory information order;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regulatory information notice;</w:t>
      </w:r>
    </w:p>
    <w:p>
      <w:pPr>
        <w:keepLines/>
        <w:autoSpaceDE w:val="0"/>
        <w:autoSpaceDN w:val="0"/>
        <w:adjustRightInd w:val="0"/>
        <w:spacing w:before="120"/>
        <w:ind w:left="1588"/>
        <w:rPr>
          <w:color w:val="000000"/>
          <w:sz w:val="23"/>
          <w:szCs w:val="23"/>
        </w:rPr>
      </w:pPr>
      <w:r>
        <w:rPr>
          <w:rStyle w:val="CharDefText"/>
          <w:bCs/>
          <w:sz w:val="23"/>
        </w:rPr>
        <w:t xml:space="preserve">regulatory information notice </w:t>
      </w:r>
      <w:r>
        <w:rPr>
          <w:color w:val="000000"/>
          <w:sz w:val="23"/>
          <w:szCs w:val="23"/>
        </w:rPr>
        <w:t>has the meaning given by section 46;</w:t>
      </w:r>
    </w:p>
    <w:p>
      <w:pPr>
        <w:keepLines/>
        <w:autoSpaceDE w:val="0"/>
        <w:autoSpaceDN w:val="0"/>
        <w:adjustRightInd w:val="0"/>
        <w:spacing w:before="120"/>
        <w:ind w:left="1588"/>
        <w:rPr>
          <w:color w:val="000000"/>
          <w:sz w:val="23"/>
          <w:szCs w:val="23"/>
        </w:rPr>
      </w:pPr>
      <w:r>
        <w:rPr>
          <w:rStyle w:val="CharDefText"/>
          <w:bCs/>
          <w:sz w:val="23"/>
        </w:rPr>
        <w:t>regulatory obligation or requirement</w:t>
      </w:r>
      <w:r>
        <w:rPr>
          <w:bCs/>
          <w:i/>
          <w:iCs/>
          <w:color w:val="000000"/>
          <w:sz w:val="23"/>
          <w:szCs w:val="23"/>
        </w:rPr>
        <w:t xml:space="preserve"> </w:t>
      </w:r>
      <w:r>
        <w:rPr>
          <w:color w:val="000000"/>
          <w:sz w:val="23"/>
          <w:szCs w:val="23"/>
        </w:rPr>
        <w:t>has the meaning given by section 6;</w:t>
      </w:r>
    </w:p>
    <w:p>
      <w:pPr>
        <w:keepLines/>
        <w:autoSpaceDE w:val="0"/>
        <w:autoSpaceDN w:val="0"/>
        <w:adjustRightInd w:val="0"/>
        <w:spacing w:before="120"/>
        <w:ind w:left="1588"/>
        <w:rPr>
          <w:color w:val="000000"/>
          <w:sz w:val="23"/>
          <w:szCs w:val="23"/>
        </w:rPr>
      </w:pPr>
      <w:r>
        <w:rPr>
          <w:rStyle w:val="CharDefText"/>
          <w:sz w:val="23"/>
        </w:rPr>
        <w:t>regulatory</w:t>
      </w:r>
      <w:r>
        <w:rPr>
          <w:rStyle w:val="CharDefText"/>
          <w:bCs/>
          <w:sz w:val="23"/>
        </w:rPr>
        <w:t xml:space="preserve"> payment </w:t>
      </w:r>
      <w:r>
        <w:rPr>
          <w:color w:val="000000"/>
          <w:sz w:val="23"/>
          <w:szCs w:val="23"/>
        </w:rPr>
        <w:t>has the meaning given by section 7;</w:t>
      </w:r>
    </w:p>
    <w:p>
      <w:pPr>
        <w:keepNext/>
        <w:keepLines/>
        <w:autoSpaceDE w:val="0"/>
        <w:autoSpaceDN w:val="0"/>
        <w:adjustRightInd w:val="0"/>
        <w:spacing w:before="120"/>
        <w:ind w:left="1588"/>
        <w:rPr>
          <w:color w:val="000000"/>
          <w:sz w:val="23"/>
          <w:szCs w:val="23"/>
        </w:rPr>
      </w:pPr>
      <w:r>
        <w:rPr>
          <w:rStyle w:val="CharDefText"/>
          <w:bCs/>
          <w:sz w:val="23"/>
        </w:rPr>
        <w:t>relevant Minister</w:t>
      </w:r>
      <w:r>
        <w:rPr>
          <w:bCs/>
          <w:i/>
          <w:iCs/>
          <w:color w:val="000000"/>
          <w:sz w:val="23"/>
          <w:szCs w:val="23"/>
        </w:rPr>
        <w:t xml:space="preserve"> </w:t>
      </w:r>
      <w:r>
        <w:rPr>
          <w:color w:val="000000"/>
          <w:sz w:val="23"/>
          <w:szCs w:val="23"/>
        </w:rPr>
        <w:t>means if, in a coverage recommendation, no</w:t>
      </w:r>
      <w:r>
        <w:rPr>
          <w:color w:val="000000"/>
          <w:sz w:val="23"/>
          <w:szCs w:val="23"/>
        </w:rPr>
        <w:noBreakHyphen/>
        <w:t>coverage recommendation, classification decision under the Rules or reclassification decision, the NCC determines the pipeline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cross boundary transmission pipeline—the Commonwealth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a transmission pipeline situated wholly within a participating jurisdiction—the designated Minister;</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The term designated Minister is defined in the Act of this jurisdiction that applies this Law as a law of this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distribution pipeline situated wholly within a participating jurisdiction—the Minister of the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cross boundary distribution pipeline—the Minister of the participating jurisdiction determined by the NCC in the recommendation as being the participating jurisdiction with which the cross boundary distribution pipeline is most closely connected;</w:t>
      </w:r>
    </w:p>
    <w:p>
      <w:pPr>
        <w:keepLines/>
        <w:autoSpaceDE w:val="0"/>
        <w:autoSpaceDN w:val="0"/>
        <w:adjustRightInd w:val="0"/>
        <w:spacing w:before="120"/>
        <w:ind w:left="1588"/>
        <w:rPr>
          <w:color w:val="000000"/>
          <w:sz w:val="23"/>
          <w:szCs w:val="23"/>
        </w:rPr>
      </w:pPr>
      <w:r>
        <w:rPr>
          <w:rStyle w:val="CharDefText"/>
          <w:bCs/>
          <w:sz w:val="23"/>
        </w:rPr>
        <w:t>relevant Regulator</w:t>
      </w:r>
      <w:r>
        <w:rPr>
          <w:bCs/>
          <w:i/>
          <w:iCs/>
          <w:color w:val="000000"/>
          <w:sz w:val="23"/>
          <w:szCs w:val="23"/>
        </w:rPr>
        <w:t xml:space="preserve"> </w:t>
      </w:r>
      <w:r>
        <w:rPr>
          <w:color w:val="000000"/>
          <w:sz w:val="23"/>
          <w:szCs w:val="23"/>
        </w:rPr>
        <w:t>has the same meaning as in section 2 of the old access law;</w:t>
      </w:r>
    </w:p>
    <w:p>
      <w:pPr>
        <w:keepLines/>
        <w:autoSpaceDE w:val="0"/>
        <w:autoSpaceDN w:val="0"/>
        <w:adjustRightInd w:val="0"/>
        <w:spacing w:before="120"/>
        <w:ind w:left="1588"/>
        <w:rPr>
          <w:color w:val="000000"/>
          <w:sz w:val="23"/>
          <w:szCs w:val="23"/>
        </w:rPr>
      </w:pPr>
      <w:r>
        <w:rPr>
          <w:rStyle w:val="CharDefText"/>
          <w:bCs/>
          <w:sz w:val="23"/>
        </w:rPr>
        <w:t>revenue and pricing principles</w:t>
      </w:r>
      <w:r>
        <w:rPr>
          <w:bCs/>
          <w:i/>
          <w:iCs/>
          <w:color w:val="000000"/>
          <w:sz w:val="23"/>
          <w:szCs w:val="23"/>
        </w:rPr>
        <w:t xml:space="preserve"> </w:t>
      </w:r>
      <w:r>
        <w:rPr>
          <w:color w:val="000000"/>
          <w:sz w:val="23"/>
          <w:szCs w:val="23"/>
        </w:rPr>
        <w:t>means the principles set out in section 24;</w:t>
      </w:r>
    </w:p>
    <w:p>
      <w:pPr>
        <w:keepNext/>
        <w:keepLines/>
        <w:autoSpaceDE w:val="0"/>
        <w:autoSpaceDN w:val="0"/>
        <w:adjustRightInd w:val="0"/>
        <w:spacing w:before="120"/>
        <w:ind w:left="1588"/>
        <w:rPr>
          <w:color w:val="000000"/>
          <w:sz w:val="23"/>
          <w:szCs w:val="23"/>
        </w:rPr>
      </w:pPr>
      <w:r>
        <w:rPr>
          <w:rStyle w:val="CharDefText"/>
          <w:bCs/>
          <w:sz w:val="23"/>
          <w:szCs w:val="23"/>
        </w:rPr>
        <w:t>reviewable regulatory decision</w:t>
      </w:r>
      <w:r>
        <w:rPr>
          <w:color w:val="000000"/>
          <w:sz w:val="23"/>
          <w:szCs w:val="23"/>
        </w:rPr>
        <w:t xml:space="preserve"> has the meaning given by section 244;</w:t>
      </w:r>
    </w:p>
    <w:p>
      <w:pPr>
        <w:keepNext/>
        <w:keepLines/>
        <w:autoSpaceDE w:val="0"/>
        <w:autoSpaceDN w:val="0"/>
        <w:adjustRightInd w:val="0"/>
        <w:spacing w:before="120"/>
        <w:ind w:left="1588"/>
        <w:rPr>
          <w:color w:val="000000"/>
          <w:sz w:val="23"/>
          <w:szCs w:val="23"/>
        </w:rPr>
      </w:pPr>
      <w:r>
        <w:rPr>
          <w:rStyle w:val="CharDefText"/>
          <w:bCs/>
          <w:sz w:val="23"/>
        </w:rPr>
        <w:t>ring fencing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under section 146 granting or not granting an exemption under that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associate contract decision;</w:t>
      </w:r>
    </w:p>
    <w:p>
      <w:pPr>
        <w:keepNext/>
        <w:keepLines/>
        <w:autoSpaceDE w:val="0"/>
        <w:autoSpaceDN w:val="0"/>
        <w:adjustRightInd w:val="0"/>
        <w:spacing w:before="120"/>
        <w:ind w:left="1588"/>
        <w:rPr>
          <w:color w:val="000000"/>
          <w:sz w:val="23"/>
          <w:szCs w:val="23"/>
        </w:rPr>
      </w:pPr>
      <w:r>
        <w:rPr>
          <w:rStyle w:val="CharDefText"/>
          <w:bCs/>
          <w:sz w:val="23"/>
        </w:rPr>
        <w:t>scheme pipeline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international pipeline to which a price regulation exemption applies;</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has the meaning given by section 8;</w:t>
      </w:r>
    </w:p>
    <w:p>
      <w:pPr>
        <w:keepLines/>
        <w:autoSpaceDE w:val="0"/>
        <w:autoSpaceDN w:val="0"/>
        <w:adjustRightInd w:val="0"/>
        <w:spacing w:before="120"/>
        <w:ind w:left="1588"/>
        <w:rPr>
          <w:color w:val="000000"/>
          <w:sz w:val="23"/>
          <w:szCs w:val="23"/>
        </w:rPr>
      </w:pPr>
      <w:r>
        <w:rPr>
          <w:rStyle w:val="CharDefText"/>
          <w:bCs/>
          <w:sz w:val="23"/>
        </w:rPr>
        <w:lastRenderedPageBreak/>
        <w:t>service provider performance report</w:t>
      </w:r>
      <w:r>
        <w:rPr>
          <w:bCs/>
          <w:i/>
          <w:iCs/>
          <w:color w:val="000000"/>
          <w:sz w:val="23"/>
          <w:szCs w:val="23"/>
        </w:rPr>
        <w:t xml:space="preserve"> </w:t>
      </w:r>
      <w:r>
        <w:rPr>
          <w:color w:val="000000"/>
          <w:sz w:val="23"/>
          <w:szCs w:val="23"/>
        </w:rPr>
        <w:t>means a report prepared by the AER under section 64;</w:t>
      </w:r>
    </w:p>
    <w:p>
      <w:pPr>
        <w:keepLines/>
        <w:autoSpaceDE w:val="0"/>
        <w:autoSpaceDN w:val="0"/>
        <w:adjustRightInd w:val="0"/>
        <w:spacing w:before="120"/>
        <w:ind w:left="1588"/>
        <w:rPr>
          <w:color w:val="000000"/>
          <w:sz w:val="23"/>
          <w:szCs w:val="23"/>
        </w:rPr>
      </w:pPr>
      <w:r>
        <w:rPr>
          <w:rStyle w:val="CharDefText"/>
          <w:bCs/>
          <w:sz w:val="23"/>
        </w:rPr>
        <w:t xml:space="preserve">spare capacity </w:t>
      </w:r>
      <w:r>
        <w:rPr>
          <w:color w:val="000000"/>
          <w:sz w:val="23"/>
          <w:szCs w:val="23"/>
        </w:rPr>
        <w:t>means unutilised capacity of a pipeline;</w:t>
      </w:r>
    </w:p>
    <w:p>
      <w:pPr>
        <w:keepLines/>
        <w:autoSpaceDE w:val="0"/>
        <w:autoSpaceDN w:val="0"/>
        <w:adjustRightInd w:val="0"/>
        <w:spacing w:before="120"/>
        <w:ind w:left="1588"/>
        <w:rPr>
          <w:color w:val="000000"/>
          <w:sz w:val="23"/>
          <w:szCs w:val="23"/>
        </w:rPr>
      </w:pPr>
      <w:r>
        <w:rPr>
          <w:rStyle w:val="CharDefText"/>
          <w:bCs/>
          <w:sz w:val="23"/>
        </w:rPr>
        <w:t>storage provider</w:t>
      </w:r>
      <w:r>
        <w:rPr>
          <w:bCs/>
          <w:i/>
          <w:iCs/>
          <w:color w:val="000000"/>
          <w:sz w:val="23"/>
          <w:szCs w:val="23"/>
        </w:rPr>
        <w:t xml:space="preserve"> </w:t>
      </w:r>
      <w:r>
        <w:rPr>
          <w:color w:val="000000"/>
          <w:sz w:val="23"/>
          <w:szCs w:val="23"/>
        </w:rPr>
        <w:t>means any person who owns, operates or controls a facility for storing natural gas or processable gas for injection into a pipeline;</w:t>
      </w:r>
    </w:p>
    <w:p>
      <w:pPr>
        <w:keepNext/>
        <w:keepLines/>
        <w:autoSpaceDE w:val="0"/>
        <w:autoSpaceDN w:val="0"/>
        <w:adjustRightInd w:val="0"/>
        <w:spacing w:before="120"/>
        <w:ind w:left="1588"/>
        <w:rPr>
          <w:color w:val="000000"/>
          <w:sz w:val="23"/>
          <w:szCs w:val="23"/>
        </w:rPr>
      </w:pPr>
      <w:r>
        <w:rPr>
          <w:rStyle w:val="CharDefText"/>
          <w:sz w:val="23"/>
        </w:rPr>
        <w:t>supply</w:t>
      </w:r>
      <w:r>
        <w:rPr>
          <w:color w:val="000000"/>
          <w:sz w:val="23"/>
          <w:szCs w:val="23"/>
        </w:rPr>
        <w:t xml:space="preserve">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goods—supply (including re</w:t>
      </w:r>
      <w:r>
        <w:rPr>
          <w:color w:val="000000"/>
          <w:sz w:val="23"/>
          <w:szCs w:val="23"/>
        </w:rPr>
        <w:noBreakHyphen/>
        <w:t>supply) by way of sale, exchange, lease, hire or hire purchase;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services—provide, grant or confer;</w:t>
      </w:r>
    </w:p>
    <w:p>
      <w:pPr>
        <w:keepLines/>
        <w:autoSpaceDE w:val="0"/>
        <w:autoSpaceDN w:val="0"/>
        <w:adjustRightInd w:val="0"/>
        <w:spacing w:before="120"/>
        <w:ind w:left="1588"/>
        <w:rPr>
          <w:color w:val="000000"/>
          <w:sz w:val="23"/>
          <w:szCs w:val="23"/>
        </w:rPr>
      </w:pPr>
      <w:r>
        <w:rPr>
          <w:rStyle w:val="CharDefText"/>
          <w:bCs/>
          <w:sz w:val="23"/>
        </w:rPr>
        <w:t>tariff</w:t>
      </w:r>
      <w:r>
        <w:rPr>
          <w:color w:val="000000"/>
          <w:sz w:val="23"/>
          <w:szCs w:val="23"/>
        </w:rPr>
        <w:t xml:space="preserve"> means a rate by which a charge for a pipeline service is calculated;</w:t>
      </w:r>
    </w:p>
    <w:p>
      <w:pPr>
        <w:keepLines/>
        <w:autoSpaceDE w:val="0"/>
        <w:autoSpaceDN w:val="0"/>
        <w:adjustRightInd w:val="0"/>
        <w:spacing w:before="120"/>
        <w:ind w:left="1588"/>
        <w:rPr>
          <w:color w:val="000000"/>
          <w:sz w:val="23"/>
          <w:szCs w:val="23"/>
        </w:rPr>
      </w:pPr>
      <w:r>
        <w:rPr>
          <w:rStyle w:val="CharDefText"/>
          <w:bCs/>
          <w:sz w:val="23"/>
        </w:rPr>
        <w:t>tender approval decision</w:t>
      </w:r>
      <w:r>
        <w:rPr>
          <w:bCs/>
          <w:i/>
          <w:iCs/>
          <w:color w:val="000000"/>
          <w:sz w:val="23"/>
          <w:szCs w:val="23"/>
        </w:rPr>
        <w:t xml:space="preserve"> </w:t>
      </w:r>
      <w:r>
        <w:rPr>
          <w:color w:val="000000"/>
          <w:sz w:val="23"/>
          <w:szCs w:val="23"/>
        </w:rPr>
        <w:t>means a decision of the AER under the Rules under which the AER approves a tender process for the construction and operation of a pipeline as a competitive tender process;</w:t>
      </w:r>
    </w:p>
    <w:p>
      <w:pPr>
        <w:keepLines/>
        <w:autoSpaceDE w:val="0"/>
        <w:autoSpaceDN w:val="0"/>
        <w:adjustRightInd w:val="0"/>
        <w:spacing w:before="120"/>
        <w:ind w:left="1588"/>
        <w:rPr>
          <w:color w:val="000000"/>
          <w:sz w:val="23"/>
          <w:szCs w:val="23"/>
        </w:rPr>
      </w:pPr>
      <w:r>
        <w:rPr>
          <w:rStyle w:val="CharDefText"/>
          <w:bCs/>
          <w:sz w:val="23"/>
        </w:rPr>
        <w:t>Territory</w:t>
      </w:r>
      <w:r>
        <w:rPr>
          <w:color w:val="000000"/>
          <w:sz w:val="23"/>
          <w:szCs w:val="23"/>
        </w:rPr>
        <w:t xml:space="preserve"> means the Australian Capital Territory or the Northern Territory;</w:t>
      </w:r>
    </w:p>
    <w:p>
      <w:pPr>
        <w:keepNext/>
        <w:keepLines/>
        <w:autoSpaceDE w:val="0"/>
        <w:autoSpaceDN w:val="0"/>
        <w:adjustRightInd w:val="0"/>
        <w:spacing w:before="120"/>
        <w:ind w:left="1588"/>
        <w:rPr>
          <w:color w:val="000000"/>
          <w:sz w:val="23"/>
          <w:szCs w:val="23"/>
        </w:rPr>
      </w:pPr>
      <w:r>
        <w:rPr>
          <w:rStyle w:val="CharDefText"/>
          <w:bCs/>
          <w:sz w:val="23"/>
        </w:rPr>
        <w:t>transmission pipeline</w:t>
      </w:r>
      <w:r>
        <w:rPr>
          <w:bCs/>
          <w:i/>
          <w:iCs/>
          <w:color w:val="000000"/>
          <w:sz w:val="23"/>
          <w:szCs w:val="23"/>
        </w:rPr>
        <w:t xml:space="preserve"> </w:t>
      </w:r>
      <w:r>
        <w:rPr>
          <w:color w:val="000000"/>
          <w:sz w:val="23"/>
          <w:szCs w:val="23"/>
        </w:rPr>
        <w:t>means a pipeline that is classified in accordance with this Law or the Rules as a transmission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rPr>
      </w:pPr>
      <w:r>
        <w:rPr>
          <w:b/>
          <w:bCs/>
          <w:color w:val="000000"/>
          <w:sz w:val="23"/>
        </w:rPr>
        <w:t>Note—</w:t>
      </w:r>
    </w:p>
    <w:p>
      <w:pPr>
        <w:keepLines/>
        <w:autoSpaceDE w:val="0"/>
        <w:autoSpaceDN w:val="0"/>
        <w:adjustRightInd w:val="0"/>
        <w:spacing w:before="120"/>
        <w:ind w:left="2382"/>
        <w:rPr>
          <w:color w:val="000000"/>
          <w:sz w:val="23"/>
        </w:rPr>
      </w:pPr>
      <w:r>
        <w:rPr>
          <w:color w:val="000000"/>
          <w:sz w:val="23"/>
        </w:rPr>
        <w:t>See also sections 18 and 19.</w:t>
      </w:r>
    </w:p>
    <w:p>
      <w:pPr>
        <w:keepLines/>
        <w:autoSpaceDE w:val="0"/>
        <w:autoSpaceDN w:val="0"/>
        <w:adjustRightInd w:val="0"/>
        <w:spacing w:before="120"/>
        <w:ind w:left="1588"/>
        <w:rPr>
          <w:color w:val="000000"/>
          <w:sz w:val="23"/>
          <w:szCs w:val="23"/>
        </w:rPr>
      </w:pPr>
      <w:r>
        <w:rPr>
          <w:rStyle w:val="CharDefText"/>
          <w:bCs/>
          <w:sz w:val="23"/>
        </w:rPr>
        <w:t>Tribunal</w:t>
      </w:r>
      <w:r>
        <w:rPr>
          <w:color w:val="000000"/>
          <w:sz w:val="23"/>
          <w:szCs w:val="23"/>
        </w:rPr>
        <w:t xml:space="preserve"> means the Australian Competition Tribunal referred to in the </w:t>
      </w:r>
      <w:r>
        <w:rPr>
          <w:i/>
          <w:iCs/>
          <w:color w:val="000000"/>
          <w:sz w:val="23"/>
          <w:szCs w:val="23"/>
        </w:rPr>
        <w:t>Trade Practices Act 1974</w:t>
      </w:r>
      <w:r>
        <w:rPr>
          <w:color w:val="000000"/>
          <w:sz w:val="23"/>
          <w:szCs w:val="23"/>
        </w:rPr>
        <w:t xml:space="preserve"> of the Commonwealth and includes a member of the Tribunal or a Division of the Tribunal performing functions of the Tribunal;</w:t>
      </w:r>
    </w:p>
    <w:p>
      <w:pPr>
        <w:keepNext/>
        <w:keepLines/>
        <w:autoSpaceDE w:val="0"/>
        <w:autoSpaceDN w:val="0"/>
        <w:adjustRightInd w:val="0"/>
        <w:spacing w:before="120"/>
        <w:ind w:left="1588"/>
        <w:rPr>
          <w:color w:val="000000"/>
          <w:sz w:val="23"/>
          <w:szCs w:val="23"/>
        </w:rPr>
      </w:pPr>
      <w:r>
        <w:rPr>
          <w:rStyle w:val="CharDefText"/>
          <w:bCs/>
          <w:sz w:val="23"/>
        </w:rPr>
        <w:lastRenderedPageBreak/>
        <w:t>user</w:t>
      </w:r>
      <w:r>
        <w:rPr>
          <w:color w:val="000000"/>
          <w:sz w:val="23"/>
          <w:szCs w:val="23"/>
        </w:rPr>
        <w:t xml:space="preserve"> means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 party to a contract with a service provider under which the service provider provides or intends to provide a pipeline service to that person by means of a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a right under an access determination to be provided with a pipeline service by means of a scheme pipeline;</w:t>
      </w:r>
    </w:p>
    <w:p>
      <w:pPr>
        <w:keepLines/>
        <w:autoSpaceDE w:val="0"/>
        <w:autoSpaceDN w:val="0"/>
        <w:adjustRightInd w:val="0"/>
        <w:spacing w:before="120"/>
        <w:ind w:left="1588"/>
        <w:rPr>
          <w:color w:val="000000"/>
          <w:sz w:val="23"/>
          <w:szCs w:val="23"/>
        </w:rPr>
      </w:pPr>
      <w:r>
        <w:rPr>
          <w:rStyle w:val="CharDefText"/>
          <w:bCs/>
          <w:sz w:val="23"/>
          <w:szCs w:val="23"/>
        </w:rPr>
        <w:t>user or consumer association</w:t>
      </w:r>
      <w:r>
        <w:rPr>
          <w:color w:val="000000"/>
          <w:sz w:val="23"/>
          <w:szCs w:val="23"/>
        </w:rPr>
        <w:t xml:space="preserve"> has the meaning given by section 244;</w:t>
      </w:r>
    </w:p>
    <w:p>
      <w:pPr>
        <w:keepLines/>
        <w:autoSpaceDE w:val="0"/>
        <w:autoSpaceDN w:val="0"/>
        <w:adjustRightInd w:val="0"/>
        <w:spacing w:before="120"/>
        <w:ind w:left="1588"/>
        <w:rPr>
          <w:color w:val="000000"/>
          <w:sz w:val="23"/>
          <w:szCs w:val="23"/>
        </w:rPr>
      </w:pPr>
      <w:r>
        <w:rPr>
          <w:rStyle w:val="CharDefText"/>
          <w:bCs/>
          <w:sz w:val="23"/>
          <w:szCs w:val="23"/>
        </w:rPr>
        <w:t>user or consumer interest group</w:t>
      </w:r>
      <w:r>
        <w:rPr>
          <w:color w:val="000000"/>
          <w:sz w:val="23"/>
          <w:szCs w:val="23"/>
        </w:rPr>
        <w:t xml:space="preserve"> has the meaning given by section 244;</w:t>
      </w:r>
    </w:p>
    <w:p>
      <w:pPr>
        <w:keepLines/>
        <w:autoSpaceDE w:val="0"/>
        <w:autoSpaceDN w:val="0"/>
        <w:adjustRightInd w:val="0"/>
        <w:spacing w:before="120"/>
        <w:ind w:left="1588"/>
        <w:rPr>
          <w:color w:val="000000"/>
          <w:sz w:val="23"/>
          <w:szCs w:val="23"/>
        </w:rPr>
      </w:pPr>
      <w:r>
        <w:rPr>
          <w:rStyle w:val="CharDefText"/>
          <w:bCs/>
          <w:sz w:val="23"/>
        </w:rPr>
        <w:t>VENCorp</w:t>
      </w:r>
      <w:r>
        <w:rPr>
          <w:color w:val="000000"/>
          <w:sz w:val="23"/>
          <w:szCs w:val="23"/>
        </w:rPr>
        <w:t xml:space="preserve"> means the Victorian Energy Networks Corporation continued under Part 8 of the </w:t>
      </w:r>
      <w:r>
        <w:rPr>
          <w:i/>
          <w:iCs/>
          <w:color w:val="000000"/>
          <w:sz w:val="23"/>
          <w:szCs w:val="23"/>
        </w:rPr>
        <w:t>Gas Industry Act 2001</w:t>
      </w:r>
      <w:r>
        <w:rPr>
          <w:color w:val="000000"/>
          <w:sz w:val="23"/>
          <w:szCs w:val="23"/>
        </w:rPr>
        <w:t xml:space="preserve"> of Victoria;</w:t>
      </w:r>
    </w:p>
    <w:p>
      <w:pPr>
        <w:keepLines/>
        <w:autoSpaceDE w:val="0"/>
        <w:autoSpaceDN w:val="0"/>
        <w:adjustRightInd w:val="0"/>
        <w:spacing w:before="120"/>
        <w:ind w:left="1588"/>
        <w:rPr>
          <w:sz w:val="23"/>
        </w:rPr>
      </w:pPr>
      <w:r>
        <w:rPr>
          <w:rStyle w:val="CharDefText"/>
          <w:bCs/>
          <w:sz w:val="23"/>
        </w:rPr>
        <w:t>WA arbitrator</w:t>
      </w:r>
      <w:r>
        <w:rPr>
          <w:bCs/>
          <w:i/>
          <w:iCs/>
          <w:color w:val="000000"/>
          <w:sz w:val="23"/>
          <w:szCs w:val="23"/>
        </w:rPr>
        <w:t xml:space="preserve"> </w:t>
      </w:r>
      <w:r>
        <w:rPr>
          <w:sz w:val="23"/>
        </w:rPr>
        <w:t>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Footnotesection"/>
        <w:rPr>
          <w:szCs w:val="23"/>
        </w:rPr>
      </w:pPr>
      <w:r>
        <w:tab/>
        <w:t>[Section 2 modified: WA Act Sch. 1 cl. 3; amended: see SA Act No. 30 of 2009 s. 6 and WA Gazette 18 Dec 2009 p. 5167; SA Act No. 79 of 2013 s. 19 and WA Gazette 14 Mar 2014 p. 632; SA Act No. 33 of 2018 and WA Gazette 5 Apr 2019 p. 1007</w:t>
      </w:r>
      <w:r>
        <w:noBreakHyphen/>
        <w:t>8.]</w:t>
      </w:r>
    </w:p>
    <w:p>
      <w:pPr>
        <w:pStyle w:val="Heading5"/>
        <w:keepNext w:val="0"/>
        <w:keepLines w:val="0"/>
      </w:pPr>
      <w:bookmarkStart w:id="187" w:name="_Toc158374661"/>
      <w:r>
        <w:rPr>
          <w:rStyle w:val="CharSectno"/>
        </w:rPr>
        <w:t>2A</w:t>
      </w:r>
      <w:r>
        <w:t>.</w:t>
      </w:r>
      <w:r>
        <w:tab/>
        <w:t>Meaning of AER modified</w:t>
      </w:r>
      <w:bookmarkEnd w:id="187"/>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In this Law, other than in the definition of </w:t>
      </w:r>
      <w:r>
        <w:rPr>
          <w:b/>
          <w:bCs/>
          <w:i/>
          <w:iCs/>
          <w:color w:val="000000"/>
          <w:sz w:val="23"/>
          <w:szCs w:val="23"/>
        </w:rPr>
        <w:t>AER</w:t>
      </w:r>
      <w:r>
        <w:rPr>
          <w:color w:val="000000"/>
          <w:sz w:val="23"/>
          <w:szCs w:val="23"/>
        </w:rPr>
        <w:t xml:space="preserve"> in section 2, a reference to the AER is to be read as a reference to the regulator (whether the ERA or the AER) except to the extent that subsection (2) gives a different meaning.</w:t>
      </w:r>
    </w:p>
    <w:p>
      <w:pPr>
        <w:keepNext/>
        <w:keepLines/>
        <w:tabs>
          <w:tab w:val="center" w:pos="1191"/>
          <w:tab w:val="left" w:pos="1588"/>
        </w:tabs>
        <w:autoSpaceDE w:val="0"/>
        <w:autoSpaceDN w:val="0"/>
        <w:adjustRightInd w:val="0"/>
        <w:spacing w:before="120"/>
        <w:ind w:left="1588" w:hanging="794"/>
        <w:rPr>
          <w:sz w:val="23"/>
        </w:rPr>
      </w:pPr>
      <w:r>
        <w:rPr>
          <w:sz w:val="23"/>
        </w:rPr>
        <w:lastRenderedPageBreak/>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Footnotesection"/>
      </w:pPr>
      <w:r>
        <w:tab/>
        <w:t>[Section 2A inserted: WA Act Sch. 1 cl. 4.]</w:t>
      </w:r>
    </w:p>
    <w:p>
      <w:pPr>
        <w:pStyle w:val="Heading5"/>
        <w:keepNext w:val="0"/>
        <w:keepLines w:val="0"/>
      </w:pPr>
      <w:bookmarkStart w:id="188" w:name="_Toc158374662"/>
      <w:r>
        <w:t>2B.</w:t>
      </w:r>
      <w:r>
        <w:rPr>
          <w:b w:val="0"/>
        </w:rPr>
        <w:tab/>
      </w:r>
      <w:r>
        <w:t>References to WA application Act</w:t>
      </w:r>
      <w:bookmarkEnd w:id="188"/>
    </w:p>
    <w:p>
      <w:pPr>
        <w:tabs>
          <w:tab w:val="center" w:pos="1191"/>
          <w:tab w:val="left" w:pos="1588"/>
        </w:tabs>
        <w:autoSpaceDE w:val="0"/>
        <w:autoSpaceDN w:val="0"/>
        <w:adjustRightInd w:val="0"/>
        <w:spacing w:before="120"/>
        <w:ind w:left="1588" w:hanging="794"/>
        <w:rPr>
          <w:sz w:val="23"/>
        </w:rPr>
      </w:pPr>
      <w:r>
        <w:rPr>
          <w:sz w:val="23"/>
        </w:rPr>
        <w:tab/>
      </w:r>
      <w:r>
        <w:rPr>
          <w:sz w:val="23"/>
        </w:rPr>
        <w:tab/>
        <w:t xml:space="preserve">In this Law, a reference to </w:t>
      </w:r>
      <w:r>
        <w:rPr>
          <w:color w:val="000000"/>
          <w:sz w:val="23"/>
          <w:szCs w:val="23"/>
        </w:rPr>
        <w:t xml:space="preserve">the </w:t>
      </w:r>
      <w:r>
        <w:rPr>
          <w:i/>
          <w:iCs/>
          <w:color w:val="000000"/>
          <w:sz w:val="23"/>
          <w:szCs w:val="23"/>
        </w:rPr>
        <w:t>National Gas Access (Western Australia)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Footnotesection"/>
      </w:pPr>
      <w:r>
        <w:tab/>
        <w:t>[Section 2B inserted: WA Act Sch. 1 cl. 4.]</w:t>
      </w:r>
    </w:p>
    <w:p>
      <w:pPr>
        <w:pStyle w:val="Heading5"/>
      </w:pPr>
      <w:bookmarkStart w:id="189" w:name="_Toc158374663"/>
      <w:r>
        <w:rPr>
          <w:rStyle w:val="CharSectno"/>
        </w:rPr>
        <w:t>3</w:t>
      </w:r>
      <w:r>
        <w:t>.</w:t>
      </w:r>
      <w:r>
        <w:tab/>
        <w:t>Meaning of civil penalty provision</w:t>
      </w:r>
      <w:bookmarkEnd w:id="189"/>
    </w:p>
    <w:p>
      <w:pPr>
        <w:keepNext/>
        <w:keepLines/>
        <w:autoSpaceDE w:val="0"/>
        <w:autoSpaceDN w:val="0"/>
        <w:adjustRightInd w:val="0"/>
        <w:spacing w:before="120"/>
        <w:ind w:left="1588"/>
        <w:rPr>
          <w:color w:val="000000"/>
          <w:sz w:val="23"/>
          <w:szCs w:val="23"/>
        </w:rPr>
      </w:pPr>
      <w:r>
        <w:rPr>
          <w:color w:val="000000"/>
          <w:sz w:val="23"/>
          <w:szCs w:val="23"/>
        </w:rPr>
        <w:t>A civil penalty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this Law (other than an offence provision) or the Rules that is prescribed by the Regulations to be a civil penalty provision.</w:t>
      </w:r>
    </w:p>
    <w:p>
      <w:pPr>
        <w:keepNext/>
        <w:keepLines/>
        <w:autoSpaceDE w:val="0"/>
        <w:autoSpaceDN w:val="0"/>
        <w:adjustRightInd w:val="0"/>
        <w:spacing w:before="120"/>
        <w:ind w:left="1588"/>
        <w:rPr>
          <w:color w:val="000000"/>
          <w:sz w:val="2"/>
          <w:szCs w:val="2"/>
        </w:rPr>
      </w:pPr>
    </w:p>
    <w:p>
      <w:pPr>
        <w:keepNext/>
        <w:keepLines/>
        <w:autoSpaceDE w:val="0"/>
        <w:autoSpaceDN w:val="0"/>
        <w:adjustRightInd w:val="0"/>
        <w:spacing w:before="120" w:after="40"/>
        <w:jc w:val="center"/>
        <w:rPr>
          <w:color w:val="000000"/>
          <w:sz w:val="23"/>
          <w:szCs w:val="23"/>
        </w:rPr>
      </w:pPr>
      <w:r>
        <w:rPr>
          <w:b/>
          <w:bCs/>
          <w:color w:val="000000"/>
          <w:sz w:val="23"/>
          <w:szCs w:val="23"/>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Provision</w:t>
            </w:r>
          </w:p>
        </w:tc>
      </w:tr>
      <w:tr>
        <w:tc>
          <w:tcPr>
            <w:tcW w:w="2252" w:type="dxa"/>
            <w:tcBorders>
              <w:top w:val="single" w:sz="4" w:space="0" w:color="auto"/>
            </w:tcBorders>
            <w:vAlign w:val="center"/>
          </w:tcPr>
          <w:p>
            <w:pPr>
              <w:keepLines/>
              <w:autoSpaceDE w:val="0"/>
              <w:autoSpaceDN w:val="0"/>
              <w:adjustRightInd w:val="0"/>
              <w:spacing w:before="80"/>
              <w:rPr>
                <w:color w:val="000000"/>
                <w:sz w:val="20"/>
              </w:rPr>
            </w:pPr>
            <w:r>
              <w:rPr>
                <w:color w:val="000000"/>
                <w:sz w:val="20"/>
              </w:rPr>
              <w:t>1</w:t>
            </w:r>
          </w:p>
        </w:tc>
        <w:tc>
          <w:tcPr>
            <w:tcW w:w="1440" w:type="dxa"/>
            <w:tcBorders>
              <w:top w:val="single" w:sz="4" w:space="0" w:color="auto"/>
            </w:tcBorders>
            <w:vAlign w:val="center"/>
          </w:tcPr>
          <w:p>
            <w:pPr>
              <w:keepLines/>
              <w:autoSpaceDE w:val="0"/>
              <w:autoSpaceDN w:val="0"/>
              <w:adjustRightInd w:val="0"/>
              <w:spacing w:before="80"/>
              <w:rPr>
                <w:color w:val="000000"/>
                <w:sz w:val="20"/>
              </w:rPr>
            </w:pPr>
            <w:r>
              <w:rPr>
                <w:color w:val="000000"/>
                <w:sz w:val="20"/>
              </w:rPr>
              <w:t>Section 56</w:t>
            </w:r>
          </w:p>
        </w:tc>
      </w:tr>
      <w:tr>
        <w:tc>
          <w:tcPr>
            <w:tcW w:w="2252" w:type="dxa"/>
            <w:vAlign w:val="center"/>
          </w:tcPr>
          <w:p>
            <w:pPr>
              <w:keepLines/>
              <w:autoSpaceDE w:val="0"/>
              <w:autoSpaceDN w:val="0"/>
              <w:adjustRightInd w:val="0"/>
              <w:spacing w:before="80"/>
              <w:rPr>
                <w:color w:val="000000"/>
                <w:sz w:val="20"/>
              </w:rPr>
            </w:pPr>
            <w:r>
              <w:rPr>
                <w:color w:val="000000"/>
                <w:sz w:val="20"/>
              </w:rPr>
              <w:t>2</w:t>
            </w:r>
          </w:p>
        </w:tc>
        <w:tc>
          <w:tcPr>
            <w:tcW w:w="1440" w:type="dxa"/>
            <w:vAlign w:val="center"/>
          </w:tcPr>
          <w:p>
            <w:pPr>
              <w:keepLines/>
              <w:autoSpaceDE w:val="0"/>
              <w:autoSpaceDN w:val="0"/>
              <w:adjustRightInd w:val="0"/>
              <w:spacing w:before="80"/>
              <w:rPr>
                <w:color w:val="000000"/>
                <w:sz w:val="20"/>
              </w:rPr>
            </w:pPr>
            <w:r>
              <w:rPr>
                <w:color w:val="000000"/>
                <w:sz w:val="20"/>
              </w:rPr>
              <w:t>Section 57</w:t>
            </w:r>
          </w:p>
        </w:tc>
      </w:tr>
      <w:tr>
        <w:tc>
          <w:tcPr>
            <w:tcW w:w="2252" w:type="dxa"/>
            <w:vAlign w:val="center"/>
          </w:tcPr>
          <w:p>
            <w:pPr>
              <w:keepLines/>
              <w:autoSpaceDE w:val="0"/>
              <w:autoSpaceDN w:val="0"/>
              <w:adjustRightInd w:val="0"/>
              <w:spacing w:before="80"/>
              <w:rPr>
                <w:color w:val="000000"/>
                <w:sz w:val="20"/>
              </w:rPr>
            </w:pPr>
            <w:r>
              <w:rPr>
                <w:color w:val="000000"/>
                <w:sz w:val="20"/>
              </w:rPr>
              <w:t>3</w:t>
            </w:r>
          </w:p>
        </w:tc>
        <w:tc>
          <w:tcPr>
            <w:tcW w:w="1440" w:type="dxa"/>
            <w:vAlign w:val="center"/>
          </w:tcPr>
          <w:p>
            <w:pPr>
              <w:keepLines/>
              <w:autoSpaceDE w:val="0"/>
              <w:autoSpaceDN w:val="0"/>
              <w:adjustRightInd w:val="0"/>
              <w:spacing w:before="80"/>
              <w:rPr>
                <w:color w:val="000000"/>
                <w:sz w:val="20"/>
              </w:rPr>
            </w:pPr>
            <w:r>
              <w:rPr>
                <w:color w:val="000000"/>
                <w:sz w:val="20"/>
              </w:rPr>
              <w:t>Section 131</w:t>
            </w:r>
          </w:p>
        </w:tc>
      </w:tr>
      <w:tr>
        <w:tc>
          <w:tcPr>
            <w:tcW w:w="2252" w:type="dxa"/>
            <w:vAlign w:val="center"/>
          </w:tcPr>
          <w:p>
            <w:pPr>
              <w:keepLines/>
              <w:autoSpaceDE w:val="0"/>
              <w:autoSpaceDN w:val="0"/>
              <w:adjustRightInd w:val="0"/>
              <w:spacing w:before="80"/>
              <w:rPr>
                <w:color w:val="000000"/>
                <w:sz w:val="20"/>
              </w:rPr>
            </w:pPr>
            <w:r>
              <w:rPr>
                <w:color w:val="000000"/>
                <w:sz w:val="20"/>
              </w:rPr>
              <w:t>4</w:t>
            </w:r>
          </w:p>
        </w:tc>
        <w:tc>
          <w:tcPr>
            <w:tcW w:w="1440" w:type="dxa"/>
            <w:vAlign w:val="center"/>
          </w:tcPr>
          <w:p>
            <w:pPr>
              <w:keepLines/>
              <w:autoSpaceDE w:val="0"/>
              <w:autoSpaceDN w:val="0"/>
              <w:adjustRightInd w:val="0"/>
              <w:spacing w:before="80"/>
              <w:rPr>
                <w:color w:val="000000"/>
                <w:sz w:val="20"/>
              </w:rPr>
            </w:pPr>
            <w:r>
              <w:rPr>
                <w:color w:val="000000"/>
                <w:sz w:val="20"/>
              </w:rPr>
              <w:t>Section 133</w:t>
            </w:r>
          </w:p>
        </w:tc>
      </w:tr>
      <w:tr>
        <w:tc>
          <w:tcPr>
            <w:tcW w:w="2252" w:type="dxa"/>
            <w:vAlign w:val="center"/>
          </w:tcPr>
          <w:p>
            <w:pPr>
              <w:keepLines/>
              <w:autoSpaceDE w:val="0"/>
              <w:autoSpaceDN w:val="0"/>
              <w:adjustRightInd w:val="0"/>
              <w:spacing w:before="80"/>
              <w:rPr>
                <w:color w:val="000000"/>
                <w:sz w:val="20"/>
              </w:rPr>
            </w:pPr>
            <w:r>
              <w:rPr>
                <w:color w:val="000000"/>
                <w:sz w:val="20"/>
              </w:rPr>
              <w:t>5</w:t>
            </w:r>
          </w:p>
        </w:tc>
        <w:tc>
          <w:tcPr>
            <w:tcW w:w="1440" w:type="dxa"/>
            <w:vAlign w:val="center"/>
          </w:tcPr>
          <w:p>
            <w:pPr>
              <w:keepLines/>
              <w:autoSpaceDE w:val="0"/>
              <w:autoSpaceDN w:val="0"/>
              <w:adjustRightInd w:val="0"/>
              <w:spacing w:before="80"/>
              <w:rPr>
                <w:color w:val="000000"/>
                <w:sz w:val="20"/>
              </w:rPr>
            </w:pPr>
            <w:r>
              <w:rPr>
                <w:color w:val="000000"/>
                <w:sz w:val="20"/>
              </w:rPr>
              <w:t>Section 134</w:t>
            </w:r>
          </w:p>
        </w:tc>
      </w:tr>
      <w:tr>
        <w:tc>
          <w:tcPr>
            <w:tcW w:w="2252" w:type="dxa"/>
            <w:vAlign w:val="center"/>
          </w:tcPr>
          <w:p>
            <w:pPr>
              <w:keepLines/>
              <w:autoSpaceDE w:val="0"/>
              <w:autoSpaceDN w:val="0"/>
              <w:adjustRightInd w:val="0"/>
              <w:spacing w:before="80"/>
              <w:rPr>
                <w:color w:val="000000"/>
                <w:sz w:val="20"/>
              </w:rPr>
            </w:pPr>
            <w:r>
              <w:rPr>
                <w:color w:val="000000"/>
                <w:sz w:val="20"/>
              </w:rPr>
              <w:t>6</w:t>
            </w:r>
          </w:p>
        </w:tc>
        <w:tc>
          <w:tcPr>
            <w:tcW w:w="1440" w:type="dxa"/>
            <w:vAlign w:val="center"/>
          </w:tcPr>
          <w:p>
            <w:pPr>
              <w:keepLines/>
              <w:autoSpaceDE w:val="0"/>
              <w:autoSpaceDN w:val="0"/>
              <w:adjustRightInd w:val="0"/>
              <w:spacing w:before="80"/>
              <w:rPr>
                <w:color w:val="000000"/>
                <w:sz w:val="20"/>
              </w:rPr>
            </w:pPr>
            <w:r>
              <w:rPr>
                <w:color w:val="000000"/>
                <w:sz w:val="20"/>
              </w:rPr>
              <w:t>Section 135</w:t>
            </w:r>
          </w:p>
        </w:tc>
      </w:tr>
      <w:tr>
        <w:tc>
          <w:tcPr>
            <w:tcW w:w="2252" w:type="dxa"/>
            <w:vAlign w:val="center"/>
          </w:tcPr>
          <w:p>
            <w:pPr>
              <w:keepLines/>
              <w:autoSpaceDE w:val="0"/>
              <w:autoSpaceDN w:val="0"/>
              <w:adjustRightInd w:val="0"/>
              <w:spacing w:before="80"/>
              <w:rPr>
                <w:color w:val="000000"/>
                <w:sz w:val="20"/>
              </w:rPr>
            </w:pPr>
            <w:r>
              <w:rPr>
                <w:color w:val="000000"/>
                <w:sz w:val="20"/>
              </w:rPr>
              <w:t>7</w:t>
            </w:r>
          </w:p>
        </w:tc>
        <w:tc>
          <w:tcPr>
            <w:tcW w:w="1440" w:type="dxa"/>
            <w:vAlign w:val="center"/>
          </w:tcPr>
          <w:p>
            <w:pPr>
              <w:keepLines/>
              <w:autoSpaceDE w:val="0"/>
              <w:autoSpaceDN w:val="0"/>
              <w:adjustRightInd w:val="0"/>
              <w:spacing w:before="80"/>
              <w:rPr>
                <w:color w:val="000000"/>
                <w:sz w:val="20"/>
              </w:rPr>
            </w:pPr>
            <w:r>
              <w:rPr>
                <w:color w:val="000000"/>
                <w:sz w:val="20"/>
              </w:rPr>
              <w:t>Section 136</w:t>
            </w:r>
          </w:p>
        </w:tc>
      </w:tr>
      <w:tr>
        <w:tc>
          <w:tcPr>
            <w:tcW w:w="2252" w:type="dxa"/>
            <w:vAlign w:val="center"/>
          </w:tcPr>
          <w:p>
            <w:pPr>
              <w:keepLines/>
              <w:autoSpaceDE w:val="0"/>
              <w:autoSpaceDN w:val="0"/>
              <w:adjustRightInd w:val="0"/>
              <w:spacing w:before="80"/>
              <w:rPr>
                <w:color w:val="000000"/>
                <w:sz w:val="20"/>
              </w:rPr>
            </w:pPr>
            <w:r>
              <w:rPr>
                <w:color w:val="000000"/>
                <w:sz w:val="20"/>
              </w:rPr>
              <w:t>8</w:t>
            </w:r>
          </w:p>
        </w:tc>
        <w:tc>
          <w:tcPr>
            <w:tcW w:w="1440" w:type="dxa"/>
            <w:vAlign w:val="center"/>
          </w:tcPr>
          <w:p>
            <w:pPr>
              <w:keepLines/>
              <w:autoSpaceDE w:val="0"/>
              <w:autoSpaceDN w:val="0"/>
              <w:adjustRightInd w:val="0"/>
              <w:spacing w:before="80"/>
              <w:rPr>
                <w:color w:val="000000"/>
                <w:sz w:val="20"/>
              </w:rPr>
            </w:pPr>
            <w:r>
              <w:rPr>
                <w:color w:val="000000"/>
                <w:sz w:val="20"/>
              </w:rPr>
              <w:t>Section 139</w:t>
            </w:r>
          </w:p>
        </w:tc>
      </w:tr>
      <w:tr>
        <w:tc>
          <w:tcPr>
            <w:tcW w:w="2252" w:type="dxa"/>
            <w:vAlign w:val="center"/>
          </w:tcPr>
          <w:p>
            <w:pPr>
              <w:keepLines/>
              <w:autoSpaceDE w:val="0"/>
              <w:autoSpaceDN w:val="0"/>
              <w:adjustRightInd w:val="0"/>
              <w:spacing w:before="80"/>
              <w:rPr>
                <w:color w:val="000000"/>
                <w:sz w:val="20"/>
              </w:rPr>
            </w:pPr>
            <w:r>
              <w:rPr>
                <w:color w:val="000000"/>
                <w:sz w:val="20"/>
              </w:rPr>
              <w:t>9</w:t>
            </w:r>
          </w:p>
        </w:tc>
        <w:tc>
          <w:tcPr>
            <w:tcW w:w="1440" w:type="dxa"/>
            <w:vAlign w:val="center"/>
          </w:tcPr>
          <w:p>
            <w:pPr>
              <w:keepLines/>
              <w:autoSpaceDE w:val="0"/>
              <w:autoSpaceDN w:val="0"/>
              <w:adjustRightInd w:val="0"/>
              <w:spacing w:before="80"/>
              <w:rPr>
                <w:color w:val="000000"/>
                <w:sz w:val="20"/>
              </w:rPr>
            </w:pPr>
            <w:r>
              <w:rPr>
                <w:color w:val="000000"/>
                <w:sz w:val="20"/>
              </w:rPr>
              <w:t>Section 140</w:t>
            </w:r>
          </w:p>
        </w:tc>
      </w:tr>
      <w:tr>
        <w:tc>
          <w:tcPr>
            <w:tcW w:w="2252" w:type="dxa"/>
            <w:vAlign w:val="center"/>
          </w:tcPr>
          <w:p>
            <w:pPr>
              <w:keepLines/>
              <w:autoSpaceDE w:val="0"/>
              <w:autoSpaceDN w:val="0"/>
              <w:adjustRightInd w:val="0"/>
              <w:spacing w:before="80"/>
              <w:rPr>
                <w:color w:val="000000"/>
                <w:sz w:val="20"/>
              </w:rPr>
            </w:pPr>
            <w:r>
              <w:rPr>
                <w:color w:val="000000"/>
                <w:sz w:val="20"/>
              </w:rPr>
              <w:lastRenderedPageBreak/>
              <w:t>10</w:t>
            </w:r>
          </w:p>
        </w:tc>
        <w:tc>
          <w:tcPr>
            <w:tcW w:w="1440" w:type="dxa"/>
            <w:vAlign w:val="center"/>
          </w:tcPr>
          <w:p>
            <w:pPr>
              <w:keepLines/>
              <w:autoSpaceDE w:val="0"/>
              <w:autoSpaceDN w:val="0"/>
              <w:adjustRightInd w:val="0"/>
              <w:spacing w:before="80"/>
              <w:rPr>
                <w:color w:val="000000"/>
                <w:sz w:val="20"/>
              </w:rPr>
            </w:pPr>
            <w:r>
              <w:rPr>
                <w:color w:val="000000"/>
                <w:sz w:val="20"/>
              </w:rPr>
              <w:t>Section 141</w:t>
            </w:r>
          </w:p>
        </w:tc>
      </w:tr>
      <w:tr>
        <w:tc>
          <w:tcPr>
            <w:tcW w:w="2252" w:type="dxa"/>
            <w:vAlign w:val="center"/>
          </w:tcPr>
          <w:p>
            <w:pPr>
              <w:keepLines/>
              <w:autoSpaceDE w:val="0"/>
              <w:autoSpaceDN w:val="0"/>
              <w:adjustRightInd w:val="0"/>
              <w:spacing w:before="80"/>
              <w:rPr>
                <w:color w:val="000000"/>
                <w:sz w:val="20"/>
              </w:rPr>
            </w:pPr>
            <w:r>
              <w:rPr>
                <w:color w:val="000000"/>
                <w:sz w:val="20"/>
              </w:rPr>
              <w:t>11</w:t>
            </w:r>
          </w:p>
        </w:tc>
        <w:tc>
          <w:tcPr>
            <w:tcW w:w="1440" w:type="dxa"/>
            <w:vAlign w:val="center"/>
          </w:tcPr>
          <w:p>
            <w:pPr>
              <w:keepLines/>
              <w:autoSpaceDE w:val="0"/>
              <w:autoSpaceDN w:val="0"/>
              <w:adjustRightInd w:val="0"/>
              <w:spacing w:before="80"/>
              <w:rPr>
                <w:color w:val="000000"/>
                <w:sz w:val="20"/>
              </w:rPr>
            </w:pPr>
            <w:r>
              <w:rPr>
                <w:color w:val="000000"/>
                <w:sz w:val="20"/>
              </w:rPr>
              <w:t>Section 143(6)</w:t>
            </w:r>
          </w:p>
        </w:tc>
      </w:tr>
      <w:tr>
        <w:tc>
          <w:tcPr>
            <w:tcW w:w="2252" w:type="dxa"/>
            <w:vAlign w:val="center"/>
          </w:tcPr>
          <w:p>
            <w:pPr>
              <w:keepLines/>
              <w:autoSpaceDE w:val="0"/>
              <w:autoSpaceDN w:val="0"/>
              <w:adjustRightInd w:val="0"/>
              <w:spacing w:before="80"/>
              <w:rPr>
                <w:color w:val="000000"/>
                <w:sz w:val="20"/>
              </w:rPr>
            </w:pPr>
            <w:r>
              <w:rPr>
                <w:color w:val="000000"/>
                <w:sz w:val="20"/>
              </w:rPr>
              <w:t>12</w:t>
            </w:r>
          </w:p>
        </w:tc>
        <w:tc>
          <w:tcPr>
            <w:tcW w:w="1440" w:type="dxa"/>
            <w:vAlign w:val="center"/>
          </w:tcPr>
          <w:p>
            <w:pPr>
              <w:keepLines/>
              <w:autoSpaceDE w:val="0"/>
              <w:autoSpaceDN w:val="0"/>
              <w:adjustRightInd w:val="0"/>
              <w:spacing w:before="80"/>
              <w:rPr>
                <w:color w:val="000000"/>
                <w:sz w:val="20"/>
              </w:rPr>
            </w:pPr>
            <w:r>
              <w:rPr>
                <w:color w:val="000000"/>
                <w:sz w:val="20"/>
              </w:rPr>
              <w:t>Section 147</w:t>
            </w:r>
          </w:p>
        </w:tc>
      </w:tr>
      <w:tr>
        <w:tc>
          <w:tcPr>
            <w:tcW w:w="2252" w:type="dxa"/>
            <w:vAlign w:val="center"/>
          </w:tcPr>
          <w:p>
            <w:pPr>
              <w:keepLines/>
              <w:autoSpaceDE w:val="0"/>
              <w:autoSpaceDN w:val="0"/>
              <w:adjustRightInd w:val="0"/>
              <w:spacing w:before="80"/>
              <w:rPr>
                <w:color w:val="000000"/>
                <w:sz w:val="20"/>
              </w:rPr>
            </w:pPr>
            <w:r>
              <w:rPr>
                <w:color w:val="000000"/>
                <w:sz w:val="20"/>
              </w:rPr>
              <w:t>13</w:t>
            </w:r>
          </w:p>
        </w:tc>
        <w:tc>
          <w:tcPr>
            <w:tcW w:w="1440" w:type="dxa"/>
            <w:vAlign w:val="center"/>
          </w:tcPr>
          <w:p>
            <w:pPr>
              <w:keepLines/>
              <w:autoSpaceDE w:val="0"/>
              <w:autoSpaceDN w:val="0"/>
              <w:adjustRightInd w:val="0"/>
              <w:spacing w:before="80"/>
              <w:rPr>
                <w:color w:val="000000"/>
                <w:sz w:val="20"/>
              </w:rPr>
            </w:pPr>
            <w:r>
              <w:rPr>
                <w:color w:val="000000"/>
                <w:sz w:val="20"/>
              </w:rPr>
              <w:t>Section 148</w:t>
            </w:r>
          </w:p>
        </w:tc>
      </w:tr>
      <w:tr>
        <w:tc>
          <w:tcPr>
            <w:tcW w:w="2252" w:type="dxa"/>
            <w:vAlign w:val="center"/>
          </w:tcPr>
          <w:p>
            <w:pPr>
              <w:keepLines/>
              <w:autoSpaceDE w:val="0"/>
              <w:autoSpaceDN w:val="0"/>
              <w:adjustRightInd w:val="0"/>
              <w:spacing w:before="80"/>
              <w:rPr>
                <w:color w:val="000000"/>
                <w:sz w:val="20"/>
              </w:rPr>
            </w:pPr>
            <w:r>
              <w:rPr>
                <w:color w:val="000000"/>
                <w:sz w:val="20"/>
              </w:rPr>
              <w:t>14</w:t>
            </w:r>
          </w:p>
        </w:tc>
        <w:tc>
          <w:tcPr>
            <w:tcW w:w="1440" w:type="dxa"/>
            <w:vAlign w:val="center"/>
          </w:tcPr>
          <w:p>
            <w:pPr>
              <w:keepLines/>
              <w:autoSpaceDE w:val="0"/>
              <w:autoSpaceDN w:val="0"/>
              <w:adjustRightInd w:val="0"/>
              <w:spacing w:before="80"/>
              <w:rPr>
                <w:color w:val="000000"/>
                <w:sz w:val="20"/>
              </w:rPr>
            </w:pPr>
            <w:r>
              <w:rPr>
                <w:color w:val="000000"/>
                <w:sz w:val="20"/>
              </w:rPr>
              <w:t>Section 168</w:t>
            </w:r>
          </w:p>
        </w:tc>
      </w:tr>
      <w:tr>
        <w:tc>
          <w:tcPr>
            <w:tcW w:w="2252" w:type="dxa"/>
            <w:vAlign w:val="center"/>
          </w:tcPr>
          <w:p>
            <w:pPr>
              <w:keepLines/>
              <w:autoSpaceDE w:val="0"/>
              <w:autoSpaceDN w:val="0"/>
              <w:adjustRightInd w:val="0"/>
              <w:spacing w:before="80"/>
              <w:rPr>
                <w:color w:val="000000"/>
                <w:sz w:val="20"/>
              </w:rPr>
            </w:pPr>
            <w:r>
              <w:rPr>
                <w:color w:val="000000"/>
                <w:sz w:val="20"/>
              </w:rPr>
              <w:t>15</w:t>
            </w:r>
          </w:p>
        </w:tc>
        <w:tc>
          <w:tcPr>
            <w:tcW w:w="1440" w:type="dxa"/>
            <w:vAlign w:val="center"/>
          </w:tcPr>
          <w:p>
            <w:pPr>
              <w:keepLines/>
              <w:autoSpaceDE w:val="0"/>
              <w:autoSpaceDN w:val="0"/>
              <w:adjustRightInd w:val="0"/>
              <w:spacing w:before="80"/>
              <w:rPr>
                <w:color w:val="000000"/>
                <w:sz w:val="20"/>
              </w:rPr>
            </w:pPr>
            <w:r>
              <w:rPr>
                <w:color w:val="000000"/>
                <w:sz w:val="20"/>
              </w:rPr>
              <w:t>Section 169(3)</w:t>
            </w:r>
          </w:p>
        </w:tc>
      </w:tr>
      <w:tr>
        <w:tc>
          <w:tcPr>
            <w:tcW w:w="2252" w:type="dxa"/>
            <w:vAlign w:val="center"/>
          </w:tcPr>
          <w:p>
            <w:pPr>
              <w:keepLines/>
              <w:autoSpaceDE w:val="0"/>
              <w:autoSpaceDN w:val="0"/>
              <w:adjustRightInd w:val="0"/>
              <w:spacing w:before="80"/>
              <w:rPr>
                <w:color w:val="000000"/>
                <w:sz w:val="20"/>
              </w:rPr>
            </w:pPr>
            <w:r>
              <w:rPr>
                <w:color w:val="000000"/>
                <w:sz w:val="20"/>
              </w:rPr>
              <w:t>16</w:t>
            </w:r>
          </w:p>
        </w:tc>
        <w:tc>
          <w:tcPr>
            <w:tcW w:w="1440" w:type="dxa"/>
            <w:vAlign w:val="center"/>
          </w:tcPr>
          <w:p>
            <w:pPr>
              <w:keepLines/>
              <w:autoSpaceDE w:val="0"/>
              <w:autoSpaceDN w:val="0"/>
              <w:adjustRightInd w:val="0"/>
              <w:spacing w:before="80"/>
              <w:rPr>
                <w:color w:val="000000"/>
                <w:sz w:val="20"/>
              </w:rPr>
            </w:pPr>
            <w:r>
              <w:rPr>
                <w:color w:val="000000"/>
                <w:sz w:val="20"/>
              </w:rPr>
              <w:t>Section 170</w:t>
            </w:r>
          </w:p>
        </w:tc>
      </w:tr>
      <w:tr>
        <w:tc>
          <w:tcPr>
            <w:tcW w:w="2252" w:type="dxa"/>
            <w:vAlign w:val="center"/>
          </w:tcPr>
          <w:p>
            <w:pPr>
              <w:keepLines/>
              <w:autoSpaceDE w:val="0"/>
              <w:autoSpaceDN w:val="0"/>
              <w:adjustRightInd w:val="0"/>
              <w:spacing w:before="80"/>
              <w:rPr>
                <w:color w:val="000000"/>
                <w:sz w:val="20"/>
              </w:rPr>
            </w:pPr>
            <w:r>
              <w:rPr>
                <w:color w:val="000000"/>
                <w:sz w:val="20"/>
              </w:rPr>
              <w:t>17</w:t>
            </w:r>
          </w:p>
        </w:tc>
        <w:tc>
          <w:tcPr>
            <w:tcW w:w="1440" w:type="dxa"/>
            <w:vAlign w:val="center"/>
          </w:tcPr>
          <w:p>
            <w:pPr>
              <w:keepLines/>
              <w:autoSpaceDE w:val="0"/>
              <w:autoSpaceDN w:val="0"/>
              <w:adjustRightInd w:val="0"/>
              <w:spacing w:before="80"/>
              <w:rPr>
                <w:color w:val="000000"/>
                <w:sz w:val="20"/>
              </w:rPr>
            </w:pPr>
            <w:r>
              <w:rPr>
                <w:color w:val="000000"/>
                <w:sz w:val="20"/>
              </w:rPr>
              <w:t>Section 195</w:t>
            </w:r>
          </w:p>
        </w:tc>
      </w:tr>
      <w:tr>
        <w:tc>
          <w:tcPr>
            <w:tcW w:w="2252" w:type="dxa"/>
            <w:vAlign w:val="center"/>
          </w:tcPr>
          <w:p>
            <w:pPr>
              <w:keepLines/>
              <w:autoSpaceDE w:val="0"/>
              <w:autoSpaceDN w:val="0"/>
              <w:adjustRightInd w:val="0"/>
              <w:spacing w:before="80"/>
              <w:rPr>
                <w:color w:val="000000"/>
                <w:sz w:val="20"/>
              </w:rPr>
            </w:pPr>
            <w:r>
              <w:rPr>
                <w:color w:val="000000"/>
                <w:sz w:val="20"/>
              </w:rPr>
              <w:t>18</w:t>
            </w:r>
          </w:p>
        </w:tc>
        <w:tc>
          <w:tcPr>
            <w:tcW w:w="1440" w:type="dxa"/>
            <w:vAlign w:val="center"/>
          </w:tcPr>
          <w:p>
            <w:pPr>
              <w:keepLines/>
              <w:autoSpaceDE w:val="0"/>
              <w:autoSpaceDN w:val="0"/>
              <w:adjustRightInd w:val="0"/>
              <w:spacing w:before="80"/>
              <w:rPr>
                <w:color w:val="000000"/>
                <w:sz w:val="20"/>
              </w:rPr>
            </w:pPr>
            <w:r>
              <w:rPr>
                <w:color w:val="000000"/>
                <w:sz w:val="20"/>
              </w:rPr>
              <w:t>Section 223</w:t>
            </w:r>
          </w:p>
        </w:tc>
      </w:tr>
      <w:tr>
        <w:tc>
          <w:tcPr>
            <w:tcW w:w="2252" w:type="dxa"/>
            <w:vAlign w:val="center"/>
          </w:tcPr>
          <w:p>
            <w:pPr>
              <w:keepLines/>
              <w:autoSpaceDE w:val="0"/>
              <w:autoSpaceDN w:val="0"/>
              <w:adjustRightInd w:val="0"/>
              <w:spacing w:before="80"/>
              <w:rPr>
                <w:color w:val="000000"/>
                <w:sz w:val="20"/>
              </w:rPr>
            </w:pPr>
            <w:r>
              <w:rPr>
                <w:color w:val="000000"/>
                <w:sz w:val="20"/>
              </w:rPr>
              <w:t>19</w:t>
            </w:r>
          </w:p>
        </w:tc>
        <w:tc>
          <w:tcPr>
            <w:tcW w:w="1440" w:type="dxa"/>
            <w:vAlign w:val="center"/>
          </w:tcPr>
          <w:p>
            <w:pPr>
              <w:keepLines/>
              <w:autoSpaceDE w:val="0"/>
              <w:autoSpaceDN w:val="0"/>
              <w:adjustRightInd w:val="0"/>
              <w:spacing w:before="80"/>
              <w:rPr>
                <w:color w:val="000000"/>
                <w:sz w:val="20"/>
              </w:rPr>
            </w:pPr>
            <w:r>
              <w:rPr>
                <w:color w:val="000000"/>
                <w:sz w:val="20"/>
              </w:rPr>
              <w:t>Section 225</w:t>
            </w:r>
          </w:p>
        </w:tc>
      </w:tr>
      <w:tr>
        <w:tc>
          <w:tcPr>
            <w:tcW w:w="2252" w:type="dxa"/>
            <w:vAlign w:val="center"/>
          </w:tcPr>
          <w:p>
            <w:pPr>
              <w:keepLines/>
              <w:autoSpaceDE w:val="0"/>
              <w:autoSpaceDN w:val="0"/>
              <w:adjustRightInd w:val="0"/>
              <w:spacing w:before="80"/>
              <w:rPr>
                <w:color w:val="000000"/>
                <w:sz w:val="20"/>
              </w:rPr>
            </w:pPr>
            <w:r>
              <w:rPr>
                <w:color w:val="000000"/>
                <w:sz w:val="20"/>
              </w:rPr>
              <w:t>20</w:t>
            </w:r>
          </w:p>
        </w:tc>
        <w:tc>
          <w:tcPr>
            <w:tcW w:w="1440" w:type="dxa"/>
            <w:vAlign w:val="center"/>
          </w:tcPr>
          <w:p>
            <w:pPr>
              <w:keepLines/>
              <w:autoSpaceDE w:val="0"/>
              <w:autoSpaceDN w:val="0"/>
              <w:adjustRightInd w:val="0"/>
              <w:spacing w:before="80"/>
              <w:rPr>
                <w:color w:val="000000"/>
                <w:sz w:val="20"/>
              </w:rPr>
            </w:pPr>
            <w:r>
              <w:rPr>
                <w:color w:val="000000"/>
                <w:sz w:val="20"/>
              </w:rPr>
              <w:t>Section 227</w:t>
            </w:r>
          </w:p>
        </w:tc>
      </w:tr>
      <w:tr>
        <w:tc>
          <w:tcPr>
            <w:tcW w:w="2252" w:type="dxa"/>
            <w:vAlign w:val="center"/>
          </w:tcPr>
          <w:p>
            <w:pPr>
              <w:keepLines/>
              <w:autoSpaceDE w:val="0"/>
              <w:autoSpaceDN w:val="0"/>
              <w:adjustRightInd w:val="0"/>
              <w:spacing w:before="80"/>
              <w:rPr>
                <w:color w:val="000000"/>
                <w:sz w:val="20"/>
              </w:rPr>
            </w:pPr>
            <w:r>
              <w:rPr>
                <w:color w:val="000000"/>
                <w:sz w:val="20"/>
              </w:rPr>
              <w:t>21</w:t>
            </w:r>
          </w:p>
        </w:tc>
        <w:tc>
          <w:tcPr>
            <w:tcW w:w="1440" w:type="dxa"/>
            <w:vAlign w:val="center"/>
          </w:tcPr>
          <w:p>
            <w:pPr>
              <w:keepLines/>
              <w:autoSpaceDE w:val="0"/>
              <w:autoSpaceDN w:val="0"/>
              <w:adjustRightInd w:val="0"/>
              <w:spacing w:before="80"/>
              <w:rPr>
                <w:color w:val="000000"/>
                <w:sz w:val="20"/>
              </w:rPr>
            </w:pPr>
            <w:r>
              <w:rPr>
                <w:color w:val="000000"/>
                <w:sz w:val="20"/>
              </w:rPr>
              <w:t>Section 228</w:t>
            </w:r>
          </w:p>
        </w:tc>
      </w:tr>
    </w:tbl>
    <w:p>
      <w:pPr>
        <w:pStyle w:val="Heading5"/>
      </w:pPr>
      <w:bookmarkStart w:id="190" w:name="_Toc158374664"/>
      <w:r>
        <w:rPr>
          <w:rStyle w:val="CharSectno"/>
        </w:rPr>
        <w:t>4</w:t>
      </w:r>
      <w:r>
        <w:t>.</w:t>
      </w:r>
      <w:r>
        <w:tab/>
        <w:t>Meaning of conduct provision</w:t>
      </w:r>
      <w:bookmarkEnd w:id="190"/>
    </w:p>
    <w:p>
      <w:pPr>
        <w:keepNext/>
        <w:keepLines/>
        <w:autoSpaceDE w:val="0"/>
        <w:autoSpaceDN w:val="0"/>
        <w:adjustRightInd w:val="0"/>
        <w:spacing w:before="120"/>
        <w:ind w:left="1588"/>
        <w:rPr>
          <w:color w:val="000000"/>
          <w:sz w:val="23"/>
          <w:szCs w:val="23"/>
        </w:rPr>
      </w:pPr>
      <w:r>
        <w:rPr>
          <w:color w:val="000000"/>
          <w:sz w:val="23"/>
          <w:szCs w:val="23"/>
        </w:rPr>
        <w:t>A conduct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this Law (other than an offence provision) or the Rules that is prescribed by the Regulations to be a conduct provision.</w:t>
      </w:r>
    </w:p>
    <w:p>
      <w:pPr>
        <w:keepNext/>
        <w:keepLines/>
        <w:autoSpaceDE w:val="0"/>
        <w:autoSpaceDN w:val="0"/>
        <w:adjustRightInd w:val="0"/>
        <w:spacing w:before="120"/>
        <w:ind w:left="1588"/>
        <w:rPr>
          <w:color w:val="000000"/>
          <w:sz w:val="2"/>
          <w:szCs w:val="2"/>
        </w:rPr>
      </w:pPr>
    </w:p>
    <w:p>
      <w:pPr>
        <w:keepNext/>
        <w:keepLines/>
        <w:autoSpaceDE w:val="0"/>
        <w:autoSpaceDN w:val="0"/>
        <w:adjustRightInd w:val="0"/>
        <w:spacing w:before="120" w:after="40"/>
        <w:jc w:val="center"/>
        <w:rPr>
          <w:color w:val="000000"/>
          <w:sz w:val="23"/>
          <w:szCs w:val="23"/>
        </w:rPr>
      </w:pPr>
      <w:r>
        <w:rPr>
          <w:b/>
          <w:bCs/>
          <w:color w:val="000000"/>
          <w:sz w:val="23"/>
          <w:szCs w:val="23"/>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Provision</w:t>
            </w:r>
          </w:p>
        </w:tc>
      </w:tr>
      <w:tr>
        <w:tc>
          <w:tcPr>
            <w:tcW w:w="2252" w:type="dxa"/>
            <w:tcBorders>
              <w:top w:val="single" w:sz="4" w:space="0" w:color="auto"/>
            </w:tcBorders>
            <w:vAlign w:val="center"/>
          </w:tcPr>
          <w:p>
            <w:pPr>
              <w:keepLines/>
              <w:autoSpaceDE w:val="0"/>
              <w:autoSpaceDN w:val="0"/>
              <w:adjustRightInd w:val="0"/>
              <w:spacing w:before="120"/>
              <w:rPr>
                <w:color w:val="000000"/>
                <w:sz w:val="20"/>
              </w:rPr>
            </w:pPr>
            <w:r>
              <w:rPr>
                <w:color w:val="000000"/>
                <w:sz w:val="20"/>
              </w:rPr>
              <w:t>1</w:t>
            </w:r>
          </w:p>
        </w:tc>
        <w:tc>
          <w:tcPr>
            <w:tcW w:w="1440" w:type="dxa"/>
            <w:tcBorders>
              <w:top w:val="single" w:sz="4" w:space="0" w:color="auto"/>
            </w:tcBorders>
            <w:vAlign w:val="center"/>
          </w:tcPr>
          <w:p>
            <w:pPr>
              <w:keepLines/>
              <w:autoSpaceDE w:val="0"/>
              <w:autoSpaceDN w:val="0"/>
              <w:adjustRightInd w:val="0"/>
              <w:spacing w:before="120"/>
              <w:rPr>
                <w:color w:val="000000"/>
                <w:sz w:val="20"/>
              </w:rPr>
            </w:pPr>
            <w:r>
              <w:rPr>
                <w:color w:val="000000"/>
                <w:sz w:val="20"/>
              </w:rPr>
              <w:t>Section 133</w:t>
            </w:r>
          </w:p>
        </w:tc>
      </w:tr>
      <w:tr>
        <w:tc>
          <w:tcPr>
            <w:tcW w:w="2252" w:type="dxa"/>
            <w:vAlign w:val="center"/>
          </w:tcPr>
          <w:p>
            <w:pPr>
              <w:keepLines/>
              <w:autoSpaceDE w:val="0"/>
              <w:autoSpaceDN w:val="0"/>
              <w:adjustRightInd w:val="0"/>
              <w:spacing w:before="120"/>
              <w:rPr>
                <w:color w:val="000000"/>
                <w:sz w:val="20"/>
              </w:rPr>
            </w:pPr>
            <w:r>
              <w:rPr>
                <w:color w:val="000000"/>
                <w:sz w:val="20"/>
              </w:rPr>
              <w:t>2</w:t>
            </w:r>
          </w:p>
        </w:tc>
        <w:tc>
          <w:tcPr>
            <w:tcW w:w="1440" w:type="dxa"/>
            <w:vAlign w:val="center"/>
          </w:tcPr>
          <w:p>
            <w:pPr>
              <w:keepLines/>
              <w:autoSpaceDE w:val="0"/>
              <w:autoSpaceDN w:val="0"/>
              <w:adjustRightInd w:val="0"/>
              <w:spacing w:before="120"/>
              <w:rPr>
                <w:color w:val="000000"/>
                <w:sz w:val="20"/>
              </w:rPr>
            </w:pPr>
            <w:r>
              <w:rPr>
                <w:color w:val="000000"/>
                <w:sz w:val="20"/>
              </w:rPr>
              <w:t>Section 134</w:t>
            </w:r>
          </w:p>
        </w:tc>
      </w:tr>
      <w:tr>
        <w:tc>
          <w:tcPr>
            <w:tcW w:w="2252" w:type="dxa"/>
            <w:vAlign w:val="center"/>
          </w:tcPr>
          <w:p>
            <w:pPr>
              <w:keepLines/>
              <w:autoSpaceDE w:val="0"/>
              <w:autoSpaceDN w:val="0"/>
              <w:adjustRightInd w:val="0"/>
              <w:spacing w:before="120"/>
              <w:rPr>
                <w:color w:val="000000"/>
                <w:sz w:val="20"/>
              </w:rPr>
            </w:pPr>
            <w:r>
              <w:rPr>
                <w:color w:val="000000"/>
                <w:sz w:val="20"/>
              </w:rPr>
              <w:t>3</w:t>
            </w:r>
          </w:p>
        </w:tc>
        <w:tc>
          <w:tcPr>
            <w:tcW w:w="1440" w:type="dxa"/>
            <w:vAlign w:val="center"/>
          </w:tcPr>
          <w:p>
            <w:pPr>
              <w:keepLines/>
              <w:autoSpaceDE w:val="0"/>
              <w:autoSpaceDN w:val="0"/>
              <w:adjustRightInd w:val="0"/>
              <w:spacing w:before="120"/>
              <w:rPr>
                <w:color w:val="000000"/>
                <w:sz w:val="20"/>
              </w:rPr>
            </w:pPr>
            <w:r>
              <w:rPr>
                <w:color w:val="000000"/>
                <w:sz w:val="20"/>
              </w:rPr>
              <w:t>Section 135</w:t>
            </w:r>
          </w:p>
        </w:tc>
      </w:tr>
      <w:tr>
        <w:tc>
          <w:tcPr>
            <w:tcW w:w="2252" w:type="dxa"/>
            <w:vAlign w:val="center"/>
          </w:tcPr>
          <w:p>
            <w:pPr>
              <w:keepLines/>
              <w:autoSpaceDE w:val="0"/>
              <w:autoSpaceDN w:val="0"/>
              <w:adjustRightInd w:val="0"/>
              <w:spacing w:before="120"/>
              <w:rPr>
                <w:color w:val="000000"/>
                <w:sz w:val="20"/>
              </w:rPr>
            </w:pPr>
            <w:r>
              <w:rPr>
                <w:color w:val="000000"/>
                <w:sz w:val="20"/>
              </w:rPr>
              <w:t>4</w:t>
            </w:r>
          </w:p>
        </w:tc>
        <w:tc>
          <w:tcPr>
            <w:tcW w:w="1440" w:type="dxa"/>
            <w:vAlign w:val="center"/>
          </w:tcPr>
          <w:p>
            <w:pPr>
              <w:keepLines/>
              <w:autoSpaceDE w:val="0"/>
              <w:autoSpaceDN w:val="0"/>
              <w:adjustRightInd w:val="0"/>
              <w:spacing w:before="120"/>
              <w:rPr>
                <w:color w:val="000000"/>
                <w:sz w:val="20"/>
              </w:rPr>
            </w:pPr>
            <w:r>
              <w:rPr>
                <w:color w:val="000000"/>
                <w:sz w:val="20"/>
              </w:rPr>
              <w:t>Section 136</w:t>
            </w:r>
          </w:p>
        </w:tc>
      </w:tr>
      <w:tr>
        <w:tc>
          <w:tcPr>
            <w:tcW w:w="2252" w:type="dxa"/>
            <w:vAlign w:val="center"/>
          </w:tcPr>
          <w:p>
            <w:pPr>
              <w:keepLines/>
              <w:autoSpaceDE w:val="0"/>
              <w:autoSpaceDN w:val="0"/>
              <w:adjustRightInd w:val="0"/>
              <w:spacing w:before="120"/>
              <w:rPr>
                <w:color w:val="000000"/>
                <w:sz w:val="20"/>
              </w:rPr>
            </w:pPr>
            <w:r>
              <w:rPr>
                <w:color w:val="000000"/>
                <w:sz w:val="20"/>
              </w:rPr>
              <w:t>5</w:t>
            </w:r>
          </w:p>
        </w:tc>
        <w:tc>
          <w:tcPr>
            <w:tcW w:w="1440" w:type="dxa"/>
            <w:vAlign w:val="center"/>
          </w:tcPr>
          <w:p>
            <w:pPr>
              <w:keepLines/>
              <w:autoSpaceDE w:val="0"/>
              <w:autoSpaceDN w:val="0"/>
              <w:adjustRightInd w:val="0"/>
              <w:spacing w:before="120"/>
              <w:rPr>
                <w:color w:val="000000"/>
                <w:sz w:val="20"/>
              </w:rPr>
            </w:pPr>
            <w:r>
              <w:rPr>
                <w:color w:val="000000"/>
                <w:sz w:val="20"/>
              </w:rPr>
              <w:t>Section 147</w:t>
            </w:r>
          </w:p>
        </w:tc>
      </w:tr>
      <w:tr>
        <w:tc>
          <w:tcPr>
            <w:tcW w:w="2252" w:type="dxa"/>
            <w:vAlign w:val="center"/>
          </w:tcPr>
          <w:p>
            <w:pPr>
              <w:keepLines/>
              <w:autoSpaceDE w:val="0"/>
              <w:autoSpaceDN w:val="0"/>
              <w:adjustRightInd w:val="0"/>
              <w:spacing w:before="120"/>
              <w:rPr>
                <w:color w:val="000000"/>
                <w:sz w:val="20"/>
              </w:rPr>
            </w:pPr>
            <w:r>
              <w:rPr>
                <w:color w:val="000000"/>
                <w:sz w:val="20"/>
              </w:rPr>
              <w:t>6</w:t>
            </w:r>
          </w:p>
        </w:tc>
        <w:tc>
          <w:tcPr>
            <w:tcW w:w="1440" w:type="dxa"/>
            <w:vAlign w:val="center"/>
          </w:tcPr>
          <w:p>
            <w:pPr>
              <w:keepLines/>
              <w:autoSpaceDE w:val="0"/>
              <w:autoSpaceDN w:val="0"/>
              <w:adjustRightInd w:val="0"/>
              <w:spacing w:before="120"/>
              <w:rPr>
                <w:color w:val="000000"/>
                <w:sz w:val="20"/>
              </w:rPr>
            </w:pPr>
            <w:r>
              <w:rPr>
                <w:color w:val="000000"/>
                <w:sz w:val="20"/>
              </w:rPr>
              <w:t>Section 148</w:t>
            </w:r>
          </w:p>
        </w:tc>
      </w:tr>
      <w:tr>
        <w:tc>
          <w:tcPr>
            <w:tcW w:w="2252" w:type="dxa"/>
            <w:vAlign w:val="center"/>
          </w:tcPr>
          <w:p>
            <w:pPr>
              <w:keepLines/>
              <w:autoSpaceDE w:val="0"/>
              <w:autoSpaceDN w:val="0"/>
              <w:adjustRightInd w:val="0"/>
              <w:spacing w:before="120"/>
              <w:rPr>
                <w:color w:val="000000"/>
                <w:sz w:val="20"/>
              </w:rPr>
            </w:pPr>
            <w:r>
              <w:rPr>
                <w:color w:val="000000"/>
                <w:sz w:val="20"/>
              </w:rPr>
              <w:t>7</w:t>
            </w:r>
          </w:p>
        </w:tc>
        <w:tc>
          <w:tcPr>
            <w:tcW w:w="1440" w:type="dxa"/>
            <w:vAlign w:val="center"/>
          </w:tcPr>
          <w:p>
            <w:pPr>
              <w:keepLines/>
              <w:autoSpaceDE w:val="0"/>
              <w:autoSpaceDN w:val="0"/>
              <w:adjustRightInd w:val="0"/>
              <w:spacing w:before="120"/>
              <w:rPr>
                <w:color w:val="000000"/>
                <w:sz w:val="20"/>
              </w:rPr>
            </w:pPr>
            <w:r>
              <w:rPr>
                <w:color w:val="000000"/>
                <w:sz w:val="20"/>
              </w:rPr>
              <w:t>Section 170</w:t>
            </w:r>
          </w:p>
        </w:tc>
      </w:tr>
    </w:tbl>
    <w:p>
      <w:pPr>
        <w:pStyle w:val="Heading5"/>
      </w:pPr>
      <w:bookmarkStart w:id="191" w:name="_Toc158374665"/>
      <w:r>
        <w:rPr>
          <w:rStyle w:val="CharSectno"/>
        </w:rPr>
        <w:lastRenderedPageBreak/>
        <w:t>5</w:t>
      </w:r>
      <w:r>
        <w:t>.</w:t>
      </w:r>
      <w:r>
        <w:tab/>
        <w:t>Meaning of prospective user</w:t>
      </w:r>
      <w:bookmarkEnd w:id="19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prospective user is a person who seeks or wishes to be provided with a pipeline service by means of a scheme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a user is also a prospective user if the user seeks or wishes to be provided with a pipeline service by means of a scheme pipeline other than a pipeline service already provided to them under—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determination.</w:t>
      </w:r>
    </w:p>
    <w:p>
      <w:pPr>
        <w:pStyle w:val="Heading5"/>
      </w:pPr>
      <w:bookmarkStart w:id="192" w:name="_Toc158374666"/>
      <w:r>
        <w:rPr>
          <w:rStyle w:val="CharSectno"/>
        </w:rPr>
        <w:t>6</w:t>
      </w:r>
      <w:r>
        <w:t>.</w:t>
      </w:r>
      <w:r>
        <w:tab/>
        <w:t>Meaning of regulatory obligation or requirement</w:t>
      </w:r>
      <w:bookmarkEnd w:id="19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regulatory obligation or requirement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the provision of a pipeline service by a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obligation or requirement under—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this Law or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Act of a participating jurisdiction, or any instrument made or issued under or for the purposes of that Act, that levies or imposes a tax or other levy that is payable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an Act of a participating jurisdiction, or any instrument made or issued under or for the purposes of that Act, that regulates the use of land in a participating jurisdiction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lastRenderedPageBreak/>
        <w:tab/>
        <w:t>(iv)</w:t>
      </w:r>
      <w:r>
        <w:rPr>
          <w:color w:val="000000"/>
          <w:sz w:val="23"/>
          <w:szCs w:val="23"/>
        </w:rPr>
        <w:tab/>
        <w:t>an Act of a participating jurisdiction or any instrument made or issued under or for the purposes of that Act that relates to the protection of the environment; or</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an Act of a participating jurisdiction, or any instrument made or issued under or for the purposes of that Act (other than national gas legislation or an Act of a participating jurisdiction or an Act or instrument referred to in subparagraphs (ii) to (iv)), that materially affects the provision, by a service provider, of pipeline services to which an applicable access arrangement applies.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regulatory obligation or requirement does not include an obligation or requirement to pay a fine, penalty or compensation—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a breach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or the Rules or an Act or an instrument referred to in subsection (1)(b)(ii) to (v).</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24(2)(b).</w:t>
      </w:r>
    </w:p>
    <w:p>
      <w:pPr>
        <w:pStyle w:val="Heading5"/>
      </w:pPr>
      <w:bookmarkStart w:id="193" w:name="_Toc158374667"/>
      <w:r>
        <w:rPr>
          <w:rStyle w:val="CharSectno"/>
        </w:rPr>
        <w:t>7</w:t>
      </w:r>
      <w:r>
        <w:t>.</w:t>
      </w:r>
      <w:r>
        <w:tab/>
        <w:t>Meaning of regulatory payment</w:t>
      </w:r>
      <w:bookmarkEnd w:id="193"/>
    </w:p>
    <w:p>
      <w:pPr>
        <w:keepNext/>
        <w:keepLines/>
        <w:autoSpaceDE w:val="0"/>
        <w:autoSpaceDN w:val="0"/>
        <w:adjustRightInd w:val="0"/>
        <w:spacing w:before="120"/>
        <w:ind w:left="1588"/>
        <w:rPr>
          <w:color w:val="000000"/>
          <w:sz w:val="23"/>
          <w:szCs w:val="23"/>
        </w:rPr>
      </w:pPr>
      <w:r>
        <w:rPr>
          <w:color w:val="000000"/>
          <w:sz w:val="23"/>
          <w:szCs w:val="23"/>
        </w:rPr>
        <w:t>A regulatory payment is a sum that a service provider had been required or allowed to pay to a user or an end user for a breach of,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reliability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pipeline service standard,</w:t>
      </w:r>
    </w:p>
    <w:p>
      <w:pPr>
        <w:keepLines/>
        <w:autoSpaceDE w:val="0"/>
        <w:autoSpaceDN w:val="0"/>
        <w:adjustRightInd w:val="0"/>
        <w:spacing w:before="120"/>
        <w:ind w:left="1588"/>
        <w:rPr>
          <w:color w:val="000000"/>
          <w:sz w:val="23"/>
          <w:szCs w:val="23"/>
        </w:rPr>
      </w:pPr>
      <w:r>
        <w:rPr>
          <w:color w:val="000000"/>
          <w:sz w:val="23"/>
          <w:szCs w:val="23"/>
        </w:rPr>
        <w:lastRenderedPageBreak/>
        <w:t>because it was efficient for the service provider (in terms of the service provider’s overall business) to pay that sum.</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24(2)(b).</w:t>
      </w:r>
    </w:p>
    <w:p>
      <w:pPr>
        <w:pStyle w:val="Heading5"/>
      </w:pPr>
      <w:bookmarkStart w:id="194" w:name="_Toc158374668"/>
      <w:r>
        <w:rPr>
          <w:rStyle w:val="CharSectno"/>
        </w:rPr>
        <w:t>8</w:t>
      </w:r>
      <w:r>
        <w:t>.</w:t>
      </w:r>
      <w:r>
        <w:tab/>
        <w:t>Meaning of service provider</w:t>
      </w:r>
      <w:bookmarkEnd w:id="19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is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owns, controls or operates;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intends to own, control or operate,</w:t>
      </w:r>
    </w:p>
    <w:p>
      <w:pPr>
        <w:keepLines/>
        <w:autoSpaceDE w:val="0"/>
        <w:autoSpaceDN w:val="0"/>
        <w:adjustRightInd w:val="0"/>
        <w:spacing w:before="120"/>
        <w:ind w:left="1588"/>
        <w:rPr>
          <w:color w:val="000000"/>
          <w:sz w:val="23"/>
          <w:szCs w:val="23"/>
        </w:rPr>
      </w:pPr>
      <w:r>
        <w:rPr>
          <w:color w:val="000000"/>
          <w:sz w:val="23"/>
          <w:szCs w:val="23"/>
        </w:rPr>
        <w:t>a pipeline or scheme pipeline, or any part of a pipeline or scheme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service provider must not provide pipeline services by means of a scheme pipeline unless the service provider is a legal entity of a specified kind: See section 131, and section 169 where the scheme pipeline is an international pipeline to which a price regulation exemption applies.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gas market operator that controls or operates (without at the same time owning)—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or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 of a pipeline or scheme pipeline,</w:t>
      </w:r>
    </w:p>
    <w:p>
      <w:pPr>
        <w:keepLines/>
        <w:autoSpaceDE w:val="0"/>
        <w:autoSpaceDN w:val="0"/>
        <w:adjustRightInd w:val="0"/>
        <w:spacing w:before="120"/>
        <w:ind w:left="1588"/>
        <w:rPr>
          <w:color w:val="000000"/>
          <w:sz w:val="23"/>
          <w:szCs w:val="23"/>
        </w:rPr>
      </w:pPr>
      <w:r>
        <w:rPr>
          <w:color w:val="000000"/>
          <w:sz w:val="23"/>
          <w:szCs w:val="23"/>
        </w:rPr>
        <w:t>is not to be taken to be a service provider for the purposes of this Law.</w:t>
      </w:r>
    </w:p>
    <w:p>
      <w:pPr>
        <w:pStyle w:val="Heading5"/>
      </w:pPr>
      <w:bookmarkStart w:id="195" w:name="_Toc158374669"/>
      <w:r>
        <w:rPr>
          <w:rStyle w:val="CharSectno"/>
        </w:rPr>
        <w:t>9</w:t>
      </w:r>
      <w:r>
        <w:t>.</w:t>
      </w:r>
      <w:r>
        <w:tab/>
        <w:t>Passive owners of scheme pipelines deemed to provide or intend to provide pipeline services</w:t>
      </w:r>
      <w:bookmarkEnd w:id="19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to a person who owns a scheme pipeline but does not provide or intend to provide pipeline services by means of that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person is, for the purposes of this Law, deemed to provide or intend to provide pipeline services by means of that pipeline even if the person does not, in fact, do so.</w:t>
      </w:r>
    </w:p>
    <w:p>
      <w:pPr>
        <w:pStyle w:val="Heading5"/>
      </w:pPr>
      <w:bookmarkStart w:id="196" w:name="_Toc158374670"/>
      <w:r>
        <w:rPr>
          <w:rStyle w:val="CharSectno"/>
        </w:rPr>
        <w:lastRenderedPageBreak/>
        <w:t>10</w:t>
      </w:r>
      <w:r>
        <w:t>.</w:t>
      </w:r>
      <w:r>
        <w:tab/>
        <w:t>Things done by 1 service provider to be treated as being done by all of service provider group</w:t>
      </w:r>
      <w:bookmarkEnd w:id="19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more than 1 service provider (a </w:t>
      </w:r>
      <w:r>
        <w:rPr>
          <w:rStyle w:val="CharDefText"/>
          <w:bCs/>
          <w:sz w:val="23"/>
        </w:rPr>
        <w:t>service provider group</w:t>
      </w:r>
      <w:r>
        <w:rPr>
          <w:color w:val="000000"/>
          <w:sz w:val="23"/>
          <w:szCs w:val="23"/>
        </w:rPr>
        <w:t>) carries out a controlling pipeline activity in respect of a pipeline (or a part of a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or the Rules a service provider is required or allowed to do a thing.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A service provider of the service provider group (the </w:t>
      </w:r>
      <w:r>
        <w:rPr>
          <w:rStyle w:val="CharDefText"/>
          <w:bCs/>
          <w:sz w:val="23"/>
        </w:rPr>
        <w:t>complying service provider</w:t>
      </w:r>
      <w:r>
        <w:rPr>
          <w:color w:val="000000"/>
          <w:sz w:val="23"/>
          <w:szCs w:val="23"/>
        </w:rPr>
        <w:t>) may do that thing on behalf of the other service providers of the service provider group if the complying service provider has the written permission of all of the service providers of that group to do that thing on behalf of the service provider group.</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(3)</w:t>
      </w:r>
      <w:r>
        <w:rPr>
          <w:color w:val="000000"/>
          <w:sz w:val="23"/>
          <w:szCs w:val="23"/>
        </w:rPr>
        <w:tab/>
        <w:t>Unless this Law or the Rules otherwise provide, on the doing of a thing referred to in subsection (2) by a complying service provider, the service providers of the service provider group on whose behalf the complying service provider does that thing, must, for the purposes of this Law and the Rules, each be taken to have done the thing done by the complying service provider.</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(4)</w:t>
      </w:r>
      <w:r>
        <w:rPr>
          <w:color w:val="000000"/>
          <w:sz w:val="23"/>
          <w:szCs w:val="23"/>
        </w:rPr>
        <w:tab/>
        <w:t>This section does not apply to a thing required or allowed to be done under section 131 or Chapter 4 Part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controlling pipeline activity</w:t>
      </w:r>
      <w:r>
        <w:rPr>
          <w:bCs/>
          <w:i/>
          <w:iCs/>
          <w:color w:val="000000"/>
          <w:sz w:val="23"/>
          <w:szCs w:val="23"/>
        </w:rPr>
        <w:t xml:space="preserve"> </w:t>
      </w:r>
      <w:r>
        <w:rPr>
          <w:color w:val="000000"/>
          <w:sz w:val="23"/>
          <w:szCs w:val="23"/>
        </w:rPr>
        <w:t>means own, control or operate.</w:t>
      </w:r>
    </w:p>
    <w:p>
      <w:pPr>
        <w:pStyle w:val="Heading5"/>
      </w:pPr>
      <w:bookmarkStart w:id="197" w:name="_Toc158374671"/>
      <w:r>
        <w:rPr>
          <w:rStyle w:val="CharSectno"/>
        </w:rPr>
        <w:t>11</w:t>
      </w:r>
      <w:r>
        <w:t>.</w:t>
      </w:r>
      <w:r>
        <w:tab/>
        <w:t>Local agents of foreign service providers</w:t>
      </w:r>
      <w:bookmarkEnd w:id="197"/>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is a foreign company;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service provider has, under the </w:t>
      </w:r>
      <w:r>
        <w:rPr>
          <w:i/>
          <w:iCs/>
          <w:color w:val="000000"/>
          <w:sz w:val="23"/>
          <w:szCs w:val="23"/>
        </w:rPr>
        <w:t>Corporations Act 2001</w:t>
      </w:r>
      <w:r>
        <w:rPr>
          <w:color w:val="000000"/>
          <w:sz w:val="23"/>
          <w:szCs w:val="23"/>
        </w:rPr>
        <w:t xml:space="preserve"> of the Commonwealth, appointed a local agent within the meaning of that Act.</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lastRenderedPageBreak/>
        <w:tab/>
        <w:t>(2)</w:t>
      </w:r>
      <w:r>
        <w:rPr>
          <w:color w:val="000000"/>
          <w:sz w:val="23"/>
          <w:szCs w:val="23"/>
        </w:rPr>
        <w:tab/>
        <w:t>The local agent—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answerable for the doing of all acts, matters and things the service provider is required by or under this Law to do;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personally liable to a penalty imposed on the service provider for a breach of a provision of this Law or the Rules if a court hearing the matter is satisfied that the local agent should be so liable.</w:t>
      </w:r>
    </w:p>
    <w:p>
      <w:pPr>
        <w:pStyle w:val="Heading5"/>
      </w:pPr>
      <w:bookmarkStart w:id="198" w:name="_Toc158374672"/>
      <w:r>
        <w:rPr>
          <w:rStyle w:val="CharSectno"/>
        </w:rPr>
        <w:t>12</w:t>
      </w:r>
      <w:r>
        <w:rPr>
          <w:bCs/>
        </w:rPr>
        <w:t>.</w:t>
      </w:r>
      <w:r>
        <w:rPr>
          <w:bCs/>
        </w:rPr>
        <w:tab/>
      </w:r>
      <w:r>
        <w:t>Commissioning of a pipeline</w:t>
      </w:r>
      <w:bookmarkEnd w:id="198"/>
    </w:p>
    <w:p>
      <w:pPr>
        <w:keepLines/>
        <w:autoSpaceDE w:val="0"/>
        <w:autoSpaceDN w:val="0"/>
        <w:adjustRightInd w:val="0"/>
        <w:spacing w:before="120"/>
        <w:ind w:left="1588"/>
        <w:rPr>
          <w:color w:val="000000"/>
          <w:sz w:val="23"/>
          <w:szCs w:val="23"/>
        </w:rPr>
      </w:pPr>
      <w:r>
        <w:rPr>
          <w:color w:val="000000"/>
          <w:sz w:val="23"/>
          <w:szCs w:val="23"/>
        </w:rPr>
        <w:t>A pipeline is commissioned when the pipeline is first used for the haulage of natural gas, on a commercial basis.</w:t>
      </w:r>
    </w:p>
    <w:p>
      <w:pPr>
        <w:pStyle w:val="Heading5"/>
      </w:pPr>
      <w:bookmarkStart w:id="199" w:name="_Toc158374673"/>
      <w:r>
        <w:rPr>
          <w:rStyle w:val="CharSectno"/>
        </w:rPr>
        <w:t>13</w:t>
      </w:r>
      <w:r>
        <w:rPr>
          <w:rStyle w:val="CharSectno"/>
          <w:bCs/>
        </w:rPr>
        <w:t>.</w:t>
      </w:r>
      <w:r>
        <w:rPr>
          <w:rStyle w:val="CharSectno"/>
          <w:bCs/>
        </w:rPr>
        <w:tab/>
      </w:r>
      <w:r>
        <w:t>Pipeline classification criterion</w:t>
      </w:r>
      <w:bookmarkEnd w:id="19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pipeline classification criterion is whether the primary function of the pipeline is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reticulate gas within a market (which is the primary function of a distribution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convey gas to a market (which is the primary function of a transmission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in determining the primary function of the pipeline, regard must also be had to whether the characteristics of the pipeline are those of a transmission pipeline or distribution pipeline having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characteristics and classification of, as the case requires, an old scheme transmission pipeline or an old scheme distribution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characteristics of, as the case requires, a transmission pipeline or a distribution pipeline classified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characteristics and classification of pipelines specified in the Rules (if any);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(d)</w:t>
      </w:r>
      <w:r>
        <w:rPr>
          <w:color w:val="000000"/>
          <w:sz w:val="23"/>
          <w:szCs w:val="23"/>
        </w:rPr>
        <w:tab/>
        <w:t>the diameter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pressure at which the pipeline is or will be designed to operate;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number of points at which gas can or will be injected into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extent of the area served or to be served by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the pipeline’s linear or dendritic configuration.</w:t>
      </w:r>
    </w:p>
    <w:p>
      <w:pPr>
        <w:pStyle w:val="Heading5"/>
      </w:pPr>
      <w:bookmarkStart w:id="200" w:name="_Toc158374674"/>
      <w:r>
        <w:rPr>
          <w:rStyle w:val="CharSectno"/>
        </w:rPr>
        <w:t>14</w:t>
      </w:r>
      <w:r>
        <w:t>.</w:t>
      </w:r>
      <w:r>
        <w:rPr>
          <w:rStyle w:val="CharSectno"/>
          <w:bCs/>
        </w:rPr>
        <w:tab/>
      </w:r>
      <w:r>
        <w:t>Jurisdictional determination criteria—cross boundary distribution pipelines</w:t>
      </w:r>
      <w:bookmarkEnd w:id="200"/>
    </w:p>
    <w:p>
      <w:pPr>
        <w:keepNext/>
        <w:keepLines/>
        <w:autoSpaceDE w:val="0"/>
        <w:autoSpaceDN w:val="0"/>
        <w:adjustRightInd w:val="0"/>
        <w:spacing w:before="120"/>
        <w:ind w:left="1588"/>
        <w:rPr>
          <w:color w:val="000000"/>
          <w:sz w:val="23"/>
          <w:szCs w:val="23"/>
        </w:rPr>
      </w:pPr>
      <w:r>
        <w:rPr>
          <w:color w:val="000000"/>
          <w:sz w:val="23"/>
          <w:szCs w:val="23"/>
        </w:rPr>
        <w:t>The pipeline jurisdictional determination criteria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more gas is to be delivered by a cross boundary distribution pipeline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more customers to be served by a cross boundary distribution pipeline are resident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whether more of the network for a cross boundary distribution pipeline is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1 participating jurisdiction has greater prospects for growth in the gas market served or to be served by a cross boundary distribution pipeline than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(e)</w:t>
      </w:r>
      <w:r>
        <w:rPr>
          <w:color w:val="000000"/>
          <w:sz w:val="23"/>
          <w:szCs w:val="23"/>
        </w:rPr>
        <w:tab/>
        <w:t>whether the regional economic benefits from competition are likely to be greater for 1 participating jurisdiction than for any other participating jurisdiction.</w:t>
      </w:r>
    </w:p>
    <w:p>
      <w:pPr>
        <w:pStyle w:val="Heading5"/>
      </w:pPr>
      <w:bookmarkStart w:id="201" w:name="_Toc158374675"/>
      <w:r>
        <w:rPr>
          <w:rStyle w:val="CharSectno"/>
        </w:rPr>
        <w:t>15</w:t>
      </w:r>
      <w:r>
        <w:t>.</w:t>
      </w:r>
      <w:r>
        <w:tab/>
        <w:t>Pipeline coverage criteria</w:t>
      </w:r>
      <w:bookmarkEnd w:id="201"/>
    </w:p>
    <w:p>
      <w:pPr>
        <w:keepNext/>
        <w:keepLines/>
        <w:autoSpaceDE w:val="0"/>
        <w:autoSpaceDN w:val="0"/>
        <w:adjustRightInd w:val="0"/>
        <w:spacing w:before="120"/>
        <w:ind w:left="1588"/>
        <w:rPr>
          <w:color w:val="000000"/>
          <w:sz w:val="23"/>
          <w:szCs w:val="23"/>
        </w:rPr>
      </w:pPr>
      <w:r>
        <w:rPr>
          <w:color w:val="000000"/>
          <w:sz w:val="23"/>
          <w:szCs w:val="23"/>
        </w:rPr>
        <w:t>The pipeline coverage criteria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access (or increased access) to pipeline services provided by means of the pipeline would promote a material increase in competition in at least 1 market (whether or not in Australia), other than the market for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it would be uneconomic for anyone to develop another pipeline to provide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that access (or increased access) to the pipeline services provided by means of the pipeline can be provided without undue risk to human health or safety;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access (or increased access) to the pipeline services provided by means of the pipeline would not be contrary to the public interest.</w:t>
      </w:r>
    </w:p>
    <w:p>
      <w:pPr>
        <w:pStyle w:val="Heading5"/>
      </w:pPr>
      <w:bookmarkStart w:id="202" w:name="_Toc158374676"/>
      <w:r>
        <w:rPr>
          <w:rStyle w:val="CharSectno"/>
        </w:rPr>
        <w:t>16</w:t>
      </w:r>
      <w:r>
        <w:t>.</w:t>
      </w:r>
      <w:r>
        <w:tab/>
        <w:t>Form of regulation factors</w:t>
      </w:r>
      <w:bookmarkEnd w:id="202"/>
    </w:p>
    <w:p>
      <w:pPr>
        <w:keepNext/>
        <w:keepLines/>
        <w:autoSpaceDE w:val="0"/>
        <w:autoSpaceDN w:val="0"/>
        <w:adjustRightInd w:val="0"/>
        <w:spacing w:before="120"/>
        <w:ind w:left="1588"/>
        <w:rPr>
          <w:color w:val="000000"/>
          <w:sz w:val="23"/>
          <w:szCs w:val="23"/>
        </w:rPr>
      </w:pPr>
      <w:r>
        <w:rPr>
          <w:color w:val="000000"/>
          <w:sz w:val="23"/>
          <w:szCs w:val="23"/>
        </w:rPr>
        <w:t>The form of regulation factors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presence and extent of any barriers to entry in a market for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presence and extent of any network externalities (that is, interdependencies) between a natural gas service provided by a service provider and any other natural gas service provided by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(c)</w:t>
      </w:r>
      <w:r>
        <w:rPr>
          <w:color w:val="000000"/>
          <w:sz w:val="23"/>
          <w:szCs w:val="23"/>
        </w:rPr>
        <w:tab/>
        <w:t>the presence and extent of any network externalities (that is, interdependencies) between a natural gas service provided by a service provider and any other service provided by the service provider in any other market;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extent to which any market power possessed by a service provider is, or is likely to be, mitigated by any countervailing market power possessed by a user or prospective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presence and extent of any substitute, and the elasticity of demand, in a market for a pipeline service in which a service provider provides that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presence and extent of any substitute for, and the elasticity of demand in a market for, electricity or gas (as the case may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extent to which there is information available to a prospective user or user, and whether that information is adequate, to enable the prospective user or user to negotiate on an informed basis with a service provider for the provision of a pipeline service to them by the service provider.</w:t>
      </w:r>
    </w:p>
    <w:p>
      <w:pPr>
        <w:pStyle w:val="Heading5"/>
      </w:pPr>
      <w:bookmarkStart w:id="203" w:name="_Toc158374677"/>
      <w:r>
        <w:rPr>
          <w:rStyle w:val="CharSectno"/>
        </w:rPr>
        <w:t>17</w:t>
      </w:r>
      <w:r>
        <w:rPr>
          <w:bCs/>
        </w:rPr>
        <w:t>.</w:t>
      </w:r>
      <w:r>
        <w:rPr>
          <w:bCs/>
        </w:rPr>
        <w:tab/>
      </w:r>
      <w:r>
        <w:t>Effect of separate and consolidated access arrangements in certain cases</w:t>
      </w:r>
      <w:bookmarkEnd w:id="20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despite anything to the contrary in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under this Law and the Rules, separate access arrangements are approved in an applicable access arrangement decision for pipeline services provided, or to be provided, by means of different parts of a covered pipeline, each part of the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which pipeline services are provided;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each separate applicable access arrangement applies,</w:t>
      </w:r>
    </w:p>
    <w:p>
      <w:pPr>
        <w:keepLines/>
        <w:autoSpaceDE w:val="0"/>
        <w:autoSpaceDN w:val="0"/>
        <w:adjustRightInd w:val="0"/>
        <w:spacing w:before="120"/>
        <w:ind w:left="1588"/>
        <w:rPr>
          <w:color w:val="000000"/>
          <w:sz w:val="23"/>
          <w:szCs w:val="23"/>
        </w:rPr>
      </w:pPr>
      <w:r>
        <w:rPr>
          <w:color w:val="000000"/>
          <w:sz w:val="23"/>
          <w:szCs w:val="23"/>
        </w:rPr>
        <w:lastRenderedPageBreak/>
        <w:t>must to be taken to be a separate covered pipeline for the purposes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under this Law and the Rules, a single access arrangement is approved in an applicable access arrangement decision for pipeline services provided, or to be provided, by means of 2 or more covered pipelines, those pipelines must be taken to be a single covered pipeline for the purposes of this Law.</w:t>
      </w:r>
    </w:p>
    <w:p>
      <w:pPr>
        <w:pStyle w:val="Heading5"/>
      </w:pPr>
      <w:bookmarkStart w:id="204" w:name="_Toc158374678"/>
      <w:r>
        <w:rPr>
          <w:rStyle w:val="CharSectno"/>
        </w:rPr>
        <w:t>18</w:t>
      </w:r>
      <w:r>
        <w:t>.</w:t>
      </w:r>
      <w:r>
        <w:tab/>
        <w:t>Certain extensions to, or expansion of the capacity of, pipelines to be taken to be part of a covered pipeline</w:t>
      </w:r>
      <w:bookmarkEnd w:id="204"/>
    </w:p>
    <w:p>
      <w:pPr>
        <w:keepNext/>
        <w:keepLines/>
        <w:autoSpaceDE w:val="0"/>
        <w:autoSpaceDN w:val="0"/>
        <w:adjustRightInd w:val="0"/>
        <w:spacing w:before="120"/>
        <w:ind w:left="1588"/>
        <w:rPr>
          <w:color w:val="000000"/>
          <w:sz w:val="23"/>
          <w:szCs w:val="23"/>
        </w:rPr>
      </w:pPr>
      <w:r>
        <w:rPr>
          <w:color w:val="000000"/>
          <w:sz w:val="23"/>
          <w:szCs w:val="23"/>
        </w:rPr>
        <w:t>For the purposes of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extension to, or expansion of the capacity of, a covered pipeline must be taken to be part of the covered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as extended or expanded must be taken to be a covered pipeline,</w:t>
      </w:r>
    </w:p>
    <w:p>
      <w:pPr>
        <w:keepLines/>
        <w:autoSpaceDE w:val="0"/>
        <w:autoSpaceDN w:val="0"/>
        <w:adjustRightInd w:val="0"/>
        <w:spacing w:before="120"/>
        <w:ind w:left="1588"/>
        <w:rPr>
          <w:color w:val="000000"/>
          <w:sz w:val="23"/>
          <w:szCs w:val="23"/>
        </w:rPr>
      </w:pPr>
      <w:r>
        <w:rPr>
          <w:color w:val="000000"/>
          <w:sz w:val="23"/>
          <w:szCs w:val="23"/>
        </w:rPr>
        <w:t>if, by operation of the extension and expansion requirements under an applicable access arrangement, the applicable access arrangement will apply to pipeline services provided by means of the covered pipeline as extended or expanded.</w:t>
      </w:r>
    </w:p>
    <w:p>
      <w:pPr>
        <w:pStyle w:val="Heading5"/>
      </w:pPr>
      <w:bookmarkStart w:id="205" w:name="_Toc158374679"/>
      <w:r>
        <w:rPr>
          <w:rStyle w:val="CharSectno"/>
        </w:rPr>
        <w:t>19</w:t>
      </w:r>
      <w:r>
        <w:rPr>
          <w:bCs/>
        </w:rPr>
        <w:t>.</w:t>
      </w:r>
      <w:r>
        <w:rPr>
          <w:bCs/>
        </w:rPr>
        <w:tab/>
      </w:r>
      <w:r>
        <w:t>Expansions of and extensions to covered pipeline by which light regulation services are provided</w:t>
      </w:r>
      <w:bookmarkEnd w:id="205"/>
    </w:p>
    <w:p>
      <w:pPr>
        <w:keepLines/>
        <w:autoSpaceDE w:val="0"/>
        <w:autoSpaceDN w:val="0"/>
        <w:adjustRightInd w:val="0"/>
        <w:spacing w:before="120"/>
        <w:ind w:left="1588"/>
        <w:rPr>
          <w:color w:val="000000"/>
          <w:sz w:val="23"/>
          <w:szCs w:val="23"/>
        </w:rPr>
      </w:pPr>
      <w:r>
        <w:rPr>
          <w:color w:val="000000"/>
          <w:sz w:val="23"/>
          <w:szCs w:val="23"/>
        </w:rPr>
        <w:t>For the purposes of this Law, an extension to, or expansion of the capacity of, a covered pipeline by means of which light regulation services (and in respect of which there is no limited access arrangement) are provided, must be taken to be part of the covered pipeline unless the AER determines otherwise in writing.</w:t>
      </w:r>
    </w:p>
    <w:p>
      <w:pPr>
        <w:pStyle w:val="Heading5"/>
      </w:pPr>
      <w:bookmarkStart w:id="206" w:name="_Toc158374680"/>
      <w:r>
        <w:rPr>
          <w:rStyle w:val="CharSectno"/>
        </w:rPr>
        <w:lastRenderedPageBreak/>
        <w:t>20</w:t>
      </w:r>
      <w:r>
        <w:t>.</w:t>
      </w:r>
      <w:r>
        <w:tab/>
        <w:t>Interpretation generally</w:t>
      </w:r>
      <w:bookmarkEnd w:id="206"/>
    </w:p>
    <w:p>
      <w:pPr>
        <w:keepLines/>
        <w:autoSpaceDE w:val="0"/>
        <w:autoSpaceDN w:val="0"/>
        <w:adjustRightInd w:val="0"/>
        <w:spacing w:before="120"/>
        <w:ind w:left="1588"/>
        <w:rPr>
          <w:color w:val="000000"/>
          <w:sz w:val="23"/>
          <w:szCs w:val="23"/>
        </w:rPr>
      </w:pPr>
      <w:r>
        <w:rPr>
          <w:color w:val="000000"/>
          <w:sz w:val="23"/>
          <w:szCs w:val="23"/>
        </w:rPr>
        <w:t>Schedule 2 to this Law applies to this Law, the Regulations and the Rules and any other statutory instrument made under this Law.</w:t>
      </w:r>
    </w:p>
    <w:p>
      <w:pPr>
        <w:pStyle w:val="Heading3"/>
      </w:pPr>
      <w:bookmarkStart w:id="207" w:name="_Toc156819044"/>
      <w:bookmarkStart w:id="208" w:name="_Toc156990461"/>
      <w:bookmarkStart w:id="209" w:name="_Toc158374681"/>
      <w:r>
        <w:rPr>
          <w:rStyle w:val="CharDivNo"/>
        </w:rPr>
        <w:t>Part 1A</w:t>
      </w:r>
      <w:r>
        <w:rPr>
          <w:color w:val="000000"/>
          <w:szCs w:val="32"/>
        </w:rPr>
        <w:t xml:space="preserve"> </w:t>
      </w:r>
      <w:r>
        <w:t>—</w:t>
      </w:r>
      <w:r>
        <w:rPr>
          <w:color w:val="000000"/>
          <w:szCs w:val="32"/>
        </w:rPr>
        <w:t xml:space="preserve"> </w:t>
      </w:r>
      <w:r>
        <w:rPr>
          <w:rStyle w:val="CharDivText"/>
        </w:rPr>
        <w:t>Postponement of Natural Gas Services Bulletin Board provisions</w:t>
      </w:r>
      <w:bookmarkEnd w:id="207"/>
      <w:bookmarkEnd w:id="208"/>
      <w:bookmarkEnd w:id="209"/>
    </w:p>
    <w:p>
      <w:pPr>
        <w:pStyle w:val="Footnotesection"/>
      </w:pPr>
      <w:r>
        <w:tab/>
        <w:t>[Heading inserted: WA Act Sch. 1 cl. 5.]</w:t>
      </w:r>
    </w:p>
    <w:p>
      <w:pPr>
        <w:pStyle w:val="Heading5"/>
      </w:pPr>
      <w:bookmarkStart w:id="210" w:name="_Toc158374682"/>
      <w:r>
        <w:rPr>
          <w:rStyle w:val="CharSectno"/>
        </w:rPr>
        <w:t>20A</w:t>
      </w:r>
      <w:r>
        <w:rPr>
          <w:bCs/>
        </w:rPr>
        <w:t>.</w:t>
      </w:r>
      <w:r>
        <w:rPr>
          <w:bCs/>
        </w:rPr>
        <w:tab/>
      </w:r>
      <w:r>
        <w:t>Minister may fix day on which provisions apply</w:t>
      </w:r>
      <w:bookmarkEnd w:id="210"/>
    </w:p>
    <w:p>
      <w:pPr>
        <w:keepLines/>
        <w:autoSpaceDE w:val="0"/>
        <w:autoSpaceDN w:val="0"/>
        <w:adjustRightInd w:val="0"/>
        <w:spacing w:before="120"/>
        <w:ind w:left="1588"/>
        <w:rPr>
          <w:color w:val="000000"/>
          <w:sz w:val="23"/>
          <w:szCs w:val="23"/>
        </w:rPr>
      </w:pPr>
      <w:r>
        <w:rPr>
          <w:color w:val="000000"/>
          <w:sz w:val="23"/>
          <w:szCs w:val="23"/>
        </w:rPr>
        <w:t xml:space="preserve">To the extent that a provision of this Law relates to the Natural Gas Services Bulletin Board, the provision does not apply before a day is fixed by the Minister, by an order notice of which is published in the </w:t>
      </w:r>
      <w:r>
        <w:rPr>
          <w:i/>
          <w:iCs/>
          <w:color w:val="000000"/>
          <w:sz w:val="23"/>
          <w:szCs w:val="23"/>
        </w:rPr>
        <w:t>Government Gazette</w:t>
      </w:r>
      <w:r>
        <w:rPr>
          <w:color w:val="000000"/>
          <w:sz w:val="23"/>
          <w:szCs w:val="23"/>
        </w:rPr>
        <w:t>, as the day on and after which provisions of this Law relating to the Natural Gas Services Bulletin Board apply.</w:t>
      </w:r>
    </w:p>
    <w:p>
      <w:pPr>
        <w:pStyle w:val="Footnotesection"/>
      </w:pPr>
      <w:r>
        <w:tab/>
        <w:t>[Section 20A inserted: WA Act Sch. 1 cl. 5.]</w:t>
      </w:r>
    </w:p>
    <w:p>
      <w:pPr>
        <w:pStyle w:val="Heading3"/>
        <w:rPr>
          <w:color w:val="000000"/>
          <w:sz w:val="32"/>
          <w:szCs w:val="32"/>
        </w:rPr>
      </w:pPr>
      <w:bookmarkStart w:id="211" w:name="_Toc156819046"/>
      <w:bookmarkStart w:id="212" w:name="_Toc156990463"/>
      <w:bookmarkStart w:id="213" w:name="_Toc158374683"/>
      <w:r>
        <w:rPr>
          <w:rStyle w:val="CharDivNo"/>
        </w:rPr>
        <w:t>Part 2</w:t>
      </w:r>
      <w:r>
        <w:rPr>
          <w:color w:val="000000"/>
          <w:sz w:val="32"/>
          <w:szCs w:val="32"/>
        </w:rPr>
        <w:t xml:space="preserve"> — </w:t>
      </w:r>
      <w:r>
        <w:rPr>
          <w:rStyle w:val="CharDivText"/>
        </w:rPr>
        <w:t>Participating jurisdictions</w:t>
      </w:r>
      <w:bookmarkEnd w:id="211"/>
      <w:bookmarkEnd w:id="212"/>
      <w:bookmarkEnd w:id="213"/>
    </w:p>
    <w:p>
      <w:pPr>
        <w:pStyle w:val="Heading5"/>
      </w:pPr>
      <w:bookmarkStart w:id="214" w:name="_Toc158374684"/>
      <w:r>
        <w:rPr>
          <w:rStyle w:val="CharSectno"/>
        </w:rPr>
        <w:t>21</w:t>
      </w:r>
      <w:r>
        <w:t>.</w:t>
      </w:r>
      <w:r>
        <w:tab/>
        <w:t>Participating jurisdictions</w:t>
      </w:r>
      <w:bookmarkEnd w:id="214"/>
    </w:p>
    <w:p>
      <w:pPr>
        <w:keepLines/>
        <w:autoSpaceDE w:val="0"/>
        <w:autoSpaceDN w:val="0"/>
        <w:adjustRightInd w:val="0"/>
        <w:spacing w:before="120"/>
        <w:ind w:left="1588"/>
        <w:rPr>
          <w:color w:val="000000"/>
          <w:sz w:val="23"/>
          <w:szCs w:val="23"/>
        </w:rPr>
      </w:pPr>
      <w:r>
        <w:rPr>
          <w:color w:val="000000"/>
          <w:sz w:val="23"/>
          <w:szCs w:val="23"/>
        </w:rPr>
        <w:t>The State of South Australia, the Commonwealth, each of the States of New South Wales, Victoria, Queensland, Western Australia and Tasmania, and the Australian Capital Territory and the Northern Territory are participating jurisdictions for the purposes of this Law.</w:t>
      </w:r>
    </w:p>
    <w:p>
      <w:pPr>
        <w:pStyle w:val="Heading5"/>
      </w:pPr>
      <w:bookmarkStart w:id="215" w:name="_Toc158374685"/>
      <w:r>
        <w:rPr>
          <w:rStyle w:val="CharSectno"/>
        </w:rPr>
        <w:t>22</w:t>
      </w:r>
      <w:r>
        <w:rPr>
          <w:bCs/>
        </w:rPr>
        <w:t>.</w:t>
      </w:r>
      <w:r>
        <w:rPr>
          <w:bCs/>
        </w:rPr>
        <w:tab/>
      </w:r>
      <w:r>
        <w:t>Ministers of participating jurisdictions</w:t>
      </w:r>
      <w:bookmarkEnd w:id="215"/>
    </w:p>
    <w:p>
      <w:pPr>
        <w:keepNext/>
        <w:keepLines/>
        <w:autoSpaceDE w:val="0"/>
        <w:autoSpaceDN w:val="0"/>
        <w:adjustRightInd w:val="0"/>
        <w:spacing w:before="120"/>
        <w:ind w:left="1588"/>
        <w:rPr>
          <w:color w:val="000000"/>
          <w:sz w:val="23"/>
          <w:szCs w:val="23"/>
        </w:rPr>
      </w:pPr>
      <w:r>
        <w:rPr>
          <w:color w:val="000000"/>
          <w:sz w:val="23"/>
          <w:szCs w:val="23"/>
        </w:rPr>
        <w:t>The Ministers of the participating jurisdictions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Minister of the Crown in right of South Australia administering Part 2 of the </w:t>
      </w:r>
      <w:r>
        <w:rPr>
          <w:i/>
          <w:iCs/>
          <w:color w:val="000000"/>
          <w:sz w:val="23"/>
          <w:szCs w:val="23"/>
        </w:rPr>
        <w:t>National Gas (South Australia) Act 2008</w:t>
      </w:r>
      <w:r>
        <w:rPr>
          <w:color w:val="000000"/>
          <w:sz w:val="23"/>
          <w:szCs w:val="23"/>
        </w:rPr>
        <w:t xml:space="preserve"> of South Australia; and</w:t>
      </w:r>
    </w:p>
    <w:p>
      <w:pPr>
        <w:keepNext/>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Minister of the Crown in right of Western Australia administering the </w:t>
      </w:r>
      <w:r>
        <w:rPr>
          <w:i/>
          <w:iCs/>
          <w:color w:val="000000"/>
          <w:sz w:val="23"/>
          <w:szCs w:val="23"/>
        </w:rPr>
        <w:t xml:space="preserve">National Gas Access </w:t>
      </w:r>
      <w:r>
        <w:rPr>
          <w:i/>
          <w:iCs/>
          <w:color w:val="000000"/>
          <w:sz w:val="23"/>
          <w:szCs w:val="23"/>
        </w:rPr>
        <w:lastRenderedPageBreak/>
        <w:t>(Western Australia) Act 2008</w:t>
      </w:r>
      <w:r>
        <w:rPr>
          <w:color w:val="000000"/>
          <w:sz w:val="23"/>
          <w:szCs w:val="23"/>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Minister of the Crown in right of the Commonwealth administering the </w:t>
      </w:r>
      <w:r>
        <w:rPr>
          <w:i/>
          <w:iCs/>
          <w:color w:val="000000"/>
          <w:sz w:val="23"/>
          <w:szCs w:val="23"/>
        </w:rPr>
        <w:t>Australian Energy Market Act 2004</w:t>
      </w:r>
      <w:r>
        <w:rPr>
          <w:color w:val="000000"/>
          <w:sz w:val="23"/>
          <w:szCs w:val="23"/>
        </w:rPr>
        <w:t xml:space="preserve"> of the Commonwealth;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 xml:space="preserve">the Ministers of the Crown in right of the other participating jurisdictions administering the laws of those jurisdictions that substantially correspond to Part 2 of the </w:t>
      </w:r>
      <w:r>
        <w:rPr>
          <w:i/>
          <w:iCs/>
          <w:color w:val="000000"/>
          <w:sz w:val="23"/>
          <w:szCs w:val="23"/>
        </w:rPr>
        <w:t>National Gas (South Australia) Act 2008</w:t>
      </w:r>
      <w:r>
        <w:rPr>
          <w:color w:val="000000"/>
          <w:sz w:val="23"/>
          <w:szCs w:val="23"/>
        </w:rPr>
        <w:t xml:space="preserve"> of South Australia.</w:t>
      </w:r>
    </w:p>
    <w:p>
      <w:pPr>
        <w:pStyle w:val="Heading3"/>
        <w:rPr>
          <w:color w:val="000000"/>
          <w:sz w:val="32"/>
          <w:szCs w:val="32"/>
        </w:rPr>
      </w:pPr>
      <w:bookmarkStart w:id="216" w:name="_Toc156819049"/>
      <w:bookmarkStart w:id="217" w:name="_Toc156990466"/>
      <w:bookmarkStart w:id="218" w:name="_Toc158374686"/>
      <w:r>
        <w:rPr>
          <w:rStyle w:val="CharDivNo"/>
        </w:rPr>
        <w:t>Part 3</w:t>
      </w:r>
      <w:r>
        <w:rPr>
          <w:color w:val="000000"/>
          <w:sz w:val="32"/>
          <w:szCs w:val="32"/>
        </w:rPr>
        <w:t xml:space="preserve"> — </w:t>
      </w:r>
      <w:r>
        <w:rPr>
          <w:rStyle w:val="CharDivText"/>
        </w:rPr>
        <w:t>National gas objective and principles</w:t>
      </w:r>
      <w:bookmarkEnd w:id="216"/>
      <w:bookmarkEnd w:id="217"/>
      <w:bookmarkEnd w:id="218"/>
    </w:p>
    <w:p>
      <w:pPr>
        <w:pStyle w:val="Heading4"/>
      </w:pPr>
      <w:bookmarkStart w:id="219" w:name="_Toc156819050"/>
      <w:bookmarkStart w:id="220" w:name="_Toc156990467"/>
      <w:bookmarkStart w:id="221" w:name="_Toc158374687"/>
      <w:r>
        <w:t>Division 1 — National gas objective</w:t>
      </w:r>
      <w:bookmarkEnd w:id="219"/>
      <w:bookmarkEnd w:id="220"/>
      <w:bookmarkEnd w:id="221"/>
    </w:p>
    <w:p>
      <w:pPr>
        <w:pStyle w:val="Heading5"/>
      </w:pPr>
      <w:bookmarkStart w:id="222" w:name="_Toc158374688"/>
      <w:r>
        <w:rPr>
          <w:rStyle w:val="CharSectno"/>
        </w:rPr>
        <w:t>23</w:t>
      </w:r>
      <w:r>
        <w:t>.</w:t>
      </w:r>
      <w:r>
        <w:tab/>
        <w:t>National gas objective</w:t>
      </w:r>
      <w:bookmarkEnd w:id="222"/>
    </w:p>
    <w:p>
      <w:pPr>
        <w:keepNext/>
        <w:keepLines/>
        <w:autoSpaceDE w:val="0"/>
        <w:autoSpaceDN w:val="0"/>
        <w:adjustRightInd w:val="0"/>
        <w:spacing w:before="120"/>
        <w:ind w:left="1588"/>
        <w:rPr>
          <w:color w:val="000000"/>
          <w:sz w:val="23"/>
          <w:szCs w:val="23"/>
        </w:rPr>
      </w:pPr>
      <w:r>
        <w:rPr>
          <w:color w:val="000000"/>
          <w:sz w:val="23"/>
          <w:szCs w:val="23"/>
        </w:rPr>
        <w:t>The objective of this Law is to promote efficient investment in, and efficient operation and use of, natural gas services for the long term interests of consumers of natural gas with respect to—</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price, quality, safety, reliability and security of supply of natural gas;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achievement of targets set by a participating jurisdiction—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reducing Australia’s greenhouse gas emissions;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are likely to contribute to reducing Australia’s greenhouse gas emissions.</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The AEMC must publish targets in a targets statement: see section 72A.</w:t>
      </w:r>
    </w:p>
    <w:p>
      <w:pPr>
        <w:pStyle w:val="Footnotesection"/>
      </w:pPr>
      <w:bookmarkStart w:id="223" w:name="_Toc156819052"/>
      <w:r>
        <w:tab/>
        <w:t>[Section 23 amended: see SA Act No. 26 of 2023 s. 14.]</w:t>
      </w:r>
    </w:p>
    <w:p>
      <w:pPr>
        <w:pStyle w:val="Heading5"/>
        <w:rPr>
          <w:b w:val="0"/>
        </w:rPr>
      </w:pPr>
      <w:bookmarkStart w:id="224" w:name="_Toc158374689"/>
      <w:r>
        <w:rPr>
          <w:rStyle w:val="CharSectno"/>
        </w:rPr>
        <w:lastRenderedPageBreak/>
        <w:t>23A</w:t>
      </w:r>
      <w:r>
        <w:t>.</w:t>
      </w:r>
      <w:r>
        <w:rPr>
          <w:rStyle w:val="CharSectno"/>
        </w:rPr>
        <w:tab/>
      </w:r>
      <w:r>
        <w:t>Regulations may prescribe matters for national gas objective</w:t>
      </w:r>
      <w:bookmarkEnd w:id="224"/>
    </w:p>
    <w:p>
      <w:pPr>
        <w:keepNext/>
        <w:keepLines/>
        <w:autoSpaceDE w:val="0"/>
        <w:autoSpaceDN w:val="0"/>
        <w:adjustRightInd w:val="0"/>
        <w:spacing w:before="120"/>
        <w:ind w:left="1588"/>
        <w:rPr>
          <w:color w:val="000000"/>
          <w:sz w:val="23"/>
          <w:szCs w:val="23"/>
        </w:rPr>
      </w:pPr>
      <w:r>
        <w:t xml:space="preserve">Without limiting the </w:t>
      </w:r>
      <w:r>
        <w:rPr>
          <w:i/>
          <w:iCs/>
        </w:rPr>
        <w:t>National Gas Access (WA) Act 2009</w:t>
      </w:r>
      <w:r>
        <w:t xml:space="preserve"> Part 3,</w:t>
      </w:r>
      <w:r>
        <w:rPr>
          <w:color w:val="000000"/>
          <w:sz w:val="23"/>
          <w:szCs w:val="23"/>
        </w:rPr>
        <w:t xml:space="preserve"> the Regulations may make provision about a matter relating to the achievement of targets mentioned in section 23(b) of this Law.</w:t>
      </w:r>
    </w:p>
    <w:p>
      <w:pPr>
        <w:pStyle w:val="Footnotesection"/>
      </w:pPr>
      <w:r>
        <w:tab/>
        <w:t>[Section 23A inserted: see SA Act No. 26 of 2023 s. 15</w:t>
      </w:r>
      <w:bookmarkStart w:id="225" w:name="_Hlk158114300"/>
      <w:r>
        <w:t>; WA Act Sch. 1 cl. 5A</w:t>
      </w:r>
      <w:bookmarkEnd w:id="225"/>
      <w:r>
        <w:t>.]</w:t>
      </w:r>
    </w:p>
    <w:p>
      <w:pPr>
        <w:pStyle w:val="Heading4"/>
      </w:pPr>
      <w:bookmarkStart w:id="226" w:name="_Toc156990470"/>
      <w:bookmarkStart w:id="227" w:name="_Toc158374690"/>
      <w:r>
        <w:t>Division 2 — Revenue and pricing principles</w:t>
      </w:r>
      <w:bookmarkEnd w:id="223"/>
      <w:bookmarkEnd w:id="226"/>
      <w:bookmarkEnd w:id="227"/>
    </w:p>
    <w:p>
      <w:pPr>
        <w:pStyle w:val="Heading5"/>
      </w:pPr>
      <w:bookmarkStart w:id="228" w:name="_Toc158374691"/>
      <w:r>
        <w:rPr>
          <w:rStyle w:val="CharSectno"/>
        </w:rPr>
        <w:t>24</w:t>
      </w:r>
      <w:r>
        <w:rPr>
          <w:bCs/>
        </w:rPr>
        <w:t>.</w:t>
      </w:r>
      <w:r>
        <w:rPr>
          <w:bCs/>
        </w:rPr>
        <w:tab/>
      </w:r>
      <w:r>
        <w:t>Revenue and pricing principles</w:t>
      </w:r>
      <w:bookmarkEnd w:id="22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revenue and pricing principles are the principles set out in subsections (2) to (7).</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service provider should be provided with a reasonable opportunity to recover at least the efficient costs the service provider incurs 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providing reference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complying with a regulatory obligation or requirement or making a regulatory payment.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should be provided with effective incentives in order to promote economic efficiency with respect to reference services the service provider provides. The economic efficiency that should be promoted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efficient investment in, or in connection with, a pipeline with which the service provider provides reference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efficient provision of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efficient use of the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Regard should be had to the capital base with respect to a pipeline adopted—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any previous—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lastRenderedPageBreak/>
        <w:tab/>
        <w:t>(i)</w:t>
      </w:r>
      <w:r>
        <w:rPr>
          <w:color w:val="000000"/>
          <w:sz w:val="23"/>
          <w:szCs w:val="23"/>
        </w:rPr>
        <w:tab/>
        <w:t>full access arrangement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decision of a relevant Regulator under section 2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reference tariff should allow for a return commensurate with the regulatory and commercial risks involved in providing the reference service to which that tariff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Regard should be had to the economic costs and risks of the potential for under and over investment by a service provider in a pipeline with which the service provider provides pipeline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Regard should be had to the economic costs and risks of the potential for under and over utilisation of a pipeline with which a service provider provides pipeline services.</w:t>
      </w:r>
    </w:p>
    <w:p>
      <w:pPr>
        <w:pStyle w:val="Heading4"/>
      </w:pPr>
      <w:bookmarkStart w:id="229" w:name="_Toc156819054"/>
      <w:bookmarkStart w:id="230" w:name="_Toc156990472"/>
      <w:bookmarkStart w:id="231" w:name="_Toc158374692"/>
      <w:r>
        <w:t>Division 3 — MCE policy principles</w:t>
      </w:r>
      <w:bookmarkEnd w:id="229"/>
      <w:bookmarkEnd w:id="230"/>
      <w:bookmarkEnd w:id="231"/>
    </w:p>
    <w:p>
      <w:pPr>
        <w:pStyle w:val="Heading5"/>
      </w:pPr>
      <w:bookmarkStart w:id="232" w:name="_Toc158374693"/>
      <w:r>
        <w:rPr>
          <w:rStyle w:val="CharSectno"/>
        </w:rPr>
        <w:t>25</w:t>
      </w:r>
      <w:r>
        <w:rPr>
          <w:bCs/>
        </w:rPr>
        <w:t>.</w:t>
      </w:r>
      <w:r>
        <w:rPr>
          <w:bCs/>
        </w:rPr>
        <w:tab/>
      </w:r>
      <w:r>
        <w:t>MCE statements of policy principles</w:t>
      </w:r>
      <w:bookmarkEnd w:id="23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MCE may issue a statement of policy principles in relation to any matters that are relevant to the exercise and performance by the AEMC of its functions and powers 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making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conducting a review under section 83.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issuing a statement of policy principles, the MCE must be satisfied that the statement is consistent with the national gas objective.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As soon as practicable after issuing a statement of policy principles, the MCE must give a copy of the statement to the AEMC.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must publish the statement in the South Australian Government Gazette and on its website as soon as practicable after it is given a copy of the statement.</w:t>
      </w:r>
    </w:p>
    <w:p>
      <w:pPr>
        <w:pStyle w:val="Heading3"/>
      </w:pPr>
      <w:bookmarkStart w:id="233" w:name="_Toc156819056"/>
      <w:bookmarkStart w:id="234" w:name="_Toc156990474"/>
      <w:bookmarkStart w:id="235" w:name="_Toc158374694"/>
      <w:r>
        <w:rPr>
          <w:rStyle w:val="CharDivNo"/>
        </w:rPr>
        <w:lastRenderedPageBreak/>
        <w:t>Part 4</w:t>
      </w:r>
      <w:r>
        <w:t xml:space="preserve"> — </w:t>
      </w:r>
      <w:r>
        <w:rPr>
          <w:rStyle w:val="CharDivText"/>
        </w:rPr>
        <w:t>Operation and effect of National Gas Rules</w:t>
      </w:r>
      <w:bookmarkEnd w:id="233"/>
      <w:bookmarkEnd w:id="234"/>
      <w:bookmarkEnd w:id="235"/>
    </w:p>
    <w:p>
      <w:pPr>
        <w:pStyle w:val="Heading5"/>
      </w:pPr>
      <w:bookmarkStart w:id="236" w:name="_Toc158374695"/>
      <w:r>
        <w:rPr>
          <w:rStyle w:val="CharSectno"/>
        </w:rPr>
        <w:t>26</w:t>
      </w:r>
      <w:r>
        <w:t>.</w:t>
      </w:r>
      <w:r>
        <w:rPr>
          <w:rStyle w:val="CharSectno"/>
        </w:rPr>
        <w:tab/>
      </w:r>
      <w:r>
        <w:t>National Gas Rules to have force of law</w:t>
      </w:r>
      <w:bookmarkEnd w:id="236"/>
    </w:p>
    <w:p>
      <w:pPr>
        <w:keepLines/>
        <w:autoSpaceDE w:val="0"/>
        <w:autoSpaceDN w:val="0"/>
        <w:adjustRightInd w:val="0"/>
        <w:spacing w:before="120"/>
        <w:ind w:left="1588"/>
        <w:rPr>
          <w:color w:val="000000"/>
          <w:sz w:val="23"/>
          <w:szCs w:val="23"/>
        </w:rPr>
      </w:pPr>
      <w:r>
        <w:rPr>
          <w:color w:val="000000"/>
          <w:sz w:val="23"/>
          <w:szCs w:val="23"/>
        </w:rPr>
        <w:t>The National Gas Rules have the force of law in this jurisdiction.</w:t>
      </w:r>
    </w:p>
    <w:p>
      <w:pPr>
        <w:pStyle w:val="Heading2"/>
      </w:pPr>
      <w:bookmarkStart w:id="237" w:name="_Toc156819058"/>
      <w:bookmarkStart w:id="238" w:name="_Toc156990476"/>
      <w:bookmarkStart w:id="239" w:name="_Toc158374696"/>
      <w:r>
        <w:rPr>
          <w:rStyle w:val="CharPartNo"/>
        </w:rPr>
        <w:lastRenderedPageBreak/>
        <w:t>Chapter 2</w:t>
      </w:r>
      <w:r>
        <w:t xml:space="preserve"> — </w:t>
      </w:r>
      <w:r>
        <w:rPr>
          <w:rStyle w:val="CharPartText"/>
        </w:rPr>
        <w:t>Functions and powers of gas market regulatory entities</w:t>
      </w:r>
      <w:bookmarkEnd w:id="237"/>
      <w:bookmarkEnd w:id="238"/>
      <w:bookmarkEnd w:id="239"/>
    </w:p>
    <w:p>
      <w:pPr>
        <w:pStyle w:val="Heading3"/>
      </w:pPr>
      <w:bookmarkStart w:id="240" w:name="_Toc156819059"/>
      <w:bookmarkStart w:id="241" w:name="_Toc156990477"/>
      <w:bookmarkStart w:id="242" w:name="_Toc158374697"/>
      <w:r>
        <w:rPr>
          <w:rStyle w:val="CharDivNo"/>
        </w:rPr>
        <w:t>Part 1</w:t>
      </w:r>
      <w:r>
        <w:t xml:space="preserve"> — </w:t>
      </w:r>
      <w:r>
        <w:rPr>
          <w:rStyle w:val="CharDivText"/>
        </w:rPr>
        <w:t>Functions and powers of the Australian Energy Regulator</w:t>
      </w:r>
      <w:bookmarkEnd w:id="240"/>
      <w:bookmarkEnd w:id="241"/>
      <w:bookmarkEnd w:id="242"/>
    </w:p>
    <w:p>
      <w:pPr>
        <w:pStyle w:val="Heading4"/>
        <w:rPr>
          <w:szCs w:val="28"/>
        </w:rPr>
      </w:pPr>
      <w:bookmarkStart w:id="243" w:name="_Toc156819060"/>
      <w:bookmarkStart w:id="244" w:name="_Toc156990478"/>
      <w:bookmarkStart w:id="245" w:name="_Toc158374698"/>
      <w:r>
        <w:rPr>
          <w:szCs w:val="28"/>
        </w:rPr>
        <w:t>Division 1</w:t>
      </w:r>
      <w:r>
        <w:rPr>
          <w:rStyle w:val="CharSDivNo"/>
        </w:rPr>
        <w:t xml:space="preserve"> </w:t>
      </w:r>
      <w:r>
        <w:rPr>
          <w:szCs w:val="28"/>
        </w:rPr>
        <w:t>—</w:t>
      </w:r>
      <w:r>
        <w:t xml:space="preserve"> </w:t>
      </w:r>
      <w:r>
        <w:rPr>
          <w:szCs w:val="28"/>
        </w:rPr>
        <w:t>General</w:t>
      </w:r>
      <w:bookmarkEnd w:id="243"/>
      <w:bookmarkEnd w:id="244"/>
      <w:bookmarkEnd w:id="245"/>
    </w:p>
    <w:p>
      <w:pPr>
        <w:pStyle w:val="Heading5"/>
      </w:pPr>
      <w:bookmarkStart w:id="246" w:name="_Toc158374699"/>
      <w:r>
        <w:rPr>
          <w:rStyle w:val="CharSectno"/>
        </w:rPr>
        <w:t>27</w:t>
      </w:r>
      <w:r>
        <w:t>.</w:t>
      </w:r>
      <w:r>
        <w:rPr>
          <w:bCs/>
        </w:rPr>
        <w:tab/>
      </w:r>
      <w:r>
        <w:t>Functions and powers of the AER</w:t>
      </w:r>
      <w:bookmarkEnd w:id="24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monitor compliance by persons with this Law, the Regulations and the Rules, including compliance with an applicable access arrangement, an access determination and a ring fencing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investigate breaches or possible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institute and conduct proceedings in relation to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institute and conduct appeals from decisions in proceedings referred to in paragraph (c);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(da)</w:t>
      </w:r>
      <w:r>
        <w:rPr>
          <w:color w:val="000000"/>
          <w:sz w:val="23"/>
          <w:szCs w:val="23"/>
        </w:rPr>
        <w:tab/>
        <w:t>to make a rate of return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AER economic regulatory functions or powers;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to prepare and publish reports on the financial and operational performance of service providers in providing pipeline services by means of covered pipelines;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to approve compliance programs of service providers relating to compliance by service providers with this Law or the Rules;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(h)</w:t>
      </w:r>
      <w:r>
        <w:rPr>
          <w:color w:val="000000"/>
          <w:sz w:val="23"/>
          <w:szCs w:val="23"/>
        </w:rPr>
        <w:tab/>
        <w:t>any other functions and powers conferred on it under this Law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has the power to do all things necessary or convenient to be done for or in connection with the performance of its functions.</w:t>
      </w:r>
    </w:p>
    <w:p>
      <w:pPr>
        <w:pStyle w:val="Footnotesection"/>
        <w:rPr>
          <w:szCs w:val="23"/>
        </w:rPr>
      </w:pPr>
      <w:r>
        <w:tab/>
        <w:t>[Section 27 amended: see SA Act No. 33 of 2018 s. 14 and WA Gazette 5 Apr 2019 p. 1007.]</w:t>
      </w:r>
    </w:p>
    <w:p>
      <w:pPr>
        <w:pStyle w:val="Heading5"/>
      </w:pPr>
      <w:bookmarkStart w:id="247" w:name="_Toc158374700"/>
      <w:r>
        <w:rPr>
          <w:rStyle w:val="CharSectno"/>
        </w:rPr>
        <w:t>28</w:t>
      </w:r>
      <w:r>
        <w:t>.</w:t>
      </w:r>
      <w:r>
        <w:tab/>
        <w:t>Manner in which AER must perform or exercise AER economic regulatory functions or powers</w:t>
      </w:r>
      <w:bookmarkEnd w:id="24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in performing or exercising an AER economic regulatory function or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perform or exercise that function or power in a manner that will or is likely to contribute to the achievement of 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if the AER is making a designated reviewable regulatory decision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 xml:space="preserve">ensure that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(A)</w:t>
      </w:r>
      <w:r>
        <w:rPr>
          <w:color w:val="000000"/>
          <w:sz w:val="23"/>
          <w:szCs w:val="23"/>
        </w:rPr>
        <w:tab/>
        <w:t>the covered pipeline service provider that provides the pipeline services to which the applicable access arrangement decision will apply;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(B)</w:t>
      </w:r>
      <w:r>
        <w:rPr>
          <w:color w:val="000000"/>
          <w:sz w:val="23"/>
          <w:szCs w:val="23"/>
        </w:rPr>
        <w:tab/>
        <w:t>users or prospective users of the pipeline services that the AER considers have an interest in the matter;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(C)</w:t>
      </w:r>
      <w:r>
        <w:rPr>
          <w:color w:val="000000"/>
          <w:sz w:val="23"/>
          <w:szCs w:val="23"/>
        </w:rPr>
        <w:tab/>
        <w:t>any user or consumer associations or user or consumer interest groups that the AER considers have an interest in the matter,</w:t>
      </w:r>
    </w:p>
    <w:p>
      <w:pPr>
        <w:keepNext/>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lastRenderedPageBreak/>
        <w:tab/>
      </w:r>
      <w:r>
        <w:rPr>
          <w:color w:val="000000"/>
          <w:sz w:val="23"/>
          <w:szCs w:val="23"/>
        </w:rPr>
        <w:tab/>
        <w:t xml:space="preserve">are, in accordance with the Rules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(D)</w:t>
      </w:r>
      <w:r>
        <w:rPr>
          <w:color w:val="000000"/>
          <w:sz w:val="23"/>
          <w:szCs w:val="23"/>
        </w:rPr>
        <w:tab/>
        <w:t>informed of the material issues under consideration by the AER;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(E)</w:t>
      </w:r>
      <w:r>
        <w:rPr>
          <w:color w:val="000000"/>
          <w:sz w:val="23"/>
          <w:szCs w:val="23"/>
        </w:rPr>
        <w:tab/>
        <w:t>given a reasonable opportunity to make submissions in respect of the decision before it is made;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specify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(A)</w:t>
      </w:r>
      <w:r>
        <w:rPr>
          <w:color w:val="000000"/>
          <w:sz w:val="23"/>
          <w:szCs w:val="23"/>
        </w:rPr>
        <w:tab/>
        <w:t>the manner in which the constituent components of the decision relate to each other;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(B)</w:t>
      </w:r>
      <w:r>
        <w:rPr>
          <w:color w:val="000000"/>
          <w:sz w:val="23"/>
          <w:szCs w:val="23"/>
        </w:rPr>
        <w:tab/>
        <w:t>the manner in which that interrelationship has been taken into account in the making of the decision;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 xml:space="preserve">if there are 2 or more possible designated reviewable regulatory decisions that will or are likely to contribute to the achievement of the national gas objective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(A)</w:t>
      </w:r>
      <w:r>
        <w:rPr>
          <w:color w:val="000000"/>
          <w:sz w:val="23"/>
          <w:szCs w:val="23"/>
        </w:rPr>
        <w:tab/>
        <w:t>make the decision that the AER is satisfied will or is likely to contribute to the achievement of the national gas objective to the greatest degree (the preferable designated reviewable regulatory decision);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(B)</w:t>
      </w:r>
      <w:r>
        <w:rPr>
          <w:color w:val="000000"/>
          <w:sz w:val="23"/>
          <w:szCs w:val="23"/>
        </w:rPr>
        <w:tab/>
        <w:t>specify reasons as to the basis on which the AER is satisfied that the decision is the preferable designated reviewable regulatory decision.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(2)</w:t>
      </w:r>
      <w:r>
        <w:rPr>
          <w:color w:val="000000"/>
          <w:sz w:val="23"/>
          <w:szCs w:val="23"/>
        </w:rPr>
        <w:tab/>
        <w:t>In addition, the AER—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take into account the revenue and pricing principles—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when exercising a discretion in approving or making those parts of an access arrangement relating to a reference tariff;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take into account the revenue and pricing principles when performing or exercising any other AER economic regulatory function or power, if the AER considers it appropriate to do so.</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(2)(a)(ii), a reference to a “reference service” in the revenue and pricing principles must be read as a reference to a “pipeline service”.</w:t>
      </w:r>
    </w:p>
    <w:p>
      <w:pPr>
        <w:pStyle w:val="Footnotesection"/>
        <w:rPr>
          <w:szCs w:val="23"/>
        </w:rPr>
      </w:pPr>
      <w:r>
        <w:tab/>
        <w:t>[Section 28 amended: see SA Act No. 79 of 2013 s. 20 and WA Gazette 14 Mar 2014 p. 632.]</w:t>
      </w:r>
    </w:p>
    <w:p>
      <w:pPr>
        <w:pStyle w:val="Heading5"/>
        <w:keepLines w:val="0"/>
      </w:pPr>
      <w:bookmarkStart w:id="248" w:name="_Toc158374701"/>
      <w:r>
        <w:rPr>
          <w:rStyle w:val="CharSectno"/>
        </w:rPr>
        <w:t>29</w:t>
      </w:r>
      <w:r>
        <w:t>.</w:t>
      </w:r>
      <w:r>
        <w:tab/>
        <w:t>Delegations</w:t>
      </w:r>
      <w:bookmarkEnd w:id="248"/>
    </w:p>
    <w:p>
      <w:pPr>
        <w:autoSpaceDE w:val="0"/>
        <w:autoSpaceDN w:val="0"/>
        <w:adjustRightInd w:val="0"/>
        <w:spacing w:before="120"/>
        <w:ind w:left="1588"/>
        <w:rPr>
          <w:color w:val="000000"/>
          <w:sz w:val="23"/>
          <w:szCs w:val="23"/>
        </w:rPr>
      </w:pPr>
      <w:r>
        <w:rPr>
          <w:color w:val="000000"/>
          <w:sz w:val="23"/>
          <w:szCs w:val="23"/>
        </w:rPr>
        <w:t xml:space="preserve">Any delegation by the AER under section 44AAH of the </w:t>
      </w:r>
      <w:r>
        <w:rPr>
          <w:i/>
          <w:iCs/>
          <w:color w:val="000000"/>
          <w:sz w:val="23"/>
          <w:szCs w:val="23"/>
        </w:rPr>
        <w:t>Trade Practices Act 1974</w:t>
      </w:r>
      <w:r>
        <w:rPr>
          <w:color w:val="000000"/>
          <w:sz w:val="23"/>
          <w:szCs w:val="23"/>
        </w:rPr>
        <w:t xml:space="preserve"> of the Commonwealth</w:t>
      </w:r>
      <w:r>
        <w:rPr>
          <w:sz w:val="23"/>
        </w:rPr>
        <w:t xml:space="preserve"> or by the ERA under section 29 of the </w:t>
      </w:r>
      <w:r>
        <w:rPr>
          <w:i/>
          <w:sz w:val="23"/>
        </w:rPr>
        <w:t>Economic Regulation Authority Act 2003</w:t>
      </w:r>
      <w:r>
        <w:rPr>
          <w:color w:val="000000"/>
          <w:sz w:val="23"/>
          <w:szCs w:val="23"/>
        </w:rPr>
        <w:t xml:space="preserve"> extends to, and has effect for the purposes of, this Law, the Regulations and the Rules.</w:t>
      </w:r>
    </w:p>
    <w:p>
      <w:pPr>
        <w:pStyle w:val="Footnotesection"/>
      </w:pPr>
      <w:r>
        <w:tab/>
        <w:t>[Section 29 modified: WA Act Sch. 1 cl. 6.]</w:t>
      </w:r>
    </w:p>
    <w:p>
      <w:pPr>
        <w:pStyle w:val="Heading5"/>
      </w:pPr>
      <w:bookmarkStart w:id="249" w:name="_Toc158374702"/>
      <w:r>
        <w:rPr>
          <w:rStyle w:val="CharSectno"/>
        </w:rPr>
        <w:lastRenderedPageBreak/>
        <w:t>30</w:t>
      </w:r>
      <w:r>
        <w:t>.</w:t>
      </w:r>
      <w:r>
        <w:tab/>
        <w:t>Confidentiality</w:t>
      </w:r>
      <w:bookmarkEnd w:id="24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Section 44AAF of the </w:t>
      </w:r>
      <w:r>
        <w:rPr>
          <w:i/>
          <w:iCs/>
          <w:color w:val="000000"/>
          <w:sz w:val="23"/>
          <w:szCs w:val="23"/>
        </w:rPr>
        <w:t>Trade Practices Act 1974</w:t>
      </w:r>
      <w:r>
        <w:rPr>
          <w:color w:val="000000"/>
          <w:sz w:val="23"/>
          <w:szCs w:val="23"/>
        </w:rPr>
        <w:t xml:space="preserve"> of the Commonwealth has effect for the purposes of this Law, the Regulations and the Rules as if it formed part of this Law.</w:t>
      </w:r>
    </w:p>
    <w:p>
      <w:pPr>
        <w:keepLines/>
        <w:tabs>
          <w:tab w:val="center" w:pos="1191"/>
          <w:tab w:val="left" w:pos="1588"/>
        </w:tabs>
        <w:autoSpaceDE w:val="0"/>
        <w:autoSpaceDN w:val="0"/>
        <w:adjustRightInd w:val="0"/>
        <w:spacing w:before="120"/>
        <w:ind w:left="1588" w:hanging="794"/>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delete subsection (3)(c) of the adopted section and insert:</w:t>
      </w:r>
    </w:p>
    <w:p>
      <w:pPr>
        <w:pStyle w:val="BlankOpen"/>
      </w:pPr>
    </w:p>
    <w:p>
      <w:pPr>
        <w:keepLines/>
        <w:tabs>
          <w:tab w:val="center" w:pos="1985"/>
          <w:tab w:val="left" w:pos="2382"/>
        </w:tabs>
        <w:autoSpaceDE w:val="0"/>
        <w:autoSpaceDN w:val="0"/>
        <w:adjustRightInd w:val="0"/>
        <w:spacing w:before="120"/>
        <w:ind w:left="2382" w:hanging="794"/>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delete subsection (6)(a)(i) of the adopted section and insert:</w:t>
      </w:r>
    </w:p>
    <w:p>
      <w:pPr>
        <w:pStyle w:val="BlankOpen"/>
      </w:pPr>
    </w:p>
    <w:p>
      <w:pPr>
        <w:keepLines/>
        <w:tabs>
          <w:tab w:val="center" w:pos="2779"/>
          <w:tab w:val="left" w:pos="3176"/>
        </w:tabs>
        <w:autoSpaceDE w:val="0"/>
        <w:autoSpaceDN w:val="0"/>
        <w:adjustRightInd w:val="0"/>
        <w:spacing w:before="120"/>
        <w:ind w:left="3176" w:hanging="794"/>
        <w:rPr>
          <w:sz w:val="23"/>
        </w:rPr>
      </w:pPr>
      <w:r>
        <w:rPr>
          <w:sz w:val="23"/>
        </w:rPr>
        <w:tab/>
        <w:t>(i)</w:t>
      </w:r>
      <w:r>
        <w:rPr>
          <w:sz w:val="23"/>
        </w:rPr>
        <w:tab/>
        <w:t>an ERA member, a person assisting the ERA in the performance of its functions or a delegate of the ERA;</w:t>
      </w:r>
    </w:p>
    <w:p>
      <w:pPr>
        <w:pStyle w:val="BlankClose"/>
      </w:pP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1.</w:t>
      </w:r>
    </w:p>
    <w:p>
      <w:pPr>
        <w:pStyle w:val="Footnotesection"/>
      </w:pPr>
      <w:r>
        <w:tab/>
        <w:t>[Section 30 modified: WA Act Sch. 1 cl. 7.]</w:t>
      </w:r>
    </w:p>
    <w:p>
      <w:pPr>
        <w:pStyle w:val="Heading4"/>
        <w:keepLines/>
      </w:pPr>
      <w:bookmarkStart w:id="250" w:name="_Toc156819065"/>
      <w:bookmarkStart w:id="251" w:name="_Toc156990483"/>
      <w:bookmarkStart w:id="252" w:name="_Toc158374703"/>
      <w:r>
        <w:lastRenderedPageBreak/>
        <w:t>Division 1A—Rate of return instrument</w:t>
      </w:r>
      <w:bookmarkEnd w:id="250"/>
      <w:bookmarkEnd w:id="251"/>
      <w:bookmarkEnd w:id="252"/>
    </w:p>
    <w:p>
      <w:pPr>
        <w:pStyle w:val="Footnoteheading"/>
        <w:keepNext/>
        <w:keepLines/>
      </w:pPr>
      <w:r>
        <w:tab/>
        <w:t>[Heading inserted: see SA Act No. 33 of 2018 s. 15 and WA Gazette 5 Apr 2019 p. 1007.]</w:t>
      </w:r>
    </w:p>
    <w:p>
      <w:pPr>
        <w:pStyle w:val="Heading4"/>
      </w:pPr>
      <w:bookmarkStart w:id="253" w:name="_Toc156819066"/>
      <w:bookmarkStart w:id="254" w:name="_Toc156990484"/>
      <w:bookmarkStart w:id="255" w:name="_Toc158374704"/>
      <w:r>
        <w:t>Subdivision 1—Preliminary</w:t>
      </w:r>
      <w:bookmarkEnd w:id="253"/>
      <w:bookmarkEnd w:id="254"/>
      <w:bookmarkEnd w:id="255"/>
    </w:p>
    <w:p>
      <w:pPr>
        <w:pStyle w:val="Footnoteheading"/>
        <w:keepNext/>
      </w:pPr>
      <w:r>
        <w:tab/>
        <w:t>[Heading inserted: see SA Act No. 33 of 2018 s. 15 and WA Gazette 5 Apr 2019 p. 1007.]</w:t>
      </w:r>
    </w:p>
    <w:p>
      <w:pPr>
        <w:pStyle w:val="Heading5"/>
        <w:rPr>
          <w:b w:val="0"/>
        </w:rPr>
      </w:pPr>
      <w:bookmarkStart w:id="256" w:name="_Toc158374705"/>
      <w:r>
        <w:rPr>
          <w:rStyle w:val="CharSectno"/>
        </w:rPr>
        <w:t>30A</w:t>
      </w:r>
      <w:r>
        <w:t>.</w:t>
      </w:r>
      <w:r>
        <w:tab/>
        <w:t>Definitions</w:t>
      </w:r>
      <w:bookmarkEnd w:id="256"/>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sz w:val="23"/>
          <w:szCs w:val="23"/>
        </w:rPr>
        <w:t>consumer reference group</w:t>
      </w:r>
      <w:r>
        <w:rPr>
          <w:color w:val="000000"/>
          <w:sz w:val="23"/>
          <w:szCs w:val="23"/>
        </w:rPr>
        <w:t xml:space="preserve">, for making a rate of return instrument, see </w:t>
      </w:r>
      <w:hyperlink w:anchor="id72f52006_4c51_4fb9_8278_cb348f29de" w:history="1">
        <w:r>
          <w:rPr>
            <w:color w:val="000000"/>
            <w:sz w:val="23"/>
            <w:szCs w:val="23"/>
          </w:rPr>
          <w:t>section 30H(1)(a)</w:t>
        </w:r>
      </w:hyperlink>
      <w:r>
        <w:rPr>
          <w:color w:val="000000"/>
          <w:sz w:val="23"/>
          <w:szCs w:val="23"/>
        </w:rPr>
        <w:t>;</w:t>
      </w:r>
    </w:p>
    <w:p>
      <w:pPr>
        <w:keepLines/>
        <w:autoSpaceDE w:val="0"/>
        <w:autoSpaceDN w:val="0"/>
        <w:adjustRightInd w:val="0"/>
        <w:spacing w:before="120"/>
        <w:ind w:left="1588"/>
        <w:rPr>
          <w:color w:val="000000"/>
          <w:sz w:val="23"/>
          <w:szCs w:val="23"/>
        </w:rPr>
      </w:pPr>
      <w:r>
        <w:rPr>
          <w:rStyle w:val="CharDefText"/>
          <w:sz w:val="23"/>
          <w:szCs w:val="23"/>
        </w:rPr>
        <w:t>explanatory information</w:t>
      </w:r>
      <w:r>
        <w:rPr>
          <w:color w:val="000000"/>
          <w:sz w:val="23"/>
          <w:szCs w:val="23"/>
        </w:rPr>
        <w:t>, for a rate of return instrument, means information about the content of the instrument, including (but not limited to) information explaining—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reasons for the rate of return on capital or the value of imputation credits under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how the stated value, or the way to calculate the rate or value, was decided;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if the instrument replaces another instrument—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differences (if any) between the instrument and the replaced instrument;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reasons for any differences;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why the AER is satisfied the instrument will, or is most likely to, contribute to the achievement of the national gas objective to the greatest degree;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how the AER had regard to the following in making the instrument: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revenue and pricing principles;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the matters mentioned in </w:t>
      </w:r>
      <w:hyperlink w:anchor="id0ff8a509_7876_447b_9127_a68ef60d88" w:history="1">
        <w:r>
          <w:rPr>
            <w:color w:val="000000"/>
            <w:sz w:val="23"/>
            <w:szCs w:val="23"/>
          </w:rPr>
          <w:t>section 30G</w:t>
        </w:r>
      </w:hyperlink>
      <w:r>
        <w:rPr>
          <w:color w:val="000000"/>
          <w:sz w:val="23"/>
          <w:szCs w:val="23"/>
        </w:rPr>
        <w: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lastRenderedPageBreak/>
        <w:tab/>
        <w:t>(iii)</w:t>
      </w:r>
      <w:r>
        <w:rPr>
          <w:color w:val="000000"/>
          <w:sz w:val="23"/>
          <w:szCs w:val="23"/>
        </w:rPr>
        <w:tab/>
        <w:t>estimation methods, financial models, market data and other evidence relevant to making the instrument;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prevailing conditions in the market for equity funds;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interrelationships between financial parameters used, or to be used, in relation to deciding the rate or value.</w:t>
      </w:r>
    </w:p>
    <w:p>
      <w:pPr>
        <w:pStyle w:val="Footnotesection"/>
      </w:pPr>
      <w:r>
        <w:tab/>
        <w:t>[Section 30A inserted: see SA Act No. 33 of 2018 s. 15 and WA Gazette 5 Apr 2019 p. 1007.]</w:t>
      </w:r>
    </w:p>
    <w:p>
      <w:pPr>
        <w:pStyle w:val="Heading5"/>
        <w:rPr>
          <w:b w:val="0"/>
        </w:rPr>
      </w:pPr>
      <w:bookmarkStart w:id="257" w:name="_Toc158374706"/>
      <w:r>
        <w:rPr>
          <w:rStyle w:val="CharSectno"/>
        </w:rPr>
        <w:t>30B</w:t>
      </w:r>
      <w:r>
        <w:t>.</w:t>
      </w:r>
      <w:r>
        <w:tab/>
        <w:t>Rate of return instrument has force of law</w:t>
      </w:r>
      <w:bookmarkEnd w:id="25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rate of return instrument has the force of law in this jurisdiction.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Act of this jurisdiction regulating the making of subordinate legislation does not apply to a rate of return instrument.</w:t>
      </w:r>
    </w:p>
    <w:p>
      <w:pPr>
        <w:pStyle w:val="Footnotesection"/>
      </w:pPr>
      <w:r>
        <w:tab/>
        <w:t>[Section 30B inserted: see SA Act No. 33 of 2018 s. 15 and WA Gazette 5 Apr 2019 p. 1007.]</w:t>
      </w:r>
    </w:p>
    <w:p>
      <w:pPr>
        <w:pStyle w:val="Heading5"/>
        <w:rPr>
          <w:b w:val="0"/>
        </w:rPr>
      </w:pPr>
      <w:bookmarkStart w:id="258" w:name="_Toc158374707"/>
      <w:r>
        <w:rPr>
          <w:rStyle w:val="CharSectno"/>
        </w:rPr>
        <w:t>30C</w:t>
      </w:r>
      <w:r>
        <w:t>.</w:t>
      </w:r>
      <w:r>
        <w:tab/>
        <w:t>Rate of return instrument is binding on AER and covered pipeline service providers</w:t>
      </w:r>
      <w:bookmarkEnd w:id="258"/>
    </w:p>
    <w:p>
      <w:pPr>
        <w:keepNext/>
        <w:keepLines/>
        <w:autoSpaceDE w:val="0"/>
        <w:autoSpaceDN w:val="0"/>
        <w:adjustRightInd w:val="0"/>
        <w:spacing w:before="120"/>
        <w:ind w:left="1588"/>
        <w:rPr>
          <w:color w:val="000000"/>
          <w:sz w:val="23"/>
          <w:szCs w:val="23"/>
        </w:rPr>
      </w:pPr>
      <w:r>
        <w:rPr>
          <w:color w:val="000000"/>
          <w:sz w:val="23"/>
          <w:szCs w:val="23"/>
        </w:rPr>
        <w:t>A rate of return instrument is binding 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AER in relation to the performance or exercise of an AER economic regulatory </w:t>
      </w:r>
      <w:r>
        <w:rPr>
          <w:sz w:val="23"/>
        </w:rPr>
        <w:t>function</w:t>
      </w:r>
      <w:r>
        <w:rPr>
          <w:color w:val="000000"/>
          <w:sz w:val="23"/>
          <w:szCs w:val="23"/>
        </w:rPr>
        <w:t xml:space="preserve"> or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each covered pipeline service provider in </w:t>
      </w:r>
      <w:r>
        <w:rPr>
          <w:sz w:val="23"/>
        </w:rPr>
        <w:t>relation</w:t>
      </w:r>
      <w:r>
        <w:rPr>
          <w:color w:val="000000"/>
          <w:sz w:val="23"/>
          <w:szCs w:val="23"/>
        </w:rPr>
        <w:t xml:space="preserve"> to a matter relevant to the performance or exercise of an AER economic regulatory function or power.</w:t>
      </w:r>
    </w:p>
    <w:p>
      <w:pPr>
        <w:pStyle w:val="Footnotesection"/>
      </w:pPr>
      <w:r>
        <w:tab/>
        <w:t>[Section 30C inserted: see SA Act No. 33 of 2018 s. 15 and WA Gazette 5 Apr 2019 p. 1007.]</w:t>
      </w:r>
    </w:p>
    <w:p>
      <w:pPr>
        <w:pStyle w:val="Heading4"/>
      </w:pPr>
      <w:bookmarkStart w:id="259" w:name="_Toc156819070"/>
      <w:bookmarkStart w:id="260" w:name="_Toc156990488"/>
      <w:bookmarkStart w:id="261" w:name="_Toc158374708"/>
      <w:r>
        <w:lastRenderedPageBreak/>
        <w:t>Subdivision 2—Requirement to make rate of return instrument</w:t>
      </w:r>
      <w:bookmarkEnd w:id="259"/>
      <w:bookmarkEnd w:id="260"/>
      <w:bookmarkEnd w:id="261"/>
    </w:p>
    <w:p>
      <w:pPr>
        <w:pStyle w:val="Footnoteheading"/>
        <w:keepNext/>
      </w:pPr>
      <w:r>
        <w:tab/>
        <w:t>[Heading inserted: see SA Act No. 33 of 2018 s. 15 and WA Gazette 5 Apr 2019 p. 1007.]</w:t>
      </w:r>
    </w:p>
    <w:p>
      <w:pPr>
        <w:pStyle w:val="Heading5"/>
        <w:rPr>
          <w:b w:val="0"/>
        </w:rPr>
      </w:pPr>
      <w:bookmarkStart w:id="262" w:name="_Toc158374709"/>
      <w:r>
        <w:rPr>
          <w:rStyle w:val="CharSectno"/>
        </w:rPr>
        <w:t>30D</w:t>
      </w:r>
      <w:r>
        <w:t>.</w:t>
      </w:r>
      <w:r>
        <w:tab/>
        <w:t>AER to make rate of return instrument</w:t>
      </w:r>
      <w:bookmarkEnd w:id="26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a rate of return on capital or the value of imputation credits is required for performing or exercising an AER economic regulatory function or power.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The AER must make an instrument (a </w:t>
      </w:r>
      <w:r>
        <w:rPr>
          <w:rStyle w:val="CharDefText"/>
          <w:sz w:val="23"/>
          <w:szCs w:val="23"/>
        </w:rPr>
        <w:t>rate of return instrument</w:t>
      </w:r>
      <w:r>
        <w:rPr>
          <w:color w:val="000000"/>
          <w:sz w:val="23"/>
          <w:szCs w:val="23"/>
        </w:rPr>
        <w:t>) stating—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a rate of return on capital—the way to calculate the rate;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 the value of imputation credits—the value or the way to calculate the value.</w:t>
      </w:r>
    </w:p>
    <w:p>
      <w:pPr>
        <w:keepLines/>
        <w:tabs>
          <w:tab w:val="center" w:pos="1191"/>
          <w:tab w:val="left" w:pos="1588"/>
        </w:tabs>
        <w:autoSpaceDE w:val="0"/>
        <w:autoSpaceDN w:val="0"/>
        <w:adjustRightInd w:val="0"/>
        <w:spacing w:before="120"/>
        <w:ind w:left="1588" w:hanging="794"/>
        <w:rPr>
          <w:color w:val="000000"/>
          <w:sz w:val="23"/>
          <w:szCs w:val="23"/>
        </w:rPr>
      </w:pPr>
      <w:bookmarkStart w:id="263" w:name="id9b8853f5_7d27_438d_9781_ada0a1ec1e"/>
      <w:r>
        <w:rPr>
          <w:color w:val="000000"/>
          <w:sz w:val="23"/>
          <w:szCs w:val="23"/>
        </w:rPr>
        <w:tab/>
        <w:t>(3)</w:t>
      </w:r>
      <w:r>
        <w:rPr>
          <w:color w:val="000000"/>
          <w:sz w:val="23"/>
          <w:szCs w:val="23"/>
        </w:rPr>
        <w:tab/>
        <w:t>The AER may make an instrument only if satisfied the instrument will, or is most likely to, contribute to the achievement of the national gas objective to the greatest degree.</w:t>
      </w:r>
      <w:bookmarkEnd w:id="26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Subject to </w:t>
      </w:r>
      <w:hyperlink w:anchor="id9b8853f5_7d27_438d_9781_ada0a1ec1e" w:history="1">
        <w:r>
          <w:rPr>
            <w:color w:val="000000"/>
            <w:sz w:val="23"/>
            <w:szCs w:val="23"/>
          </w:rPr>
          <w:t>subsection (3)</w:t>
        </w:r>
      </w:hyperlink>
      <w:r>
        <w:rPr>
          <w:color w:val="000000"/>
          <w:sz w:val="23"/>
          <w:szCs w:val="23"/>
        </w:rPr>
        <w:t>, the way to calculate a rate of return on capital must include a weighted average of an allowed return on equity and an allowed return on debt.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making an instrument, the AER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revenue and pricing principles;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other information the AER considers appropriate.</w:t>
      </w:r>
    </w:p>
    <w:p>
      <w:pPr>
        <w:pStyle w:val="Footnotesection"/>
      </w:pPr>
      <w:r>
        <w:tab/>
        <w:t>[Section 30D inserted: see SA Act No. 33 of 2018 s. 15 and WA Gazette 5 Apr 2019 p. 1007.]</w:t>
      </w:r>
    </w:p>
    <w:p>
      <w:pPr>
        <w:pStyle w:val="Heading5"/>
        <w:rPr>
          <w:b w:val="0"/>
        </w:rPr>
      </w:pPr>
      <w:bookmarkStart w:id="264" w:name="_Toc158374710"/>
      <w:r>
        <w:rPr>
          <w:rStyle w:val="CharSectno"/>
        </w:rPr>
        <w:t>30E</w:t>
      </w:r>
      <w:r>
        <w:t>.</w:t>
      </w:r>
      <w:r>
        <w:tab/>
        <w:t>Content of rate of return instrument</w:t>
      </w:r>
      <w:bookmarkEnd w:id="264"/>
    </w:p>
    <w:p>
      <w:pPr>
        <w:keepLines/>
        <w:tabs>
          <w:tab w:val="center" w:pos="1191"/>
          <w:tab w:val="left" w:pos="1588"/>
        </w:tabs>
        <w:autoSpaceDE w:val="0"/>
        <w:autoSpaceDN w:val="0"/>
        <w:adjustRightInd w:val="0"/>
        <w:spacing w:before="120"/>
        <w:ind w:left="1588" w:hanging="794"/>
        <w:rPr>
          <w:color w:val="000000"/>
          <w:sz w:val="23"/>
          <w:szCs w:val="23"/>
        </w:rPr>
      </w:pPr>
      <w:bookmarkStart w:id="265" w:name="id06c5f023_a283_4d2b_9097_c782232148"/>
      <w:r>
        <w:rPr>
          <w:color w:val="000000"/>
          <w:sz w:val="23"/>
          <w:szCs w:val="23"/>
        </w:rPr>
        <w:tab/>
        <w:t>(1)</w:t>
      </w:r>
      <w:r>
        <w:rPr>
          <w:color w:val="000000"/>
          <w:sz w:val="23"/>
          <w:szCs w:val="23"/>
        </w:rPr>
        <w:tab/>
        <w:t>If a rate of return instrument states the value of imputation credits, the instrument must state a single value to apply in relation to all covered pipeline service providers.</w:t>
      </w:r>
      <w:bookmarkEnd w:id="265"/>
    </w:p>
    <w:p>
      <w:pPr>
        <w:keepLines/>
        <w:tabs>
          <w:tab w:val="center" w:pos="1191"/>
          <w:tab w:val="left" w:pos="1588"/>
        </w:tabs>
        <w:autoSpaceDE w:val="0"/>
        <w:autoSpaceDN w:val="0"/>
        <w:adjustRightInd w:val="0"/>
        <w:spacing w:before="120"/>
        <w:ind w:left="1588" w:hanging="794"/>
        <w:rPr>
          <w:color w:val="000000"/>
          <w:sz w:val="23"/>
          <w:szCs w:val="23"/>
        </w:rPr>
      </w:pPr>
      <w:bookmarkStart w:id="266" w:name="id49cda631_9ac5_4134_9ed1_22b9ec72d5"/>
      <w:r>
        <w:rPr>
          <w:color w:val="000000"/>
          <w:sz w:val="23"/>
          <w:szCs w:val="23"/>
        </w:rPr>
        <w:lastRenderedPageBreak/>
        <w:tab/>
        <w:t>(2)</w:t>
      </w:r>
      <w:r>
        <w:rPr>
          <w:color w:val="000000"/>
          <w:sz w:val="23"/>
          <w:szCs w:val="23"/>
        </w:rPr>
        <w:tab/>
        <w:t>If a rate of return instrument states a way to calculate the rate of return on capital or the value of imputation credits, the instrument must—</w:t>
      </w:r>
      <w:bookmarkEnd w:id="266"/>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provide for the same methodology to </w:t>
      </w:r>
      <w:r>
        <w:rPr>
          <w:sz w:val="23"/>
        </w:rPr>
        <w:t>apply</w:t>
      </w:r>
      <w:r>
        <w:rPr>
          <w:color w:val="000000"/>
          <w:sz w:val="23"/>
          <w:szCs w:val="23"/>
        </w:rPr>
        <w:t xml:space="preserve"> in relation to all covered pipeline service providers in calculating the rate or value;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provide for the methodology to apply automatically without the exercise of any </w:t>
      </w:r>
      <w:r>
        <w:rPr>
          <w:sz w:val="23"/>
        </w:rPr>
        <w:t>discretion</w:t>
      </w:r>
      <w:r>
        <w:rPr>
          <w:color w:val="000000"/>
          <w:sz w:val="23"/>
          <w:szCs w:val="23"/>
        </w:rPr>
        <w:t xml:space="preserve"> by the AER.</w:t>
      </w:r>
    </w:p>
    <w:p>
      <w:pPr>
        <w:keepNext/>
        <w:keepLines/>
        <w:autoSpaceDE w:val="0"/>
        <w:autoSpaceDN w:val="0"/>
        <w:adjustRightInd w:val="0"/>
        <w:spacing w:before="120"/>
        <w:ind w:left="1560" w:hanging="794"/>
        <w:rPr>
          <w:b/>
          <w:bCs/>
          <w:color w:val="000000"/>
          <w:sz w:val="20"/>
        </w:rPr>
      </w:pPr>
      <w:r>
        <w:rPr>
          <w:b/>
          <w:bCs/>
          <w:color w:val="000000"/>
          <w:sz w:val="20"/>
        </w:rPr>
        <w:tab/>
        <w:t>Example for paragraph (b)—</w:t>
      </w:r>
    </w:p>
    <w:p>
      <w:pPr>
        <w:keepLines/>
        <w:autoSpaceDE w:val="0"/>
        <w:autoSpaceDN w:val="0"/>
        <w:adjustRightInd w:val="0"/>
        <w:spacing w:before="120"/>
        <w:ind w:left="2410"/>
        <w:rPr>
          <w:color w:val="000000"/>
          <w:sz w:val="20"/>
        </w:rPr>
      </w:pPr>
      <w:r>
        <w:rPr>
          <w:color w:val="000000"/>
          <w:sz w:val="20"/>
        </w:rPr>
        <w:t>The instrument can not include different methodologies or a band of values from which the AER could choose in applying the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 xml:space="preserve">Subject to </w:t>
      </w:r>
      <w:hyperlink w:anchor="id06c5f023_a283_4d2b_9097_c782232148" w:history="1">
        <w:r>
          <w:rPr>
            <w:color w:val="000000"/>
            <w:sz w:val="23"/>
            <w:szCs w:val="23"/>
          </w:rPr>
          <w:t>subsections (1)</w:t>
        </w:r>
      </w:hyperlink>
      <w:r>
        <w:rPr>
          <w:color w:val="000000"/>
          <w:sz w:val="23"/>
          <w:szCs w:val="23"/>
        </w:rPr>
        <w:t xml:space="preserve"> and </w:t>
      </w:r>
      <w:hyperlink w:anchor="id49cda631_9ac5_4134_9ed1_22b9ec72d5" w:history="1">
        <w:r>
          <w:rPr>
            <w:color w:val="000000"/>
            <w:sz w:val="23"/>
            <w:szCs w:val="23"/>
          </w:rPr>
          <w:t>(2)</w:t>
        </w:r>
      </w:hyperlink>
      <w:r>
        <w:rPr>
          <w:color w:val="000000"/>
          <w:sz w:val="23"/>
          <w:szCs w:val="23"/>
        </w:rPr>
        <w:t>, the instrument may include other matters the AER considers appropriate.</w:t>
      </w:r>
    </w:p>
    <w:p>
      <w:pPr>
        <w:keepNext/>
        <w:keepLines/>
        <w:autoSpaceDE w:val="0"/>
        <w:autoSpaceDN w:val="0"/>
        <w:adjustRightInd w:val="0"/>
        <w:spacing w:before="120"/>
        <w:ind w:left="3176" w:hanging="1552"/>
        <w:rPr>
          <w:b/>
          <w:bCs/>
          <w:color w:val="000000"/>
          <w:sz w:val="20"/>
        </w:rPr>
      </w:pPr>
      <w:r>
        <w:rPr>
          <w:b/>
          <w:bCs/>
          <w:color w:val="000000"/>
          <w:sz w:val="20"/>
        </w:rPr>
        <w:t>Example—</w:t>
      </w:r>
    </w:p>
    <w:p>
      <w:pPr>
        <w:keepLines/>
        <w:autoSpaceDE w:val="0"/>
        <w:autoSpaceDN w:val="0"/>
        <w:adjustRightInd w:val="0"/>
        <w:spacing w:before="120"/>
        <w:ind w:left="2436"/>
        <w:rPr>
          <w:color w:val="000000"/>
          <w:sz w:val="20"/>
        </w:rPr>
      </w:pPr>
      <w:r>
        <w:rPr>
          <w:color w:val="000000"/>
          <w:sz w:val="20"/>
        </w:rPr>
        <w:t>Matters to help a covered pipeline service provider calculate a rate of return or the value of imputation credits.</w:t>
      </w:r>
    </w:p>
    <w:p>
      <w:pPr>
        <w:pStyle w:val="Footnotesection"/>
      </w:pPr>
      <w:r>
        <w:tab/>
        <w:t>[Section 30E inserted: see SA Act No. 33 of 2018 s. 15 and WA Gazette 5 Apr 2019 p. 1007.]</w:t>
      </w:r>
    </w:p>
    <w:p>
      <w:pPr>
        <w:pStyle w:val="Heading4"/>
      </w:pPr>
      <w:bookmarkStart w:id="267" w:name="_Toc156819073"/>
      <w:bookmarkStart w:id="268" w:name="_Toc156990491"/>
      <w:bookmarkStart w:id="269" w:name="_Toc158374711"/>
      <w:r>
        <w:t>Subdivision 3—Consultation requirements</w:t>
      </w:r>
      <w:bookmarkEnd w:id="267"/>
      <w:bookmarkEnd w:id="268"/>
      <w:bookmarkEnd w:id="269"/>
    </w:p>
    <w:p>
      <w:pPr>
        <w:pStyle w:val="Footnoteheading"/>
      </w:pPr>
      <w:r>
        <w:tab/>
        <w:t>[Heading inserted: see SA Act No. 33 of 2018 s. 15 and WA Gazette 5 Apr 2019 p. 1007.]</w:t>
      </w:r>
    </w:p>
    <w:p>
      <w:pPr>
        <w:pStyle w:val="Heading5"/>
        <w:rPr>
          <w:b w:val="0"/>
        </w:rPr>
      </w:pPr>
      <w:bookmarkStart w:id="270" w:name="_Toc158374712"/>
      <w:r>
        <w:rPr>
          <w:rStyle w:val="CharSectno"/>
        </w:rPr>
        <w:t>30F</w:t>
      </w:r>
      <w:r>
        <w:t>.</w:t>
      </w:r>
      <w:r>
        <w:tab/>
        <w:t>Process for making rate of return instrument</w:t>
      </w:r>
      <w:bookmarkEnd w:id="270"/>
    </w:p>
    <w:p>
      <w:pPr>
        <w:keepNext/>
        <w:keepLines/>
        <w:autoSpaceDE w:val="0"/>
        <w:autoSpaceDN w:val="0"/>
        <w:adjustRightInd w:val="0"/>
        <w:spacing w:before="120"/>
        <w:ind w:left="1588"/>
        <w:rPr>
          <w:color w:val="000000"/>
          <w:sz w:val="23"/>
          <w:szCs w:val="23"/>
        </w:rPr>
      </w:pPr>
      <w:r>
        <w:rPr>
          <w:color w:val="000000"/>
          <w:sz w:val="23"/>
          <w:szCs w:val="23"/>
        </w:rPr>
        <w:t>Subject to this Division, the AER may make a rate of return instrument in the way it considers appropriate.</w:t>
      </w:r>
    </w:p>
    <w:p>
      <w:pPr>
        <w:pStyle w:val="Footnotesection"/>
      </w:pPr>
      <w:r>
        <w:tab/>
        <w:t>[Section 30F inserted: see SA Act No. 33 of 2018 s. 15 and WA Gazette 5 Apr 2019 p. 1007.]</w:t>
      </w:r>
    </w:p>
    <w:p>
      <w:pPr>
        <w:pStyle w:val="Heading5"/>
        <w:rPr>
          <w:b w:val="0"/>
        </w:rPr>
      </w:pPr>
      <w:bookmarkStart w:id="271" w:name="_Toc158374713"/>
      <w:r>
        <w:rPr>
          <w:rStyle w:val="CharSectno"/>
        </w:rPr>
        <w:lastRenderedPageBreak/>
        <w:t>30G</w:t>
      </w:r>
      <w:r>
        <w:t>.</w:t>
      </w:r>
      <w:r>
        <w:tab/>
        <w:t>Other matters AER must have regard to in making instrument</w:t>
      </w:r>
      <w:bookmarkEnd w:id="271"/>
    </w:p>
    <w:p>
      <w:pPr>
        <w:keepNext/>
        <w:keepLines/>
        <w:autoSpaceDE w:val="0"/>
        <w:autoSpaceDN w:val="0"/>
        <w:adjustRightInd w:val="0"/>
        <w:spacing w:before="120"/>
        <w:ind w:left="1588"/>
        <w:rPr>
          <w:color w:val="000000"/>
          <w:sz w:val="23"/>
          <w:szCs w:val="23"/>
        </w:rPr>
      </w:pPr>
      <w:r>
        <w:rPr>
          <w:color w:val="000000"/>
          <w:sz w:val="23"/>
          <w:szCs w:val="23"/>
        </w:rPr>
        <w:t>In making a rate of return instrument, the AER must also have regard to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advice, recommendations or submissions given by a consumer reference group;</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 xml:space="preserve">submissions made, and the report published, under </w:t>
      </w:r>
      <w:hyperlink w:anchor="id7851299a_476a_4fd0_ba62_63b083861e" w:history="1">
        <w:r>
          <w:rPr>
            <w:sz w:val="23"/>
          </w:rPr>
          <w:t>section 30H</w:t>
        </w:r>
      </w:hyperlink>
      <w:r>
        <w:rPr>
          <w:sz w:val="23"/>
        </w:rPr>
        <w:t>;</w:t>
      </w:r>
    </w:p>
    <w:p>
      <w:pPr>
        <w:keepLines/>
        <w:tabs>
          <w:tab w:val="center" w:pos="1985"/>
          <w:tab w:val="left" w:pos="2382"/>
        </w:tabs>
        <w:autoSpaceDE w:val="0"/>
        <w:autoSpaceDN w:val="0"/>
        <w:adjustRightInd w:val="0"/>
        <w:spacing w:before="120"/>
        <w:ind w:left="2382" w:hanging="794"/>
        <w:rPr>
          <w:sz w:val="23"/>
        </w:rPr>
      </w:pPr>
      <w:r>
        <w:rPr>
          <w:sz w:val="23"/>
        </w:rPr>
        <w:tab/>
        <w:t>(c)</w:t>
      </w:r>
      <w:r>
        <w:rPr>
          <w:sz w:val="23"/>
        </w:rPr>
        <w:tab/>
        <w:t xml:space="preserve">submissions made under </w:t>
      </w:r>
      <w:hyperlink w:anchor="id3d007769_d366_4fc9_9b90_8b940a1592" w:history="1">
        <w:r>
          <w:rPr>
            <w:sz w:val="23"/>
          </w:rPr>
          <w:t>section 30J</w:t>
        </w:r>
      </w:hyperlink>
      <w:r>
        <w:rPr>
          <w:sz w:val="23"/>
        </w:rPr>
        <w:t>;</w:t>
      </w:r>
    </w:p>
    <w:p>
      <w:pPr>
        <w:keepLines/>
        <w:tabs>
          <w:tab w:val="center" w:pos="1985"/>
          <w:tab w:val="left" w:pos="2382"/>
        </w:tabs>
        <w:autoSpaceDE w:val="0"/>
        <w:autoSpaceDN w:val="0"/>
        <w:adjustRightInd w:val="0"/>
        <w:spacing w:before="120"/>
        <w:ind w:left="2382" w:hanging="794"/>
        <w:rPr>
          <w:sz w:val="23"/>
        </w:rPr>
      </w:pPr>
      <w:r>
        <w:rPr>
          <w:sz w:val="23"/>
        </w:rPr>
        <w:tab/>
        <w:t>(d)</w:t>
      </w:r>
      <w:r>
        <w:rPr>
          <w:sz w:val="23"/>
        </w:rPr>
        <w:tab/>
        <w:t xml:space="preserve">the report given by the independent panel under </w:t>
      </w:r>
      <w:hyperlink w:anchor="idfe4b9e6b_76a9_4ca8_8bef_4d00e67b60" w:history="1">
        <w:r>
          <w:rPr>
            <w:sz w:val="23"/>
          </w:rPr>
          <w:t>section 30K</w:t>
        </w:r>
      </w:hyperlink>
      <w:r>
        <w:rPr>
          <w:sz w:val="23"/>
        </w:rPr>
        <w:t>.</w:t>
      </w:r>
    </w:p>
    <w:p>
      <w:pPr>
        <w:pStyle w:val="Footnotesection"/>
      </w:pPr>
      <w:r>
        <w:tab/>
        <w:t>[Section 30G inserted: see SA Act No. 33 of 2018 s. 15 and WA Gazette 5 Apr 2019 p. 1007.]</w:t>
      </w:r>
    </w:p>
    <w:p>
      <w:pPr>
        <w:pStyle w:val="Heading5"/>
        <w:rPr>
          <w:b w:val="0"/>
        </w:rPr>
      </w:pPr>
      <w:bookmarkStart w:id="272" w:name="_Toc158374714"/>
      <w:r>
        <w:rPr>
          <w:rStyle w:val="CharSectno"/>
        </w:rPr>
        <w:t>30H</w:t>
      </w:r>
      <w:r>
        <w:t>.</w:t>
      </w:r>
      <w:r>
        <w:tab/>
        <w:t>Requirements before publishing draft instrument</w:t>
      </w:r>
      <w:bookmarkEnd w:id="272"/>
    </w:p>
    <w:p>
      <w:pPr>
        <w:keepLines/>
        <w:tabs>
          <w:tab w:val="center" w:pos="1191"/>
          <w:tab w:val="left" w:pos="1588"/>
        </w:tabs>
        <w:autoSpaceDE w:val="0"/>
        <w:autoSpaceDN w:val="0"/>
        <w:adjustRightInd w:val="0"/>
        <w:spacing w:before="120"/>
        <w:ind w:left="1588" w:hanging="794"/>
        <w:rPr>
          <w:color w:val="000000"/>
          <w:sz w:val="23"/>
          <w:szCs w:val="23"/>
        </w:rPr>
      </w:pPr>
      <w:bookmarkStart w:id="273" w:name="id4ed2c1b1_4d16_45f9_8783_7955d727cb"/>
      <w:r>
        <w:rPr>
          <w:color w:val="000000"/>
          <w:sz w:val="23"/>
          <w:szCs w:val="23"/>
        </w:rPr>
        <w:tab/>
        <w:t>(1)</w:t>
      </w:r>
      <w:r>
        <w:rPr>
          <w:color w:val="000000"/>
          <w:sz w:val="23"/>
          <w:szCs w:val="23"/>
        </w:rPr>
        <w:tab/>
        <w:t>Before publishing a draft rate of return instrument under this Subdivision, the AER must—</w:t>
      </w:r>
      <w:bookmarkEnd w:id="273"/>
    </w:p>
    <w:p>
      <w:pPr>
        <w:keepLines/>
        <w:tabs>
          <w:tab w:val="center" w:pos="1985"/>
          <w:tab w:val="left" w:pos="2382"/>
        </w:tabs>
        <w:autoSpaceDE w:val="0"/>
        <w:autoSpaceDN w:val="0"/>
        <w:adjustRightInd w:val="0"/>
        <w:spacing w:before="120"/>
        <w:ind w:left="2382" w:hanging="794"/>
        <w:rPr>
          <w:color w:val="000000"/>
          <w:sz w:val="23"/>
          <w:szCs w:val="23"/>
        </w:rPr>
      </w:pPr>
      <w:bookmarkStart w:id="274" w:name="id72f52006_4c51_4fb9_8278_cb348f29de"/>
      <w:r>
        <w:rPr>
          <w:color w:val="000000"/>
          <w:sz w:val="23"/>
          <w:szCs w:val="23"/>
        </w:rPr>
        <w:tab/>
        <w:t>(a)</w:t>
      </w:r>
      <w:r>
        <w:rPr>
          <w:color w:val="000000"/>
          <w:sz w:val="23"/>
          <w:szCs w:val="23"/>
        </w:rPr>
        <w:tab/>
        <w:t xml:space="preserve">establish a reference group to help the AER implement an effective consumer consultation process for making the proposed instrument (a </w:t>
      </w:r>
      <w:r>
        <w:rPr>
          <w:rStyle w:val="CharDefText"/>
          <w:sz w:val="23"/>
          <w:szCs w:val="23"/>
        </w:rPr>
        <w:t>consumer reference group</w:t>
      </w:r>
      <w:r>
        <w:rPr>
          <w:color w:val="000000"/>
          <w:sz w:val="23"/>
          <w:szCs w:val="23"/>
        </w:rPr>
        <w:t>); and</w:t>
      </w:r>
      <w:bookmarkEnd w:id="274"/>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a notice on its website—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inviting persons to make a written submission to the AER about the proposed instrument;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stating the period, not less than 28 days, within which a submission must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seek concurrent expert opinions or evidence about the proposed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may make a submission after the stated period only with the written approval of the AER.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(3)</w:t>
      </w:r>
      <w:r>
        <w:rPr>
          <w:color w:val="000000"/>
          <w:sz w:val="23"/>
          <w:szCs w:val="23"/>
        </w:rPr>
        <w:tab/>
        <w:t xml:space="preserve">Subject to </w:t>
      </w:r>
      <w:hyperlink w:anchor="idf9ce6eb5_2545_46ba_b42e_06f502792a" w:history="1">
        <w:r>
          <w:rPr>
            <w:color w:val="000000"/>
            <w:sz w:val="23"/>
            <w:szCs w:val="23"/>
          </w:rPr>
          <w:t>subsections (4)</w:t>
        </w:r>
      </w:hyperlink>
      <w:r>
        <w:rPr>
          <w:color w:val="000000"/>
          <w:sz w:val="23"/>
          <w:szCs w:val="23"/>
        </w:rPr>
        <w:t xml:space="preserve"> and </w:t>
      </w:r>
      <w:hyperlink w:anchor="id36efa138_c002_43f9_a5b7_65e8ea8217" w:history="1">
        <w:r>
          <w:rPr>
            <w:color w:val="000000"/>
            <w:sz w:val="23"/>
            <w:szCs w:val="23"/>
          </w:rPr>
          <w:t>(5)</w:t>
        </w:r>
      </w:hyperlink>
      <w:r>
        <w:rPr>
          <w:color w:val="000000"/>
          <w:sz w:val="23"/>
          <w:szCs w:val="23"/>
        </w:rPr>
        <w:t>, the AER may seek the expert opinions or evidence in the way it considers appropriate.</w:t>
      </w:r>
    </w:p>
    <w:p>
      <w:pPr>
        <w:keepNext/>
        <w:keepLines/>
        <w:autoSpaceDE w:val="0"/>
        <w:autoSpaceDN w:val="0"/>
        <w:adjustRightInd w:val="0"/>
        <w:spacing w:before="120"/>
        <w:ind w:left="3176" w:hanging="1616"/>
        <w:rPr>
          <w:b/>
          <w:bCs/>
          <w:color w:val="000000"/>
          <w:sz w:val="20"/>
        </w:rPr>
      </w:pPr>
      <w:r>
        <w:rPr>
          <w:b/>
          <w:bCs/>
          <w:color w:val="000000"/>
          <w:sz w:val="20"/>
        </w:rPr>
        <w:t>Example—</w:t>
      </w:r>
    </w:p>
    <w:p>
      <w:pPr>
        <w:keepLines/>
        <w:autoSpaceDE w:val="0"/>
        <w:autoSpaceDN w:val="0"/>
        <w:adjustRightInd w:val="0"/>
        <w:spacing w:before="120"/>
        <w:ind w:left="2310"/>
        <w:rPr>
          <w:color w:val="000000"/>
          <w:sz w:val="20"/>
        </w:rPr>
      </w:pPr>
      <w:r>
        <w:rPr>
          <w:color w:val="000000"/>
          <w:sz w:val="20"/>
        </w:rPr>
        <w:t>The AER might convene a conference of experts to identify key issues, and areas of dispute and agreement among the experts, about the content of the proposed instrument.</w:t>
      </w:r>
    </w:p>
    <w:p>
      <w:pPr>
        <w:keepLines/>
        <w:tabs>
          <w:tab w:val="center" w:pos="1191"/>
          <w:tab w:val="left" w:pos="1588"/>
        </w:tabs>
        <w:autoSpaceDE w:val="0"/>
        <w:autoSpaceDN w:val="0"/>
        <w:adjustRightInd w:val="0"/>
        <w:spacing w:before="120"/>
        <w:ind w:left="1588" w:hanging="794"/>
        <w:rPr>
          <w:color w:val="000000"/>
          <w:sz w:val="23"/>
          <w:szCs w:val="23"/>
        </w:rPr>
      </w:pPr>
      <w:bookmarkStart w:id="275" w:name="idf9ce6eb5_2545_46ba_b42e_06f502792a"/>
      <w:r>
        <w:rPr>
          <w:color w:val="000000"/>
          <w:sz w:val="23"/>
          <w:szCs w:val="23"/>
        </w:rPr>
        <w:tab/>
        <w:t>(4)</w:t>
      </w:r>
      <w:r>
        <w:rPr>
          <w:color w:val="000000"/>
          <w:sz w:val="23"/>
          <w:szCs w:val="23"/>
        </w:rPr>
        <w:tab/>
        <w:t>The AER must call for nominations of eligible experts but may seek the expert opinions or evidence from any eligible expert.</w:t>
      </w:r>
      <w:bookmarkEnd w:id="275"/>
    </w:p>
    <w:p>
      <w:pPr>
        <w:keepLines/>
        <w:tabs>
          <w:tab w:val="center" w:pos="1191"/>
          <w:tab w:val="left" w:pos="1588"/>
        </w:tabs>
        <w:autoSpaceDE w:val="0"/>
        <w:autoSpaceDN w:val="0"/>
        <w:adjustRightInd w:val="0"/>
        <w:spacing w:before="120"/>
        <w:ind w:left="1588" w:hanging="794"/>
        <w:rPr>
          <w:color w:val="000000"/>
          <w:sz w:val="23"/>
          <w:szCs w:val="23"/>
        </w:rPr>
      </w:pPr>
      <w:bookmarkStart w:id="276" w:name="id36efa138_c002_43f9_a5b7_65e8ea8217"/>
      <w:r>
        <w:rPr>
          <w:color w:val="000000"/>
          <w:sz w:val="23"/>
          <w:szCs w:val="23"/>
        </w:rPr>
        <w:tab/>
        <w:t>(5)</w:t>
      </w:r>
      <w:r>
        <w:rPr>
          <w:color w:val="000000"/>
          <w:sz w:val="23"/>
          <w:szCs w:val="23"/>
        </w:rPr>
        <w:tab/>
        <w:t>If practicable, the AER must seek the expert opinions or evidence from at least 3 eligible experts.</w:t>
      </w:r>
      <w:bookmarkEnd w:id="27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The AER must publish on its website—</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submissions made under this section;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a report on the outcomes of seeking the expert opinions or evidence.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sz w:val="23"/>
          <w:szCs w:val="23"/>
        </w:rPr>
        <w:t>eligible expert</w:t>
      </w:r>
      <w:r>
        <w:rPr>
          <w:color w:val="000000"/>
          <w:sz w:val="23"/>
          <w:szCs w:val="23"/>
        </w:rPr>
        <w:t xml:space="preserve"> means a person with qualifications or experience in a field the AER considers relevant to making a rate of return instrument.</w:t>
      </w:r>
    </w:p>
    <w:p>
      <w:pPr>
        <w:keepNext/>
        <w:keepLines/>
        <w:autoSpaceDE w:val="0"/>
        <w:autoSpaceDN w:val="0"/>
        <w:adjustRightInd w:val="0"/>
        <w:spacing w:before="120"/>
        <w:ind w:left="3176" w:hanging="1552"/>
        <w:rPr>
          <w:b/>
          <w:bCs/>
          <w:color w:val="000000"/>
          <w:sz w:val="20"/>
        </w:rPr>
      </w:pPr>
      <w:r>
        <w:rPr>
          <w:b/>
          <w:bCs/>
          <w:color w:val="000000"/>
          <w:sz w:val="20"/>
        </w:rPr>
        <w:t>Examples of relevant fields—</w:t>
      </w:r>
    </w:p>
    <w:p>
      <w:pPr>
        <w:keepLines/>
        <w:autoSpaceDE w:val="0"/>
        <w:autoSpaceDN w:val="0"/>
        <w:adjustRightInd w:val="0"/>
        <w:spacing w:before="120"/>
        <w:ind w:left="2506"/>
        <w:rPr>
          <w:color w:val="000000"/>
          <w:sz w:val="20"/>
        </w:rPr>
      </w:pPr>
      <w:r>
        <w:rPr>
          <w:color w:val="000000"/>
          <w:sz w:val="20"/>
        </w:rPr>
        <w:t>Finance, economics, law, consumer affairs, institutional investment.</w:t>
      </w:r>
    </w:p>
    <w:p>
      <w:pPr>
        <w:pStyle w:val="Footnotesection"/>
      </w:pPr>
      <w:r>
        <w:tab/>
        <w:t>[Section 30H inserted: see SA Act No. 33 of 2018 s. 15 and WA Gazette 5 Apr 2019 p. 1007.]</w:t>
      </w:r>
    </w:p>
    <w:p>
      <w:pPr>
        <w:pStyle w:val="Heading5"/>
        <w:rPr>
          <w:b w:val="0"/>
        </w:rPr>
      </w:pPr>
      <w:bookmarkStart w:id="277" w:name="_Toc158374715"/>
      <w:r>
        <w:rPr>
          <w:rStyle w:val="CharSectno"/>
        </w:rPr>
        <w:t>30I</w:t>
      </w:r>
      <w:r>
        <w:t>.</w:t>
      </w:r>
      <w:r>
        <w:tab/>
        <w:t>Consumer reference group</w:t>
      </w:r>
      <w:bookmarkEnd w:id="277"/>
    </w:p>
    <w:p>
      <w:pPr>
        <w:keepLines/>
        <w:tabs>
          <w:tab w:val="center" w:pos="1191"/>
          <w:tab w:val="left" w:pos="1588"/>
        </w:tabs>
        <w:autoSpaceDE w:val="0"/>
        <w:autoSpaceDN w:val="0"/>
        <w:adjustRightInd w:val="0"/>
        <w:spacing w:before="120"/>
        <w:ind w:left="1588" w:hanging="794"/>
        <w:rPr>
          <w:color w:val="000000"/>
          <w:sz w:val="23"/>
          <w:szCs w:val="23"/>
        </w:rPr>
      </w:pPr>
      <w:bookmarkStart w:id="278" w:name="id7c8202bb_c300_409e_80bc_5c69e8dde5"/>
      <w:r>
        <w:rPr>
          <w:color w:val="000000"/>
          <w:sz w:val="23"/>
          <w:szCs w:val="23"/>
        </w:rPr>
        <w:tab/>
        <w:t>(1)</w:t>
      </w:r>
      <w:r>
        <w:rPr>
          <w:color w:val="000000"/>
          <w:sz w:val="23"/>
          <w:szCs w:val="23"/>
        </w:rPr>
        <w:tab/>
        <w:t>A consumer reference group for making a rate of return instrument—</w:t>
      </w:r>
      <w:bookmarkEnd w:id="278"/>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is to consist of the members appointed by the AER; and</w:t>
      </w:r>
    </w:p>
    <w:p>
      <w:pPr>
        <w:keepLines/>
        <w:tabs>
          <w:tab w:val="center" w:pos="1985"/>
          <w:tab w:val="left" w:pos="2382"/>
        </w:tabs>
        <w:autoSpaceDE w:val="0"/>
        <w:autoSpaceDN w:val="0"/>
        <w:adjustRightInd w:val="0"/>
        <w:spacing w:before="120"/>
        <w:ind w:left="2382" w:hanging="794"/>
        <w:rPr>
          <w:sz w:val="23"/>
        </w:rPr>
      </w:pPr>
      <w:bookmarkStart w:id="279" w:name="idaffe0aac_73d3_4f1e_abe4_201e1caac3"/>
      <w:r>
        <w:rPr>
          <w:sz w:val="23"/>
        </w:rPr>
        <w:lastRenderedPageBreak/>
        <w:tab/>
        <w:t>(b)</w:t>
      </w:r>
      <w:r>
        <w:rPr>
          <w:sz w:val="23"/>
        </w:rPr>
        <w:tab/>
        <w:t>may carry out its activities, including giving advice or recommendations to the AER about the instrument, in the way it considers appropriate.</w:t>
      </w:r>
      <w:bookmarkEnd w:id="27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Without limiting </w:t>
      </w:r>
      <w:hyperlink w:anchor="idaffe0aac_73d3_4f1e_abe4_201e1caac3" w:history="1">
        <w:r>
          <w:rPr>
            <w:color w:val="000000"/>
            <w:sz w:val="23"/>
            <w:szCs w:val="23"/>
          </w:rPr>
          <w:t>subsection (1)(b)</w:t>
        </w:r>
      </w:hyperlink>
      <w:r>
        <w:rPr>
          <w:color w:val="000000"/>
          <w:sz w:val="23"/>
          <w:szCs w:val="23"/>
        </w:rPr>
        <w:t>, the consumer reference group may—</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consult with consumers of natural gas;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facilitate consumer engagement in the process for making the instrument; and</w:t>
      </w:r>
    </w:p>
    <w:p>
      <w:pPr>
        <w:keepLines/>
        <w:tabs>
          <w:tab w:val="center" w:pos="1985"/>
          <w:tab w:val="left" w:pos="2382"/>
        </w:tabs>
        <w:autoSpaceDE w:val="0"/>
        <w:autoSpaceDN w:val="0"/>
        <w:adjustRightInd w:val="0"/>
        <w:spacing w:before="120"/>
        <w:ind w:left="2382" w:hanging="794"/>
        <w:rPr>
          <w:sz w:val="23"/>
        </w:rPr>
      </w:pPr>
      <w:r>
        <w:rPr>
          <w:sz w:val="23"/>
        </w:rPr>
        <w:tab/>
        <w:t>(c)</w:t>
      </w:r>
      <w:r>
        <w:rPr>
          <w:sz w:val="23"/>
        </w:rPr>
        <w:tab/>
        <w:t>make written submissions to the AER about the content of the instrument and the process for making it.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 publish on its website any written advice, recommendations or submissions given to it by the consumer reference group.</w:t>
      </w:r>
    </w:p>
    <w:p>
      <w:pPr>
        <w:pStyle w:val="Footnotesection"/>
      </w:pPr>
      <w:r>
        <w:tab/>
        <w:t>[Section 30I inserted: see SA Act No. 33 of 2018 s. 15 and WA Gazette 5 Apr 2019 p. 1007.]</w:t>
      </w:r>
    </w:p>
    <w:p>
      <w:pPr>
        <w:pStyle w:val="Heading5"/>
        <w:rPr>
          <w:b w:val="0"/>
        </w:rPr>
      </w:pPr>
      <w:bookmarkStart w:id="280" w:name="_Toc158374716"/>
      <w:r>
        <w:rPr>
          <w:rStyle w:val="CharSectno"/>
        </w:rPr>
        <w:t>30J</w:t>
      </w:r>
      <w:r>
        <w:t>.</w:t>
      </w:r>
      <w:r>
        <w:tab/>
        <w:t>Publication of draft instrument and other information</w:t>
      </w:r>
      <w:bookmarkEnd w:id="28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at least 6 months before making a rate of return instrument, publish on its website—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t>
      </w:r>
      <w:r>
        <w:rPr>
          <w:sz w:val="23"/>
        </w:rPr>
        <w:t>draft</w:t>
      </w:r>
      <w:r>
        <w:rPr>
          <w:color w:val="000000"/>
          <w:sz w:val="23"/>
          <w:szCs w:val="23"/>
        </w:rPr>
        <w:t xml:space="preserve"> of the proposed instrument and the explanatory information for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a </w:t>
      </w:r>
      <w:r>
        <w:rPr>
          <w:sz w:val="23"/>
        </w:rPr>
        <w:t>notice</w:t>
      </w:r>
      <w:r>
        <w:rPr>
          <w:color w:val="000000"/>
          <w:sz w:val="23"/>
          <w:szCs w:val="23"/>
        </w:rPr>
        <w: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inviting persons to make a written submission to the AER about the proposed instrument;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stating the period, not less than 28 days, within which a submission must be made.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may make a submission after the stated period only with the written approval of the AER.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(3)</w:t>
      </w:r>
      <w:r>
        <w:rPr>
          <w:color w:val="000000"/>
          <w:sz w:val="23"/>
          <w:szCs w:val="23"/>
        </w:rPr>
        <w:tab/>
        <w:t>The AER must publish submissions made under this section on its website.</w:t>
      </w:r>
    </w:p>
    <w:p>
      <w:pPr>
        <w:pStyle w:val="Footnotesection"/>
      </w:pPr>
      <w:r>
        <w:tab/>
        <w:t>[Section 30J inserted: see SA Act No. 33 of 2018 s. 15 and WA Gazette 5 Apr 2019 p. 1007.]</w:t>
      </w:r>
    </w:p>
    <w:p>
      <w:pPr>
        <w:pStyle w:val="Heading5"/>
        <w:rPr>
          <w:b w:val="0"/>
        </w:rPr>
      </w:pPr>
      <w:bookmarkStart w:id="281" w:name="_Toc158374717"/>
      <w:r>
        <w:rPr>
          <w:rStyle w:val="CharSectno"/>
        </w:rPr>
        <w:t>30K</w:t>
      </w:r>
      <w:r>
        <w:t>.</w:t>
      </w:r>
      <w:r>
        <w:tab/>
        <w:t>Report about draft instrument by independent panel</w:t>
      </w:r>
      <w:bookmarkEnd w:id="28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as soon as practicable after publishing the draft instrument, establish an independent panel to give the AER a written report about the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panel—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carry out its activities, including giving the report, in the way it considers appropriate;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r>
      <w:r>
        <w:rPr>
          <w:sz w:val="23"/>
        </w:rPr>
        <w:t>must</w:t>
      </w:r>
      <w:r>
        <w:rPr>
          <w:color w:val="000000"/>
          <w:sz w:val="23"/>
          <w:szCs w:val="23"/>
        </w:rPr>
        <w:t xml:space="preserve"> seek to give the report by consensus.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panel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consist of at least 3 members, appointed by the AER, who have qualifications or experience in a field the AER considers relevant to making a rate of return instrument; and</w:t>
      </w:r>
    </w:p>
    <w:p>
      <w:pPr>
        <w:keepNext/>
        <w:keepLines/>
        <w:autoSpaceDE w:val="0"/>
        <w:autoSpaceDN w:val="0"/>
        <w:adjustRightInd w:val="0"/>
        <w:spacing w:before="120"/>
        <w:ind w:left="3970" w:hanging="1534"/>
        <w:rPr>
          <w:b/>
          <w:bCs/>
          <w:color w:val="000000"/>
          <w:sz w:val="20"/>
        </w:rPr>
      </w:pPr>
      <w:r>
        <w:rPr>
          <w:b/>
          <w:bCs/>
          <w:color w:val="000000"/>
          <w:sz w:val="20"/>
        </w:rPr>
        <w:t>Examples of relevant fields—</w:t>
      </w:r>
    </w:p>
    <w:p>
      <w:pPr>
        <w:keepLines/>
        <w:autoSpaceDE w:val="0"/>
        <w:autoSpaceDN w:val="0"/>
        <w:adjustRightInd w:val="0"/>
        <w:spacing w:before="120"/>
        <w:ind w:left="3332"/>
        <w:rPr>
          <w:color w:val="000000"/>
          <w:sz w:val="20"/>
        </w:rPr>
      </w:pPr>
      <w:r>
        <w:rPr>
          <w:color w:val="000000"/>
          <w:sz w:val="20"/>
        </w:rPr>
        <w:t>Finance, economics, law, consumer affairs, institutional investment.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r>
      <w:r>
        <w:rPr>
          <w:sz w:val="23"/>
        </w:rPr>
        <w:t>give</w:t>
      </w:r>
      <w:r>
        <w:rPr>
          <w:color w:val="000000"/>
          <w:sz w:val="23"/>
          <w:szCs w:val="23"/>
        </w:rPr>
        <w:t xml:space="preserve"> the report to the AER before the A</w:t>
      </w:r>
      <w:r>
        <w:rPr>
          <w:sz w:val="23"/>
        </w:rPr>
        <w:t>E</w:t>
      </w:r>
      <w:r>
        <w:rPr>
          <w:color w:val="000000"/>
          <w:sz w:val="23"/>
          <w:szCs w:val="23"/>
        </w:rPr>
        <w:t>R makes the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AER must take reasonable steps to minimise and manage any conflicts of interest a panel member may have in relation to making the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report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r>
      <w:r>
        <w:rPr>
          <w:sz w:val="23"/>
        </w:rPr>
        <w:t>include</w:t>
      </w:r>
      <w:r>
        <w:rPr>
          <w:color w:val="000000"/>
          <w:sz w:val="23"/>
          <w:szCs w:val="23"/>
        </w:rPr>
        <w:t xml:space="preserve"> the panel’s assessment of the evidence and reasons supporting the rate of return on capital or the value of imputation credits under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state whether the report is given by consensus.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(6)</w:t>
      </w:r>
      <w:r>
        <w:rPr>
          <w:color w:val="000000"/>
          <w:sz w:val="23"/>
          <w:szCs w:val="23"/>
        </w:rPr>
        <w:tab/>
        <w:t>The AER must publish the report on its website.</w:t>
      </w:r>
    </w:p>
    <w:p>
      <w:pPr>
        <w:pStyle w:val="Footnotesection"/>
      </w:pPr>
      <w:r>
        <w:tab/>
        <w:t>[Section 30K inserted: see SA Act No. 33 of 2018 s. 15 and WA Gazette 5 Apr 2019 p. 1007.]</w:t>
      </w:r>
    </w:p>
    <w:p>
      <w:pPr>
        <w:pStyle w:val="Heading5"/>
        <w:rPr>
          <w:b w:val="0"/>
        </w:rPr>
      </w:pPr>
      <w:bookmarkStart w:id="282" w:name="_Toc158374718"/>
      <w:r>
        <w:rPr>
          <w:rStyle w:val="CharSectno"/>
        </w:rPr>
        <w:t>30L</w:t>
      </w:r>
      <w:r>
        <w:t>.</w:t>
      </w:r>
      <w:r>
        <w:tab/>
        <w:t>Publication of explanatory information</w:t>
      </w:r>
      <w:bookmarkEnd w:id="282"/>
    </w:p>
    <w:p>
      <w:pPr>
        <w:keepNext/>
        <w:keepLines/>
        <w:autoSpaceDE w:val="0"/>
        <w:autoSpaceDN w:val="0"/>
        <w:adjustRightInd w:val="0"/>
        <w:spacing w:before="120"/>
        <w:ind w:left="1588"/>
        <w:rPr>
          <w:color w:val="000000"/>
          <w:sz w:val="23"/>
          <w:szCs w:val="23"/>
        </w:rPr>
      </w:pPr>
      <w:r>
        <w:rPr>
          <w:color w:val="000000"/>
          <w:sz w:val="23"/>
          <w:szCs w:val="23"/>
        </w:rPr>
        <w:t xml:space="preserve">The AER must publish explanatory information for a rate of return instrument on its website when the instrument is published under </w:t>
      </w:r>
      <w:hyperlink w:anchor="idc8fe1e2f_9f92_4006_b0ab_3b84eb5628" w:history="1">
        <w:r>
          <w:rPr>
            <w:color w:val="000000"/>
            <w:sz w:val="23"/>
            <w:szCs w:val="23"/>
          </w:rPr>
          <w:t>section 30N</w:t>
        </w:r>
      </w:hyperlink>
      <w:r>
        <w:rPr>
          <w:color w:val="000000"/>
          <w:sz w:val="23"/>
          <w:szCs w:val="23"/>
        </w:rPr>
        <w:t>.</w:t>
      </w:r>
    </w:p>
    <w:p>
      <w:pPr>
        <w:pStyle w:val="Footnotesection"/>
      </w:pPr>
      <w:r>
        <w:tab/>
        <w:t>[Section 30L inserted: see SA Act No. 33 of 2018 s. 15 and WA Gazette 5 Apr 2019 p. 1007.]</w:t>
      </w:r>
    </w:p>
    <w:p>
      <w:pPr>
        <w:pStyle w:val="Heading5"/>
        <w:rPr>
          <w:b w:val="0"/>
        </w:rPr>
      </w:pPr>
      <w:bookmarkStart w:id="283" w:name="_Toc158374719"/>
      <w:r>
        <w:rPr>
          <w:rStyle w:val="CharSectno"/>
        </w:rPr>
        <w:t>30M</w:t>
      </w:r>
      <w:r>
        <w:t>.</w:t>
      </w:r>
      <w:r>
        <w:tab/>
        <w:t>Failure to comply does not affect validity</w:t>
      </w:r>
      <w:bookmarkEnd w:id="28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Failure to comply with this Subdivision does not invalidate or otherwise affect a rate of return instrument.</w:t>
      </w:r>
    </w:p>
    <w:p>
      <w:pPr>
        <w:pStyle w:val="Footnotesection"/>
      </w:pPr>
      <w:r>
        <w:tab/>
        <w:t>[Section 30M inserted: see SA Act No. 33 of 2018 s. 15 and WA Gazette 5 Apr 2019 p. 1007.]</w:t>
      </w:r>
    </w:p>
    <w:p>
      <w:pPr>
        <w:pStyle w:val="Heading4"/>
      </w:pPr>
      <w:bookmarkStart w:id="284" w:name="_Toc156819082"/>
      <w:bookmarkStart w:id="285" w:name="_Toc156990500"/>
      <w:bookmarkStart w:id="286" w:name="_Toc158374720"/>
      <w:r>
        <w:t>Subdivision 4—Publication, review and other matters</w:t>
      </w:r>
      <w:bookmarkEnd w:id="284"/>
      <w:bookmarkEnd w:id="285"/>
      <w:bookmarkEnd w:id="286"/>
    </w:p>
    <w:p>
      <w:pPr>
        <w:pStyle w:val="Footnoteheading"/>
      </w:pPr>
      <w:r>
        <w:tab/>
        <w:t>[Heading inserted: see SA Act No. 33 of 2018 s. 15 and WA Gazette 5 Apr 2019 p. 1007.]</w:t>
      </w:r>
    </w:p>
    <w:p>
      <w:pPr>
        <w:pStyle w:val="Heading5"/>
        <w:rPr>
          <w:b w:val="0"/>
        </w:rPr>
      </w:pPr>
      <w:bookmarkStart w:id="287" w:name="_Toc158374721"/>
      <w:r>
        <w:rPr>
          <w:rStyle w:val="CharSectno"/>
        </w:rPr>
        <w:t>30N</w:t>
      </w:r>
      <w:r>
        <w:t>.</w:t>
      </w:r>
      <w:r>
        <w:tab/>
        <w:t>Publication of rate of return instrument</w:t>
      </w:r>
      <w:bookmarkEnd w:id="287"/>
    </w:p>
    <w:p>
      <w:pPr>
        <w:keepNext/>
        <w:keepLines/>
        <w:autoSpaceDE w:val="0"/>
        <w:autoSpaceDN w:val="0"/>
        <w:adjustRightInd w:val="0"/>
        <w:spacing w:before="120"/>
        <w:ind w:left="1588"/>
        <w:rPr>
          <w:color w:val="000000"/>
          <w:sz w:val="23"/>
          <w:szCs w:val="23"/>
        </w:rPr>
      </w:pPr>
      <w:r>
        <w:rPr>
          <w:color w:val="000000"/>
          <w:sz w:val="23"/>
          <w:szCs w:val="23"/>
        </w:rPr>
        <w:t>After making a rate of return instrument, the AER must publish the instrument on its website.</w:t>
      </w:r>
    </w:p>
    <w:p>
      <w:pPr>
        <w:keepNext/>
        <w:keepLines/>
        <w:autoSpaceDE w:val="0"/>
        <w:autoSpaceDN w:val="0"/>
        <w:adjustRightInd w:val="0"/>
        <w:spacing w:before="120"/>
        <w:ind w:left="3176" w:hanging="1552"/>
        <w:rPr>
          <w:b/>
          <w:bCs/>
          <w:color w:val="000000"/>
          <w:sz w:val="20"/>
        </w:rPr>
      </w:pPr>
      <w:r>
        <w:rPr>
          <w:b/>
          <w:bCs/>
          <w:color w:val="000000"/>
          <w:sz w:val="20"/>
        </w:rPr>
        <w:t>Note—</w:t>
      </w:r>
    </w:p>
    <w:p>
      <w:pPr>
        <w:keepLines/>
        <w:autoSpaceDE w:val="0"/>
        <w:autoSpaceDN w:val="0"/>
        <w:adjustRightInd w:val="0"/>
        <w:spacing w:before="120"/>
        <w:ind w:left="2282"/>
        <w:rPr>
          <w:color w:val="000000"/>
          <w:sz w:val="20"/>
        </w:rPr>
      </w:pPr>
      <w:r>
        <w:rPr>
          <w:color w:val="000000"/>
          <w:sz w:val="20"/>
        </w:rPr>
        <w:t xml:space="preserve">See </w:t>
      </w:r>
      <w:hyperlink w:anchor="id41250aee_635f_4b12_97f6_68ee866bd3" w:history="1">
        <w:r>
          <w:rPr>
            <w:color w:val="000000"/>
            <w:sz w:val="20"/>
          </w:rPr>
          <w:t>section 30L</w:t>
        </w:r>
      </w:hyperlink>
      <w:r>
        <w:rPr>
          <w:color w:val="000000"/>
          <w:sz w:val="20"/>
        </w:rPr>
        <w:t xml:space="preserve"> for the requirement to publish explanatory information for the instrument.</w:t>
      </w:r>
    </w:p>
    <w:p>
      <w:pPr>
        <w:pStyle w:val="Footnotesection"/>
      </w:pPr>
      <w:r>
        <w:tab/>
        <w:t>[Section 30N inserted: see SA Act No. 33 of 2018 s. 15 and WA Gazette 5 Apr 2019 p. 1007.]</w:t>
      </w:r>
    </w:p>
    <w:p>
      <w:pPr>
        <w:pStyle w:val="Heading5"/>
        <w:rPr>
          <w:b w:val="0"/>
        </w:rPr>
      </w:pPr>
      <w:bookmarkStart w:id="288" w:name="_Toc158374722"/>
      <w:r>
        <w:rPr>
          <w:rStyle w:val="CharSectno"/>
        </w:rPr>
        <w:lastRenderedPageBreak/>
        <w:t>30O</w:t>
      </w:r>
      <w:r>
        <w:t>.</w:t>
      </w:r>
      <w:r>
        <w:tab/>
        <w:t>Commencement and duration of instrument</w:t>
      </w:r>
      <w:bookmarkEnd w:id="288"/>
    </w:p>
    <w:p>
      <w:pPr>
        <w:keepNext/>
        <w:keepLines/>
        <w:autoSpaceDE w:val="0"/>
        <w:autoSpaceDN w:val="0"/>
        <w:adjustRightInd w:val="0"/>
        <w:spacing w:before="120"/>
        <w:ind w:left="1588"/>
        <w:rPr>
          <w:color w:val="000000"/>
          <w:sz w:val="23"/>
          <w:szCs w:val="23"/>
        </w:rPr>
      </w:pPr>
      <w:r>
        <w:rPr>
          <w:color w:val="000000"/>
          <w:sz w:val="23"/>
          <w:szCs w:val="23"/>
        </w:rPr>
        <w:t>A rate of return instrument—</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commences on the day after it is published on the AER’s website;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 xml:space="preserve">remains in force until the end of the day it is replaced under </w:t>
      </w:r>
      <w:hyperlink w:anchor="id23795abd_ecc3_45c6_87a8_ac301c01c7" w:history="1">
        <w:r>
          <w:rPr>
            <w:sz w:val="23"/>
          </w:rPr>
          <w:t>section 30P</w:t>
        </w:r>
      </w:hyperlink>
      <w:r>
        <w:rPr>
          <w:sz w:val="23"/>
        </w:rPr>
        <w:t>.</w:t>
      </w:r>
    </w:p>
    <w:p>
      <w:pPr>
        <w:pStyle w:val="Footnotesection"/>
      </w:pPr>
      <w:r>
        <w:tab/>
        <w:t>[Section 30O inserted: see SA Act No. 33 of 2018 s. 15 and WA Gazette 5 Apr 2019 p. 1007.]</w:t>
      </w:r>
    </w:p>
    <w:p>
      <w:pPr>
        <w:pStyle w:val="Heading5"/>
        <w:rPr>
          <w:b w:val="0"/>
        </w:rPr>
      </w:pPr>
      <w:bookmarkStart w:id="289" w:name="_Toc158374723"/>
      <w:r>
        <w:rPr>
          <w:rStyle w:val="CharSectno"/>
        </w:rPr>
        <w:t>30P</w:t>
      </w:r>
      <w:r>
        <w:t>.</w:t>
      </w:r>
      <w:r>
        <w:tab/>
        <w:t>Review and replacement of instrument</w:t>
      </w:r>
      <w:bookmarkEnd w:id="28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review each rate of return instrument;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make a new rate of return instrument under this Division to replace the reviewed instrument.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replace the reviewed instrument by publishing the new instrument on its website on the day that is—</w:t>
      </w:r>
    </w:p>
    <w:p>
      <w:pPr>
        <w:keepLines/>
        <w:tabs>
          <w:tab w:val="center" w:pos="1985"/>
          <w:tab w:val="left" w:pos="2382"/>
        </w:tabs>
        <w:autoSpaceDE w:val="0"/>
        <w:autoSpaceDN w:val="0"/>
        <w:adjustRightInd w:val="0"/>
        <w:spacing w:before="120"/>
        <w:ind w:left="2382" w:hanging="794"/>
        <w:rPr>
          <w:sz w:val="23"/>
        </w:rPr>
      </w:pPr>
      <w:bookmarkStart w:id="290" w:name="ide68ac82a_69fa_49e3_8f33_05844174a6"/>
      <w:r>
        <w:rPr>
          <w:sz w:val="23"/>
        </w:rPr>
        <w:tab/>
        <w:t>(a)</w:t>
      </w:r>
      <w:r>
        <w:rPr>
          <w:sz w:val="23"/>
        </w:rPr>
        <w:tab/>
        <w:t>the fourth anniversary of the day the reviewed instrument was published; or</w:t>
      </w:r>
      <w:bookmarkEnd w:id="290"/>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 xml:space="preserve">if the day mentioned in </w:t>
      </w:r>
      <w:hyperlink w:anchor="ide68ac82a_69fa_49e3_8f33_05844174a6" w:history="1">
        <w:r>
          <w:rPr>
            <w:sz w:val="23"/>
          </w:rPr>
          <w:t>paragraph (a)</w:t>
        </w:r>
      </w:hyperlink>
      <w:r>
        <w:rPr>
          <w:sz w:val="23"/>
        </w:rPr>
        <w:t xml:space="preserve"> is not a business day—the first business day after that day.</w:t>
      </w:r>
    </w:p>
    <w:p>
      <w:pPr>
        <w:pStyle w:val="Footnotesection"/>
      </w:pPr>
      <w:r>
        <w:tab/>
        <w:t>[Section 30P inserted: see SA Act No. 33 of 2018 s. 15 and WA Gazette 5 Apr 2019 p. 1007.]</w:t>
      </w:r>
    </w:p>
    <w:p>
      <w:pPr>
        <w:pStyle w:val="Heading5"/>
        <w:rPr>
          <w:b w:val="0"/>
        </w:rPr>
      </w:pPr>
      <w:bookmarkStart w:id="291" w:name="_Toc158374724"/>
      <w:r>
        <w:rPr>
          <w:rStyle w:val="CharSectno"/>
        </w:rPr>
        <w:t>30Q</w:t>
      </w:r>
      <w:r>
        <w:t>.</w:t>
      </w:r>
      <w:r>
        <w:tab/>
        <w:t>Application of instrument</w:t>
      </w:r>
      <w:bookmarkEnd w:id="29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rate of return instrument—</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applies for the purposes of an AER economic regulatory decision made after the commencement of the instrument;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does not affect an AER economic regulatory decision made before the commencement of the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(2)</w:t>
      </w:r>
      <w:r>
        <w:rPr>
          <w:color w:val="000000"/>
          <w:sz w:val="23"/>
          <w:szCs w:val="23"/>
        </w:rPr>
        <w:tab/>
        <w:t>To remove any doubt, it is declared that the application of the instrument under this Law, including, for example, in making a full access arrangement decision, is an AER economic regulatory function or power.</w:t>
      </w:r>
    </w:p>
    <w:p>
      <w:pPr>
        <w:pStyle w:val="Footnotesection"/>
      </w:pPr>
      <w:r>
        <w:tab/>
        <w:t>[Section 30Q inserted: see SA Act No. 33 of 2018 s. 15 and WA Gazette 5 Apr 2019 p. 1007.]</w:t>
      </w:r>
    </w:p>
    <w:p>
      <w:pPr>
        <w:pStyle w:val="Ednotesection"/>
      </w:pPr>
      <w:r>
        <w:t>[</w:t>
      </w:r>
      <w:r>
        <w:rPr>
          <w:b/>
        </w:rPr>
        <w:t>30R.</w:t>
      </w:r>
      <w:r>
        <w:rPr>
          <w:b/>
        </w:rPr>
        <w:tab/>
      </w:r>
      <w:r>
        <w:t>Section 30R inserted: see SA Act No. 33 of 2018 s. 15 and WA Gazette 5 Apr 2019 p. 1007; deleted: WA Act Sch. 1 cl. 7A.]</w:t>
      </w:r>
    </w:p>
    <w:p>
      <w:pPr>
        <w:pStyle w:val="Heading4"/>
      </w:pPr>
      <w:bookmarkStart w:id="292" w:name="_Toc156819087"/>
      <w:bookmarkStart w:id="293" w:name="_Toc156990505"/>
      <w:bookmarkStart w:id="294" w:name="_Toc158374725"/>
      <w:r>
        <w:t>Subdivision 5—Confidentiality of information</w:t>
      </w:r>
      <w:bookmarkEnd w:id="292"/>
      <w:bookmarkEnd w:id="293"/>
      <w:bookmarkEnd w:id="294"/>
    </w:p>
    <w:p>
      <w:pPr>
        <w:pStyle w:val="Footnoteheading"/>
        <w:keepNext/>
      </w:pPr>
      <w:r>
        <w:tab/>
        <w:t>[Heading inserted: see SA Act No. 33 of 2018 s. 15 and WA Gazette 5 Apr 2019 p. 1007.]</w:t>
      </w:r>
    </w:p>
    <w:p>
      <w:pPr>
        <w:pStyle w:val="Heading5"/>
        <w:rPr>
          <w:b w:val="0"/>
        </w:rPr>
      </w:pPr>
      <w:bookmarkStart w:id="295" w:name="_Toc158374726"/>
      <w:r>
        <w:rPr>
          <w:rStyle w:val="CharSectno"/>
        </w:rPr>
        <w:t>30S</w:t>
      </w:r>
      <w:r>
        <w:t>.</w:t>
      </w:r>
      <w:r>
        <w:tab/>
        <w:t>Confidentiality</w:t>
      </w:r>
      <w:bookmarkEnd w:id="295"/>
    </w:p>
    <w:p>
      <w:pPr>
        <w:keepLines/>
        <w:tabs>
          <w:tab w:val="center" w:pos="1191"/>
          <w:tab w:val="left" w:pos="1588"/>
        </w:tabs>
        <w:autoSpaceDE w:val="0"/>
        <w:autoSpaceDN w:val="0"/>
        <w:adjustRightInd w:val="0"/>
        <w:spacing w:before="120"/>
        <w:ind w:left="1588" w:hanging="794"/>
        <w:rPr>
          <w:color w:val="000000"/>
          <w:sz w:val="23"/>
          <w:szCs w:val="23"/>
        </w:rPr>
      </w:pPr>
      <w:bookmarkStart w:id="296" w:name="id7b991313_de91_485f_867a_676e631da1"/>
      <w:r>
        <w:rPr>
          <w:color w:val="000000"/>
          <w:sz w:val="23"/>
          <w:szCs w:val="23"/>
        </w:rPr>
        <w:tab/>
        <w:t>(1)</w:t>
      </w:r>
      <w:r>
        <w:rPr>
          <w:color w:val="000000"/>
          <w:sz w:val="23"/>
          <w:szCs w:val="23"/>
        </w:rPr>
        <w:tab/>
        <w:t>If a person wishes to give information to the AER for the purposes of this Division in confidence—</w:t>
      </w:r>
      <w:bookmarkEnd w:id="296"/>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the person must give the AER written notice that the person claims the information is confidential;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give reasons to support the claim,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information about the detriment that might be caused to the person if the information were disclosed by the AER;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information that—</w:t>
      </w:r>
    </w:p>
    <w:p>
      <w:pPr>
        <w:keepLines/>
        <w:tabs>
          <w:tab w:val="center" w:pos="3686"/>
          <w:tab w:val="left" w:pos="4111"/>
        </w:tabs>
        <w:autoSpaceDE w:val="0"/>
        <w:autoSpaceDN w:val="0"/>
        <w:adjustRightInd w:val="0"/>
        <w:spacing w:before="120"/>
        <w:ind w:left="4111" w:hanging="919"/>
        <w:rPr>
          <w:color w:val="000000"/>
          <w:sz w:val="23"/>
          <w:szCs w:val="23"/>
        </w:rPr>
      </w:pPr>
      <w:r>
        <w:rPr>
          <w:color w:val="000000"/>
          <w:sz w:val="23"/>
          <w:szCs w:val="23"/>
        </w:rPr>
        <w:tab/>
        <w:t>(A)</w:t>
      </w:r>
      <w:r>
        <w:rPr>
          <w:color w:val="000000"/>
          <w:sz w:val="23"/>
          <w:szCs w:val="23"/>
        </w:rPr>
        <w:tab/>
        <w:t>is reasonably within the person’s knowledge and capacity to give; and</w:t>
      </w:r>
    </w:p>
    <w:p>
      <w:pPr>
        <w:keepLines/>
        <w:tabs>
          <w:tab w:val="center" w:pos="3686"/>
          <w:tab w:val="left" w:pos="4111"/>
        </w:tabs>
        <w:autoSpaceDE w:val="0"/>
        <w:autoSpaceDN w:val="0"/>
        <w:adjustRightInd w:val="0"/>
        <w:spacing w:before="120"/>
        <w:ind w:left="4111" w:hanging="919"/>
        <w:rPr>
          <w:color w:val="000000"/>
          <w:sz w:val="23"/>
          <w:szCs w:val="23"/>
        </w:rPr>
      </w:pPr>
      <w:r>
        <w:rPr>
          <w:color w:val="000000"/>
          <w:sz w:val="23"/>
          <w:szCs w:val="23"/>
        </w:rPr>
        <w:lastRenderedPageBreak/>
        <w:tab/>
        <w:t>(B)</w:t>
      </w:r>
      <w:r>
        <w:rPr>
          <w:color w:val="000000"/>
          <w:sz w:val="23"/>
          <w:szCs w:val="23"/>
        </w:rPr>
        <w:tab/>
        <w:t>may be relevant to the AER’s consideration under section 329 about whether the public benefit in disclosing the information outweighs the detriment.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In giving reasons to support a claim under </w:t>
      </w:r>
      <w:hyperlink w:anchor="id7b991313_de91_485f_867a_676e631da1" w:history="1">
        <w:r>
          <w:rPr>
            <w:color w:val="000000"/>
            <w:sz w:val="23"/>
            <w:szCs w:val="23"/>
          </w:rPr>
          <w:t>subsection (1)</w:t>
        </w:r>
      </w:hyperlink>
      <w:r>
        <w:rPr>
          <w:color w:val="000000"/>
          <w:sz w:val="23"/>
          <w:szCs w:val="23"/>
        </w:rPr>
        <w:t xml:space="preserve"> about information received from another person (a </w:t>
      </w:r>
      <w:r>
        <w:rPr>
          <w:rStyle w:val="CharDefText"/>
          <w:sz w:val="23"/>
          <w:szCs w:val="23"/>
        </w:rPr>
        <w:t>third party</w:t>
      </w:r>
      <w:r>
        <w:rPr>
          <w:color w:val="000000"/>
          <w:sz w:val="23"/>
          <w:szCs w:val="23"/>
        </w:rPr>
        <w:t>), a person may include information that—</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is reasonably within the person’s knowledge and capacity to give;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is about the detriment that might be caused to the third party if the information were disclosed by the AER; and</w:t>
      </w:r>
    </w:p>
    <w:p>
      <w:pPr>
        <w:keepLines/>
        <w:tabs>
          <w:tab w:val="center" w:pos="1985"/>
          <w:tab w:val="left" w:pos="2382"/>
        </w:tabs>
        <w:autoSpaceDE w:val="0"/>
        <w:autoSpaceDN w:val="0"/>
        <w:adjustRightInd w:val="0"/>
        <w:spacing w:before="120"/>
        <w:ind w:left="2382" w:hanging="794"/>
        <w:rPr>
          <w:sz w:val="23"/>
        </w:rPr>
      </w:pPr>
      <w:r>
        <w:rPr>
          <w:sz w:val="23"/>
        </w:rPr>
        <w:tab/>
        <w:t>(c)</w:t>
      </w:r>
      <w:r>
        <w:rPr>
          <w:sz w:val="23"/>
        </w:rPr>
        <w:tab/>
        <w:t>may be relevant to the AER’s consideration under section 329 about whether the public benefit in disclosing the information outweighs the detriment.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 xml:space="preserve">In acting under </w:t>
      </w:r>
      <w:hyperlink w:anchor="id7b991313_de91_485f_867a_676e631da1" w:history="1">
        <w:r>
          <w:rPr>
            <w:color w:val="000000"/>
            <w:sz w:val="23"/>
            <w:szCs w:val="23"/>
          </w:rPr>
          <w:t>subsection (1)</w:t>
        </w:r>
      </w:hyperlink>
      <w:r>
        <w:rPr>
          <w:color w:val="000000"/>
          <w:sz w:val="23"/>
          <w:szCs w:val="23"/>
        </w:rPr>
        <w:t>, a person must specifically identify the information in relation to which the claim is made.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Information given to the AER for the purposes of this Division is not to be regarded as being given in confidence, or to be confidential in any way, unless the information is subject to an express claim of confidentiality made under this section.</w:t>
      </w:r>
    </w:p>
    <w:p>
      <w:pPr>
        <w:pStyle w:val="Footnotesection"/>
      </w:pPr>
      <w:r>
        <w:tab/>
        <w:t>[Section 30S inserted: see SA Act No. 33 of 2018 s. 15 and WA Gazette 5 Apr 2019 p. 1007.]</w:t>
      </w:r>
    </w:p>
    <w:p>
      <w:pPr>
        <w:pStyle w:val="Heading5"/>
        <w:rPr>
          <w:b w:val="0"/>
        </w:rPr>
      </w:pPr>
      <w:bookmarkStart w:id="297" w:name="_Toc158374727"/>
      <w:r>
        <w:rPr>
          <w:rStyle w:val="CharSectno"/>
        </w:rPr>
        <w:t>30T</w:t>
      </w:r>
      <w:r>
        <w:t>.</w:t>
      </w:r>
      <w:r>
        <w:tab/>
        <w:t>Disclosure of information given in confidence</w:t>
      </w:r>
      <w:bookmarkEnd w:id="29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Chapter 10 Part 2 Division 1 applies in relation to publishing information given to the AER in confidence under this Division.</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(2)</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sz w:val="23"/>
          <w:szCs w:val="23"/>
        </w:rPr>
        <w:t>information</w:t>
      </w:r>
      <w:r>
        <w:t xml:space="preserve"> </w:t>
      </w:r>
      <w:r>
        <w:rPr>
          <w:color w:val="000000"/>
          <w:sz w:val="23"/>
          <w:szCs w:val="23"/>
        </w:rPr>
        <w:t>includes advice, recommendations, submissions and reports.</w:t>
      </w:r>
    </w:p>
    <w:p>
      <w:pPr>
        <w:pStyle w:val="Footnotesection"/>
      </w:pPr>
      <w:r>
        <w:tab/>
        <w:t>[Section 30T inserted: see SA Act No. 33 of 2018 s. 15 and WA Gazette 5 Apr 2019 p. 1007.]</w:t>
      </w:r>
    </w:p>
    <w:p>
      <w:pPr>
        <w:pStyle w:val="Heading4"/>
        <w:rPr>
          <w:szCs w:val="28"/>
        </w:rPr>
      </w:pPr>
      <w:bookmarkStart w:id="298" w:name="_Toc156819090"/>
      <w:bookmarkStart w:id="299" w:name="_Toc156990508"/>
      <w:bookmarkStart w:id="300" w:name="_Toc158374728"/>
      <w:r>
        <w:rPr>
          <w:szCs w:val="28"/>
        </w:rPr>
        <w:t>Division 2 — Search warrants</w:t>
      </w:r>
      <w:bookmarkEnd w:id="298"/>
      <w:bookmarkEnd w:id="299"/>
      <w:bookmarkEnd w:id="300"/>
    </w:p>
    <w:p>
      <w:pPr>
        <w:pStyle w:val="Heading5"/>
      </w:pPr>
      <w:bookmarkStart w:id="301" w:name="_Toc158374729"/>
      <w:r>
        <w:rPr>
          <w:rStyle w:val="CharSectno"/>
        </w:rPr>
        <w:t>31</w:t>
      </w:r>
      <w:r>
        <w:t>.</w:t>
      </w:r>
      <w:r>
        <w:tab/>
        <w:t>Definitions</w:t>
      </w:r>
      <w:bookmarkEnd w:id="301"/>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authorised person</w:t>
      </w:r>
      <w:r>
        <w:rPr>
          <w:bCs/>
          <w:i/>
          <w:iCs/>
          <w:color w:val="000000"/>
          <w:sz w:val="23"/>
          <w:szCs w:val="23"/>
        </w:rPr>
        <w:t xml:space="preserve"> </w:t>
      </w:r>
      <w:r>
        <w:rPr>
          <w:color w:val="000000"/>
          <w:sz w:val="23"/>
          <w:szCs w:val="23"/>
        </w:rPr>
        <w:t>means a person authorised under section 32;</w:t>
      </w:r>
    </w:p>
    <w:p>
      <w:pPr>
        <w:keepLines/>
        <w:autoSpaceDE w:val="0"/>
        <w:autoSpaceDN w:val="0"/>
        <w:adjustRightInd w:val="0"/>
        <w:spacing w:before="120"/>
        <w:ind w:left="1588"/>
        <w:rPr>
          <w:color w:val="000000"/>
          <w:sz w:val="23"/>
          <w:szCs w:val="23"/>
        </w:rPr>
      </w:pPr>
      <w:r>
        <w:rPr>
          <w:rStyle w:val="CharDefText"/>
          <w:bCs/>
          <w:sz w:val="23"/>
        </w:rPr>
        <w:t>relevant provision</w:t>
      </w:r>
      <w:r>
        <w:rPr>
          <w:bCs/>
          <w:i/>
          <w:iCs/>
          <w:color w:val="000000"/>
          <w:sz w:val="23"/>
          <w:szCs w:val="23"/>
        </w:rPr>
        <w:t xml:space="preserve"> </w:t>
      </w:r>
      <w:r>
        <w:rPr>
          <w:color w:val="000000"/>
          <w:sz w:val="23"/>
          <w:szCs w:val="23"/>
        </w:rPr>
        <w:t>means a provision of this Law, the Regulations or the Rules.</w:t>
      </w:r>
    </w:p>
    <w:p>
      <w:pPr>
        <w:pStyle w:val="Heading5"/>
      </w:pPr>
      <w:bookmarkStart w:id="302" w:name="_Toc158374730"/>
      <w:r>
        <w:rPr>
          <w:rStyle w:val="CharSectno"/>
        </w:rPr>
        <w:t>32</w:t>
      </w:r>
      <w:r>
        <w:t>.</w:t>
      </w:r>
      <w:r>
        <w:tab/>
        <w:t>Authorised person</w:t>
      </w:r>
      <w:bookmarkEnd w:id="30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in writing, authorise a person that the AER considers is suitably qualified or trained to be an authorised person for the purposes of this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authorised person must comply with any direction of the AER in exercising powers or functions as an authorised person.</w:t>
      </w:r>
    </w:p>
    <w:p>
      <w:pPr>
        <w:pStyle w:val="Heading5"/>
      </w:pPr>
      <w:bookmarkStart w:id="303" w:name="_Toc158374731"/>
      <w:r>
        <w:rPr>
          <w:rStyle w:val="CharSectno"/>
        </w:rPr>
        <w:t>33</w:t>
      </w:r>
      <w:r>
        <w:t>.</w:t>
      </w:r>
      <w:r>
        <w:tab/>
        <w:t>Identity cards</w:t>
      </w:r>
      <w:bookmarkEnd w:id="30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issue an identity card to an authorised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identity card must contain the name, a recent photograph and the signature of the authorised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authorised person must carry the identity card at all times when exercising powers or performing functions as an authorised person.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(4)</w:t>
      </w:r>
      <w:r>
        <w:rPr>
          <w:color w:val="000000"/>
          <w:sz w:val="23"/>
          <w:szCs w:val="23"/>
        </w:rPr>
        <w:tab/>
        <w:t>An authorised person must produce his or her identity card for inspection—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before exercising a power as an authorised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at any time during the exercise of a power as an authorised person, if asked to do so.</w:t>
      </w:r>
    </w:p>
    <w:p>
      <w:pPr>
        <w:pStyle w:val="Heading5"/>
      </w:pPr>
      <w:bookmarkStart w:id="304" w:name="_Toc158374732"/>
      <w:r>
        <w:rPr>
          <w:rStyle w:val="CharSectno"/>
        </w:rPr>
        <w:t>34</w:t>
      </w:r>
      <w:r>
        <w:t>.</w:t>
      </w:r>
      <w:r>
        <w:tab/>
        <w:t>Return of identity cards</w:t>
      </w:r>
      <w:bookmarkEnd w:id="304"/>
    </w:p>
    <w:p>
      <w:pPr>
        <w:keepNext/>
        <w:keepLines/>
        <w:autoSpaceDE w:val="0"/>
        <w:autoSpaceDN w:val="0"/>
        <w:adjustRightInd w:val="0"/>
        <w:spacing w:before="120"/>
        <w:ind w:left="1588"/>
        <w:rPr>
          <w:color w:val="000000"/>
          <w:sz w:val="23"/>
          <w:szCs w:val="23"/>
        </w:rPr>
      </w:pPr>
      <w:r>
        <w:rPr>
          <w:color w:val="000000"/>
          <w:sz w:val="23"/>
          <w:szCs w:val="23"/>
        </w:rPr>
        <w:t>If a person to whom an identity card has been issued ceases to be an authorised person, the person must return the identity card to the AER as soon as practicable.</w:t>
      </w:r>
    </w:p>
    <w:p>
      <w:pPr>
        <w:keepLines/>
        <w:autoSpaceDE w:val="0"/>
        <w:autoSpaceDN w:val="0"/>
        <w:adjustRightInd w:val="0"/>
        <w:spacing w:before="80"/>
        <w:ind w:left="1588"/>
        <w:rPr>
          <w:color w:val="000000"/>
          <w:sz w:val="23"/>
          <w:szCs w:val="23"/>
        </w:rPr>
      </w:pPr>
      <w:r>
        <w:rPr>
          <w:color w:val="000000"/>
          <w:sz w:val="23"/>
          <w:szCs w:val="23"/>
        </w:rPr>
        <w:t>Maximum penalty: $500</w:t>
      </w:r>
    </w:p>
    <w:p>
      <w:pPr>
        <w:pStyle w:val="Heading5"/>
      </w:pPr>
      <w:bookmarkStart w:id="305" w:name="_Toc158374733"/>
      <w:r>
        <w:rPr>
          <w:rStyle w:val="CharSectno"/>
        </w:rPr>
        <w:t>35</w:t>
      </w:r>
      <w:r>
        <w:t>.</w:t>
      </w:r>
      <w:r>
        <w:tab/>
        <w:t>Search warrant</w:t>
      </w:r>
      <w:bookmarkEnd w:id="30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authorised person may apply to a magistrate for the issue of a search warrant in relation to a particular place if the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believes on reasonable grounds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there is or has been or will be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is or may be a thing or things of a particular kind connected with that breach on or in that place;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reasonably suspects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there may have been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is or may be a thing or things of a particular kind connected with that breach on or in that place.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(2)</w:t>
      </w:r>
      <w:r>
        <w:rPr>
          <w:color w:val="000000"/>
          <w:sz w:val="23"/>
          <w:szCs w:val="23"/>
        </w:rPr>
        <w:tab/>
        <w:t>If a magistrate is satisfied by the evidence, on oath or by affidavit, of an authorised person that there are reasonable grounds for suspecting that there is, or may be within the next 7 days, a thing or things of a particular kind connected with a breach or possible breach of a relevant provision on or in a place, the magistrate may issue a search warrant authorising an authorised person named in the warrant—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enter the place specified in the warrant, with such assistance and by the use of such force as is necessary and reasonable;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search the place or any part of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search for and seize a thing named or described in the warrant and which the person believes on reasonable grounds to be connected with the breach or possible breach of the relevant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inspect, examine or record an image of anything in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take extracts from, and make copies of, any documents in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to take into the place such equipment and materials as the person requires for exercising the powers.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search warrant issued under this section must state—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purpose for which the search is required and the nature of the suspected breach of the relevant provision;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conditions to which the warrant is subject;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whether entry is authorised to be made at any time of the day or night or during stated hours of the day or night;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(d)</w:t>
      </w:r>
      <w:r>
        <w:rPr>
          <w:color w:val="000000"/>
          <w:sz w:val="23"/>
          <w:szCs w:val="23"/>
        </w:rPr>
        <w:tab/>
        <w:t>a day, not later than 7 days after the issue of the warrant, on which the warrant ceases to have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Except as provided by this Law, the rules to be observed with respect to search warrants mentioned in any relevant laws of this jurisdiction extend and apply to warrants under this section.</w:t>
      </w:r>
    </w:p>
    <w:p>
      <w:pPr>
        <w:pStyle w:val="Heading5"/>
      </w:pPr>
      <w:bookmarkStart w:id="306" w:name="_Toc158374734"/>
      <w:r>
        <w:rPr>
          <w:rStyle w:val="CharSectno"/>
        </w:rPr>
        <w:t>36</w:t>
      </w:r>
      <w:r>
        <w:t>.</w:t>
      </w:r>
      <w:r>
        <w:tab/>
        <w:t>Announcement of entry and details of warrant to be given to occupier or other person at premises</w:t>
      </w:r>
      <w:bookmarkEnd w:id="30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occupier or another person who apparently represents the occupier is present at premises when a search warrant is being executed.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authorised person executing the warrant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identify himself or herself to that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announce that he or she is authorised by the warrant to enter the place;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before using force to enter, give the person an opportunity to allow entry;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give the person a copy of the warrant.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authorised person executing the warrant is not entitled to exercise any powers under the warrant in relation to premises if the authorised person does not comply with subsection (2).</w:t>
      </w:r>
    </w:p>
    <w:p>
      <w:pPr>
        <w:pStyle w:val="Heading5"/>
      </w:pPr>
      <w:bookmarkStart w:id="307" w:name="_Toc158374735"/>
      <w:r>
        <w:rPr>
          <w:rStyle w:val="CharSectno"/>
        </w:rPr>
        <w:t>37</w:t>
      </w:r>
      <w:r>
        <w:t>.</w:t>
      </w:r>
      <w:r>
        <w:tab/>
        <w:t>Immediate entry permitted in certain cases</w:t>
      </w:r>
      <w:bookmarkEnd w:id="307"/>
    </w:p>
    <w:p>
      <w:pPr>
        <w:keepNext/>
        <w:keepLines/>
        <w:autoSpaceDE w:val="0"/>
        <w:autoSpaceDN w:val="0"/>
        <w:adjustRightInd w:val="0"/>
        <w:spacing w:before="120"/>
        <w:ind w:left="1588"/>
        <w:rPr>
          <w:color w:val="000000"/>
          <w:sz w:val="23"/>
          <w:szCs w:val="23"/>
        </w:rPr>
      </w:pPr>
      <w:r>
        <w:rPr>
          <w:color w:val="000000"/>
          <w:sz w:val="23"/>
          <w:szCs w:val="23"/>
        </w:rPr>
        <w:t>An authorised person executing a warrant need not comply with section 36 if he or she believes on reasonable grounds that immediate entry to premises is required to ensure—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safety of any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the effective execution of the search warrant is not frustrated.</w:t>
      </w:r>
    </w:p>
    <w:p>
      <w:pPr>
        <w:pStyle w:val="Heading5"/>
      </w:pPr>
      <w:bookmarkStart w:id="308" w:name="_Toc158374736"/>
      <w:r>
        <w:rPr>
          <w:rStyle w:val="CharSectno"/>
        </w:rPr>
        <w:lastRenderedPageBreak/>
        <w:t>38</w:t>
      </w:r>
      <w:r>
        <w:t>.</w:t>
      </w:r>
      <w:r>
        <w:tab/>
        <w:t>Copies of seized documents</w:t>
      </w:r>
      <w:bookmarkEnd w:id="30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authorised person executing a warrant retains possession of a document seized from a person in accordance with the warrant, the authorised person must give that other person, within 21 days of the seizure, a copy of the document certified as correct by the authorised person executing the warrant.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copy of a document certified under subsection (1) shall be received in all courts and all tribunals as evidence of equal validity to the original.</w:t>
      </w:r>
    </w:p>
    <w:p>
      <w:pPr>
        <w:pStyle w:val="Heading5"/>
        <w:keepLines w:val="0"/>
      </w:pPr>
      <w:bookmarkStart w:id="309" w:name="_Toc158374737"/>
      <w:r>
        <w:rPr>
          <w:rStyle w:val="CharSectno"/>
        </w:rPr>
        <w:t>39</w:t>
      </w:r>
      <w:r>
        <w:t>.</w:t>
      </w:r>
      <w:r>
        <w:tab/>
        <w:t>Retention and return of seized documents or things</w:t>
      </w:r>
      <w:bookmarkEnd w:id="309"/>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authorised person executing a warrant seizes a document or other thing in accordance with the warrant, the authorised person must if he or she is not a person employed by the AER, give the document or other thing seized to the AER.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take reasonable steps to return the document or thing to the person from whom it was seized if the reason for its seizure no longer exists.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document or thing seized has not been returned within 3 months after it was seized, the AER must take reasonable steps to return it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proceedings for the purpose for which the document or thing was retained have commenced within that 3 month period and those proceedings (including any appeal) have not been completed;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magistrate makes an order under section 40 extending the period during which the document or thing may be retained.</w:t>
      </w:r>
    </w:p>
    <w:p>
      <w:pPr>
        <w:pStyle w:val="Heading5"/>
      </w:pPr>
      <w:bookmarkStart w:id="310" w:name="_Toc158374738"/>
      <w:r>
        <w:rPr>
          <w:rStyle w:val="CharSectno"/>
        </w:rPr>
        <w:lastRenderedPageBreak/>
        <w:t>40</w:t>
      </w:r>
      <w:r>
        <w:t>.</w:t>
      </w:r>
      <w:r>
        <w:tab/>
        <w:t>Extension of period of retention of documents or things seized</w:t>
      </w:r>
      <w:bookmarkEnd w:id="31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apply to a magistrate—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within 3 months after a document or other thing was seized in accordance with a warrant;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an extension has been granted under this section, before the end of the period of the extension,</w:t>
      </w:r>
    </w:p>
    <w:p>
      <w:pPr>
        <w:keepLines/>
        <w:autoSpaceDE w:val="0"/>
        <w:autoSpaceDN w:val="0"/>
        <w:adjustRightInd w:val="0"/>
        <w:spacing w:before="120"/>
        <w:ind w:left="1588"/>
        <w:rPr>
          <w:color w:val="000000"/>
          <w:sz w:val="23"/>
          <w:szCs w:val="23"/>
        </w:rPr>
      </w:pPr>
      <w:r>
        <w:rPr>
          <w:color w:val="000000"/>
          <w:sz w:val="23"/>
          <w:szCs w:val="23"/>
        </w:rPr>
        <w:t>for an extension of the period for which the AER may retain the document or thing but so that the total period of retention does not exceed 12 months.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 be made before proceedings for the purpose for which the document or thing was retained have been commenced.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magistrate may order such an extension if he or she is satisfied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in the interests of justice;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total period of retention does not exceed 12 months;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retention of the document or other thing is necessary—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the purposes of an investigation into whether a breach of a relevant provision has occurred;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to enable evidence of a breach of a relevant provision to be obtained for the purposes of a proceeding under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proceedings are commenced for the purpose for which the document or thing was retained at any time before the expiry of the period specified in an order under this section, the document or thing may be retained until those proceedings (including any appeal) have been completed despite those proceedings being completed after the period specified in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(5)</w:t>
      </w:r>
      <w:r>
        <w:rPr>
          <w:color w:val="000000"/>
          <w:sz w:val="23"/>
          <w:szCs w:val="23"/>
        </w:rPr>
        <w:tab/>
        <w:t>At least 7 days prior to the hearing of an application under this section by a magistrate, notice of the application must be sent to the owner of the document or thing described in the application.</w:t>
      </w:r>
    </w:p>
    <w:p>
      <w:pPr>
        <w:pStyle w:val="Heading5"/>
      </w:pPr>
      <w:bookmarkStart w:id="311" w:name="_Toc158374739"/>
      <w:r>
        <w:rPr>
          <w:rStyle w:val="CharSectno"/>
        </w:rPr>
        <w:t>41</w:t>
      </w:r>
      <w:r>
        <w:t>.</w:t>
      </w:r>
      <w:r>
        <w:tab/>
        <w:t>Obstruction of persons authorised to enter</w:t>
      </w:r>
      <w:bookmarkEnd w:id="311"/>
    </w:p>
    <w:p>
      <w:pPr>
        <w:keepNext/>
        <w:keepLines/>
        <w:autoSpaceDE w:val="0"/>
        <w:autoSpaceDN w:val="0"/>
        <w:adjustRightInd w:val="0"/>
        <w:spacing w:before="120"/>
        <w:ind w:left="1588"/>
        <w:rPr>
          <w:color w:val="000000"/>
          <w:sz w:val="23"/>
          <w:szCs w:val="23"/>
        </w:rPr>
      </w:pPr>
      <w:r>
        <w:rPr>
          <w:color w:val="000000"/>
          <w:sz w:val="23"/>
          <w:szCs w:val="23"/>
        </w:rPr>
        <w:t>A person must not, without reasonable excuse, obstruct or hinder an authorised person in the exercise of a power under a search warrant under this Division.</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4"/>
      </w:pPr>
      <w:bookmarkStart w:id="312" w:name="_Toc156819102"/>
      <w:bookmarkStart w:id="313" w:name="_Toc156990520"/>
      <w:bookmarkStart w:id="314" w:name="_Toc158374740"/>
      <w:r>
        <w:t>Division 3 — General information gathering powers</w:t>
      </w:r>
      <w:bookmarkEnd w:id="312"/>
      <w:bookmarkEnd w:id="313"/>
      <w:bookmarkEnd w:id="314"/>
    </w:p>
    <w:p>
      <w:pPr>
        <w:pStyle w:val="Heading5"/>
      </w:pPr>
      <w:bookmarkStart w:id="315" w:name="_Toc158374741"/>
      <w:r>
        <w:rPr>
          <w:rStyle w:val="CharSectno"/>
        </w:rPr>
        <w:t>42</w:t>
      </w:r>
      <w:r>
        <w:t>.</w:t>
      </w:r>
      <w:r>
        <w:tab/>
        <w:t>Power to obtain information and documents in relation to performance and exercise of functions and powers</w:t>
      </w:r>
      <w:bookmarkEnd w:id="31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the AER has reason to believe that a person is capable of providing information or producing a document that the AER requires for the performance or exercise of a function or power conferred on it under this Law or the Rules, the AER may, by notice in writing, serve on that person a notice (a </w:t>
      </w:r>
      <w:r>
        <w:rPr>
          <w:rStyle w:val="CharDefText"/>
          <w:bCs/>
          <w:sz w:val="23"/>
        </w:rPr>
        <w:t>relevant notice</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relevant notice may require the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by writing signed by that person or, in the case of a body corporate, by a competent officer of the body corporate, within the time and in the manner specified in the notice, any information of the kind referred to in subsection (1);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to the AER, or to a person specified in the notice acting on its behalf, in accordance with the notice, any documents of the kind referred to in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(3)</w:t>
      </w:r>
      <w:r>
        <w:rPr>
          <w:color w:val="000000"/>
          <w:sz w:val="23"/>
          <w:szCs w:val="23"/>
        </w:rPr>
        <w:tab/>
        <w:t>A person on whom a relevant notice is served must comply with the relevant notice unless the person has a reasonable excuse.</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must not, in purported compliance with a relevant notice, provide information that the person knows is false or misleading in a material particular.</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It is a reasonable excuse for the purposes of subsection (3) if the person served the relevant notice is not capable of complying with that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It is a reasonable excuse for a natural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rPr>
      </w:pPr>
      <w:r>
        <w:rPr>
          <w:color w:val="000000"/>
          <w:sz w:val="23"/>
          <w:szCs w:val="23"/>
        </w:rPr>
        <w:t>if to do so might tend to incriminate the person, or make the person liable to a criminal penalty, under a law of this jurisdiction or a law of another participating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It is not a reasonable excuse for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rPr>
      </w:pPr>
      <w:r>
        <w:rPr>
          <w:color w:val="000000"/>
          <w:sz w:val="23"/>
          <w:szCs w:val="23"/>
        </w:rPr>
        <w:lastRenderedPageBreak/>
        <w:t>on the ground of any duty of confidence.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the production of which would disclose information that is the subject of legal professional privilege.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information that would disclose the contents of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provide information, or produce a document, that would disclose the deliberations of the Cabinet or a committee of the Cabinet of the Commonwealth or of a State or a Territory.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A person incurs, by complying with a relevant notice, no liability for breach of contract, breach of confidence or any other civil wrong.</w:t>
      </w:r>
    </w:p>
    <w:p>
      <w:pPr>
        <w:pStyle w:val="Heading4"/>
      </w:pPr>
      <w:bookmarkStart w:id="316" w:name="_Toc156819104"/>
      <w:bookmarkStart w:id="317" w:name="_Toc156990522"/>
      <w:bookmarkStart w:id="318" w:name="_Toc158374742"/>
      <w:r>
        <w:t>Division 4 — Regulatory information notices and general regulatory information orders</w:t>
      </w:r>
      <w:bookmarkEnd w:id="316"/>
      <w:bookmarkEnd w:id="317"/>
      <w:bookmarkEnd w:id="318"/>
    </w:p>
    <w:p>
      <w:pPr>
        <w:pStyle w:val="Heading4"/>
      </w:pPr>
      <w:bookmarkStart w:id="319" w:name="_Toc156819105"/>
      <w:bookmarkStart w:id="320" w:name="_Toc156990523"/>
      <w:bookmarkStart w:id="321" w:name="_Toc158374743"/>
      <w:r>
        <w:t>Subdivision 1 — Interpretation</w:t>
      </w:r>
      <w:bookmarkEnd w:id="319"/>
      <w:bookmarkEnd w:id="320"/>
      <w:bookmarkEnd w:id="321"/>
    </w:p>
    <w:p>
      <w:pPr>
        <w:pStyle w:val="Heading5"/>
      </w:pPr>
      <w:bookmarkStart w:id="322" w:name="_Toc158374744"/>
      <w:r>
        <w:rPr>
          <w:rStyle w:val="CharSectno"/>
        </w:rPr>
        <w:t>43</w:t>
      </w:r>
      <w:r>
        <w:t>.</w:t>
      </w:r>
      <w:r>
        <w:tab/>
        <w:t>Definitions</w:t>
      </w:r>
      <w:bookmarkEnd w:id="322"/>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contributing service</w:t>
      </w:r>
      <w:r>
        <w:rPr>
          <w:bCs/>
          <w:i/>
          <w:iCs/>
          <w:color w:val="000000"/>
          <w:sz w:val="23"/>
          <w:szCs w:val="23"/>
        </w:rPr>
        <w:t xml:space="preserve"> </w:t>
      </w:r>
      <w:r>
        <w:rPr>
          <w:color w:val="000000"/>
          <w:sz w:val="23"/>
          <w:szCs w:val="23"/>
        </w:rPr>
        <w:t>has the meaning given by section 44;</w:t>
      </w:r>
    </w:p>
    <w:p>
      <w:pPr>
        <w:keepNext/>
        <w:keepLines/>
        <w:autoSpaceDE w:val="0"/>
        <w:autoSpaceDN w:val="0"/>
        <w:adjustRightInd w:val="0"/>
        <w:spacing w:before="120"/>
        <w:ind w:left="1588"/>
        <w:rPr>
          <w:color w:val="000000"/>
          <w:sz w:val="23"/>
          <w:szCs w:val="23"/>
        </w:rPr>
      </w:pPr>
      <w:r>
        <w:rPr>
          <w:rStyle w:val="CharDefText"/>
          <w:bCs/>
          <w:sz w:val="23"/>
        </w:rPr>
        <w:lastRenderedPageBreak/>
        <w:t>scheme pipeline service provider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service provider who provides or intends to provide pipeline services by means of an international pipeline to which a price regulation exemption applies;</w:t>
      </w:r>
    </w:p>
    <w:p>
      <w:pPr>
        <w:keepLines/>
        <w:autoSpaceDE w:val="0"/>
        <w:autoSpaceDN w:val="0"/>
        <w:adjustRightInd w:val="0"/>
        <w:spacing w:before="120"/>
        <w:ind w:left="1588"/>
        <w:rPr>
          <w:color w:val="000000"/>
          <w:sz w:val="23"/>
          <w:szCs w:val="23"/>
        </w:rPr>
      </w:pPr>
      <w:r>
        <w:rPr>
          <w:rStyle w:val="CharDefText"/>
          <w:bCs/>
          <w:sz w:val="23"/>
        </w:rPr>
        <w:t>related provider</w:t>
      </w:r>
      <w:r>
        <w:rPr>
          <w:bCs/>
          <w:i/>
          <w:iCs/>
          <w:color w:val="000000"/>
          <w:sz w:val="23"/>
          <w:szCs w:val="23"/>
        </w:rPr>
        <w:t xml:space="preserve"> </w:t>
      </w:r>
      <w:r>
        <w:rPr>
          <w:color w:val="000000"/>
          <w:sz w:val="23"/>
          <w:szCs w:val="23"/>
        </w:rPr>
        <w:t>means a person who supplies a contributing service to a scheme pipeline service provider.</w:t>
      </w:r>
    </w:p>
    <w:p>
      <w:pPr>
        <w:pStyle w:val="Heading5"/>
      </w:pPr>
      <w:bookmarkStart w:id="323" w:name="_Toc158374745"/>
      <w:r>
        <w:rPr>
          <w:rStyle w:val="CharSectno"/>
        </w:rPr>
        <w:t>44</w:t>
      </w:r>
      <w:r>
        <w:t>.</w:t>
      </w:r>
      <w:r>
        <w:tab/>
        <w:t>Meaning of contributing service</w:t>
      </w:r>
      <w:bookmarkEnd w:id="32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contributing service is a service that the AER, in accordance with this section, decides is a service that contributes in a material way to the provision of a pipeline service by a scheme pipeline service provider.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deciding whether a service is a service that contributes in a material way to the provision of a pipeline service by a scheme pipeline service provider, the AER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nature and kind of the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the service was first supplied;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and extent of the contribution of the service relative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pipeline service;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all other services supplied by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the service was previously supplied—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the scheme pipeline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directly or indirectly by an associate of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(e)</w:t>
      </w:r>
      <w:r>
        <w:rPr>
          <w:color w:val="000000"/>
          <w:sz w:val="23"/>
          <w:szCs w:val="23"/>
        </w:rPr>
        <w:tab/>
        <w:t>whether the service, together with other services, contributes in a material way to the provision of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other matter specified under the Rules.</w:t>
      </w:r>
    </w:p>
    <w:p>
      <w:pPr>
        <w:pStyle w:val="Heading5"/>
      </w:pPr>
      <w:bookmarkStart w:id="324" w:name="_Toc158374746"/>
      <w:r>
        <w:rPr>
          <w:rStyle w:val="CharSectno"/>
        </w:rPr>
        <w:t>45</w:t>
      </w:r>
      <w:r>
        <w:t>.</w:t>
      </w:r>
      <w:r>
        <w:tab/>
        <w:t>Meaning of general regulatory information order</w:t>
      </w:r>
      <w:bookmarkEnd w:id="324"/>
    </w:p>
    <w:p>
      <w:pPr>
        <w:keepNext/>
        <w:keepLines/>
        <w:autoSpaceDE w:val="0"/>
        <w:autoSpaceDN w:val="0"/>
        <w:adjustRightInd w:val="0"/>
        <w:spacing w:before="120"/>
        <w:ind w:left="1588"/>
        <w:rPr>
          <w:color w:val="000000"/>
          <w:sz w:val="23"/>
          <w:szCs w:val="23"/>
        </w:rPr>
      </w:pPr>
      <w:r>
        <w:rPr>
          <w:color w:val="000000"/>
          <w:sz w:val="23"/>
          <w:szCs w:val="23"/>
        </w:rPr>
        <w:t>A general regulatory information order is an order made by the AER in accordance with this Division that requires each scheme pipeline service provider of a specified class, or each related provider of a specified class,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the information specified in the order;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prepare, maintain or keep information specified in the notice in a manner and form specified in the order.</w:t>
      </w:r>
    </w:p>
    <w:p>
      <w:pPr>
        <w:pStyle w:val="Heading5"/>
      </w:pPr>
      <w:bookmarkStart w:id="325" w:name="_Toc158374747"/>
      <w:r>
        <w:rPr>
          <w:rStyle w:val="CharSectno"/>
        </w:rPr>
        <w:t>46</w:t>
      </w:r>
      <w:r>
        <w:t>.</w:t>
      </w:r>
      <w:r>
        <w:tab/>
        <w:t>Meaning of regulatory information notice</w:t>
      </w:r>
      <w:bookmarkEnd w:id="325"/>
    </w:p>
    <w:p>
      <w:pPr>
        <w:keepNext/>
        <w:keepLines/>
        <w:autoSpaceDE w:val="0"/>
        <w:autoSpaceDN w:val="0"/>
        <w:adjustRightInd w:val="0"/>
        <w:spacing w:before="120"/>
        <w:ind w:left="1588"/>
        <w:rPr>
          <w:color w:val="000000"/>
          <w:sz w:val="23"/>
          <w:szCs w:val="23"/>
        </w:rPr>
      </w:pPr>
      <w:r>
        <w:rPr>
          <w:color w:val="000000"/>
          <w:sz w:val="23"/>
          <w:szCs w:val="23"/>
        </w:rPr>
        <w:t>A regulatory information notice is a notice prepared and served by the AER in accordance with this Division that requires the scheme pipeline service provider, or a related provider, named in the notice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the information specified in the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prepare, maintain or keep information specified in the notice in a manner and form specified in the notice.</w:t>
      </w:r>
    </w:p>
    <w:p>
      <w:pPr>
        <w:pStyle w:val="Heading5"/>
      </w:pPr>
      <w:bookmarkStart w:id="326" w:name="_Toc158374748"/>
      <w:r>
        <w:rPr>
          <w:rStyle w:val="CharSectno"/>
        </w:rPr>
        <w:t>47</w:t>
      </w:r>
      <w:r>
        <w:t>.</w:t>
      </w:r>
      <w:r>
        <w:tab/>
        <w:t>Division does not limit operation of information gathering powers under Division 3</w:t>
      </w:r>
      <w:bookmarkEnd w:id="326"/>
    </w:p>
    <w:p>
      <w:pPr>
        <w:keepLines/>
        <w:autoSpaceDE w:val="0"/>
        <w:autoSpaceDN w:val="0"/>
        <w:adjustRightInd w:val="0"/>
        <w:spacing w:before="120"/>
        <w:ind w:left="1588"/>
        <w:rPr>
          <w:color w:val="000000"/>
          <w:sz w:val="23"/>
          <w:szCs w:val="23"/>
        </w:rPr>
      </w:pPr>
      <w:r>
        <w:rPr>
          <w:color w:val="000000"/>
          <w:sz w:val="23"/>
          <w:szCs w:val="23"/>
        </w:rPr>
        <w:t>This Division does not limit the operation of Division 3.</w:t>
      </w:r>
    </w:p>
    <w:p>
      <w:pPr>
        <w:pStyle w:val="Heading4"/>
      </w:pPr>
      <w:bookmarkStart w:id="327" w:name="_Toc156819111"/>
      <w:bookmarkStart w:id="328" w:name="_Toc156990529"/>
      <w:bookmarkStart w:id="329" w:name="_Toc158374749"/>
      <w:r>
        <w:lastRenderedPageBreak/>
        <w:t>Subdivision 2 — Serving and making of regulatory information instruments</w:t>
      </w:r>
      <w:bookmarkEnd w:id="327"/>
      <w:bookmarkEnd w:id="328"/>
      <w:bookmarkEnd w:id="329"/>
    </w:p>
    <w:p>
      <w:pPr>
        <w:pStyle w:val="Heading5"/>
      </w:pPr>
      <w:bookmarkStart w:id="330" w:name="_Toc158374750"/>
      <w:r>
        <w:rPr>
          <w:rStyle w:val="CharSectno"/>
        </w:rPr>
        <w:t>48</w:t>
      </w:r>
      <w:r>
        <w:t>.</w:t>
      </w:r>
      <w:r>
        <w:tab/>
        <w:t>Service and making of regulatory information instrument</w:t>
      </w:r>
      <w:bookmarkEnd w:id="33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Division, the AER, if it considers it reasonably necessary for the performance or exercise of its functions or powers under this Law or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serve a regulatory information notice on a scheme pipeline service provider or a related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a general regulatory information order.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considering whether it is reasonably necessary to serve a regulatory information notice, or make a general regulatory information order, the AER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matter to be addressed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service of the regulatory information notice;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making of the general regulatory information order;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likely costs that may be incurred by an efficient scheme pipeline service provider or efficient related provider in complying with the notice or order.</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AER must also exercise its powers under this section in a manner that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regulatory information notice must not be served, or a general regulatory information order must not be made, solely for the purpose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investigating breaches or possible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instituting and conducting proceedings in relation to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instituting and conducting appeals from decisions in proceedings referred to in paragraph (b);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collecting information for the preparation of a service provider performance report;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application for review of a decision of the AER under Chapter 8 Part 5.</w:t>
      </w:r>
    </w:p>
    <w:p>
      <w:pPr>
        <w:pStyle w:val="Heading5"/>
      </w:pPr>
      <w:bookmarkStart w:id="331" w:name="_Toc158374751"/>
      <w:r>
        <w:rPr>
          <w:rStyle w:val="CharSectno"/>
        </w:rPr>
        <w:t>49</w:t>
      </w:r>
      <w:r>
        <w:t>.</w:t>
      </w:r>
      <w:r>
        <w:tab/>
        <w:t>Additional matters to be considered for related provider regulatory information instruments</w:t>
      </w:r>
      <w:bookmarkEnd w:id="33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AER is intending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serve a regulatory information notice on a related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a general regulatory information order that will apply to a class of related providers.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to the matters set out in section 48(2), the AER, in considering whether it is reasonably necessary to serve the regulatory information notice, or make the general regulatory information order,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the scheme pipeline service provider being supplied a contributing service by the related provider or related providers to which the intended regulatory information instrument will apply can—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 the information to be specified in that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 maintain or keep the information to be specified in the particular manner and form to be specified in that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the extent to which the related provider or related providers to which the intended regulatory information instrument will apply is, or are, supplying a contributing service on a genuinely competitive basis;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of any ownership or control between—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scheme pipeline service provider being supplied a contributing service by a related provider to which the intended regulatory information instrument will apply;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related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nature of any ownership or control as between different related providers supplying the contributing service to the scheme pipeline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other matter the AER considers relevant.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(2)(b), in considering whether a contributing service is being supplied on a genuinely competitive basis, the AER may take into account—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there is effective competition in the market for the supply of the contributing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the related provider supplies the contributing service to a scheme pipeline service provider under a contract, arrangement or understanding entered into with that scheme pipeline service provider following a competitive process for the awarding of the right to enter into that contract, arrangement or understanding involving persons who were not associates of the scheme pipeline service provider.</w:t>
      </w:r>
    </w:p>
    <w:p>
      <w:pPr>
        <w:pStyle w:val="Heading5"/>
      </w:pPr>
      <w:bookmarkStart w:id="332" w:name="_Toc158374752"/>
      <w:r>
        <w:rPr>
          <w:rStyle w:val="CharSectno"/>
        </w:rPr>
        <w:lastRenderedPageBreak/>
        <w:t>50</w:t>
      </w:r>
      <w:r>
        <w:t>.</w:t>
      </w:r>
      <w:r>
        <w:tab/>
        <w:t>AER must consult before publishing a general regulatory information order</w:t>
      </w:r>
      <w:bookmarkEnd w:id="332"/>
    </w:p>
    <w:p>
      <w:pPr>
        <w:keepLines/>
        <w:autoSpaceDE w:val="0"/>
        <w:autoSpaceDN w:val="0"/>
        <w:adjustRightInd w:val="0"/>
        <w:spacing w:before="120"/>
        <w:ind w:left="1588"/>
        <w:rPr>
          <w:color w:val="000000"/>
          <w:sz w:val="23"/>
          <w:szCs w:val="23"/>
        </w:rPr>
      </w:pPr>
      <w:r>
        <w:rPr>
          <w:color w:val="000000"/>
          <w:sz w:val="23"/>
          <w:szCs w:val="23"/>
        </w:rPr>
        <w:t>The AER must, in accordance with the Rules, consult with the public on the general regulatory information order it intends to make before it makes that order.</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65 about what the AER must and may do after receiving submissions.</w:t>
      </w:r>
    </w:p>
    <w:p>
      <w:pPr>
        <w:pStyle w:val="Heading5"/>
      </w:pPr>
      <w:bookmarkStart w:id="333" w:name="_Toc158374753"/>
      <w:r>
        <w:rPr>
          <w:rStyle w:val="CharSectno"/>
        </w:rPr>
        <w:t>51</w:t>
      </w:r>
      <w:r>
        <w:t>.</w:t>
      </w:r>
      <w:r>
        <w:tab/>
        <w:t>Publication requirements for general regulatory information orders</w:t>
      </w:r>
      <w:bookmarkEnd w:id="33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general regulatory information order made under section 48(1)(b) must be published on the AER’s website as soon as practicable after it is made.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Notice of the making of a general regulatory information order must be published in a newspaper circulating generally throughout Australia as soon as practicable after it is made.</w:t>
      </w:r>
    </w:p>
    <w:p>
      <w:pPr>
        <w:pStyle w:val="Heading5"/>
      </w:pPr>
      <w:bookmarkStart w:id="334" w:name="_Toc158374754"/>
      <w:r>
        <w:rPr>
          <w:rStyle w:val="CharSectno"/>
        </w:rPr>
        <w:t>52</w:t>
      </w:r>
      <w:r>
        <w:t>.</w:t>
      </w:r>
      <w:r>
        <w:tab/>
        <w:t>Opportunity to be heard before regulatory information notice is served</w:t>
      </w:r>
      <w:bookmarkEnd w:id="33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before serving a regulatory information notice,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notify, in writing, the scheme pipeline service provider, or the related provider, on whom the AER intends to serve the regulatory information notice of its intention to do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scheme pipeline service provider, or the related provider, a draft of the regulatory information notice it intends to serve.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(2)</w:t>
      </w:r>
      <w:r>
        <w:rPr>
          <w:color w:val="000000"/>
          <w:sz w:val="23"/>
          <w:szCs w:val="23"/>
        </w:rPr>
        <w:tab/>
        <w:t>If the regulatory information notice to be served is an urgent notice, the AER must, in a notice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identify the regulatory information notice to be served as an urgent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its reasons, in writing, why the regulatory information notice to be served is an urgent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regulatory information notice is an urgent notice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the notice the AER will require the scheme pipeline service provider or related provider to provide information to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requirement has arisen because the AER considers it must deal with or address a particular matter or thing in order for it to make an AER economic regulatory decision or a rate of return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AER considers that, having regard to the time within which it must make that AER economic regulatory decision or a rate of return instrument, the time within which the AER requires the information is of the essence.</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notice under subsection (1) must—</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the scheme pipeline service provider, or the related provider, to make written representations to the AER as to whether the AER should serve the regulatory information notice on them;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period within which the scheme pipeline service provider, or the related provider, may make the representations.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(5)</w:t>
      </w:r>
      <w:r>
        <w:rPr>
          <w:color w:val="000000"/>
          <w:sz w:val="23"/>
          <w:szCs w:val="23"/>
        </w:rPr>
        <w:tab/>
        <w:t>The period that must be specified in accordance with subsection (4) must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urgent notice to be served—a period of not less than 5 business days and not more than 10 business days calculated from the date of the notice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all other cases—a period of at least 20 business days calculated from the date of the notice under subsection (1).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The AER must consider the written representations made in accordance with a notice under subsection (1) before making its decision in accordance with this Division to serve the regulatory information notice.</w:t>
      </w:r>
    </w:p>
    <w:p>
      <w:pPr>
        <w:pStyle w:val="Footnotesection"/>
      </w:pPr>
      <w:r>
        <w:tab/>
        <w:t>[Section 52 amended: see SA Act No. 33 of 2018 s. 16 and WA Gazette 5 Apr 2019 p. 1007.]</w:t>
      </w:r>
    </w:p>
    <w:p>
      <w:pPr>
        <w:pStyle w:val="Heading4"/>
      </w:pPr>
      <w:bookmarkStart w:id="335" w:name="_Toc156819117"/>
      <w:bookmarkStart w:id="336" w:name="_Toc156990535"/>
      <w:bookmarkStart w:id="337" w:name="_Toc158374755"/>
      <w:r>
        <w:t>Subdivision 3 — Form and content of regulatory information instruments</w:t>
      </w:r>
      <w:bookmarkEnd w:id="335"/>
      <w:bookmarkEnd w:id="336"/>
      <w:bookmarkEnd w:id="337"/>
    </w:p>
    <w:p>
      <w:pPr>
        <w:pStyle w:val="Heading5"/>
      </w:pPr>
      <w:bookmarkStart w:id="338" w:name="_Toc158374756"/>
      <w:r>
        <w:rPr>
          <w:rStyle w:val="CharSectno"/>
        </w:rPr>
        <w:t>53</w:t>
      </w:r>
      <w:r>
        <w:t>.</w:t>
      </w:r>
      <w:r>
        <w:tab/>
        <w:t>Form and content of regulatory information instrument</w:t>
      </w:r>
      <w:bookmarkEnd w:id="33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regulatory information instrument—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specify the information required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specify the manner and form in which the information described in the instrument is required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state the reasons of the AER for requiring the information described in the instrument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lastRenderedPageBreak/>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the case of an instrument requiring information to be provided to the AER, must specify when the information must be provided.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the case of a regulatory information notice, the notice must name the scheme pipeline service provider or the related provider to whom it applies.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a general regulatory information order, the order must specify the class of scheme pipeline service provider, or related provider, to whom the order applies.</w:t>
      </w:r>
    </w:p>
    <w:p>
      <w:pPr>
        <w:pStyle w:val="Heading5"/>
      </w:pPr>
      <w:bookmarkStart w:id="339" w:name="_Toc158374757"/>
      <w:r>
        <w:rPr>
          <w:rStyle w:val="CharSectno"/>
        </w:rPr>
        <w:t>54</w:t>
      </w:r>
      <w:r>
        <w:t>.</w:t>
      </w:r>
      <w:r>
        <w:tab/>
        <w:t>Further provision about the information that may be described in a regulatory information instrument</w:t>
      </w:r>
      <w:bookmarkEnd w:id="339"/>
    </w:p>
    <w:p>
      <w:pPr>
        <w:keepNext/>
        <w:keepLines/>
        <w:autoSpaceDE w:val="0"/>
        <w:autoSpaceDN w:val="0"/>
        <w:adjustRightInd w:val="0"/>
        <w:spacing w:before="120"/>
        <w:ind w:left="1588"/>
        <w:rPr>
          <w:color w:val="000000"/>
          <w:sz w:val="23"/>
          <w:szCs w:val="23"/>
        </w:rPr>
      </w:pPr>
      <w:r>
        <w:rPr>
          <w:color w:val="000000"/>
          <w:sz w:val="23"/>
          <w:szCs w:val="23"/>
        </w:rPr>
        <w:t>Without limiting section 53(1)(a), the information that may be required to be provided to the AER, or to be prepared, maintained or kept, may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historic, current and forecast information (including financial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information that is or may be derived from other information in the possession or control of the scheme pipeline service provider or the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information to enable the AER to verify whether the scheme pipeline service provider to whom the instrument applies is or has been complying with Chapter 4;</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information to enable the AER to verify compliance with any requirements for the allocation of costs between natural gas services under—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lastRenderedPageBreak/>
        <w:tab/>
        <w:t>(ii)</w:t>
      </w:r>
      <w:r>
        <w:rPr>
          <w:color w:val="000000"/>
          <w:sz w:val="23"/>
          <w:szCs w:val="23"/>
        </w:rPr>
        <w:tab/>
        <w:t>an applicable access arrangement.</w:t>
      </w:r>
    </w:p>
    <w:p>
      <w:pPr>
        <w:pStyle w:val="Heading5"/>
      </w:pPr>
      <w:bookmarkStart w:id="340" w:name="_Toc158374758"/>
      <w:r>
        <w:rPr>
          <w:rStyle w:val="CharSectno"/>
        </w:rPr>
        <w:t>55</w:t>
      </w:r>
      <w:r>
        <w:t>.</w:t>
      </w:r>
      <w:r>
        <w:tab/>
        <w:t>Further provision about manner in which information must be provided to AER or kept</w:t>
      </w:r>
      <w:bookmarkEnd w:id="340"/>
    </w:p>
    <w:p>
      <w:pPr>
        <w:keepNext/>
        <w:keepLines/>
        <w:autoSpaceDE w:val="0"/>
        <w:autoSpaceDN w:val="0"/>
        <w:adjustRightInd w:val="0"/>
        <w:spacing w:before="120"/>
        <w:ind w:left="1588"/>
        <w:rPr>
          <w:color w:val="000000"/>
          <w:sz w:val="23"/>
          <w:szCs w:val="23"/>
        </w:rPr>
      </w:pPr>
      <w:r>
        <w:rPr>
          <w:color w:val="000000"/>
          <w:sz w:val="23"/>
          <w:szCs w:val="23"/>
        </w:rPr>
        <w:t>Without limiting section 53(1)(b), a regulatory information instrument may specify the information specified in the instrument—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provided to the AER, or prepared, maintained or kept, on an annual basis or some other basis, including on the occurrence of a specified event or state of affairs;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provided to the AER, or prepared, maintained or kept, in accordance with specified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provided to the AER, or prepared, maintained or kept, in accordance with any document, code, standard, rule, specification or method formulated, issued, prescribed or published by the AER or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wholly or partially or as amended by the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formulated, issued, prescribed or published at the time the instrument is served or published or at any time before the instrument is served or published;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as amended from time to time;</w:t>
      </w:r>
    </w:p>
    <w:p>
      <w:pPr>
        <w:keepNext/>
        <w:keepLines/>
        <w:autoSpaceDE w:val="0"/>
        <w:autoSpaceDN w:val="0"/>
        <w:adjustRightInd w:val="0"/>
        <w:spacing w:before="120"/>
        <w:ind w:left="3970" w:hanging="794"/>
        <w:rPr>
          <w:b/>
          <w:bCs/>
          <w:color w:val="000000"/>
          <w:sz w:val="20"/>
        </w:rPr>
      </w:pPr>
      <w:r>
        <w:rPr>
          <w:b/>
          <w:bCs/>
          <w:color w:val="000000"/>
          <w:sz w:val="20"/>
        </w:rPr>
        <w:t>Example—</w:t>
      </w:r>
    </w:p>
    <w:p>
      <w:pPr>
        <w:keepLines/>
        <w:autoSpaceDE w:val="0"/>
        <w:autoSpaceDN w:val="0"/>
        <w:adjustRightInd w:val="0"/>
        <w:spacing w:before="120"/>
        <w:ind w:left="3970"/>
        <w:rPr>
          <w:color w:val="000000"/>
          <w:sz w:val="20"/>
        </w:rPr>
      </w:pPr>
      <w:r>
        <w:rPr>
          <w:color w:val="000000"/>
          <w:sz w:val="20"/>
        </w:rPr>
        <w:t>The AER may require a scheme pipeline service provider to provide information in a form and manner that complies with relevant accounting standards.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verified by way of statutory declaration by an officer of the scheme pipeline service provider, or of a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(e)</w:t>
      </w:r>
      <w:r>
        <w:rPr>
          <w:color w:val="000000"/>
          <w:sz w:val="23"/>
          <w:szCs w:val="23"/>
        </w:rPr>
        <w:tab/>
        <w:t>be audited—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a class of person specified in the instrument before it is provided to the AER;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at the expense of the scheme pipeline service provider or related provider to whom the instrument applies.</w:t>
      </w:r>
    </w:p>
    <w:p>
      <w:pPr>
        <w:pStyle w:val="Heading4"/>
      </w:pPr>
      <w:bookmarkStart w:id="341" w:name="_Toc156819121"/>
      <w:bookmarkStart w:id="342" w:name="_Toc156990539"/>
      <w:bookmarkStart w:id="343" w:name="_Toc158374759"/>
      <w:r>
        <w:t>Subdivision 4 — Compliance with regulatory information instruments</w:t>
      </w:r>
      <w:bookmarkEnd w:id="341"/>
      <w:bookmarkEnd w:id="342"/>
      <w:bookmarkEnd w:id="343"/>
    </w:p>
    <w:p>
      <w:pPr>
        <w:pStyle w:val="Heading5"/>
      </w:pPr>
      <w:bookmarkStart w:id="344" w:name="_Toc158374760"/>
      <w:r>
        <w:rPr>
          <w:rStyle w:val="CharSectno"/>
        </w:rPr>
        <w:t>56</w:t>
      </w:r>
      <w:r>
        <w:t>.</w:t>
      </w:r>
      <w:r>
        <w:tab/>
        <w:t>Compliance with regulatory information notice that is served</w:t>
      </w:r>
      <w:bookmarkEnd w:id="344"/>
    </w:p>
    <w:p>
      <w:pPr>
        <w:keepLines/>
        <w:autoSpaceDE w:val="0"/>
        <w:autoSpaceDN w:val="0"/>
        <w:adjustRightInd w:val="0"/>
        <w:spacing w:before="120"/>
        <w:ind w:left="1588"/>
        <w:rPr>
          <w:color w:val="000000"/>
          <w:sz w:val="23"/>
          <w:szCs w:val="23"/>
        </w:rPr>
      </w:pPr>
      <w:r>
        <w:rPr>
          <w:color w:val="000000"/>
          <w:sz w:val="23"/>
          <w:szCs w:val="23"/>
        </w:rPr>
        <w:t>On being served a regulatory information notice, a person named in the notice must comply with the notice.</w:t>
      </w:r>
    </w:p>
    <w:p>
      <w:pPr>
        <w:pStyle w:val="Heading5"/>
      </w:pPr>
      <w:bookmarkStart w:id="345" w:name="_Toc158374761"/>
      <w:r>
        <w:rPr>
          <w:rStyle w:val="CharSectno"/>
        </w:rPr>
        <w:t>57</w:t>
      </w:r>
      <w:r>
        <w:t>.</w:t>
      </w:r>
      <w:r>
        <w:tab/>
        <w:t>Compliance with general regulatory information order</w:t>
      </w:r>
      <w:bookmarkEnd w:id="34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publication of a general regulatory information order in accordance with section 51(1), a person who is a member of the class of person to which a general regulatory information order applies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to a person who has been given an exemption under section 58.</w:t>
      </w:r>
    </w:p>
    <w:p>
      <w:pPr>
        <w:pStyle w:val="Heading5"/>
      </w:pPr>
      <w:bookmarkStart w:id="346" w:name="_Toc158374762"/>
      <w:r>
        <w:rPr>
          <w:rStyle w:val="CharSectno"/>
        </w:rPr>
        <w:t>58</w:t>
      </w:r>
      <w:r>
        <w:t>.</w:t>
      </w:r>
      <w:r>
        <w:tab/>
        <w:t>Exemptions from compliance with general regulatory information order</w:t>
      </w:r>
      <w:bookmarkEnd w:id="34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exempt a person, or a class of person, from complying with section 57—</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unconditionally or on specified conditions;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wholly or to the extent as is specified in the exemption.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exemption under this section must be in writing.</w:t>
      </w:r>
    </w:p>
    <w:p>
      <w:pPr>
        <w:pStyle w:val="Heading5"/>
      </w:pPr>
      <w:bookmarkStart w:id="347" w:name="_Toc158374763"/>
      <w:r>
        <w:rPr>
          <w:rStyle w:val="CharSectno"/>
        </w:rPr>
        <w:lastRenderedPageBreak/>
        <w:t>59</w:t>
      </w:r>
      <w:r>
        <w:t>.</w:t>
      </w:r>
      <w:r>
        <w:tab/>
        <w:t>Assumptions where there is non</w:t>
      </w:r>
      <w:r>
        <w:noBreakHyphen/>
        <w:t>compliance with regulatory information instrument</w:t>
      </w:r>
      <w:bookmarkEnd w:id="34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a regulatory information instrument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requires a scheme pipeline service provider to provide information to the AER for the purpose of enabling the AER to make an AER economic regulatory decision relating to the scheme pipeline service provider or to make a rate of return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requires a related provider to provide information to the AER that is relevant to the making of an AER economic regulatory decision relating to a scheme pipeline service provider or the making of a rate of return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scheme pipeline service provider or related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does not provide the information to the AER in accordance with the applicable regulatory information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provides information that is insufficient (when compared to what was requested under the applicable regulatory information instrument).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sections 56 and 57 and despite anything to the contrary in this Law or the Rules, 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make the AER economic regulatory decision or the rate of return instrument on the basis of the information the AER has at the time it makes that decision or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in making that decision or instrument, may make reasonable assumptions (including assumptions adverse to the interests of the scheme pipeline service provider) in respect of the matters the information required under the regulatory information instrument would have addressed had that information been provided as required.</w:t>
      </w:r>
    </w:p>
    <w:p>
      <w:pPr>
        <w:pStyle w:val="Footnotesection"/>
      </w:pPr>
      <w:r>
        <w:tab/>
        <w:t>[Section 59 amended: see SA Act No. 33 of 2018 s. 17 and WA Gazette 5 Apr 2019 p. 1007.]</w:t>
      </w:r>
    </w:p>
    <w:p>
      <w:pPr>
        <w:pStyle w:val="Heading4"/>
      </w:pPr>
      <w:bookmarkStart w:id="348" w:name="_Toc156819126"/>
      <w:bookmarkStart w:id="349" w:name="_Toc156990544"/>
      <w:bookmarkStart w:id="350" w:name="_Toc158374764"/>
      <w:r>
        <w:t>Subdivision 5 — General</w:t>
      </w:r>
      <w:bookmarkEnd w:id="348"/>
      <w:bookmarkEnd w:id="349"/>
      <w:bookmarkEnd w:id="350"/>
    </w:p>
    <w:p>
      <w:pPr>
        <w:pStyle w:val="Heading5"/>
      </w:pPr>
      <w:bookmarkStart w:id="351" w:name="_Toc158374765"/>
      <w:r>
        <w:rPr>
          <w:rStyle w:val="CharSectno"/>
        </w:rPr>
        <w:t>60</w:t>
      </w:r>
      <w:r>
        <w:t>.</w:t>
      </w:r>
      <w:r>
        <w:tab/>
        <w:t>Providing to AER false and misleading information</w:t>
      </w:r>
      <w:bookmarkEnd w:id="351"/>
    </w:p>
    <w:p>
      <w:pPr>
        <w:keepNext/>
        <w:keepLines/>
        <w:autoSpaceDE w:val="0"/>
        <w:autoSpaceDN w:val="0"/>
        <w:adjustRightInd w:val="0"/>
        <w:spacing w:before="120"/>
        <w:ind w:left="1588"/>
        <w:rPr>
          <w:color w:val="000000"/>
          <w:sz w:val="23"/>
          <w:szCs w:val="23"/>
        </w:rPr>
      </w:pPr>
      <w:r>
        <w:rPr>
          <w:color w:val="000000"/>
          <w:sz w:val="23"/>
          <w:szCs w:val="23"/>
        </w:rPr>
        <w:t>A person must not, in purported compliance with a regulatory information instrument requiring the person to provide information to the AER, provide information to the AER that the person knows is false or misleading in a material particular.</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5"/>
      </w:pPr>
      <w:bookmarkStart w:id="352" w:name="_Toc158374766"/>
      <w:r>
        <w:rPr>
          <w:rStyle w:val="CharSectno"/>
        </w:rPr>
        <w:t>61</w:t>
      </w:r>
      <w:r>
        <w:t>.</w:t>
      </w:r>
      <w:r>
        <w:tab/>
        <w:t>Person cannot rely on duty of confidence to avoid compliance with regulatory information instrument</w:t>
      </w:r>
      <w:bookmarkEnd w:id="35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must not refuse to comply with a regulatory information instrument on the ground of any duty of confidence.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incurs, by complying with a regulatory information instrument, no liability for breach of contract, breach of confidence or any other civil wrong.</w:t>
      </w:r>
    </w:p>
    <w:p>
      <w:pPr>
        <w:pStyle w:val="Heading5"/>
      </w:pPr>
      <w:bookmarkStart w:id="353" w:name="_Toc158374767"/>
      <w:r>
        <w:rPr>
          <w:rStyle w:val="CharSectno"/>
        </w:rPr>
        <w:lastRenderedPageBreak/>
        <w:t>62</w:t>
      </w:r>
      <w:r>
        <w:t>.</w:t>
      </w:r>
      <w:r>
        <w:tab/>
        <w:t>Legal professional privilege not affected</w:t>
      </w:r>
      <w:bookmarkEnd w:id="353"/>
    </w:p>
    <w:p>
      <w:pPr>
        <w:keepNext/>
        <w:keepLines/>
        <w:autoSpaceDE w:val="0"/>
        <w:autoSpaceDN w:val="0"/>
        <w:adjustRightInd w:val="0"/>
        <w:spacing w:before="120"/>
        <w:ind w:left="1588"/>
        <w:rPr>
          <w:color w:val="000000"/>
          <w:sz w:val="23"/>
          <w:szCs w:val="23"/>
        </w:rPr>
      </w:pPr>
      <w:r>
        <w:rPr>
          <w:color w:val="000000"/>
          <w:sz w:val="23"/>
          <w:szCs w:val="23"/>
        </w:rPr>
        <w:t>A regulatory information instrument, and sections 56 and 57, are not to be taken as requiring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to the AER the production of which would disclose information that is the subject of legal professional privilege.</w:t>
      </w:r>
    </w:p>
    <w:p>
      <w:pPr>
        <w:pStyle w:val="Heading5"/>
      </w:pPr>
      <w:bookmarkStart w:id="354" w:name="_Toc158374768"/>
      <w:r>
        <w:rPr>
          <w:rStyle w:val="CharSectno"/>
        </w:rPr>
        <w:t>63</w:t>
      </w:r>
      <w:r>
        <w:t>.</w:t>
      </w:r>
      <w:r>
        <w:tab/>
        <w:t>Protection against self</w:t>
      </w:r>
      <w:r>
        <w:noBreakHyphen/>
        <w:t>incrimination</w:t>
      </w:r>
      <w:bookmarkEnd w:id="35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It is a reasonable excuse for a natural person to whom section 56 applies not to comply with a regulatory information notice served on the person requiring the person to provide information to the AER if to do so might tend to incriminate the person, or make the person liable to a criminal penalty, under a law of this jurisdiction or another participating jurisdiction.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a reasonable excuse for a natural person to whom section 57 applies not to comply with a general regulatory information order made requiring the person to provide information to the AER if to do so might tend to incriminate the person, or make the person liable to a criminal penalty, under a law of this jurisdiction or another participating jurisdiction.</w:t>
      </w:r>
    </w:p>
    <w:p>
      <w:pPr>
        <w:pStyle w:val="Heading4"/>
      </w:pPr>
      <w:bookmarkStart w:id="355" w:name="_Toc156819131"/>
      <w:bookmarkStart w:id="356" w:name="_Toc156990549"/>
      <w:bookmarkStart w:id="357" w:name="_Toc158374769"/>
      <w:r>
        <w:t>Division 5 — Service provider performance reports</w:t>
      </w:r>
      <w:bookmarkEnd w:id="355"/>
      <w:bookmarkEnd w:id="356"/>
      <w:bookmarkEnd w:id="357"/>
    </w:p>
    <w:p>
      <w:pPr>
        <w:pStyle w:val="Heading5"/>
      </w:pPr>
      <w:bookmarkStart w:id="358" w:name="_Toc158374770"/>
      <w:r>
        <w:rPr>
          <w:rStyle w:val="CharSectno"/>
        </w:rPr>
        <w:t>64</w:t>
      </w:r>
      <w:r>
        <w:t>.</w:t>
      </w:r>
      <w:r>
        <w:tab/>
        <w:t>Preparation of service provider performance reports</w:t>
      </w:r>
      <w:bookmarkEnd w:id="35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AER may prepare a report on the financial performance or operational performance of 1 or more scheme pipeline service providers in providing pipeline services by means of a scheme pipeline.</w:t>
      </w:r>
    </w:p>
    <w:p>
      <w:pPr>
        <w:keepNext/>
        <w:keepLines/>
        <w:autoSpaceDE w:val="0"/>
        <w:autoSpaceDN w:val="0"/>
        <w:adjustRightInd w:val="0"/>
        <w:spacing w:before="120"/>
        <w:ind w:left="2382" w:hanging="794"/>
        <w:rPr>
          <w:b/>
          <w:bCs/>
          <w:color w:val="000000"/>
          <w:sz w:val="20"/>
        </w:rPr>
      </w:pPr>
      <w:r>
        <w:rPr>
          <w:b/>
          <w:bCs/>
          <w:color w:val="000000"/>
          <w:sz w:val="20"/>
        </w:rPr>
        <w:lastRenderedPageBreak/>
        <w:t>Note—</w:t>
      </w:r>
    </w:p>
    <w:p>
      <w:pPr>
        <w:keepLines/>
        <w:autoSpaceDE w:val="0"/>
        <w:autoSpaceDN w:val="0"/>
        <w:adjustRightInd w:val="0"/>
        <w:spacing w:before="120"/>
        <w:ind w:left="2382"/>
        <w:rPr>
          <w:color w:val="000000"/>
          <w:sz w:val="20"/>
        </w:rPr>
      </w:pPr>
      <w:r>
        <w:rPr>
          <w:color w:val="000000"/>
          <w:sz w:val="20"/>
        </w:rPr>
        <w:t>The AER may only prepare a report under subsection (1) if the preparation of the report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report prepared under this section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deal with the financial or operational performance of the scheme pipeline service provider in relation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complying with pipeline service standards;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standards relating to the provision of pipeline services to users or end users;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profitability of scheme pipeline service providers in providing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AER considers it appropriate, deal with the performance of the scheme pipeline service provider in relation to other matters or things if that performance is directly related to the performance or exercise by the AER of an AER economic regulatory function or power.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report prepared under this section may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information provided to the AER by a person in compliance with a regulatory information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report dealing with the financial performance of 1 or more scheme pipeline service providers, a comparison of the profitability of the scheme pipeline service providers to which the report relates from the provision of pipeline services by them.</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(4)</w:t>
      </w:r>
      <w:r>
        <w:rPr>
          <w:color w:val="000000"/>
          <w:sz w:val="23"/>
          <w:szCs w:val="23"/>
        </w:rPr>
        <w:tab/>
        <w:t>Before preparing a report under this section, the AER must, in accordance with the Rules, consult with the persons or bodies specified by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AER may publish a report prepared under this section on its website.</w:t>
      </w:r>
    </w:p>
    <w:p>
      <w:pPr>
        <w:pStyle w:val="Heading4"/>
      </w:pPr>
      <w:bookmarkStart w:id="359" w:name="_Toc156819133"/>
      <w:bookmarkStart w:id="360" w:name="_Toc156990551"/>
      <w:bookmarkStart w:id="361" w:name="_Toc158374771"/>
      <w:r>
        <w:t>Division 6 — Miscellaneous matters</w:t>
      </w:r>
      <w:bookmarkEnd w:id="359"/>
      <w:bookmarkEnd w:id="360"/>
      <w:bookmarkEnd w:id="361"/>
    </w:p>
    <w:p>
      <w:pPr>
        <w:pStyle w:val="Heading5"/>
      </w:pPr>
      <w:bookmarkStart w:id="362" w:name="_Toc158374772"/>
      <w:r>
        <w:rPr>
          <w:rStyle w:val="CharSectno"/>
        </w:rPr>
        <w:t>65</w:t>
      </w:r>
      <w:r>
        <w:t>.</w:t>
      </w:r>
      <w:r>
        <w:tab/>
        <w:t>Consideration by the AER of submissions or comments made to it under this Law or the Rules</w:t>
      </w:r>
      <w:bookmarkEnd w:id="362"/>
    </w:p>
    <w:p>
      <w:pPr>
        <w:keepNext/>
        <w:keepLines/>
        <w:autoSpaceDE w:val="0"/>
        <w:autoSpaceDN w:val="0"/>
        <w:adjustRightInd w:val="0"/>
        <w:spacing w:before="120"/>
        <w:ind w:left="1588"/>
        <w:rPr>
          <w:color w:val="000000"/>
          <w:sz w:val="23"/>
          <w:szCs w:val="23"/>
        </w:rPr>
      </w:pPr>
      <w:r>
        <w:rPr>
          <w:color w:val="000000"/>
          <w:sz w:val="23"/>
          <w:szCs w:val="23"/>
        </w:rPr>
        <w:t>If, under this Law or the Rules, the AER publishes a notice inviting submissions in relation to the making of an AER economic regulatory decision, the AER, in making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consider every submission it receives within the period specified in the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consider a submission it receives after the period specified in the notice expires.</w:t>
      </w:r>
    </w:p>
    <w:p>
      <w:pPr>
        <w:pStyle w:val="Heading5"/>
      </w:pPr>
      <w:bookmarkStart w:id="363" w:name="_Toc158374773"/>
      <w:r>
        <w:rPr>
          <w:rStyle w:val="CharSectno"/>
        </w:rPr>
        <w:t>66</w:t>
      </w:r>
      <w:r>
        <w:t>.</w:t>
      </w:r>
      <w:r>
        <w:tab/>
        <w:t>Use of information provided under a notice under Division 3 or a regulatory information instrument</w:t>
      </w:r>
      <w:bookmarkEnd w:id="363"/>
    </w:p>
    <w:p>
      <w:pPr>
        <w:keepLines/>
        <w:autoSpaceDE w:val="0"/>
        <w:autoSpaceDN w:val="0"/>
        <w:adjustRightInd w:val="0"/>
        <w:spacing w:before="120"/>
        <w:ind w:left="1588"/>
        <w:rPr>
          <w:color w:val="000000"/>
          <w:sz w:val="23"/>
          <w:szCs w:val="23"/>
        </w:rPr>
      </w:pPr>
      <w:r>
        <w:rPr>
          <w:color w:val="000000"/>
          <w:sz w:val="23"/>
          <w:szCs w:val="23"/>
        </w:rPr>
        <w:t>The AER may use information provided to it by a person in compliance with a notice under section 42 or a regulatory information instrument for any purpose connected with the performance or exercise of a function or power of the AER under this Law or the Rules.</w:t>
      </w:r>
    </w:p>
    <w:p>
      <w:pPr>
        <w:pStyle w:val="Heading5"/>
      </w:pPr>
      <w:bookmarkStart w:id="364" w:name="_Toc158374774"/>
      <w:r>
        <w:rPr>
          <w:rStyle w:val="CharSectno"/>
        </w:rPr>
        <w:t>67</w:t>
      </w:r>
      <w:r>
        <w:t>.</w:t>
      </w:r>
      <w:r>
        <w:tab/>
        <w:t>AER to inform certain persons of decisions not to investigate breaches, institute proceedings or serve infringement notices</w:t>
      </w:r>
      <w:bookmarkEnd w:id="36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AER is given information by any person in relation to a breach or a possible breach of this Law, the Regulations or the Rules by a person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decides not to investigate that breach or possible breach;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following an investigation, decides not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institute any proceedings under Chapter 8 in respect of that breach or possible breach;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serve an infringement notice in accordance with Chapter 8 Part 7 in respect of that breach or possible breach,</w:t>
      </w:r>
    </w:p>
    <w:p>
      <w:pPr>
        <w:keepLines/>
        <w:autoSpaceDE w:val="0"/>
        <w:autoSpaceDN w:val="0"/>
        <w:adjustRightInd w:val="0"/>
        <w:spacing w:before="120"/>
        <w:ind w:left="2382"/>
        <w:rPr>
          <w:color w:val="000000"/>
          <w:sz w:val="23"/>
          <w:szCs w:val="23"/>
        </w:rPr>
      </w:pPr>
      <w:r>
        <w:rPr>
          <w:color w:val="000000"/>
          <w:sz w:val="23"/>
          <w:szCs w:val="23"/>
        </w:rPr>
        <w:t>the AER must notify that person of that decision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section does not apply if the person gave the information to the AER anonymously.</w:t>
      </w:r>
    </w:p>
    <w:p>
      <w:pPr>
        <w:pStyle w:val="Heading5"/>
      </w:pPr>
      <w:bookmarkStart w:id="365" w:name="_Toc158374775"/>
      <w:r>
        <w:rPr>
          <w:rStyle w:val="CharSectno"/>
        </w:rPr>
        <w:t>68</w:t>
      </w:r>
      <w:r>
        <w:t>.</w:t>
      </w:r>
      <w:r>
        <w:tab/>
        <w:t>AER enforcement guidelines</w:t>
      </w:r>
      <w:bookmarkEnd w:id="36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prepare guidelines about the matters it will have regard to before—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making an application under section 231;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serving an infringement notice under section 277.</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publish guidelines prepared under subsection (1) on its website.</w:t>
      </w:r>
    </w:p>
    <w:p>
      <w:pPr>
        <w:pStyle w:val="Heading5"/>
      </w:pPr>
      <w:bookmarkStart w:id="366" w:name="_Toc158374776"/>
      <w:r>
        <w:rPr>
          <w:rStyle w:val="CharSectno"/>
        </w:rPr>
        <w:t>68C</w:t>
      </w:r>
      <w:r>
        <w:t>.</w:t>
      </w:r>
      <w:r>
        <w:tab/>
        <w:t>Record of designated reviewable regulatory decisions</w:t>
      </w:r>
      <w:bookmarkEnd w:id="36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in making a designated reviewable regulatory decision, keep a written record of decision related matter.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In this section — </w:t>
      </w:r>
    </w:p>
    <w:p>
      <w:pPr>
        <w:keepLines/>
        <w:autoSpaceDE w:val="0"/>
        <w:autoSpaceDN w:val="0"/>
        <w:adjustRightInd w:val="0"/>
        <w:spacing w:before="120"/>
        <w:ind w:left="1588"/>
        <w:rPr>
          <w:color w:val="000000"/>
          <w:sz w:val="23"/>
          <w:szCs w:val="23"/>
        </w:rPr>
      </w:pPr>
      <w:r>
        <w:rPr>
          <w:rStyle w:val="CharDefText"/>
          <w:sz w:val="23"/>
          <w:szCs w:val="23"/>
        </w:rPr>
        <w:t>decision related matter</w:t>
      </w:r>
      <w:r>
        <w:rPr>
          <w:color w:val="000000"/>
          <w:sz w:val="23"/>
          <w:szCs w:val="23"/>
        </w:rPr>
        <w:t xml:space="preserve">, in relation to a designated reviewable regulatory decision, means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and the written record of it and any written reasons for it (including (if relevant) the reasons of the AER for a decision of the AER not to approve the access arrangement or proposed revisions to the applicable access arrangement (as the case may be));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any document, proposal or information required or allowed under the Rules to be submitted as part of the process for the making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written submissions made to the AER after the proposed access arrangement or proposed revisions to the applicable access arrangement (as the case may be) to which the decision relates were submitted to the AER and before the decision was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reports and materials (including (but not limited to) consultant reports, data sets, models or other documents) considered by the AER in making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draft of the decision that has been released for public consultation (including (if relevant) a draft of the reasons of the AER for a decision of the AER not to approve the access arrangement or proposed revisions to the applicable access arrangement (as the case may be));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submissions on the draft of the decision or the decision itself (including (if relevant) submissions on the draft of the reasons of the AER for a decision of the AER not to approve the access arrangement or proposed revisions to the applicable access arrangement (as the case may be)) considered by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transcript of any hearing (if any) conducted by the AER for the purpose of making the decision.</w:t>
      </w:r>
    </w:p>
    <w:p>
      <w:pPr>
        <w:pStyle w:val="Footnotesection"/>
        <w:rPr>
          <w:szCs w:val="23"/>
        </w:rPr>
      </w:pPr>
      <w:r>
        <w:tab/>
        <w:t>[Section 68C inserted see SA Act No. 79 of 2013 s. 21 and WA Gazette 14 Mar 2014 p. 632.]</w:t>
      </w:r>
    </w:p>
    <w:p>
      <w:pPr>
        <w:pStyle w:val="Heading3"/>
        <w:keepLines/>
      </w:pPr>
      <w:bookmarkStart w:id="367" w:name="_Toc156819139"/>
      <w:bookmarkStart w:id="368" w:name="_Toc156990557"/>
      <w:bookmarkStart w:id="369" w:name="_Toc158374777"/>
      <w:r>
        <w:rPr>
          <w:rStyle w:val="CharDivNo"/>
        </w:rPr>
        <w:lastRenderedPageBreak/>
        <w:t>Part 1A</w:t>
      </w:r>
      <w:r>
        <w:t xml:space="preserve"> — </w:t>
      </w:r>
      <w:r>
        <w:rPr>
          <w:rStyle w:val="CharDivText"/>
        </w:rPr>
        <w:t>Functions and powers of WA arbitrator</w:t>
      </w:r>
      <w:bookmarkEnd w:id="367"/>
      <w:bookmarkEnd w:id="368"/>
      <w:bookmarkEnd w:id="369"/>
    </w:p>
    <w:p>
      <w:pPr>
        <w:pStyle w:val="Footnotesection"/>
        <w:keepNext/>
      </w:pPr>
      <w:r>
        <w:tab/>
        <w:t>[Heading inserted: WA Act Sch. 1 cl. 8.]</w:t>
      </w:r>
    </w:p>
    <w:p>
      <w:pPr>
        <w:pStyle w:val="Heading5"/>
      </w:pPr>
      <w:bookmarkStart w:id="370" w:name="_Toc158374778"/>
      <w:r>
        <w:rPr>
          <w:rStyle w:val="CharSectno"/>
        </w:rPr>
        <w:t>68A</w:t>
      </w:r>
      <w:r>
        <w:t>.</w:t>
      </w:r>
      <w:r>
        <w:tab/>
        <w:t>Manner in which WA arbitrator must perform or exercise certain functions or powers</w:t>
      </w:r>
      <w:bookmarkEnd w:id="37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the WA arbitrator—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take into account the revenue and pricing principles 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take into account the revenue and pricing principles when performing or exercising any other function or power that relates to an access determination, if the WA arbitrator considers it appropriate to do so.</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(2)(a), a reference to a reference service in the revenue and pricing principles must be read as a reference to a pipeline service.</w:t>
      </w:r>
    </w:p>
    <w:p>
      <w:pPr>
        <w:pStyle w:val="Footnotesection"/>
      </w:pPr>
      <w:r>
        <w:tab/>
        <w:t>[Section 68A inserted: WA Act Sch. 1 cl. 8.]</w:t>
      </w:r>
    </w:p>
    <w:p>
      <w:pPr>
        <w:pStyle w:val="Heading3"/>
      </w:pPr>
      <w:bookmarkStart w:id="371" w:name="_Toc156819141"/>
      <w:bookmarkStart w:id="372" w:name="_Toc156990559"/>
      <w:bookmarkStart w:id="373" w:name="_Toc158374779"/>
      <w:r>
        <w:rPr>
          <w:rStyle w:val="CharDivNo"/>
        </w:rPr>
        <w:t>Part 2</w:t>
      </w:r>
      <w:r>
        <w:t xml:space="preserve"> — </w:t>
      </w:r>
      <w:r>
        <w:rPr>
          <w:rStyle w:val="CharDivText"/>
        </w:rPr>
        <w:t>Functions and powers of the Australian Energy Market Commission</w:t>
      </w:r>
      <w:bookmarkEnd w:id="371"/>
      <w:bookmarkEnd w:id="372"/>
      <w:bookmarkEnd w:id="373"/>
    </w:p>
    <w:p>
      <w:pPr>
        <w:pStyle w:val="Heading4"/>
      </w:pPr>
      <w:bookmarkStart w:id="374" w:name="_Toc156819142"/>
      <w:bookmarkStart w:id="375" w:name="_Toc156990560"/>
      <w:bookmarkStart w:id="376" w:name="_Toc158374780"/>
      <w:r>
        <w:t>Division 1 — General</w:t>
      </w:r>
      <w:bookmarkEnd w:id="374"/>
      <w:bookmarkEnd w:id="375"/>
      <w:bookmarkEnd w:id="376"/>
    </w:p>
    <w:p>
      <w:pPr>
        <w:pStyle w:val="Heading5"/>
      </w:pPr>
      <w:bookmarkStart w:id="377" w:name="_Toc158374781"/>
      <w:r>
        <w:rPr>
          <w:rStyle w:val="CharSectno"/>
        </w:rPr>
        <w:t>69</w:t>
      </w:r>
      <w:r>
        <w:t>.</w:t>
      </w:r>
      <w:r>
        <w:tab/>
        <w:t>Functions and powers of the AEMC</w:t>
      </w:r>
      <w:bookmarkEnd w:id="37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Rule making functions and powers conferred on it under this Law and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the market development functions conferred on it under this Law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functions and powers conferred on it under this Law and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has power to do all things necessary or convenient to be done for or in connection with the performance of its functions.</w:t>
      </w:r>
    </w:p>
    <w:p>
      <w:pPr>
        <w:pStyle w:val="Heading5"/>
      </w:pPr>
      <w:bookmarkStart w:id="378" w:name="_Toc158374782"/>
      <w:r>
        <w:rPr>
          <w:rStyle w:val="CharSectno"/>
        </w:rPr>
        <w:t>70</w:t>
      </w:r>
      <w:r>
        <w:t>.</w:t>
      </w:r>
      <w:r>
        <w:tab/>
        <w:t>Delegations</w:t>
      </w:r>
      <w:bookmarkEnd w:id="378"/>
    </w:p>
    <w:p>
      <w:pPr>
        <w:keepLines/>
        <w:autoSpaceDE w:val="0"/>
        <w:autoSpaceDN w:val="0"/>
        <w:adjustRightInd w:val="0"/>
        <w:spacing w:before="120"/>
        <w:ind w:left="1588"/>
        <w:rPr>
          <w:color w:val="000000"/>
          <w:sz w:val="23"/>
          <w:szCs w:val="23"/>
        </w:rPr>
      </w:pPr>
      <w:r>
        <w:rPr>
          <w:color w:val="000000"/>
          <w:sz w:val="23"/>
          <w:szCs w:val="23"/>
        </w:rPr>
        <w:t xml:space="preserve">Any delegation by the AEMC under section 20 of the </w:t>
      </w:r>
      <w:r>
        <w:rPr>
          <w:i/>
          <w:iCs/>
          <w:color w:val="000000"/>
          <w:sz w:val="23"/>
          <w:szCs w:val="23"/>
        </w:rPr>
        <w:t>Australian Energy Market Commission Establishment Act 2004</w:t>
      </w:r>
      <w:r>
        <w:rPr>
          <w:color w:val="000000"/>
          <w:sz w:val="23"/>
          <w:szCs w:val="23"/>
        </w:rPr>
        <w:t xml:space="preserve"> of South Australia extends to, and has effect for the purposes of, this Law, the Regulations and the Rules.</w:t>
      </w:r>
    </w:p>
    <w:p>
      <w:pPr>
        <w:pStyle w:val="Heading5"/>
      </w:pPr>
      <w:bookmarkStart w:id="379" w:name="_Toc158374783"/>
      <w:r>
        <w:rPr>
          <w:rStyle w:val="CharSectno"/>
        </w:rPr>
        <w:t>71</w:t>
      </w:r>
      <w:r>
        <w:t>.</w:t>
      </w:r>
      <w:r>
        <w:tab/>
        <w:t>Confidentiality</w:t>
      </w:r>
      <w:bookmarkEnd w:id="379"/>
    </w:p>
    <w:p>
      <w:pPr>
        <w:keepLines/>
        <w:autoSpaceDE w:val="0"/>
        <w:autoSpaceDN w:val="0"/>
        <w:adjustRightInd w:val="0"/>
        <w:spacing w:before="120"/>
        <w:ind w:left="1588"/>
        <w:rPr>
          <w:color w:val="000000"/>
          <w:sz w:val="23"/>
          <w:szCs w:val="23"/>
        </w:rPr>
      </w:pPr>
      <w:r>
        <w:rPr>
          <w:color w:val="000000"/>
          <w:sz w:val="23"/>
          <w:szCs w:val="23"/>
        </w:rPr>
        <w:t xml:space="preserve">Section 24 of the </w:t>
      </w:r>
      <w:r>
        <w:rPr>
          <w:i/>
          <w:iCs/>
          <w:color w:val="000000"/>
          <w:sz w:val="23"/>
          <w:szCs w:val="23"/>
        </w:rPr>
        <w:t>Australian Energy Market Commission Establishment Act 2004</w:t>
      </w:r>
      <w:r>
        <w:rPr>
          <w:color w:val="000000"/>
          <w:sz w:val="23"/>
          <w:szCs w:val="23"/>
        </w:rPr>
        <w:t xml:space="preserve"> of South Australia has effect for the purposes of this Law, the Regulations and the Rules as if it formed part of this Law.</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2.</w:t>
      </w:r>
    </w:p>
    <w:p>
      <w:pPr>
        <w:pStyle w:val="Heading5"/>
      </w:pPr>
      <w:bookmarkStart w:id="380" w:name="_Toc158374784"/>
      <w:r>
        <w:rPr>
          <w:rStyle w:val="CharSectno"/>
        </w:rPr>
        <w:t>72</w:t>
      </w:r>
      <w:r>
        <w:t>.</w:t>
      </w:r>
      <w:r>
        <w:tab/>
        <w:t>AEMC must have regard to national gas objective</w:t>
      </w:r>
      <w:bookmarkEnd w:id="380"/>
    </w:p>
    <w:p>
      <w:pPr>
        <w:keepLines/>
        <w:autoSpaceDE w:val="0"/>
        <w:autoSpaceDN w:val="0"/>
        <w:adjustRightInd w:val="0"/>
        <w:spacing w:before="120"/>
        <w:ind w:left="1588"/>
        <w:rPr>
          <w:color w:val="000000"/>
          <w:sz w:val="23"/>
          <w:szCs w:val="23"/>
        </w:rPr>
      </w:pPr>
      <w:r>
        <w:rPr>
          <w:color w:val="000000"/>
          <w:sz w:val="23"/>
          <w:szCs w:val="23"/>
        </w:rPr>
        <w:t>In performing or exercising any function or power under this Law, the Regulations or the Rules, the AEMC must have regard to the national gas objective.</w:t>
      </w:r>
    </w:p>
    <w:p>
      <w:pPr>
        <w:pStyle w:val="Heading5"/>
        <w:rPr>
          <w:b w:val="0"/>
        </w:rPr>
      </w:pPr>
      <w:bookmarkStart w:id="381" w:name="_Toc158374785"/>
      <w:r>
        <w:rPr>
          <w:rStyle w:val="CharSectno"/>
        </w:rPr>
        <w:lastRenderedPageBreak/>
        <w:t>72A</w:t>
      </w:r>
      <w:r>
        <w:t>.</w:t>
      </w:r>
      <w:r>
        <w:tab/>
        <w:t>Targets statement for greenhouse gas emissions targets</w:t>
      </w:r>
      <w:bookmarkEnd w:id="38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AEMC must prepare and maintain a document (the </w:t>
      </w:r>
      <w:r>
        <w:rPr>
          <w:rStyle w:val="CharDefText"/>
        </w:rPr>
        <w:t>targets statement</w:t>
      </w:r>
      <w:r>
        <w:rPr>
          <w:color w:val="000000"/>
          <w:sz w:val="23"/>
          <w:szCs w:val="23"/>
        </w:rPr>
        <w:t>) stating the targets set by a participating jurisdiction mentioned in section 23(b).</w:t>
      </w:r>
    </w:p>
    <w:p>
      <w:pPr>
        <w:keepNext/>
        <w:keepLines/>
        <w:tabs>
          <w:tab w:val="center" w:pos="1191"/>
          <w:tab w:val="left" w:pos="1588"/>
        </w:tabs>
        <w:autoSpaceDE w:val="0"/>
        <w:autoSpaceDN w:val="0"/>
        <w:adjustRightInd w:val="0"/>
        <w:spacing w:before="120"/>
        <w:ind w:left="1588" w:hanging="794"/>
        <w:rPr>
          <w:color w:val="000000"/>
          <w:sz w:val="23"/>
          <w:szCs w:val="23"/>
        </w:rPr>
      </w:pPr>
      <w:bookmarkStart w:id="382" w:name="id2f097a79_754d_4109_ba5e_4d3a736e216d_0"/>
      <w:r>
        <w:rPr>
          <w:color w:val="000000"/>
          <w:sz w:val="23"/>
          <w:szCs w:val="23"/>
        </w:rPr>
        <w:tab/>
        <w:t>(2)</w:t>
      </w:r>
      <w:r>
        <w:rPr>
          <w:color w:val="000000"/>
          <w:sz w:val="23"/>
          <w:szCs w:val="23"/>
        </w:rPr>
        <w:tab/>
        <w:t>If the MCE or a Minister of a participating jurisdiction gives a written direction to the AEMC to include a target in, or remove a target from, the targets statement, the AEMC must comply with the direction.</w:t>
      </w:r>
      <w:bookmarkEnd w:id="38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 xml:space="preserve">A Minister may give a written direction under </w:t>
      </w:r>
      <w:hyperlink w:anchor="id2f097a79_754d_4109_ba5e_4d3a736e216d_0" w:history="1">
        <w:r>
          <w:rPr>
            <w:color w:val="000000"/>
            <w:sz w:val="23"/>
            <w:szCs w:val="23"/>
          </w:rPr>
          <w:t>subsection (2)</w:t>
        </w:r>
      </w:hyperlink>
      <w:r>
        <w:rPr>
          <w:color w:val="000000"/>
          <w:sz w:val="23"/>
          <w:szCs w:val="23"/>
        </w:rPr>
        <w:t xml:space="preserve"> only in relation to a target set by the Minister’s participating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must publish on its website—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targets statement;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each direction given under </w:t>
      </w:r>
      <w:hyperlink w:anchor="id2f097a79_754d_4109_ba5e_4d3a736e216d_0" w:history="1">
        <w:r>
          <w:rPr>
            <w:color w:val="000000"/>
            <w:sz w:val="23"/>
            <w:szCs w:val="23"/>
          </w:rPr>
          <w:t>subsection (2)</w:t>
        </w:r>
      </w:hyperlink>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having regard to the national gas objective under this Law, the Regulations or the Rules with respect to the matters mentioned in section 23(b), a person or body must consider, as a minimum, the targets stated in the targets statement.</w:t>
      </w:r>
    </w:p>
    <w:p>
      <w:pPr>
        <w:pStyle w:val="Footnotesection"/>
      </w:pPr>
      <w:r>
        <w:tab/>
        <w:t>[Section 72A inserted: see SA Act No. 26 of 2023 s. 16.]</w:t>
      </w:r>
    </w:p>
    <w:p>
      <w:pPr>
        <w:pStyle w:val="Heading5"/>
      </w:pPr>
      <w:bookmarkStart w:id="383" w:name="_Toc158374786"/>
      <w:r>
        <w:rPr>
          <w:rStyle w:val="CharSectno"/>
        </w:rPr>
        <w:t>73</w:t>
      </w:r>
      <w:r>
        <w:t>.</w:t>
      </w:r>
      <w:r>
        <w:tab/>
        <w:t>AEMC must have regard to MCE statements of policy principles in relation to Rule making and reviews</w:t>
      </w:r>
      <w:bookmarkEnd w:id="383"/>
    </w:p>
    <w:p>
      <w:pPr>
        <w:keepNext/>
        <w:keepLines/>
        <w:autoSpaceDE w:val="0"/>
        <w:autoSpaceDN w:val="0"/>
        <w:adjustRightInd w:val="0"/>
        <w:spacing w:before="120"/>
        <w:ind w:left="1588"/>
        <w:rPr>
          <w:color w:val="000000"/>
          <w:sz w:val="23"/>
          <w:szCs w:val="23"/>
        </w:rPr>
      </w:pPr>
      <w:r>
        <w:rPr>
          <w:color w:val="000000"/>
          <w:sz w:val="23"/>
          <w:szCs w:val="23"/>
        </w:rPr>
        <w:t>The AEMC must have regard to any relevant MCE statement of policy principles—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making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conducting a review under section 83.</w:t>
      </w:r>
    </w:p>
    <w:p>
      <w:pPr>
        <w:pStyle w:val="Heading4"/>
      </w:pPr>
      <w:bookmarkStart w:id="384" w:name="_Toc156819148"/>
      <w:bookmarkStart w:id="385" w:name="_Toc156990567"/>
      <w:bookmarkStart w:id="386" w:name="_Toc158374787"/>
      <w:r>
        <w:lastRenderedPageBreak/>
        <w:t>Division 2 — Rule making functions and powers of the AEMC</w:t>
      </w:r>
      <w:bookmarkEnd w:id="384"/>
      <w:bookmarkEnd w:id="385"/>
      <w:bookmarkEnd w:id="386"/>
    </w:p>
    <w:p>
      <w:pPr>
        <w:pStyle w:val="Heading5"/>
      </w:pPr>
      <w:bookmarkStart w:id="387" w:name="_Toc158374788"/>
      <w:r>
        <w:rPr>
          <w:rStyle w:val="CharSectno"/>
        </w:rPr>
        <w:t>74</w:t>
      </w:r>
      <w:r>
        <w:t>.</w:t>
      </w:r>
      <w:r>
        <w:tab/>
        <w:t>Subject matter for National Gas Rules</w:t>
      </w:r>
      <w:bookmarkEnd w:id="38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Division, the AEMC, in accordance with this Law and the Regulations, may make Rules, to be known, collectively, as the “National Gas Rules”, for or with respect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regulating—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access to pipeline services;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provision of pipeline services;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collection, use, disclosure, copying, recording, management and publication of information in relation to natural gas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or thing contemplated by this Law, or is necessary or expedient for the purposes of this Law.</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procedure for the making of a Rule by the AEMC is set out in Chapter 9 Part 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the AEMC, in accordance with this Law and the Regulations, may make Rules for or with respect to any matter or thing specified in Schedule 1 to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Rules made by the AEMC in accordance with this Law and the Regulations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according to the persons, times, places or circumstances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confer functions or powers on, or leave any matter or thing to be decided or determined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lastRenderedPageBreak/>
        <w:tab/>
        <w:t>(i)</w:t>
      </w:r>
      <w:r>
        <w:rPr>
          <w:color w:val="000000"/>
          <w:sz w:val="23"/>
          <w:szCs w:val="23"/>
        </w:rPr>
        <w:tab/>
        <w:t>the AER, the AEMC or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panel or committee established by the AEMC;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any other body established, or person appointed, in accordance with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confer rights or impose obligations on any person or a class of person (other than the AER or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confer a function on the AER, the AEMC or the Bulletin Board operator to make or issue guidelines, tests, standards, procedures or any other document (however described) in accordance with the Rules, including guidelines, tests, standards, procedures or any other document (however described) that leave any matter or thing to be determined by the AER, the AEMC or the Bulletin Board operator;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empower or require any person (other than a person referred to in paragraph (e)) or body to make or issue guidelines, tests, standards, procedures or any other document (however described) in accordance with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apply, adopt or incorporate wholly or partially, or as amended by the Rules, the provisions of any standard, rule, specification, method or document (however described) formulated, issued, prescribed or published by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as formulated, issued, prescribed or published at the time the Rules are made or at any time before the Rules are made;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amended from time to time;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(h)</w:t>
      </w:r>
      <w:r>
        <w:rPr>
          <w:color w:val="000000"/>
          <w:sz w:val="23"/>
          <w:szCs w:val="23"/>
        </w:rPr>
        <w:tab/>
        <w:t>confer a power of direction on the AER, the AEMC or the Bulletin Board operator to require a person conferred a right, or on whom an obligation is imposed, under the Rules to comply with—</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guideline, test, standard, procedure or other document (however described) referred to in paragraph (e) or (f);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standard, rule, specification, method or document (however described) referred to in paragraph (g);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if this section authorises or requires Rules that regulate any matter or thing, prohibit that matter or thing or any aspect of that matter of thing;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(j)</w:t>
      </w:r>
      <w:r>
        <w:rPr>
          <w:color w:val="000000"/>
          <w:sz w:val="23"/>
          <w:szCs w:val="23"/>
        </w:rPr>
        <w:tab/>
        <w:t>provide for the review of, or a right of appeal against, a decision or determination made under the Rules and for that purpose, confer jurisdiction on the Court;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(k)</w:t>
      </w:r>
      <w:r>
        <w:rPr>
          <w:color w:val="000000"/>
          <w:sz w:val="23"/>
          <w:szCs w:val="23"/>
        </w:rPr>
        <w:tab/>
        <w:t>require a form prescribed by or under the Rules, or information or documents included in, attached to or given with the form, to be verified by statutory declaration;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(l)</w:t>
      </w:r>
      <w:r>
        <w:rPr>
          <w:color w:val="000000"/>
          <w:sz w:val="23"/>
          <w:szCs w:val="23"/>
        </w:rPr>
        <w:tab/>
        <w:t>in a specified case or class of case, exempt a person or body performing or exercising a function or power, or conferred a right, or on whom an obligation is imposed, under the Rules or a class of any such person or body from complying with a provision, or a part of a provision, of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(m)</w:t>
      </w:r>
      <w:r>
        <w:rPr>
          <w:color w:val="000000"/>
          <w:sz w:val="23"/>
          <w:szCs w:val="23"/>
        </w:rPr>
        <w:tab/>
        <w:t>provide for the modification or variation of a provision of the Rules (with or without substitution of a provision of the Rules or a part of a provision of the Rules) as it applies to a person or body performing or exercising a function or power, or conferred a right, or on whom an obligation is imposed, under the Rules or a class of any such person or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(n)</w:t>
      </w:r>
      <w:r>
        <w:rPr>
          <w:color w:val="000000"/>
          <w:sz w:val="23"/>
          <w:szCs w:val="23"/>
        </w:rPr>
        <w:tab/>
        <w:t>confer an immunity on, or limit the liability of, any person or body performing or exercising a function or power, or conferred a right, or on whom an obligation is imposed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(o)</w:t>
      </w:r>
      <w:r>
        <w:rPr>
          <w:color w:val="000000"/>
          <w:sz w:val="23"/>
          <w:szCs w:val="23"/>
        </w:rPr>
        <w:tab/>
        <w:t>contain provisions of a savings or transitional nature consequent on the amendment or revocation of a Rule.</w:t>
      </w:r>
    </w:p>
    <w:p>
      <w:pPr>
        <w:pStyle w:val="Heading5"/>
      </w:pPr>
      <w:bookmarkStart w:id="388" w:name="_Toc158374789"/>
      <w:r>
        <w:rPr>
          <w:rStyle w:val="CharSectno"/>
        </w:rPr>
        <w:t>75</w:t>
      </w:r>
      <w:r>
        <w:t>.</w:t>
      </w:r>
      <w:r>
        <w:tab/>
        <w:t>Rules relating to MCE or Ministers of participating jurisdictions require MCE consent</w:t>
      </w:r>
      <w:bookmarkEnd w:id="388"/>
    </w:p>
    <w:p>
      <w:pPr>
        <w:keepLines/>
        <w:autoSpaceDE w:val="0"/>
        <w:autoSpaceDN w:val="0"/>
        <w:adjustRightInd w:val="0"/>
        <w:spacing w:before="120"/>
        <w:ind w:left="1588"/>
        <w:rPr>
          <w:color w:val="000000"/>
          <w:sz w:val="23"/>
          <w:szCs w:val="23"/>
        </w:rPr>
      </w:pPr>
      <w:r>
        <w:rPr>
          <w:color w:val="000000"/>
          <w:sz w:val="23"/>
          <w:szCs w:val="23"/>
        </w:rPr>
        <w:t>The AEMC must not, without the consent of the MCE, make a Rule that confers a right or function, or imposes an obligation, on the MCE or a Minister of a participating jurisdiction.</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of Schedule 2 to this Law to include “duty”.</w:t>
      </w:r>
    </w:p>
    <w:p>
      <w:pPr>
        <w:pStyle w:val="Heading5"/>
      </w:pPr>
      <w:bookmarkStart w:id="389" w:name="_Toc158374790"/>
      <w:r>
        <w:rPr>
          <w:rStyle w:val="CharSectno"/>
        </w:rPr>
        <w:t>76</w:t>
      </w:r>
      <w:r>
        <w:t>.</w:t>
      </w:r>
      <w:r>
        <w:tab/>
        <w:t>AEMC must not make Rules that create criminal offences or impose civil penalties for breaches</w:t>
      </w:r>
      <w:bookmarkEnd w:id="389"/>
    </w:p>
    <w:p>
      <w:pPr>
        <w:keepNext/>
        <w:keepLines/>
        <w:autoSpaceDE w:val="0"/>
        <w:autoSpaceDN w:val="0"/>
        <w:adjustRightInd w:val="0"/>
        <w:spacing w:before="120"/>
        <w:ind w:left="1588"/>
        <w:rPr>
          <w:color w:val="000000"/>
          <w:sz w:val="23"/>
          <w:szCs w:val="23"/>
        </w:rPr>
      </w:pPr>
      <w:r>
        <w:rPr>
          <w:color w:val="000000"/>
          <w:sz w:val="23"/>
          <w:szCs w:val="23"/>
        </w:rPr>
        <w:t>The AEMC must not make a Rule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creates an offence for a breach of a provision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provides for a criminal penalty or civil penalty for a breach of a provision of the Rules.</w:t>
      </w:r>
    </w:p>
    <w:p>
      <w:pPr>
        <w:pStyle w:val="Heading5"/>
      </w:pPr>
      <w:bookmarkStart w:id="390" w:name="_Toc158374791"/>
      <w:r>
        <w:rPr>
          <w:rStyle w:val="CharSectno"/>
        </w:rPr>
        <w:lastRenderedPageBreak/>
        <w:t>77</w:t>
      </w:r>
      <w:r>
        <w:t>.</w:t>
      </w:r>
      <w:r>
        <w:tab/>
        <w:t>Documents etc applied, adopted and incorporated by Rules to be publicly available</w:t>
      </w:r>
      <w:bookmarkEnd w:id="39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must make publicly available—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every standard, rule, specification, method or document (however described) formulated, issued, prescribed or published by any person, authority or body that is applied, adopted or incorporated by a Rule;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a standard, rule, specification, method or document (however described) formulated, issued, prescribed or published by any person, authority or body is applied, adopted or incorporated by a Rule as amended from time to time—any amendment to that standard, rule, specification, method or document.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AEMC makes a standard, rule, specification, method or document (however described) formulated, issued, prescribed or published by any person, authority or body applied, adopted or incorporated by any Rule publicly available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publishes the standard, rule, specification, method or document on the AEMC’s website;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specifies a place from which the standard, rule, specification, method or document may be obtained or purchased (as the case requires).</w:t>
      </w:r>
    </w:p>
    <w:p>
      <w:pPr>
        <w:pStyle w:val="Heading4"/>
      </w:pPr>
      <w:bookmarkStart w:id="391" w:name="_Toc156819153"/>
      <w:bookmarkStart w:id="392" w:name="_Toc156990572"/>
      <w:bookmarkStart w:id="393" w:name="_Toc158374792"/>
      <w:r>
        <w:t>Division 3 — Committees, panels and working groups of the AEMC</w:t>
      </w:r>
      <w:bookmarkEnd w:id="391"/>
      <w:bookmarkEnd w:id="392"/>
      <w:bookmarkEnd w:id="393"/>
    </w:p>
    <w:p>
      <w:pPr>
        <w:pStyle w:val="Heading5"/>
      </w:pPr>
      <w:bookmarkStart w:id="394" w:name="_Toc158374793"/>
      <w:r>
        <w:rPr>
          <w:rStyle w:val="CharSectno"/>
        </w:rPr>
        <w:t>78</w:t>
      </w:r>
      <w:r>
        <w:t>.</w:t>
      </w:r>
      <w:r>
        <w:tab/>
        <w:t>Establishment of committees, panels and working groups</w:t>
      </w:r>
      <w:bookmarkEnd w:id="394"/>
    </w:p>
    <w:p>
      <w:pPr>
        <w:keepNext/>
        <w:keepLines/>
        <w:autoSpaceDE w:val="0"/>
        <w:autoSpaceDN w:val="0"/>
        <w:adjustRightInd w:val="0"/>
        <w:spacing w:before="120"/>
        <w:ind w:left="1588"/>
        <w:rPr>
          <w:color w:val="000000"/>
          <w:sz w:val="23"/>
          <w:szCs w:val="23"/>
        </w:rPr>
      </w:pPr>
      <w:r>
        <w:rPr>
          <w:color w:val="000000"/>
          <w:sz w:val="23"/>
          <w:szCs w:val="23"/>
        </w:rPr>
        <w:t>The AEMC may establish committees, panels and working groups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advice on specified aspects of the AEMC’s functions;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undertake any other activity in relation to the AEMC’s functions as is specified by the AEMC.</w:t>
      </w:r>
    </w:p>
    <w:p>
      <w:pPr>
        <w:pStyle w:val="Heading4"/>
      </w:pPr>
      <w:bookmarkStart w:id="395" w:name="_Toc156819155"/>
      <w:bookmarkStart w:id="396" w:name="_Toc156990574"/>
      <w:bookmarkStart w:id="397" w:name="_Toc158374794"/>
      <w:r>
        <w:t>Division 4 — MCE directed reviews</w:t>
      </w:r>
      <w:bookmarkEnd w:id="395"/>
      <w:bookmarkEnd w:id="396"/>
      <w:bookmarkEnd w:id="397"/>
    </w:p>
    <w:p>
      <w:pPr>
        <w:pStyle w:val="Heading5"/>
      </w:pPr>
      <w:bookmarkStart w:id="398" w:name="_Toc158374795"/>
      <w:r>
        <w:rPr>
          <w:rStyle w:val="CharSectno"/>
        </w:rPr>
        <w:t>79</w:t>
      </w:r>
      <w:r>
        <w:t>.</w:t>
      </w:r>
      <w:r>
        <w:tab/>
        <w:t>MCE directions</w:t>
      </w:r>
      <w:bookmarkEnd w:id="39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may give a written direction to the AEMC that the AEMC conduct a review into—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 matter relating to a market for gas (including services provided in a market for gas);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relating to access to pipelines or to pipeline services provided by means of pipelines;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matter relating to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effectiveness of competition in a market for gas for the purpose of giving advice about whether to retain, remove or reintroduce price controls on prices for retail gas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direction given to the AEMC under this section is binding on the AEMC and must be complied with despite anything to the contrary in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direction given under this section must be published in the South Australian Government Gazette.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must cause a direction given under this section to be published on its website.</w:t>
      </w:r>
    </w:p>
    <w:p>
      <w:pPr>
        <w:pStyle w:val="Heading5"/>
      </w:pPr>
      <w:bookmarkStart w:id="399" w:name="_Toc158374796"/>
      <w:r>
        <w:rPr>
          <w:rStyle w:val="CharSectno"/>
        </w:rPr>
        <w:t>80</w:t>
      </w:r>
      <w:r>
        <w:t>.</w:t>
      </w:r>
      <w:r>
        <w:tab/>
        <w:t>Terms of reference</w:t>
      </w:r>
      <w:bookmarkEnd w:id="39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terms of reference of a MCE directed review will be as specified in the direction given by the MCE.</w:t>
      </w:r>
    </w:p>
    <w:p>
      <w:pPr>
        <w:keepNext/>
        <w:keepLines/>
        <w:autoSpaceDE w:val="0"/>
        <w:autoSpaceDN w:val="0"/>
        <w:adjustRightInd w:val="0"/>
        <w:spacing w:before="120"/>
        <w:ind w:left="2382" w:hanging="794"/>
        <w:rPr>
          <w:b/>
          <w:bCs/>
          <w:color w:val="000000"/>
          <w:sz w:val="20"/>
        </w:rPr>
      </w:pPr>
      <w:r>
        <w:rPr>
          <w:b/>
          <w:bCs/>
          <w:color w:val="000000"/>
          <w:sz w:val="20"/>
        </w:rPr>
        <w:lastRenderedPageBreak/>
        <w:t>Example—</w:t>
      </w:r>
    </w:p>
    <w:p>
      <w:pPr>
        <w:keepNext/>
        <w:keepLines/>
        <w:autoSpaceDE w:val="0"/>
        <w:autoSpaceDN w:val="0"/>
        <w:adjustRightInd w:val="0"/>
        <w:spacing w:before="120"/>
        <w:ind w:left="2382"/>
        <w:rPr>
          <w:color w:val="000000"/>
          <w:sz w:val="20"/>
        </w:rPr>
      </w:pPr>
      <w:r>
        <w:rPr>
          <w:color w:val="000000"/>
          <w:sz w:val="20"/>
        </w:rPr>
        <w:t>The terms of reference may require a MCE directed review to be conducted—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about a specific matter within a specified time; or</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whenever a specified event occurs; or</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(c)</w:t>
      </w:r>
      <w:r>
        <w:rPr>
          <w:color w:val="000000"/>
          <w:sz w:val="20"/>
        </w:rPr>
        <w:tab/>
        <w:t>on an annual basis.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the MCE may in its direction to the AEMC do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require the AEMC to give a report on a MCE directed review to the MCE within a specified period;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require the AEMC to make the report on a MCE directed review publicly available or available to specified persons or bodies;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require the AEMC to make a draft report publicly available or available to specified persons or bodies during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require the AEMC to consider specified matters in the conduct of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require the AEMC to have specified objectives in the conduct of a MCE directed review which need not be limited by the national gas objective;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require the AEMC to assess a particular matter in relation to services provided in a market for gas against specified criteria or a specified methodology;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require the AEMC—</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to assess a particular matter in relation to services provided in a market for gas;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lastRenderedPageBreak/>
        <w:tab/>
        <w:t>(ii)</w:t>
      </w:r>
      <w:r>
        <w:rPr>
          <w:color w:val="000000"/>
          <w:sz w:val="23"/>
          <w:szCs w:val="23"/>
        </w:rPr>
        <w:tab/>
        <w:t>to develop appropriate and relevant criteria, or an appropriate and relevant methodology, for the purpose of the required assessment;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give the AEMC other specific directions in respect of the conduct of a MCE directed review.</w:t>
      </w:r>
    </w:p>
    <w:p>
      <w:pPr>
        <w:pStyle w:val="Heading5"/>
      </w:pPr>
      <w:bookmarkStart w:id="400" w:name="_Toc158374797"/>
      <w:r>
        <w:rPr>
          <w:rStyle w:val="CharSectno"/>
        </w:rPr>
        <w:t>81</w:t>
      </w:r>
      <w:r>
        <w:t>.</w:t>
      </w:r>
      <w:r>
        <w:tab/>
        <w:t>Notice of MCE directed review</w:t>
      </w:r>
      <w:bookmarkEnd w:id="40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must publish notice of a MCE directed review on its website and in a newspaper circulating generally throughout Australia.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publish a further such notice if a term of reference or a requirement or direction relating to the MCE directed review is varied.</w:t>
      </w:r>
    </w:p>
    <w:p>
      <w:pPr>
        <w:pStyle w:val="Heading5"/>
      </w:pPr>
      <w:bookmarkStart w:id="401" w:name="_Toc158374798"/>
      <w:r>
        <w:rPr>
          <w:rStyle w:val="CharSectno"/>
        </w:rPr>
        <w:t>82</w:t>
      </w:r>
      <w:r>
        <w:t>.</w:t>
      </w:r>
      <w:r>
        <w:tab/>
        <w:t>Conduct of MCE directed review</w:t>
      </w:r>
      <w:bookmarkEnd w:id="401"/>
    </w:p>
    <w:p>
      <w:pPr>
        <w:keepNext/>
        <w:keepLines/>
        <w:autoSpaceDE w:val="0"/>
        <w:autoSpaceDN w:val="0"/>
        <w:adjustRightInd w:val="0"/>
        <w:spacing w:before="120"/>
        <w:ind w:left="1588"/>
        <w:rPr>
          <w:color w:val="000000"/>
          <w:sz w:val="23"/>
          <w:szCs w:val="23"/>
        </w:rPr>
      </w:pPr>
      <w:r>
        <w:rPr>
          <w:color w:val="000000"/>
          <w:sz w:val="23"/>
          <w:szCs w:val="23"/>
        </w:rPr>
        <w:t>Subject to any requirement or direction of the MCE,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involve public hearings.</w:t>
      </w:r>
    </w:p>
    <w:p>
      <w:pPr>
        <w:pStyle w:val="Heading4"/>
      </w:pPr>
      <w:bookmarkStart w:id="402" w:name="_Toc156819160"/>
      <w:bookmarkStart w:id="403" w:name="_Toc156990579"/>
      <w:bookmarkStart w:id="404" w:name="_Toc158374799"/>
      <w:r>
        <w:t>Division 5 — Other reviews</w:t>
      </w:r>
      <w:bookmarkEnd w:id="402"/>
      <w:bookmarkEnd w:id="403"/>
      <w:bookmarkEnd w:id="404"/>
    </w:p>
    <w:p>
      <w:pPr>
        <w:pStyle w:val="Heading5"/>
      </w:pPr>
      <w:bookmarkStart w:id="405" w:name="_Toc158374800"/>
      <w:r>
        <w:rPr>
          <w:rStyle w:val="CharSectno"/>
        </w:rPr>
        <w:t>83</w:t>
      </w:r>
      <w:r>
        <w:t>.</w:t>
      </w:r>
      <w:r>
        <w:tab/>
        <w:t>Rule reviews by the AEMC</w:t>
      </w:r>
      <w:bookmarkEnd w:id="40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conduct a review into—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relating to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involve public hearings.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(3)</w:t>
      </w:r>
      <w:r>
        <w:rPr>
          <w:color w:val="000000"/>
          <w:sz w:val="23"/>
          <w:szCs w:val="23"/>
        </w:rPr>
        <w:tab/>
        <w:t>During the course of a review, the AEMC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consult with any person or body that it considers appropriate;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establish working groups to assist it in relation to any aspect, or any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commission reports by other persons on its behalf on any aspect, or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publish discussion papers or draft reports.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At the completion of a review,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a copy of the report to the MCE;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a report or a version of a report from which confidential information has been omitted in accordance with section 331.</w:t>
      </w:r>
    </w:p>
    <w:p>
      <w:pPr>
        <w:pStyle w:val="Heading4"/>
      </w:pPr>
      <w:bookmarkStart w:id="406" w:name="_Toc156819162"/>
      <w:bookmarkStart w:id="407" w:name="_Toc156990581"/>
      <w:bookmarkStart w:id="408" w:name="_Toc158374801"/>
      <w:r>
        <w:t>Division 6 — Miscellaneous matters</w:t>
      </w:r>
      <w:bookmarkEnd w:id="406"/>
      <w:bookmarkEnd w:id="407"/>
      <w:bookmarkEnd w:id="408"/>
    </w:p>
    <w:p>
      <w:pPr>
        <w:pStyle w:val="Heading5"/>
      </w:pPr>
      <w:bookmarkStart w:id="409" w:name="_Toc158374802"/>
      <w:r>
        <w:rPr>
          <w:rStyle w:val="CharSectno"/>
        </w:rPr>
        <w:t>83A</w:t>
      </w:r>
      <w:r>
        <w:t>.</w:t>
      </w:r>
      <w:r>
        <w:tab/>
        <w:t>Special information and transparency requirements relating to non</w:t>
      </w:r>
      <w:r>
        <w:noBreakHyphen/>
        <w:t>scheme pipelines</w:t>
      </w:r>
      <w:bookmarkEnd w:id="40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rPr>
        <w:t>non-scheme pipeline</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transmission pipeline that is not a scheme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distribution pipeline that is not a scheme pipeline.</w:t>
      </w:r>
    </w:p>
    <w:p>
      <w:pPr>
        <w:keepNext/>
        <w:keepLines/>
        <w:tabs>
          <w:tab w:val="center" w:pos="1191"/>
          <w:tab w:val="left" w:pos="1588"/>
        </w:tabs>
        <w:autoSpaceDE w:val="0"/>
        <w:autoSpaceDN w:val="0"/>
        <w:adjustRightInd w:val="0"/>
        <w:spacing w:before="120"/>
        <w:ind w:left="1588" w:hanging="794"/>
        <w:rPr>
          <w:color w:val="000000"/>
          <w:sz w:val="23"/>
          <w:szCs w:val="23"/>
        </w:rPr>
      </w:pPr>
      <w:bookmarkStart w:id="410" w:name="id16e1e13e_cfde_4d18_b3fc_94e5a9dfd8"/>
      <w:r>
        <w:rPr>
          <w:color w:val="000000"/>
          <w:sz w:val="23"/>
          <w:szCs w:val="23"/>
        </w:rPr>
        <w:tab/>
        <w:t>(2)</w:t>
      </w:r>
      <w:r>
        <w:rPr>
          <w:color w:val="000000"/>
          <w:sz w:val="23"/>
          <w:szCs w:val="23"/>
        </w:rPr>
        <w:tab/>
        <w:t>Without limiting any other provision, the Rules may provide for such things as—</w:t>
      </w:r>
      <w:bookmarkEnd w:id="410"/>
    </w:p>
    <w:p>
      <w:pPr>
        <w:keepLines/>
        <w:tabs>
          <w:tab w:val="center" w:pos="1985"/>
          <w:tab w:val="left" w:pos="2382"/>
        </w:tabs>
        <w:autoSpaceDE w:val="0"/>
        <w:autoSpaceDN w:val="0"/>
        <w:adjustRightInd w:val="0"/>
        <w:spacing w:before="120"/>
        <w:ind w:left="2382" w:hanging="794"/>
        <w:rPr>
          <w:color w:val="000000"/>
          <w:sz w:val="23"/>
          <w:szCs w:val="23"/>
        </w:rPr>
      </w:pPr>
      <w:bookmarkStart w:id="411" w:name="ide1523334_7c87_472c_83af_88551bd104"/>
      <w:r>
        <w:rPr>
          <w:color w:val="000000"/>
          <w:sz w:val="23"/>
          <w:szCs w:val="23"/>
        </w:rPr>
        <w:tab/>
        <w:t>(a)</w:t>
      </w:r>
      <w:r>
        <w:rPr>
          <w:color w:val="000000"/>
          <w:sz w:val="23"/>
          <w:szCs w:val="23"/>
        </w:rPr>
        <w:tab/>
        <w:t>the collection, disclosure, verification, management and publication of information in relation to services that may be provided by a non</w:t>
      </w:r>
      <w:r>
        <w:rPr>
          <w:color w:val="000000"/>
          <w:sz w:val="23"/>
          <w:szCs w:val="23"/>
        </w:rPr>
        <w:noBreakHyphen/>
        <w:t>scheme pipeline; and</w:t>
      </w:r>
      <w:bookmarkEnd w:id="411"/>
    </w:p>
    <w:p>
      <w:pPr>
        <w:keepLines/>
        <w:tabs>
          <w:tab w:val="center" w:pos="1985"/>
          <w:tab w:val="left" w:pos="2382"/>
        </w:tabs>
        <w:autoSpaceDE w:val="0"/>
        <w:autoSpaceDN w:val="0"/>
        <w:adjustRightInd w:val="0"/>
        <w:spacing w:before="120"/>
        <w:ind w:left="2382" w:hanging="794"/>
        <w:rPr>
          <w:color w:val="000000"/>
          <w:sz w:val="23"/>
          <w:szCs w:val="23"/>
        </w:rPr>
      </w:pPr>
      <w:bookmarkStart w:id="412" w:name="id86211e6a_ed2c_46fe_a639_95bd47e520"/>
      <w:r>
        <w:rPr>
          <w:color w:val="000000"/>
          <w:sz w:val="23"/>
          <w:szCs w:val="23"/>
        </w:rPr>
        <w:lastRenderedPageBreak/>
        <w:tab/>
        <w:t>(b)</w:t>
      </w:r>
      <w:r>
        <w:rPr>
          <w:color w:val="000000"/>
          <w:sz w:val="23"/>
          <w:szCs w:val="23"/>
        </w:rPr>
        <w:tab/>
        <w:t xml:space="preserve">without limiting </w:t>
      </w:r>
      <w:hyperlink w:anchor="ide1523334_7c87_472c_83af_88551bd104" w:history="1">
        <w:r>
          <w:rPr>
            <w:color w:val="000000"/>
            <w:sz w:val="23"/>
            <w:szCs w:val="23"/>
          </w:rPr>
          <w:t>paragraph (a)</w:t>
        </w:r>
      </w:hyperlink>
      <w:r>
        <w:rPr>
          <w:color w:val="000000"/>
          <w:sz w:val="23"/>
          <w:szCs w:val="23"/>
        </w:rPr>
        <w:t>, requirements about the information that must be provided by service providers in relation to access (or potential access) to services provided by means of any non</w:t>
      </w:r>
      <w:r>
        <w:rPr>
          <w:color w:val="000000"/>
          <w:sz w:val="23"/>
          <w:szCs w:val="23"/>
        </w:rPr>
        <w:noBreakHyphen/>
        <w:t>scheme pipeline, including information about—</w:t>
      </w:r>
      <w:bookmarkEnd w:id="412"/>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terms and conditions on which the service provider is prepared to make a non</w:t>
      </w:r>
      <w:r>
        <w:rPr>
          <w:color w:val="000000"/>
          <w:sz w:val="23"/>
          <w:szCs w:val="23"/>
        </w:rPr>
        <w:noBreakHyphen/>
        <w:t>scheme pipeline available for use by others;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procedures that the service provider will apply in determining a proposal for access to a non</w:t>
      </w:r>
      <w:r>
        <w:rPr>
          <w:color w:val="000000"/>
          <w:sz w:val="23"/>
          <w:szCs w:val="23"/>
        </w:rPr>
        <w:noBreakHyphen/>
        <w:t>scheme pipeline;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relevant prices, costs and methodologies associated with gaining access to (and using) a non</w:t>
      </w:r>
      <w:r>
        <w:rPr>
          <w:color w:val="000000"/>
          <w:sz w:val="23"/>
          <w:szCs w:val="23"/>
        </w:rPr>
        <w:noBreakHyphen/>
        <w:t>scheme pipeline and relevant or related services;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access contracts and arrangements used (or required to be used) by the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without limiting </w:t>
      </w:r>
      <w:hyperlink w:anchor="ide1523334_7c87_472c_83af_88551bd104" w:history="1">
        <w:r>
          <w:rPr>
            <w:color w:val="000000"/>
            <w:sz w:val="23"/>
            <w:szCs w:val="23"/>
          </w:rPr>
          <w:t>paragraphs (a)</w:t>
        </w:r>
      </w:hyperlink>
      <w:r>
        <w:rPr>
          <w:color w:val="000000"/>
          <w:sz w:val="23"/>
          <w:szCs w:val="23"/>
        </w:rPr>
        <w:t xml:space="preserve"> and </w:t>
      </w:r>
      <w:hyperlink w:anchor="id86211e6a_ed2c_46fe_a639_95bd47e520" w:history="1">
        <w:r>
          <w:rPr>
            <w:color w:val="000000"/>
            <w:sz w:val="23"/>
            <w:szCs w:val="23"/>
          </w:rPr>
          <w:t>(b)</w:t>
        </w:r>
      </w:hyperlink>
      <w:r>
        <w:rPr>
          <w:color w:val="000000"/>
          <w:sz w:val="23"/>
          <w:szCs w:val="23"/>
        </w:rPr>
        <w:t>, information to be provided by a service provider in response to a request for access to services provided by means of a non</w:t>
      </w:r>
      <w:r>
        <w:rPr>
          <w:color w:val="000000"/>
          <w:sz w:val="23"/>
          <w:szCs w:val="23"/>
        </w:rPr>
        <w:noBreakHyphen/>
        <w:t>scheme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requirements to ensure that information is accurate and complete;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requirements that relate to any matter that is contemplated by Chapter 4 Part 2 (as if a reference to a covered pipeline service provider in that Part were a reference to a service provider in relation to a non-scheme pipeline and subject to any modifications made by the Rules and subject to such other necessary alterations and modifications so as to apply those requirements in relation to non</w:t>
      </w:r>
      <w:r>
        <w:rPr>
          <w:color w:val="000000"/>
          <w:sz w:val="23"/>
          <w:szCs w:val="23"/>
        </w:rPr>
        <w:noBreakHyphen/>
        <w:t>scheme pipelines);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(f)</w:t>
      </w:r>
      <w:r>
        <w:rPr>
          <w:color w:val="000000"/>
          <w:sz w:val="23"/>
          <w:szCs w:val="23"/>
        </w:rPr>
        <w:tab/>
        <w:t>the imposition or recovery of costs associated with any matter referred to in a preceding paragraph or otherwise associated with facilitating access (or potential access) to services provided by means of a non</w:t>
      </w:r>
      <w:r>
        <w:rPr>
          <w:color w:val="000000"/>
          <w:sz w:val="23"/>
          <w:szCs w:val="23"/>
        </w:rPr>
        <w:noBreakHyphen/>
        <w:t>scheme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 xml:space="preserve">Nothing in </w:t>
      </w:r>
      <w:hyperlink w:anchor="id16e1e13e_cfde_4d18_b3fc_94e5a9dfd8" w:history="1">
        <w:r>
          <w:rPr>
            <w:color w:val="000000"/>
            <w:sz w:val="23"/>
            <w:szCs w:val="23"/>
          </w:rPr>
          <w:t>subsection (2)</w:t>
        </w:r>
      </w:hyperlink>
      <w:r>
        <w:rPr>
          <w:color w:val="000000"/>
          <w:sz w:val="23"/>
          <w:szCs w:val="23"/>
        </w:rPr>
        <w:t xml:space="preserve"> limits any power to grant an exemption from complying with a provision, or part of a provision, of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A reference in </w:t>
      </w:r>
      <w:hyperlink w:anchor="id16e1e13e_cfde_4d18_b3fc_94e5a9dfd8" w:history="1">
        <w:r>
          <w:rPr>
            <w:color w:val="000000"/>
            <w:sz w:val="23"/>
            <w:szCs w:val="23"/>
          </w:rPr>
          <w:t>subsection (2)</w:t>
        </w:r>
      </w:hyperlink>
      <w:r>
        <w:rPr>
          <w:color w:val="000000"/>
          <w:sz w:val="23"/>
          <w:szCs w:val="23"/>
        </w:rPr>
        <w:t xml:space="preserve"> with respect to gaining access (or potential access) to services provided by means of a non</w:t>
      </w:r>
      <w:r>
        <w:rPr>
          <w:color w:val="000000"/>
          <w:sz w:val="23"/>
          <w:szCs w:val="23"/>
        </w:rPr>
        <w:noBreakHyphen/>
        <w:t>scheme pipeline includes a reference to services that will require an extension to, or expansion of the capacity of, a non</w:t>
      </w:r>
      <w:r>
        <w:rPr>
          <w:color w:val="000000"/>
          <w:sz w:val="23"/>
          <w:szCs w:val="23"/>
        </w:rPr>
        <w:noBreakHyphen/>
        <w:t>scheme pipeline.</w:t>
      </w:r>
    </w:p>
    <w:p>
      <w:pPr>
        <w:pStyle w:val="Footnotesection"/>
      </w:pPr>
      <w:r>
        <w:tab/>
        <w:t>[Section 83A inserted: see SA Act No. 23 of 2017 s. 4 and WA Gazette 22 Dec 2017 p. 5984.]</w:t>
      </w:r>
    </w:p>
    <w:p>
      <w:pPr>
        <w:pStyle w:val="Heading5"/>
      </w:pPr>
      <w:bookmarkStart w:id="413" w:name="_Toc158374803"/>
      <w:r>
        <w:rPr>
          <w:rStyle w:val="CharSectno"/>
        </w:rPr>
        <w:t>84</w:t>
      </w:r>
      <w:r>
        <w:t>.</w:t>
      </w:r>
      <w:r>
        <w:tab/>
        <w:t>AEMC must publish and make available up to date versions of Rules</w:t>
      </w:r>
      <w:bookmarkEnd w:id="413"/>
    </w:p>
    <w:p>
      <w:pPr>
        <w:keepNext/>
        <w:keepLines/>
        <w:autoSpaceDE w:val="0"/>
        <w:autoSpaceDN w:val="0"/>
        <w:adjustRightInd w:val="0"/>
        <w:spacing w:before="120"/>
        <w:ind w:left="1588"/>
        <w:rPr>
          <w:color w:val="000000"/>
          <w:sz w:val="23"/>
          <w:szCs w:val="23"/>
        </w:rPr>
      </w:pPr>
      <w:r>
        <w:rPr>
          <w:color w:val="000000"/>
          <w:sz w:val="23"/>
          <w:szCs w:val="23"/>
        </w:rPr>
        <w:t>The AEMC must, at all times—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maintain, on its website, a copy of the National Gas Rules, as in force from time to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copies of the National Gas Rules, as in force from time to time, available to the public for inspection at its offices during business hours.</w:t>
      </w:r>
    </w:p>
    <w:p>
      <w:pPr>
        <w:pStyle w:val="Heading5"/>
      </w:pPr>
      <w:bookmarkStart w:id="414" w:name="_Toc158374804"/>
      <w:r>
        <w:rPr>
          <w:rStyle w:val="CharSectno"/>
        </w:rPr>
        <w:t>85</w:t>
      </w:r>
      <w:r>
        <w:t>.</w:t>
      </w:r>
      <w:r>
        <w:tab/>
        <w:t>Fees</w:t>
      </w:r>
      <w:bookmarkEnd w:id="41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charge a fee specified, or a fee calculated in accordance with a formula or methodology specified, in the Regulations for services provided by it in performing or exercising any of its functions or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fee must not be such as to amount to taxation.</w:t>
      </w:r>
    </w:p>
    <w:p>
      <w:pPr>
        <w:pStyle w:val="Heading5"/>
      </w:pPr>
      <w:bookmarkStart w:id="415" w:name="_Toc158374805"/>
      <w:r>
        <w:rPr>
          <w:rStyle w:val="CharSectno"/>
        </w:rPr>
        <w:lastRenderedPageBreak/>
        <w:t>86</w:t>
      </w:r>
      <w:r>
        <w:t>.</w:t>
      </w:r>
      <w:r>
        <w:tab/>
        <w:t>Immunity from personal liability of AEMC officials</w:t>
      </w:r>
      <w:bookmarkEnd w:id="41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No personal liability attaches to an AEMC official for an act or omission in good faith in the performance or exercise, or purported performance or exercise of a function or power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liability that would, but for subsection (1), lie against an AEMC official lies instead against the AEMC.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AEMC official</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member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chief executive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member of staff appointed by the AEMC.</w:t>
      </w:r>
    </w:p>
    <w:p>
      <w:pPr>
        <w:pStyle w:val="Heading3"/>
      </w:pPr>
      <w:bookmarkStart w:id="416" w:name="_Toc156819167"/>
      <w:bookmarkStart w:id="417" w:name="_Toc156990586"/>
      <w:bookmarkStart w:id="418" w:name="_Toc158374806"/>
      <w:r>
        <w:rPr>
          <w:rStyle w:val="CharDivNo"/>
        </w:rPr>
        <w:t>Part 3</w:t>
      </w:r>
      <w:r>
        <w:t xml:space="preserve"> — </w:t>
      </w:r>
      <w:r>
        <w:rPr>
          <w:rStyle w:val="CharDivText"/>
        </w:rPr>
        <w:t>Functions and powers of Ministers of participating jurisdictions</w:t>
      </w:r>
      <w:bookmarkEnd w:id="416"/>
      <w:bookmarkEnd w:id="417"/>
      <w:bookmarkEnd w:id="418"/>
    </w:p>
    <w:p>
      <w:pPr>
        <w:pStyle w:val="Heading5"/>
      </w:pPr>
      <w:bookmarkStart w:id="419" w:name="_Toc158374807"/>
      <w:r>
        <w:rPr>
          <w:rStyle w:val="CharSectno"/>
        </w:rPr>
        <w:t>87</w:t>
      </w:r>
      <w:r>
        <w:t>.</w:t>
      </w:r>
      <w:r>
        <w:tab/>
        <w:t>Functions and powers of Minister of this participating jurisdiction under this Law</w:t>
      </w:r>
      <w:bookmarkEnd w:id="41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Minister of this participating jurisdiction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Minister of this participating jurisdiction has power to do all things necessary or convenient to be done for or in connection with the performance of his or her functions.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Minister of this participating jurisdiction</w:t>
      </w:r>
      <w:r>
        <w:rPr>
          <w:bCs/>
          <w:i/>
          <w:iCs/>
          <w:color w:val="000000"/>
          <w:sz w:val="23"/>
          <w:szCs w:val="23"/>
        </w:rPr>
        <w:t xml:space="preserve"> </w:t>
      </w:r>
      <w:r>
        <w:rPr>
          <w:color w:val="000000"/>
          <w:sz w:val="23"/>
          <w:szCs w:val="23"/>
        </w:rPr>
        <w:t>means the Minister that administers the Act of this jurisdiction that applies this Law as a law of this jurisdiction.</w:t>
      </w:r>
    </w:p>
    <w:p>
      <w:pPr>
        <w:pStyle w:val="Heading5"/>
      </w:pPr>
      <w:bookmarkStart w:id="420" w:name="_Toc158374808"/>
      <w:r>
        <w:rPr>
          <w:rStyle w:val="CharSectno"/>
        </w:rPr>
        <w:lastRenderedPageBreak/>
        <w:t>88</w:t>
      </w:r>
      <w:r>
        <w:t>.</w:t>
      </w:r>
      <w:r>
        <w:tab/>
        <w:t>Functions and powers of Commonwealth Minister under this Law</w:t>
      </w:r>
      <w:bookmarkEnd w:id="42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Commonwealth Minister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Commonwealth Minister has power to do all things necessary or convenient to be done for or in connection with the performance of his or her functions.</w:t>
      </w:r>
    </w:p>
    <w:p>
      <w:pPr>
        <w:pStyle w:val="Heading3"/>
      </w:pPr>
      <w:bookmarkStart w:id="421" w:name="_Toc156819170"/>
      <w:bookmarkStart w:id="422" w:name="_Toc156990589"/>
      <w:bookmarkStart w:id="423" w:name="_Toc158374809"/>
      <w:r>
        <w:rPr>
          <w:rStyle w:val="CharDivNo"/>
        </w:rPr>
        <w:t>Part 4</w:t>
      </w:r>
      <w:r>
        <w:t xml:space="preserve"> — </w:t>
      </w:r>
      <w:r>
        <w:rPr>
          <w:rStyle w:val="CharDivText"/>
        </w:rPr>
        <w:t>Functions and powers of the NCC</w:t>
      </w:r>
      <w:bookmarkEnd w:id="421"/>
      <w:bookmarkEnd w:id="422"/>
      <w:bookmarkEnd w:id="423"/>
    </w:p>
    <w:p>
      <w:pPr>
        <w:pStyle w:val="Heading5"/>
      </w:pPr>
      <w:bookmarkStart w:id="424" w:name="_Toc158374810"/>
      <w:r>
        <w:rPr>
          <w:rStyle w:val="CharSectno"/>
        </w:rPr>
        <w:t>89</w:t>
      </w:r>
      <w:r>
        <w:t>.</w:t>
      </w:r>
      <w:r>
        <w:tab/>
        <w:t>Functions and powers of NCC under this Law</w:t>
      </w:r>
      <w:bookmarkEnd w:id="42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has the functions and powers conferred on it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has power to do all things necessary or convenient to be done for or in connection with the performance of its functions.</w:t>
      </w:r>
    </w:p>
    <w:p>
      <w:pPr>
        <w:pStyle w:val="Heading5"/>
      </w:pPr>
      <w:bookmarkStart w:id="425" w:name="_Toc158374811"/>
      <w:r>
        <w:rPr>
          <w:rStyle w:val="CharSectno"/>
        </w:rPr>
        <w:t>90</w:t>
      </w:r>
      <w:r>
        <w:t>.</w:t>
      </w:r>
      <w:r>
        <w:tab/>
        <w:t>Confidentiality</w:t>
      </w:r>
      <w:bookmarkEnd w:id="42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take all reasonable measures to protect from unauthorised use or disclosure information given to it in confidence in, or in connection with, the performance of its functions or the exercise of its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disclosure of information as required or permitted by this Law, a law of the Commonwealth, a State or Territory is taken to be authorised use and disclosure of the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Disclosing information to 1 of the following is authorised use and disclosure of the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ERA;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(d)</w:t>
      </w:r>
      <w:r>
        <w:rPr>
          <w:color w:val="000000"/>
          <w:sz w:val="23"/>
          <w:szCs w:val="23"/>
        </w:rPr>
        <w:tab/>
        <w:t>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staff or consultant assisting a body mentioned in paragraph (a) to (d) in performing its functions or exercising its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other person or body prescribed by the Regulations for the purpose of this paragraph.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or body to whom information is disclosed under subsection (3) may use the information for any purpose connected with the performance of the functions, or the exercise of the powers, of the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NCC may impose conditions to be complied with in relation to information disclosed under subsection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For the purposes of subsection (1), the use or disclosure of information by a person for the purposes of performing the person’s functions, or exercising the person’s powers, 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Councillor or a person referred to in section 29M of the </w:t>
      </w:r>
      <w:r>
        <w:rPr>
          <w:i/>
          <w:iCs/>
          <w:color w:val="000000"/>
          <w:sz w:val="23"/>
          <w:szCs w:val="23"/>
        </w:rPr>
        <w:t>Trade Practices Act 1974</w:t>
      </w:r>
      <w:r>
        <w:rPr>
          <w:color w:val="000000"/>
          <w:sz w:val="23"/>
          <w:szCs w:val="23"/>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 is authorised to perform or exercise a function or power of, or on behalf of, the NCC,</w:t>
      </w:r>
    </w:p>
    <w:p>
      <w:pPr>
        <w:keepLines/>
        <w:autoSpaceDE w:val="0"/>
        <w:autoSpaceDN w:val="0"/>
        <w:adjustRightInd w:val="0"/>
        <w:spacing w:before="120"/>
        <w:ind w:left="1588"/>
        <w:rPr>
          <w:color w:val="000000"/>
          <w:sz w:val="23"/>
          <w:szCs w:val="23"/>
        </w:rPr>
      </w:pPr>
      <w:r>
        <w:rPr>
          <w:color w:val="000000"/>
          <w:sz w:val="23"/>
          <w:szCs w:val="23"/>
        </w:rPr>
        <w:t>is taken to be authorised use and disclosure of the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Regulations made for the purposes of this section may specify uses of information and disclosures of information that are authorised uses and authorised disclosures for the purposes of this section.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Nothing in any of the above subsections limits—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anything else in any of those subsections;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what may otherwise constitute, for the purposes of subsection (1), authorised use or disclosure of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(9)</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Councillor</w:t>
      </w:r>
      <w:r>
        <w:rPr>
          <w:color w:val="000000"/>
          <w:sz w:val="23"/>
          <w:szCs w:val="23"/>
        </w:rPr>
        <w:t xml:space="preserve"> has the same meaning as in the </w:t>
      </w:r>
      <w:r>
        <w:rPr>
          <w:i/>
          <w:iCs/>
          <w:color w:val="000000"/>
          <w:sz w:val="23"/>
          <w:szCs w:val="23"/>
        </w:rPr>
        <w:t>Trade Practices Act 1974</w:t>
      </w:r>
      <w:r>
        <w:rPr>
          <w:color w:val="000000"/>
          <w:sz w:val="23"/>
          <w:szCs w:val="23"/>
        </w:rPr>
        <w:t xml:space="preserve"> of the Commonwealth.</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2.</w:t>
      </w:r>
    </w:p>
    <w:p>
      <w:pPr>
        <w:pStyle w:val="Heading3"/>
      </w:pPr>
      <w:bookmarkStart w:id="426" w:name="_Toc156819173"/>
      <w:bookmarkStart w:id="427" w:name="_Toc156990592"/>
      <w:bookmarkStart w:id="428" w:name="_Toc158374812"/>
      <w:r>
        <w:rPr>
          <w:rStyle w:val="CharDivNo"/>
        </w:rPr>
        <w:t>Part 5</w:t>
      </w:r>
      <w:r>
        <w:t xml:space="preserve"> — </w:t>
      </w:r>
      <w:r>
        <w:rPr>
          <w:rStyle w:val="CharDivText"/>
        </w:rPr>
        <w:t>Functions and powers of Tribunal</w:t>
      </w:r>
      <w:bookmarkEnd w:id="426"/>
      <w:bookmarkEnd w:id="427"/>
      <w:bookmarkEnd w:id="428"/>
    </w:p>
    <w:p>
      <w:pPr>
        <w:pStyle w:val="Heading5"/>
      </w:pPr>
      <w:bookmarkStart w:id="429" w:name="_Toc158374813"/>
      <w:r>
        <w:rPr>
          <w:rStyle w:val="CharSectno"/>
        </w:rPr>
        <w:t>91</w:t>
      </w:r>
      <w:r>
        <w:t>.</w:t>
      </w:r>
      <w:r>
        <w:tab/>
        <w:t>Functions and powers of Tribunal under this Law</w:t>
      </w:r>
      <w:bookmarkEnd w:id="42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has the functions and powers conferred on it under Chapter 8 Part 5 and any Regulations made for the purposes of that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has power to do all things necessary or convenient to be done for or in connection with the performance of its functions.</w:t>
      </w:r>
    </w:p>
    <w:p>
      <w:pPr>
        <w:pStyle w:val="Heading2"/>
      </w:pPr>
      <w:bookmarkStart w:id="430" w:name="_Toc156819175"/>
      <w:bookmarkStart w:id="431" w:name="_Toc156990594"/>
      <w:bookmarkStart w:id="432" w:name="_Toc158374814"/>
      <w:r>
        <w:rPr>
          <w:rStyle w:val="CharPartNo"/>
        </w:rPr>
        <w:lastRenderedPageBreak/>
        <w:t>Chapter 3</w:t>
      </w:r>
      <w:r>
        <w:t xml:space="preserve"> — </w:t>
      </w:r>
      <w:r>
        <w:rPr>
          <w:rStyle w:val="CharPartText"/>
        </w:rPr>
        <w:t>Coverage and classification of pipelines</w:t>
      </w:r>
      <w:bookmarkEnd w:id="430"/>
      <w:bookmarkEnd w:id="431"/>
      <w:bookmarkEnd w:id="432"/>
    </w:p>
    <w:p>
      <w:pPr>
        <w:pStyle w:val="Heading3"/>
      </w:pPr>
      <w:bookmarkStart w:id="433" w:name="_Toc156819176"/>
      <w:bookmarkStart w:id="434" w:name="_Toc156990595"/>
      <w:bookmarkStart w:id="435" w:name="_Toc158374815"/>
      <w:r>
        <w:rPr>
          <w:rStyle w:val="CharDivNo"/>
        </w:rPr>
        <w:t>Part 1</w:t>
      </w:r>
      <w:r>
        <w:t xml:space="preserve"> — </w:t>
      </w:r>
      <w:r>
        <w:rPr>
          <w:rStyle w:val="CharDivText"/>
        </w:rPr>
        <w:t>Coverage of pipelines</w:t>
      </w:r>
      <w:bookmarkEnd w:id="433"/>
      <w:bookmarkEnd w:id="434"/>
      <w:bookmarkEnd w:id="435"/>
    </w:p>
    <w:p>
      <w:pPr>
        <w:pStyle w:val="Heading4"/>
      </w:pPr>
      <w:bookmarkStart w:id="436" w:name="_Toc156819177"/>
      <w:bookmarkStart w:id="437" w:name="_Toc156990596"/>
      <w:bookmarkStart w:id="438" w:name="_Toc158374816"/>
      <w:r>
        <w:t>Division 1 — Coverage determinations</w:t>
      </w:r>
      <w:bookmarkEnd w:id="436"/>
      <w:bookmarkEnd w:id="437"/>
      <w:bookmarkEnd w:id="438"/>
    </w:p>
    <w:p>
      <w:pPr>
        <w:pStyle w:val="Heading5"/>
      </w:pPr>
      <w:bookmarkStart w:id="439" w:name="_Toc158374817"/>
      <w:r>
        <w:rPr>
          <w:rStyle w:val="CharSectno"/>
        </w:rPr>
        <w:t>92</w:t>
      </w:r>
      <w:r>
        <w:t>.</w:t>
      </w:r>
      <w:r>
        <w:tab/>
        <w:t>Application for recommendation that a pipeline be a covered pipeline</w:t>
      </w:r>
      <w:bookmarkEnd w:id="43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Any person may apply for a determination that a pipeline be a covered pipeline (a </w:t>
      </w:r>
      <w:r>
        <w:rPr>
          <w:rStyle w:val="CharDefText"/>
          <w:bCs/>
          <w:sz w:val="23"/>
        </w:rPr>
        <w:t>coverage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accompanied by the fee prescribed by the Regulations (if any).</w:t>
      </w:r>
    </w:p>
    <w:p>
      <w:pPr>
        <w:pStyle w:val="Heading5"/>
      </w:pPr>
      <w:bookmarkStart w:id="440" w:name="_Toc158374818"/>
      <w:r>
        <w:rPr>
          <w:rStyle w:val="CharSectno"/>
        </w:rPr>
        <w:t>93</w:t>
      </w:r>
      <w:r>
        <w:t>.</w:t>
      </w:r>
      <w:r>
        <w:tab/>
        <w:t>Application to be dealt with in accordance with the Rules</w:t>
      </w:r>
      <w:bookmarkEnd w:id="440"/>
    </w:p>
    <w:p>
      <w:pPr>
        <w:keepLines/>
        <w:autoSpaceDE w:val="0"/>
        <w:autoSpaceDN w:val="0"/>
        <w:adjustRightInd w:val="0"/>
        <w:spacing w:before="120"/>
        <w:ind w:left="1588"/>
        <w:rPr>
          <w:color w:val="000000"/>
          <w:sz w:val="23"/>
          <w:szCs w:val="23"/>
        </w:rPr>
      </w:pPr>
      <w:r>
        <w:rPr>
          <w:color w:val="000000"/>
          <w:sz w:val="23"/>
          <w:szCs w:val="23"/>
        </w:rPr>
        <w:t>Subject to section 94, on receiving an application under section 92 the NCC must deal with it in accordance with the Rules.</w:t>
      </w:r>
    </w:p>
    <w:p>
      <w:pPr>
        <w:pStyle w:val="Heading5"/>
        <w:keepNext w:val="0"/>
        <w:keepLines w:val="0"/>
        <w:rPr>
          <w:bCs/>
          <w:color w:val="000000"/>
          <w:sz w:val="26"/>
          <w:szCs w:val="26"/>
        </w:rPr>
      </w:pPr>
      <w:bookmarkStart w:id="441" w:name="_Toc158374819"/>
      <w:r>
        <w:rPr>
          <w:rStyle w:val="CharSectno"/>
        </w:rPr>
        <w:t>94</w:t>
      </w:r>
      <w:r>
        <w:t>.</w:t>
      </w:r>
      <w:r>
        <w:tab/>
        <w:t>NCC may defer consideration of application in</w:t>
      </w:r>
      <w:r>
        <w:rPr>
          <w:bCs/>
          <w:color w:val="000000"/>
          <w:sz w:val="26"/>
          <w:szCs w:val="26"/>
        </w:rPr>
        <w:t xml:space="preserve"> certain cases</w:t>
      </w:r>
      <w:bookmarkEnd w:id="441"/>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an application under section 92 is made in relation to a proposed pipeline after—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has been made to the AER under the Rules for the approval, by the AER, of the tender process for the construction and operation of the proposed pipeline as a competitive tender process;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a tender approval decision has been made in respect of the tender process for the construction and operation of the proposed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may defer consideration of whether to make a recommendation in respect of the application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application for the approval, by the AER, of the tender process for the construction and operation of the proposed pipeline as a competitive tender process has been rejected by the AER under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tender approval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has been revoked under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has lapsed as provided under the Rules.</w:t>
      </w:r>
    </w:p>
    <w:p>
      <w:pPr>
        <w:pStyle w:val="Heading5"/>
      </w:pPr>
      <w:bookmarkStart w:id="442" w:name="_Toc158374820"/>
      <w:r>
        <w:rPr>
          <w:rStyle w:val="CharSectno"/>
        </w:rPr>
        <w:t>95</w:t>
      </w:r>
      <w:r>
        <w:t>.</w:t>
      </w:r>
      <w:r>
        <w:tab/>
        <w:t>NCC coverage recommendation</w:t>
      </w:r>
      <w:bookmarkEnd w:id="44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sections 94 and 96, the NCC must recommend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 be a covered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Chapter 3 Part 2 Division 1 Subdivision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(3)</w:t>
      </w:r>
      <w:r>
        <w:rPr>
          <w:color w:val="000000"/>
          <w:sz w:val="23"/>
          <w:szCs w:val="23"/>
        </w:rPr>
        <w:tab/>
        <w:t>A recommendation under this section may recommend an outcome different from the outcome sought in the application under section 92.</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determination that the whole of a pipeline be a covered pipeline. The NCC may recommend that only a part of the pipeline the subject of the application be covered or may recommend that the pipeline not be covered.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443" w:name="_Toc158374821"/>
      <w:r>
        <w:rPr>
          <w:rStyle w:val="CharSectno"/>
        </w:rPr>
        <w:t>96</w:t>
      </w:r>
      <w:r>
        <w:t>.</w:t>
      </w:r>
      <w:r>
        <w:tab/>
        <w:t>NCC must not make coverage recommendation if tender approval decision becomes irrevocable</w:t>
      </w:r>
      <w:bookmarkEnd w:id="443"/>
    </w:p>
    <w:p>
      <w:pPr>
        <w:keepNext/>
        <w:keepLines/>
        <w:autoSpaceDE w:val="0"/>
        <w:autoSpaceDN w:val="0"/>
        <w:adjustRightInd w:val="0"/>
        <w:spacing w:before="120"/>
        <w:ind w:left="1588"/>
        <w:rPr>
          <w:color w:val="000000"/>
          <w:sz w:val="23"/>
          <w:szCs w:val="23"/>
        </w:rPr>
      </w:pPr>
      <w:r>
        <w:rPr>
          <w:color w:val="000000"/>
          <w:sz w:val="23"/>
          <w:szCs w:val="23"/>
        </w:rPr>
        <w:t>Despite anything to the contrary in this Division,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not make a recommendation under section 95 if the pipeline is the subject of a tender approval decision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has not lapsed as provided under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not revoked under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for the purposes of paragraph (a), treat the application as having never been made.</w:t>
      </w:r>
    </w:p>
    <w:p>
      <w:pPr>
        <w:pStyle w:val="Heading5"/>
      </w:pPr>
      <w:bookmarkStart w:id="444" w:name="_Toc158374822"/>
      <w:r>
        <w:rPr>
          <w:rStyle w:val="CharSectno"/>
        </w:rPr>
        <w:t>97</w:t>
      </w:r>
      <w:r>
        <w:t>.</w:t>
      </w:r>
      <w:r>
        <w:tab/>
        <w:t>Principles governing the making of a coverage recommendation</w:t>
      </w:r>
      <w:bookmarkEnd w:id="44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coverage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pipeline—the recommendation must be in favour of the pipeline being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pipeline—the recommendation must be against the pipeline being a covered pipeline.</w:t>
      </w:r>
    </w:p>
    <w:p>
      <w:pPr>
        <w:pStyle w:val="Heading5"/>
      </w:pPr>
      <w:bookmarkStart w:id="445" w:name="_Toc158374823"/>
      <w:r>
        <w:rPr>
          <w:rStyle w:val="CharSectno"/>
        </w:rPr>
        <w:t>98</w:t>
      </w:r>
      <w:r>
        <w:t>.</w:t>
      </w:r>
      <w:r>
        <w:tab/>
        <w:t>Initial classification decision to be made as part of recommendation</w:t>
      </w:r>
      <w:bookmarkEnd w:id="44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as part of a coverage recommendation, classify the pipeline the subject of an application under section 92 as a transmission pipeline or a distribution pipeline (an </w:t>
      </w:r>
      <w:r>
        <w:rPr>
          <w:rStyle w:val="CharDefText"/>
          <w:bCs/>
          <w:sz w:val="23"/>
        </w:rPr>
        <w:t>initial classification decision</w:t>
      </w:r>
      <w:r>
        <w:rPr>
          <w:color w:val="000000"/>
          <w:sz w:val="23"/>
          <w:szCs w:val="23"/>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also determine, as part of an initial classification decision, the participating jurisdiction with which the pipeline the subject of the application under section 92 is most closely connected if the NCC determines the pipeline is also a cross boundary distribution pipeline. In doing so, the NCC must apply the pipeline classification criterion.</w:t>
      </w:r>
    </w:p>
    <w:p>
      <w:pPr>
        <w:pStyle w:val="Heading5"/>
      </w:pPr>
      <w:bookmarkStart w:id="446" w:name="_Toc158374824"/>
      <w:r>
        <w:rPr>
          <w:rStyle w:val="CharSectno"/>
        </w:rPr>
        <w:lastRenderedPageBreak/>
        <w:t>99</w:t>
      </w:r>
      <w:r>
        <w:t>.</w:t>
      </w:r>
      <w:r>
        <w:tab/>
        <w:t>Relevant Minister’s determination on application</w:t>
      </w:r>
      <w:bookmarkEnd w:id="44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coverage recommendation, the relevant Minister must decide whether to make a 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20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92.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coverage determination or a decision not to make a coverage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the case of a coverage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92;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coverage recommendation.</w:t>
      </w:r>
    </w:p>
    <w:p>
      <w:pPr>
        <w:keepNext/>
        <w:keepLines/>
        <w:autoSpaceDE w:val="0"/>
        <w:autoSpaceDN w:val="0"/>
        <w:adjustRightInd w:val="0"/>
        <w:spacing w:before="120"/>
        <w:ind w:left="2382" w:hanging="794"/>
        <w:rPr>
          <w:b/>
          <w:bCs/>
          <w:color w:val="000000"/>
          <w:sz w:val="20"/>
        </w:rPr>
      </w:pPr>
      <w:r>
        <w:rPr>
          <w:b/>
          <w:bCs/>
          <w:color w:val="000000"/>
          <w:sz w:val="20"/>
        </w:rPr>
        <w:lastRenderedPageBreak/>
        <w:t>Example—</w:t>
      </w:r>
    </w:p>
    <w:p>
      <w:pPr>
        <w:keepLines/>
        <w:autoSpaceDE w:val="0"/>
        <w:autoSpaceDN w:val="0"/>
        <w:adjustRightInd w:val="0"/>
        <w:spacing w:before="120"/>
        <w:ind w:left="2382"/>
        <w:rPr>
          <w:color w:val="000000"/>
          <w:sz w:val="20"/>
        </w:rPr>
      </w:pPr>
      <w:r>
        <w:rPr>
          <w:color w:val="000000"/>
          <w:sz w:val="20"/>
        </w:rPr>
        <w:t>An applicant may apply for a determination that the whole of a pipeline be a covered pipeline. The NCC may recommend that only a part of the pipeline the subject of the application be covered. The relevant Minister may determine that different parts of the pipeline to those recommended by the NCC be covered.</w:t>
      </w:r>
    </w:p>
    <w:p>
      <w:pPr>
        <w:pStyle w:val="Heading5"/>
      </w:pPr>
      <w:bookmarkStart w:id="447" w:name="_Toc158374825"/>
      <w:r>
        <w:rPr>
          <w:rStyle w:val="CharSectno"/>
        </w:rPr>
        <w:t>100</w:t>
      </w:r>
      <w:r>
        <w:t>.</w:t>
      </w:r>
      <w:r>
        <w:tab/>
        <w:t>Principles governing the making of a coverage determination or decision not to do so</w:t>
      </w:r>
      <w:bookmarkEnd w:id="44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coverage determination under this Division,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coverage recommendation;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99(4);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relevant Minister is satisfied that all the pipeline coverage criteria are satisfied in relation to the pipeline—the Minister must make 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if the relevant Minister is not satisfied that all the pipeline coverage criteria are satisfied in relation to the pipeline—the Minister must not make a coverage determination.</w:t>
      </w:r>
    </w:p>
    <w:p>
      <w:pPr>
        <w:pStyle w:val="Heading5"/>
      </w:pPr>
      <w:bookmarkStart w:id="448" w:name="_Toc158374826"/>
      <w:r>
        <w:rPr>
          <w:rStyle w:val="CharSectno"/>
        </w:rPr>
        <w:t>101</w:t>
      </w:r>
      <w:r>
        <w:t>.</w:t>
      </w:r>
      <w:r>
        <w:tab/>
        <w:t>Operation and effect of coverage determination</w:t>
      </w:r>
      <w:bookmarkEnd w:id="448"/>
    </w:p>
    <w:p>
      <w:pPr>
        <w:keepNext/>
        <w:keepLines/>
        <w:autoSpaceDE w:val="0"/>
        <w:autoSpaceDN w:val="0"/>
        <w:adjustRightInd w:val="0"/>
        <w:spacing w:before="120"/>
        <w:ind w:left="1588"/>
        <w:rPr>
          <w:color w:val="000000"/>
          <w:sz w:val="23"/>
          <w:szCs w:val="23"/>
        </w:rPr>
      </w:pPr>
      <w:r>
        <w:rPr>
          <w:color w:val="000000"/>
          <w:sz w:val="23"/>
          <w:szCs w:val="23"/>
        </w:rPr>
        <w:t>The pipeline the subject of a coverage determination becomes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when the coverage determination takes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continues to be a covered pipeline while the coverage determination remains in effect.</w:t>
      </w:r>
    </w:p>
    <w:p>
      <w:pPr>
        <w:pStyle w:val="Heading4"/>
      </w:pPr>
      <w:bookmarkStart w:id="449" w:name="_Toc156819188"/>
      <w:bookmarkStart w:id="450" w:name="_Toc156990607"/>
      <w:bookmarkStart w:id="451" w:name="_Toc158374827"/>
      <w:r>
        <w:t>Division 2 — Coverage revocation determinations</w:t>
      </w:r>
      <w:bookmarkEnd w:id="449"/>
      <w:bookmarkEnd w:id="450"/>
      <w:bookmarkEnd w:id="451"/>
    </w:p>
    <w:p>
      <w:pPr>
        <w:pStyle w:val="Heading5"/>
      </w:pPr>
      <w:bookmarkStart w:id="452" w:name="_Toc158374828"/>
      <w:r>
        <w:rPr>
          <w:rStyle w:val="CharSectno"/>
        </w:rPr>
        <w:t>102</w:t>
      </w:r>
      <w:r>
        <w:t>.</w:t>
      </w:r>
      <w:r>
        <w:tab/>
        <w:t>Application for a determination that a pipeline no longer be a covered pipeline</w:t>
      </w:r>
      <w:bookmarkEnd w:id="45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Any person may apply for a determination that a covered pipeline no longer be a covered pipeline (a </w:t>
      </w:r>
      <w:r>
        <w:rPr>
          <w:rStyle w:val="CharDefText"/>
          <w:bCs/>
          <w:sz w:val="23"/>
        </w:rPr>
        <w:t>coverage revocation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accompanied by the fee prescribed by the Regulations (if any).</w:t>
      </w:r>
    </w:p>
    <w:p>
      <w:pPr>
        <w:pStyle w:val="Heading5"/>
      </w:pPr>
      <w:bookmarkStart w:id="453" w:name="_Toc158374829"/>
      <w:r>
        <w:rPr>
          <w:rStyle w:val="CharSectno"/>
        </w:rPr>
        <w:t>103</w:t>
      </w:r>
      <w:r>
        <w:t>.</w:t>
      </w:r>
      <w:r>
        <w:tab/>
        <w:t>Application to be dealt with in accordance with the Rules</w:t>
      </w:r>
      <w:bookmarkEnd w:id="453"/>
    </w:p>
    <w:p>
      <w:pPr>
        <w:keepLines/>
        <w:autoSpaceDE w:val="0"/>
        <w:autoSpaceDN w:val="0"/>
        <w:adjustRightInd w:val="0"/>
        <w:spacing w:before="120"/>
        <w:ind w:left="1588"/>
        <w:rPr>
          <w:color w:val="000000"/>
          <w:sz w:val="23"/>
          <w:szCs w:val="23"/>
        </w:rPr>
      </w:pPr>
      <w:r>
        <w:rPr>
          <w:color w:val="000000"/>
          <w:sz w:val="23"/>
          <w:szCs w:val="23"/>
        </w:rPr>
        <w:t>On receiving an application under section 102, the NCC must deal with it in accordance with the Rules.</w:t>
      </w:r>
    </w:p>
    <w:p>
      <w:pPr>
        <w:pStyle w:val="Heading5"/>
      </w:pPr>
      <w:bookmarkStart w:id="454" w:name="_Toc158374830"/>
      <w:r>
        <w:rPr>
          <w:rStyle w:val="CharSectno"/>
        </w:rPr>
        <w:lastRenderedPageBreak/>
        <w:t>104</w:t>
      </w:r>
      <w:r>
        <w:t>.</w:t>
      </w:r>
      <w:r>
        <w:tab/>
        <w:t>NCC coverage revocation recommendation</w:t>
      </w:r>
      <w:bookmarkEnd w:id="45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to the relevant Minister as to whether the covered pipeline the subject of the application should continue to be a covered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119.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from the outcome sought in the application under section 102.</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 service provider may apply for a determination that revokes the coverage of the covered pipeline by means of which the provider provides pipeline services. The NCC may recommend that the coverage of the covered pipeline be only partly revoked or not be revoked.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455" w:name="_Toc158374831"/>
      <w:r>
        <w:rPr>
          <w:rStyle w:val="CharSectno"/>
        </w:rPr>
        <w:lastRenderedPageBreak/>
        <w:t>105</w:t>
      </w:r>
      <w:r>
        <w:t>.</w:t>
      </w:r>
      <w:r>
        <w:tab/>
        <w:t>Principles governing the making of a coverage revocation recommendation</w:t>
      </w:r>
      <w:bookmarkEnd w:id="45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coverage revocation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pipeline—the recommendation must be in favour of the pipeline continuing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pipeline—the recommendation must be in favour of the pipeline no longer being a covered pipeline.</w:t>
      </w:r>
    </w:p>
    <w:p>
      <w:pPr>
        <w:pStyle w:val="Heading5"/>
      </w:pPr>
      <w:bookmarkStart w:id="456" w:name="_Toc158374832"/>
      <w:r>
        <w:rPr>
          <w:rStyle w:val="CharSectno"/>
        </w:rPr>
        <w:t>106</w:t>
      </w:r>
      <w:r>
        <w:t>.</w:t>
      </w:r>
      <w:r>
        <w:tab/>
        <w:t>Relevant Minister’s determination on application</w:t>
      </w:r>
      <w:bookmarkEnd w:id="45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coverage revocation recommendation, the relevant Minister must decide whether to make a coverage revocation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20 business days after receiving the coverage revocation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(4)</w:t>
      </w:r>
      <w:r>
        <w:rPr>
          <w:color w:val="000000"/>
          <w:sz w:val="23"/>
          <w:szCs w:val="23"/>
        </w:rPr>
        <w:tab/>
        <w:t>The relevant Minister, for the purpose of making the decision, may request submissions or comments in relation to an application under section 102.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coverage revocation determination or a decision not to make a coverage revocation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the case of a coverage revocation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coverage revocation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102;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coverage revocation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 service provider may apply for a determination that revokes the coverage of the covered pipeline by means of which the provider provides pipeline services. The NCC may recommend that the coverage of the covered pipeline be only partly revoked. The relevant Minister may make a determination that revokes coverage of different parts of the covered pipeline to those parts in relation to which the NCC recommended coverage be revoked.</w:t>
      </w:r>
    </w:p>
    <w:p>
      <w:pPr>
        <w:pStyle w:val="Heading5"/>
        <w:keepNext w:val="0"/>
        <w:keepLines w:val="0"/>
        <w:spacing w:before="120"/>
      </w:pPr>
      <w:bookmarkStart w:id="457" w:name="_Toc158374833"/>
      <w:r>
        <w:rPr>
          <w:rStyle w:val="CharSectno"/>
        </w:rPr>
        <w:t>107</w:t>
      </w:r>
      <w:r>
        <w:t>.</w:t>
      </w:r>
      <w:r>
        <w:tab/>
        <w:t>Principles governing the making of a coverage revocation determination or decision not to do so</w:t>
      </w:r>
      <w:bookmarkEnd w:id="457"/>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coverage revocation determination under this Division, the relevant Minister—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coverage revocation recommendation; and</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106(4);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relevant Minister is satisfied that all the pipeline coverage criteria are satisfied in relation to the pipeline—the Minister must not make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relevant Minister is not satisfied that all the pipeline coverage criteria are satisfied in relation to the pipeline—the Minister must make a coverage revocation determination.</w:t>
      </w:r>
    </w:p>
    <w:p>
      <w:pPr>
        <w:pStyle w:val="Heading5"/>
      </w:pPr>
      <w:bookmarkStart w:id="458" w:name="_Toc158374834"/>
      <w:r>
        <w:rPr>
          <w:rStyle w:val="CharSectno"/>
        </w:rPr>
        <w:t>108</w:t>
      </w:r>
      <w:r>
        <w:t>.</w:t>
      </w:r>
      <w:r>
        <w:tab/>
        <w:t>Operation and effect of coverage revocation determination</w:t>
      </w:r>
      <w:bookmarkEnd w:id="458"/>
    </w:p>
    <w:p>
      <w:pPr>
        <w:keepLines/>
        <w:autoSpaceDE w:val="0"/>
        <w:autoSpaceDN w:val="0"/>
        <w:adjustRightInd w:val="0"/>
        <w:spacing w:before="120"/>
        <w:ind w:left="1588"/>
        <w:rPr>
          <w:color w:val="000000"/>
          <w:sz w:val="23"/>
          <w:szCs w:val="23"/>
        </w:rPr>
      </w:pPr>
      <w:r>
        <w:rPr>
          <w:color w:val="000000"/>
          <w:sz w:val="23"/>
          <w:szCs w:val="23"/>
        </w:rPr>
        <w:t>The pipeline the subject of a coverage revocation determination ceases to be a covered pipeline when the coverage revocation determination takes effect.</w:t>
      </w:r>
    </w:p>
    <w:p>
      <w:pPr>
        <w:pStyle w:val="Heading3"/>
      </w:pPr>
      <w:bookmarkStart w:id="459" w:name="_Toc156819196"/>
      <w:bookmarkStart w:id="460" w:name="_Toc156990615"/>
      <w:bookmarkStart w:id="461" w:name="_Toc158374835"/>
      <w:r>
        <w:rPr>
          <w:rStyle w:val="CharDivNo"/>
        </w:rPr>
        <w:lastRenderedPageBreak/>
        <w:t>Part 2</w:t>
      </w:r>
      <w:r>
        <w:t xml:space="preserve"> — </w:t>
      </w:r>
      <w:r>
        <w:rPr>
          <w:rStyle w:val="CharDivText"/>
        </w:rPr>
        <w:t>Light regulation of covered pipeline services</w:t>
      </w:r>
      <w:bookmarkEnd w:id="459"/>
      <w:bookmarkEnd w:id="460"/>
      <w:bookmarkEnd w:id="461"/>
    </w:p>
    <w:p>
      <w:pPr>
        <w:pStyle w:val="Heading4"/>
      </w:pPr>
      <w:bookmarkStart w:id="462" w:name="_Toc156819197"/>
      <w:bookmarkStart w:id="463" w:name="_Toc156990616"/>
      <w:bookmarkStart w:id="464" w:name="_Toc158374836"/>
      <w:r>
        <w:t>Division 1 — Making of light regulation determinations</w:t>
      </w:r>
      <w:bookmarkEnd w:id="462"/>
      <w:bookmarkEnd w:id="463"/>
      <w:bookmarkEnd w:id="464"/>
    </w:p>
    <w:p>
      <w:pPr>
        <w:pStyle w:val="Heading4"/>
      </w:pPr>
      <w:bookmarkStart w:id="465" w:name="_Toc156819198"/>
      <w:bookmarkStart w:id="466" w:name="_Toc156990617"/>
      <w:bookmarkStart w:id="467" w:name="_Toc158374837"/>
      <w:r>
        <w:t>Subdivision 1 — Decisions when pipeline is not a covered pipeline</w:t>
      </w:r>
      <w:bookmarkEnd w:id="465"/>
      <w:bookmarkEnd w:id="466"/>
      <w:bookmarkEnd w:id="467"/>
    </w:p>
    <w:p>
      <w:pPr>
        <w:pStyle w:val="Heading5"/>
      </w:pPr>
      <w:bookmarkStart w:id="468" w:name="_Toc158374838"/>
      <w:r>
        <w:rPr>
          <w:rStyle w:val="CharSectno"/>
        </w:rPr>
        <w:t>109</w:t>
      </w:r>
      <w:r>
        <w:t>.</w:t>
      </w:r>
      <w:r>
        <w:tab/>
        <w:t>Application of Subdivision</w:t>
      </w:r>
      <w:bookmarkEnd w:id="468"/>
    </w:p>
    <w:p>
      <w:pPr>
        <w:keepNext/>
        <w:keepLines/>
        <w:autoSpaceDE w:val="0"/>
        <w:autoSpaceDN w:val="0"/>
        <w:adjustRightInd w:val="0"/>
        <w:spacing w:before="120"/>
        <w:ind w:left="1588"/>
        <w:rPr>
          <w:color w:val="000000"/>
          <w:sz w:val="23"/>
          <w:szCs w:val="23"/>
        </w:rPr>
      </w:pPr>
      <w:r>
        <w:rPr>
          <w:color w:val="000000"/>
          <w:sz w:val="23"/>
          <w:szCs w:val="23"/>
        </w:rPr>
        <w:t>This Subdivision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has been made under section 92 for a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the subject of the application is not a designated pipeline.</w:t>
      </w:r>
    </w:p>
    <w:p>
      <w:pPr>
        <w:pStyle w:val="Heading5"/>
      </w:pPr>
      <w:bookmarkStart w:id="469" w:name="_Toc158374839"/>
      <w:r>
        <w:rPr>
          <w:rStyle w:val="CharSectno"/>
        </w:rPr>
        <w:t>110</w:t>
      </w:r>
      <w:r>
        <w:t>.</w:t>
      </w:r>
      <w:r>
        <w:tab/>
        <w:t>NCC’s decision on light regulation of pipeline services</w:t>
      </w:r>
      <w:bookmarkEnd w:id="46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decide whether to make a determination that the pipeline services provided or to be provided by means of the pipeline are light regulation services (a </w:t>
      </w:r>
      <w:r>
        <w:rPr>
          <w:rStyle w:val="CharDefText"/>
          <w:bCs/>
          <w:sz w:val="23"/>
        </w:rPr>
        <w:t>light regulation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make its decision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at the same time as it makes the coverage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time it must make the coverage recommendation.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attached to the coverage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w:t>
      </w:r>
    </w:p>
    <w:p>
      <w:pPr>
        <w:keepNext/>
        <w:keepLines/>
        <w:autoSpaceDE w:val="0"/>
        <w:autoSpaceDN w:val="0"/>
        <w:adjustRightInd w:val="0"/>
        <w:spacing w:before="120"/>
        <w:ind w:left="1588" w:hanging="567"/>
        <w:rPr>
          <w:b/>
          <w:bCs/>
          <w:color w:val="000000"/>
          <w:sz w:val="20"/>
        </w:rPr>
      </w:pPr>
      <w:r>
        <w:rPr>
          <w:b/>
          <w:bCs/>
          <w:color w:val="000000"/>
          <w:sz w:val="20"/>
        </w:rPr>
        <w:lastRenderedPageBreak/>
        <w:t>Note—</w:t>
      </w:r>
    </w:p>
    <w:p>
      <w:pPr>
        <w:keepLines/>
        <w:autoSpaceDE w:val="0"/>
        <w:autoSpaceDN w:val="0"/>
        <w:adjustRightInd w:val="0"/>
        <w:spacing w:before="120"/>
        <w:ind w:left="1588"/>
        <w:rPr>
          <w:color w:val="000000"/>
          <w:sz w:val="20"/>
        </w:rPr>
      </w:pPr>
      <w:r>
        <w:rPr>
          <w:color w:val="000000"/>
          <w:sz w:val="20"/>
        </w:rPr>
        <w:t>If the NCC makes a light regulation determination, and the relevant Minister makes the coverage determination, the service provider may submit a limited access arrangement in respect of the light regulation services to the AER for approval: see section 116.</w:t>
      </w:r>
    </w:p>
    <w:p>
      <w:pPr>
        <w:pStyle w:val="Heading4"/>
      </w:pPr>
      <w:bookmarkStart w:id="470" w:name="_Toc156819201"/>
      <w:bookmarkStart w:id="471" w:name="_Toc156990620"/>
      <w:bookmarkStart w:id="472" w:name="_Toc158374840"/>
      <w:r>
        <w:t>Subdivision 2 — Decisions when pipeline is a covered pipeline</w:t>
      </w:r>
      <w:bookmarkEnd w:id="470"/>
      <w:bookmarkEnd w:id="471"/>
      <w:bookmarkEnd w:id="472"/>
    </w:p>
    <w:p>
      <w:pPr>
        <w:pStyle w:val="Heading5"/>
      </w:pPr>
      <w:bookmarkStart w:id="473" w:name="_Toc158374841"/>
      <w:r>
        <w:rPr>
          <w:rStyle w:val="CharSectno"/>
        </w:rPr>
        <w:t>111</w:t>
      </w:r>
      <w:r>
        <w:t>.</w:t>
      </w:r>
      <w:r>
        <w:tab/>
        <w:t>Application of Subdivision</w:t>
      </w:r>
      <w:bookmarkEnd w:id="473"/>
    </w:p>
    <w:p>
      <w:pPr>
        <w:keepNext/>
        <w:keepLines/>
        <w:autoSpaceDE w:val="0"/>
        <w:autoSpaceDN w:val="0"/>
        <w:adjustRightInd w:val="0"/>
        <w:spacing w:before="120"/>
        <w:ind w:left="1588"/>
        <w:rPr>
          <w:color w:val="000000"/>
          <w:sz w:val="23"/>
          <w:szCs w:val="23"/>
        </w:rPr>
      </w:pPr>
      <w:r>
        <w:rPr>
          <w:color w:val="000000"/>
          <w:sz w:val="23"/>
          <w:szCs w:val="23"/>
        </w:rPr>
        <w:t>This Subdivision applies if a service provider provides pipelines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a covered pipeline that is not a designated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an applicable access arrangement approved or made under a full access arrangement decision applies.</w:t>
      </w:r>
    </w:p>
    <w:p>
      <w:pPr>
        <w:pStyle w:val="Heading5"/>
      </w:pPr>
      <w:bookmarkStart w:id="474" w:name="_Toc158374842"/>
      <w:r>
        <w:rPr>
          <w:rStyle w:val="CharSectno"/>
        </w:rPr>
        <w:t>112</w:t>
      </w:r>
      <w:r>
        <w:t>.</w:t>
      </w:r>
      <w:r>
        <w:tab/>
        <w:t>Application</w:t>
      </w:r>
      <w:bookmarkEnd w:id="47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 service provider may apply to the NCC for a determination that pipeline services provided by the service provider by means of a covered pipeline be light regulation services (a </w:t>
      </w:r>
      <w:r>
        <w:rPr>
          <w:rStyle w:val="CharDefText"/>
          <w:bCs/>
          <w:sz w:val="23"/>
        </w:rPr>
        <w:t>light regulation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may only be made in respect of all of the pipeline services provided by means of the covered pipeline.</w:t>
      </w:r>
    </w:p>
    <w:p>
      <w:pPr>
        <w:pStyle w:val="Heading5"/>
      </w:pPr>
      <w:bookmarkStart w:id="475" w:name="_Toc158374843"/>
      <w:r>
        <w:rPr>
          <w:rStyle w:val="CharSectno"/>
        </w:rPr>
        <w:t>113</w:t>
      </w:r>
      <w:r>
        <w:t>.</w:t>
      </w:r>
      <w:r>
        <w:tab/>
        <w:t>Application to be dealt with in accordance with the Rules</w:t>
      </w:r>
      <w:bookmarkEnd w:id="475"/>
    </w:p>
    <w:p>
      <w:pPr>
        <w:keepLines/>
        <w:autoSpaceDE w:val="0"/>
        <w:autoSpaceDN w:val="0"/>
        <w:adjustRightInd w:val="0"/>
        <w:spacing w:before="120"/>
        <w:ind w:left="1588"/>
        <w:rPr>
          <w:color w:val="000000"/>
          <w:sz w:val="23"/>
          <w:szCs w:val="23"/>
        </w:rPr>
      </w:pPr>
      <w:r>
        <w:rPr>
          <w:color w:val="000000"/>
          <w:sz w:val="23"/>
          <w:szCs w:val="23"/>
        </w:rPr>
        <w:t>On receiving an application under section 112, the NCC must deal with it in accordance with the Rules.</w:t>
      </w:r>
    </w:p>
    <w:p>
      <w:pPr>
        <w:pStyle w:val="Heading5"/>
      </w:pPr>
      <w:bookmarkStart w:id="476" w:name="_Toc158374844"/>
      <w:r>
        <w:rPr>
          <w:rStyle w:val="CharSectno"/>
        </w:rPr>
        <w:lastRenderedPageBreak/>
        <w:t>114</w:t>
      </w:r>
      <w:r>
        <w:t>.</w:t>
      </w:r>
      <w:r>
        <w:tab/>
        <w:t>NCC’s decision on light regulation of pipeline services</w:t>
      </w:r>
      <w:bookmarkEnd w:id="47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decide whether to make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112;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If the NCC makes a light regulation determination, the service provider may submit a limited access arrangement in respect of the light regulation services to the AER for approval: see section 116.</w:t>
      </w:r>
    </w:p>
    <w:p>
      <w:pPr>
        <w:pStyle w:val="Heading4"/>
      </w:pPr>
      <w:bookmarkStart w:id="477" w:name="_Toc156819206"/>
      <w:bookmarkStart w:id="478" w:name="_Toc156990625"/>
      <w:bookmarkStart w:id="479" w:name="_Toc158374845"/>
      <w:r>
        <w:t>Subdivision 3 — Operation and effect of light regulation determinations</w:t>
      </w:r>
      <w:bookmarkEnd w:id="477"/>
      <w:bookmarkEnd w:id="478"/>
      <w:bookmarkEnd w:id="479"/>
    </w:p>
    <w:p>
      <w:pPr>
        <w:pStyle w:val="Heading5"/>
      </w:pPr>
      <w:bookmarkStart w:id="480" w:name="_Toc158374846"/>
      <w:r>
        <w:rPr>
          <w:rStyle w:val="CharSectno"/>
        </w:rPr>
        <w:t>115</w:t>
      </w:r>
      <w:r>
        <w:t>.</w:t>
      </w:r>
      <w:r>
        <w:tab/>
        <w:t>When light regulation determinations take effect</w:t>
      </w:r>
      <w:bookmarkEnd w:id="48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light regulation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light regulation determination made under Subdivision 1—on the day the relevant coverage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light regulation determination made under Subdivision 2—60 business days after the light regulation determination is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(2)</w:t>
      </w:r>
      <w:r>
        <w:rPr>
          <w:color w:val="000000"/>
          <w:sz w:val="23"/>
          <w:szCs w:val="23"/>
        </w:rPr>
        <w:tab/>
        <w:t>A light regulation determination continues in operation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revoked by operation of section 117(5);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under section 119(2) or 120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it is revoked by operation of section 123(2);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it is revoked by operation of section 124.</w:t>
      </w:r>
    </w:p>
    <w:p>
      <w:pPr>
        <w:pStyle w:val="Heading5"/>
      </w:pPr>
      <w:bookmarkStart w:id="481" w:name="_Toc158374847"/>
      <w:r>
        <w:rPr>
          <w:rStyle w:val="CharSectno"/>
        </w:rPr>
        <w:t>116</w:t>
      </w:r>
      <w:r>
        <w:t>.</w:t>
      </w:r>
      <w:r>
        <w:tab/>
        <w:t>Submission of limited access arrangement for light regulation services</w:t>
      </w:r>
      <w:bookmarkEnd w:id="48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in respect of light regulation services the service provider provides or intends to provide,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service provider chooses to submit a limited access arrangement in accordance with subsection (1), the limited access arrangement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submit to the AER, for approval by the AER under the Rules, revisions to an applicable access arrangement that is a limited access arrangement and that applies to the light regulation services the provider provides—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specified by the Rules.</w:t>
      </w:r>
    </w:p>
    <w:p>
      <w:pPr>
        <w:pStyle w:val="Heading4"/>
      </w:pPr>
      <w:bookmarkStart w:id="482" w:name="_Toc156819209"/>
      <w:bookmarkStart w:id="483" w:name="_Toc156990628"/>
      <w:bookmarkStart w:id="484" w:name="_Toc158374848"/>
      <w:r>
        <w:lastRenderedPageBreak/>
        <w:t>Division 2 — Revocation of light regulation determinations</w:t>
      </w:r>
      <w:bookmarkEnd w:id="482"/>
      <w:bookmarkEnd w:id="483"/>
      <w:bookmarkEnd w:id="484"/>
    </w:p>
    <w:p>
      <w:pPr>
        <w:pStyle w:val="Heading4"/>
      </w:pPr>
      <w:bookmarkStart w:id="485" w:name="_Toc156819210"/>
      <w:bookmarkStart w:id="486" w:name="_Toc156990629"/>
      <w:bookmarkStart w:id="487" w:name="_Toc158374849"/>
      <w:r>
        <w:t>Subdivision 1 — On advice from service providers</w:t>
      </w:r>
      <w:bookmarkEnd w:id="485"/>
      <w:bookmarkEnd w:id="486"/>
      <w:bookmarkEnd w:id="487"/>
    </w:p>
    <w:p>
      <w:pPr>
        <w:pStyle w:val="Heading5"/>
      </w:pPr>
      <w:bookmarkStart w:id="488" w:name="_Toc158374850"/>
      <w:r>
        <w:rPr>
          <w:rStyle w:val="CharSectno"/>
        </w:rPr>
        <w:t>117</w:t>
      </w:r>
      <w:r>
        <w:t>.</w:t>
      </w:r>
      <w:r>
        <w:tab/>
        <w:t>Advice by service provider that light regulation services should cease to be light regulation services</w:t>
      </w:r>
      <w:bookmarkEnd w:id="48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advise the NCC that it wishes that the pipeline services it provides cease to be light regulation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advice under subsection (1) must be in writing.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an advice under subsection (1), the NCC must, without delay, publish notice of receipt of that advice—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on its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 newspaper circulating generally throughout Australia.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On publication of a notice under subsection (3) the service provider must comply with section 132.</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light regulation determination applying to the pipeline services is, by force of this section, revoked on the same day that an access arrangement that applies to the pipeline services provided by that service provider is, as the case requires,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On the revocation of the light regulation determination the pipeline services to which the light regulation determination applied cease to be light regulation services.</w:t>
      </w:r>
    </w:p>
    <w:p>
      <w:pPr>
        <w:pStyle w:val="Heading4"/>
      </w:pPr>
      <w:bookmarkStart w:id="489" w:name="_Toc156819212"/>
      <w:bookmarkStart w:id="490" w:name="_Toc156990631"/>
      <w:bookmarkStart w:id="491" w:name="_Toc158374851"/>
      <w:r>
        <w:lastRenderedPageBreak/>
        <w:t>Subdivision 2 — On application by persons other than service providers</w:t>
      </w:r>
      <w:bookmarkEnd w:id="489"/>
      <w:bookmarkEnd w:id="490"/>
      <w:bookmarkEnd w:id="491"/>
    </w:p>
    <w:p>
      <w:pPr>
        <w:pStyle w:val="Heading5"/>
      </w:pPr>
      <w:bookmarkStart w:id="492" w:name="_Toc158374852"/>
      <w:r>
        <w:rPr>
          <w:rStyle w:val="CharSectno"/>
        </w:rPr>
        <w:t>118</w:t>
      </w:r>
      <w:r>
        <w:t>.</w:t>
      </w:r>
      <w:r>
        <w:tab/>
        <w:t>Application (other than by service provider) for revocation of light regulation determinations</w:t>
      </w:r>
      <w:bookmarkEnd w:id="49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(other than the service provider who provides light regulation services) may apply to the NCC for the revocation of a light regulation determination relating to those services.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under subsection (1)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pStyle w:val="Heading5"/>
      </w:pPr>
      <w:bookmarkStart w:id="493" w:name="_Toc158374853"/>
      <w:r>
        <w:rPr>
          <w:rStyle w:val="CharSectno"/>
        </w:rPr>
        <w:t>119</w:t>
      </w:r>
      <w:r>
        <w:t>.</w:t>
      </w:r>
      <w:r>
        <w:tab/>
        <w:t>Decisions on applications made around time of applications for coverage revocation determinations</w:t>
      </w:r>
      <w:bookmarkEnd w:id="49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application for a coverage revocation determination under section 102 under consideration—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respect of the covered pipeline by means of which the light regulation services the subject of the application under section 118 are provided;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respect of which the NCC has not made 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for a coverage revocation determination is made under section 102 in respect of the covered pipeline by means of which the light regulation services the subject of the application under section 118 are provided—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after the application under section 118; but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lastRenderedPageBreak/>
        <w:tab/>
        <w:t>(ii)</w:t>
      </w:r>
      <w:r>
        <w:rPr>
          <w:color w:val="000000"/>
          <w:sz w:val="23"/>
          <w:szCs w:val="23"/>
        </w:rPr>
        <w:tab/>
        <w:t>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anything to the contrary in this Part, the NCC must make its decision in respect of the application under this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the application under section 118, the NCC must decide whether to revoke the light regulation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NCC must make its decision under subsection (3)—</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at the same time as it makes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time it must make the coverage revocation recommendation.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decision under subsection (3)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attached to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w:t>
      </w:r>
    </w:p>
    <w:p>
      <w:pPr>
        <w:pStyle w:val="Heading5"/>
      </w:pPr>
      <w:bookmarkStart w:id="494" w:name="_Toc158374854"/>
      <w:r>
        <w:rPr>
          <w:rStyle w:val="CharSectno"/>
        </w:rPr>
        <w:t>120</w:t>
      </w:r>
      <w:r>
        <w:t>.</w:t>
      </w:r>
      <w:r>
        <w:tab/>
        <w:t>NCC decision on application where no application for a coverage revocation recommendation</w:t>
      </w:r>
      <w:bookmarkEnd w:id="49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no application for a coverage revocation determination in respect of the covered pipeline (by means of which the light regulation services the subject of the application under section 118) are provided is made 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section, on receiving an application under section 118 the NCC must deal with it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decide whether to revoke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118;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pStyle w:val="Heading5"/>
        <w:keepLines w:val="0"/>
      </w:pPr>
      <w:bookmarkStart w:id="495" w:name="_Toc158374855"/>
      <w:r>
        <w:rPr>
          <w:rStyle w:val="CharSectno"/>
        </w:rPr>
        <w:t>121</w:t>
      </w:r>
      <w:r>
        <w:t>.</w:t>
      </w:r>
      <w:r>
        <w:tab/>
        <w:t>Operation and effect of decision of NCC under this Division</w:t>
      </w:r>
      <w:bookmarkEnd w:id="495"/>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 124, on the making of a decision under section 119(2) or 120 revoking a light regulation determination, the service provider must comply with section 132.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(2)</w:t>
      </w:r>
      <w:r>
        <w:rPr>
          <w:color w:val="000000"/>
          <w:sz w:val="23"/>
          <w:szCs w:val="23"/>
        </w:rPr>
        <w:tab/>
        <w:t>However, the decision under section 119(2) or 120 revoking a light regulation determination does not take effect until an access arrangement that applies to the pipeline services provided by that service provider is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effect of a decision under section 119(2) or 120 revoking a light regulation determination is that the pipeline services to which the light regulation determination applied cease to be light regulation services.</w:t>
      </w:r>
    </w:p>
    <w:p>
      <w:pPr>
        <w:pStyle w:val="Heading4"/>
      </w:pPr>
      <w:bookmarkStart w:id="496" w:name="_Toc156819217"/>
      <w:bookmarkStart w:id="497" w:name="_Toc156990636"/>
      <w:bookmarkStart w:id="498" w:name="_Toc158374856"/>
      <w:r>
        <w:t>Division 3 — Principles governing light regulation determinations</w:t>
      </w:r>
      <w:bookmarkEnd w:id="496"/>
      <w:bookmarkEnd w:id="497"/>
      <w:bookmarkEnd w:id="498"/>
    </w:p>
    <w:p>
      <w:pPr>
        <w:pStyle w:val="Heading5"/>
      </w:pPr>
      <w:bookmarkStart w:id="499" w:name="_Toc158374857"/>
      <w:r>
        <w:rPr>
          <w:rStyle w:val="CharSectno"/>
        </w:rPr>
        <w:t>122</w:t>
      </w:r>
      <w:r>
        <w:t>.</w:t>
      </w:r>
      <w:r>
        <w:tab/>
        <w:t>Principles governing the making or revoking of light regulation determinations</w:t>
      </w:r>
      <w:bookmarkEnd w:id="49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light regulation determination under Division 1 or to revoke a light regulation determination under Division 2, the NCC must consider—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likely effectiveness of the forms of regulation provided for under this Law and the Rules to regulate the provision of the pipeline services (the subject of the application) to promote access to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effect of the forms of regulation provided for under this Law and the Rules 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likely costs that may be incurred by an efficient service provider;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likely costs that may be incurred by efficient users and efficient prospective users;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likely costs of end users.</w:t>
      </w:r>
    </w:p>
    <w:p>
      <w:pPr>
        <w:keepNext/>
        <w:keepLines/>
        <w:autoSpaceDE w:val="0"/>
        <w:autoSpaceDN w:val="0"/>
        <w:adjustRightInd w:val="0"/>
        <w:spacing w:before="120"/>
        <w:ind w:left="2382" w:hanging="794"/>
        <w:rPr>
          <w:b/>
          <w:bCs/>
          <w:color w:val="000000"/>
          <w:sz w:val="20"/>
        </w:rPr>
      </w:pPr>
      <w:r>
        <w:rPr>
          <w:b/>
          <w:bCs/>
          <w:color w:val="000000"/>
          <w:sz w:val="20"/>
        </w:rPr>
        <w:lastRenderedPageBreak/>
        <w:t>Note—</w:t>
      </w:r>
    </w:p>
    <w:p>
      <w:pPr>
        <w:keepNext/>
        <w:keepLines/>
        <w:autoSpaceDE w:val="0"/>
        <w:autoSpaceDN w:val="0"/>
        <w:adjustRightInd w:val="0"/>
        <w:spacing w:before="120"/>
        <w:ind w:left="2382"/>
        <w:rPr>
          <w:color w:val="000000"/>
          <w:sz w:val="20"/>
        </w:rPr>
      </w:pPr>
      <w:r>
        <w:rPr>
          <w:color w:val="000000"/>
          <w:sz w:val="20"/>
        </w:rPr>
        <w:t>The forms of regulation provided for under this Law and the Rules to regulate the provision of the pipeline services by means of a covered pipeline are—</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making a light regulation determination so that those services become light regulation services;</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not making a light regulation determination so that those services are regulated under a full access arrangement decision that approves or makes the applicable access arrangement that applies to those services.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have regard to the form of regulation factors;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have regard to any other matters it considers relevant.</w:t>
      </w:r>
    </w:p>
    <w:p>
      <w:pPr>
        <w:pStyle w:val="Heading4"/>
      </w:pPr>
      <w:bookmarkStart w:id="500" w:name="_Toc156819219"/>
      <w:bookmarkStart w:id="501" w:name="_Toc156990638"/>
      <w:bookmarkStart w:id="502" w:name="_Toc158374858"/>
      <w:r>
        <w:t>Division 4 — Revocation if coverage determination not made</w:t>
      </w:r>
      <w:bookmarkEnd w:id="500"/>
      <w:bookmarkEnd w:id="501"/>
      <w:bookmarkEnd w:id="502"/>
    </w:p>
    <w:p>
      <w:pPr>
        <w:pStyle w:val="Heading5"/>
      </w:pPr>
      <w:bookmarkStart w:id="503" w:name="_Toc158374859"/>
      <w:r>
        <w:rPr>
          <w:rStyle w:val="CharSectno"/>
        </w:rPr>
        <w:t>123</w:t>
      </w:r>
      <w:r>
        <w:t>.</w:t>
      </w:r>
      <w:r>
        <w:tab/>
        <w:t>Light regulation determination revoked if coverage determination not made</w:t>
      </w:r>
      <w:bookmarkEnd w:id="50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light regulation determination has been made in respect of pipeline services;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by means of which those services will be provided does not become a covered pipeline because the relevant Minister, contrary to a coverage recommendation recommending coverage, makes a decision not to make a coverage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light regulation determination is, by force of this section, revoked on the same day as the relevant Minister’s decision not to make a coverage determination takes effect.</w:t>
      </w:r>
    </w:p>
    <w:p>
      <w:pPr>
        <w:pStyle w:val="Heading4"/>
      </w:pPr>
      <w:bookmarkStart w:id="504" w:name="_Toc156819221"/>
      <w:bookmarkStart w:id="505" w:name="_Toc156990640"/>
      <w:bookmarkStart w:id="506" w:name="_Toc158374860"/>
      <w:r>
        <w:lastRenderedPageBreak/>
        <w:t>Division 5 — Effect of pipeline ceasing to be covered pipeline</w:t>
      </w:r>
      <w:bookmarkEnd w:id="504"/>
      <w:bookmarkEnd w:id="505"/>
      <w:bookmarkEnd w:id="506"/>
    </w:p>
    <w:p>
      <w:pPr>
        <w:pStyle w:val="Heading5"/>
      </w:pPr>
      <w:bookmarkStart w:id="507" w:name="_Toc158374861"/>
      <w:r>
        <w:rPr>
          <w:rStyle w:val="CharSectno"/>
        </w:rPr>
        <w:t>124</w:t>
      </w:r>
      <w:r>
        <w:t>.</w:t>
      </w:r>
      <w:r>
        <w:tab/>
        <w:t>Light regulation services cease to be such services on cessation of coverage of pipeline</w:t>
      </w:r>
      <w:bookmarkEnd w:id="507"/>
    </w:p>
    <w:p>
      <w:pPr>
        <w:keepNext/>
        <w:keepLines/>
        <w:autoSpaceDE w:val="0"/>
        <w:autoSpaceDN w:val="0"/>
        <w:adjustRightInd w:val="0"/>
        <w:spacing w:before="120"/>
        <w:ind w:left="1588"/>
        <w:rPr>
          <w:color w:val="000000"/>
          <w:sz w:val="23"/>
          <w:szCs w:val="23"/>
        </w:rPr>
      </w:pPr>
      <w:r>
        <w:rPr>
          <w:color w:val="000000"/>
          <w:sz w:val="23"/>
          <w:szCs w:val="23"/>
        </w:rPr>
        <w:t>If a pipeline by means of which light regulation services are provided ceases to be a covered pipeline because of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light regulation determination applying to the light regulation services provided by means of that pipeline is, by force of this section, revoked on the same day the coverage revocation determination takes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avoid doubt, the light regulation services to which that determination applied cease to be light regulation services on the same day.</w:t>
      </w:r>
    </w:p>
    <w:p>
      <w:pPr>
        <w:pStyle w:val="Heading4"/>
      </w:pPr>
      <w:bookmarkStart w:id="508" w:name="_Toc156819223"/>
      <w:bookmarkStart w:id="509" w:name="_Toc156990642"/>
      <w:bookmarkStart w:id="510" w:name="_Toc158374862"/>
      <w:r>
        <w:t>Division 6 — AER reviews into designated pipelines</w:t>
      </w:r>
      <w:bookmarkEnd w:id="508"/>
      <w:bookmarkEnd w:id="509"/>
      <w:bookmarkEnd w:id="510"/>
    </w:p>
    <w:p>
      <w:pPr>
        <w:pStyle w:val="Heading5"/>
      </w:pPr>
      <w:bookmarkStart w:id="511" w:name="_Toc158374863"/>
      <w:r>
        <w:rPr>
          <w:rStyle w:val="CharSectno"/>
        </w:rPr>
        <w:t>125</w:t>
      </w:r>
      <w:r>
        <w:t>.</w:t>
      </w:r>
      <w:r>
        <w:tab/>
        <w:t>AER reviews</w:t>
      </w:r>
      <w:bookmarkEnd w:id="51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may request the AER to conduct a review into, and report to it as to, whether a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service provider that provides pipeline services by means of a designated pipeline may request the AER to conduct a review into, and report to the MCE as to, whether that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request under subsection (1) or (2) must be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On receiving a request under this section, the AER must conduct a review as to whether the pipeline the subject of the request should continue to be a designated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conducting a review under this section, the AER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have regard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lastRenderedPageBreak/>
        <w:tab/>
        <w:t>(ii)</w:t>
      </w:r>
      <w:r>
        <w:rPr>
          <w:color w:val="000000"/>
          <w:sz w:val="23"/>
          <w:szCs w:val="23"/>
        </w:rPr>
        <w:tab/>
        <w:t>whether there has been a material change in competition in a market served by the designated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consult, in accordance with the Rules, with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On the completion of a review under this section, the AER must prepare a report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the report to the MCE;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the report on its website.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The AER must also give a copy of the report to the service provider that has requested the review.</w:t>
      </w:r>
    </w:p>
    <w:p>
      <w:pPr>
        <w:pStyle w:val="Heading3"/>
      </w:pPr>
      <w:bookmarkStart w:id="512" w:name="_Toc156819225"/>
      <w:bookmarkStart w:id="513" w:name="_Toc156990644"/>
      <w:bookmarkStart w:id="514" w:name="_Toc158374864"/>
      <w:r>
        <w:rPr>
          <w:rStyle w:val="CharDivNo"/>
        </w:rPr>
        <w:t>Part 3</w:t>
      </w:r>
      <w:r>
        <w:t xml:space="preserve"> — </w:t>
      </w:r>
      <w:r>
        <w:rPr>
          <w:rStyle w:val="CharDivText"/>
        </w:rPr>
        <w:t>Coverage of pipelines the subject of tender process</w:t>
      </w:r>
      <w:bookmarkEnd w:id="512"/>
      <w:bookmarkEnd w:id="513"/>
      <w:bookmarkEnd w:id="514"/>
    </w:p>
    <w:p>
      <w:pPr>
        <w:pStyle w:val="Heading5"/>
      </w:pPr>
      <w:bookmarkStart w:id="515" w:name="_Toc158374865"/>
      <w:r>
        <w:rPr>
          <w:rStyle w:val="CharSectno"/>
        </w:rPr>
        <w:t>126</w:t>
      </w:r>
      <w:r>
        <w:t>.</w:t>
      </w:r>
      <w:r>
        <w:tab/>
        <w:t>Tender approval pipelines deemed to be covered pipelines</w:t>
      </w:r>
      <w:bookmarkEnd w:id="51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pipeline to which a tender approval decision relates is deemed to be a covered pipeline on and from the date the tender approval decision becomes irrevocable by operation of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there is an applicable access arrangement that applies to the pipeline services provided, or that are to be provided by means of that pipeline—when that arrangement expires;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a coverage revocation determination made in respect of that pipeline takes effect.</w:t>
      </w:r>
    </w:p>
    <w:p>
      <w:pPr>
        <w:keepNext/>
        <w:keepLines/>
        <w:autoSpaceDE w:val="0"/>
        <w:autoSpaceDN w:val="0"/>
        <w:adjustRightInd w:val="0"/>
        <w:spacing w:before="120"/>
        <w:ind w:left="2382" w:hanging="794"/>
        <w:rPr>
          <w:b/>
          <w:bCs/>
          <w:color w:val="000000"/>
          <w:sz w:val="20"/>
        </w:rPr>
      </w:pPr>
      <w:r>
        <w:rPr>
          <w:b/>
          <w:bCs/>
          <w:color w:val="000000"/>
          <w:sz w:val="20"/>
        </w:rPr>
        <w:t>Note—</w:t>
      </w:r>
    </w:p>
    <w:p>
      <w:pPr>
        <w:keepNext/>
        <w:keepLines/>
        <w:autoSpaceDE w:val="0"/>
        <w:autoSpaceDN w:val="0"/>
        <w:adjustRightInd w:val="0"/>
        <w:spacing w:before="120"/>
        <w:ind w:left="2382"/>
        <w:rPr>
          <w:color w:val="000000"/>
          <w:sz w:val="20"/>
        </w:rPr>
      </w:pPr>
      <w:r>
        <w:rPr>
          <w:color w:val="000000"/>
          <w:sz w:val="20"/>
        </w:rPr>
        <w:t>Under the Rules, the NCC will—</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classify the pipeline to be constructed and operated in accordance with an approved tender process as a cross boundary transmission pipeline, cross boundary distribution pipeline, transmission pipeline or distribution pipeline; and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lastRenderedPageBreak/>
        <w:tab/>
        <w:t>(b)</w:t>
      </w:r>
      <w:r>
        <w:rPr>
          <w:color w:val="000000"/>
          <w:sz w:val="20"/>
        </w:rPr>
        <w:tab/>
        <w:t>determine the relevant Minister for the purposes of that pipeline.</w:t>
      </w:r>
    </w:p>
    <w:p>
      <w:pPr>
        <w:pStyle w:val="Heading3"/>
      </w:pPr>
      <w:bookmarkStart w:id="516" w:name="_Toc156819227"/>
      <w:bookmarkStart w:id="517" w:name="_Toc156990646"/>
      <w:bookmarkStart w:id="518" w:name="_Toc158374866"/>
      <w:r>
        <w:rPr>
          <w:rStyle w:val="CharDivNo"/>
        </w:rPr>
        <w:t>Part 4</w:t>
      </w:r>
      <w:r>
        <w:t xml:space="preserve"> — </w:t>
      </w:r>
      <w:r>
        <w:rPr>
          <w:rStyle w:val="CharDivText"/>
        </w:rPr>
        <w:t>Coverage following approval of voluntary access arrangement</w:t>
      </w:r>
      <w:bookmarkEnd w:id="516"/>
      <w:bookmarkEnd w:id="517"/>
      <w:bookmarkEnd w:id="518"/>
    </w:p>
    <w:p>
      <w:pPr>
        <w:pStyle w:val="Heading5"/>
      </w:pPr>
      <w:bookmarkStart w:id="519" w:name="_Toc158374867"/>
      <w:r>
        <w:rPr>
          <w:rStyle w:val="CharSectno"/>
        </w:rPr>
        <w:t>127</w:t>
      </w:r>
      <w:r>
        <w:t>.</w:t>
      </w:r>
      <w:r>
        <w:tab/>
        <w:t>Certain pipelines become covered pipelines on approval of voluntary access arrangement</w:t>
      </w:r>
      <w:bookmarkEnd w:id="51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voluntarily submits to the AER for approval by the AER, under the Rules, a full access arrangement that will apply to the pipeline services provided, or that are to be provided, by means of a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pipeline is not a covered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pipeline is deemed to be a covered pipeline on the day the voluntarily submitted full access arrangement takes effect as an applicable access arrangement.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when the applicable access arrangement that applies to the pipeline services provided, or that are to be provided, expires;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a coverage revocation determination is made in respect of that pipeline takes effect.</w:t>
      </w:r>
    </w:p>
    <w:p>
      <w:pPr>
        <w:keepNext/>
        <w:keepLines/>
        <w:autoSpaceDE w:val="0"/>
        <w:autoSpaceDN w:val="0"/>
        <w:adjustRightInd w:val="0"/>
        <w:spacing w:before="120"/>
        <w:ind w:left="1588" w:hanging="567"/>
        <w:rPr>
          <w:b/>
          <w:bCs/>
          <w:color w:val="000000"/>
          <w:sz w:val="20"/>
        </w:rPr>
      </w:pPr>
      <w:r>
        <w:rPr>
          <w:b/>
          <w:bCs/>
          <w:color w:val="000000"/>
          <w:sz w:val="20"/>
        </w:rPr>
        <w:t>Note—</w:t>
      </w:r>
    </w:p>
    <w:p>
      <w:pPr>
        <w:keepNext/>
        <w:keepLines/>
        <w:autoSpaceDE w:val="0"/>
        <w:autoSpaceDN w:val="0"/>
        <w:adjustRightInd w:val="0"/>
        <w:spacing w:before="120"/>
        <w:ind w:left="1588"/>
        <w:rPr>
          <w:color w:val="000000"/>
          <w:sz w:val="20"/>
        </w:rPr>
      </w:pPr>
      <w:r>
        <w:rPr>
          <w:color w:val="000000"/>
          <w:sz w:val="20"/>
        </w:rPr>
        <w:t>Under the Rules, the NCC will—</w:t>
      </w:r>
    </w:p>
    <w:p>
      <w:pPr>
        <w:keepLines/>
        <w:tabs>
          <w:tab w:val="center" w:pos="1985"/>
          <w:tab w:val="left" w:pos="2382"/>
        </w:tabs>
        <w:autoSpaceDE w:val="0"/>
        <w:autoSpaceDN w:val="0"/>
        <w:adjustRightInd w:val="0"/>
        <w:spacing w:before="120"/>
        <w:ind w:left="2382" w:hanging="794"/>
        <w:rPr>
          <w:color w:val="000000"/>
          <w:sz w:val="20"/>
        </w:rPr>
      </w:pPr>
      <w:r>
        <w:rPr>
          <w:color w:val="000000"/>
          <w:sz w:val="20"/>
        </w:rPr>
        <w:tab/>
        <w:t>(a)</w:t>
      </w:r>
      <w:r>
        <w:rPr>
          <w:color w:val="000000"/>
          <w:sz w:val="20"/>
        </w:rPr>
        <w:tab/>
        <w:t>classify the pipeline (by means of which the pipeline services to which the arrangement relates are provided) as a cross boundary transmission pipeline, cross boundary distribution pipeline, transmission pipeline or distribution pipeline; and</w:t>
      </w:r>
    </w:p>
    <w:p>
      <w:pPr>
        <w:keepLines/>
        <w:tabs>
          <w:tab w:val="center" w:pos="1985"/>
          <w:tab w:val="left" w:pos="2382"/>
        </w:tabs>
        <w:autoSpaceDE w:val="0"/>
        <w:autoSpaceDN w:val="0"/>
        <w:adjustRightInd w:val="0"/>
        <w:spacing w:before="120"/>
        <w:ind w:left="2382" w:hanging="794"/>
        <w:rPr>
          <w:color w:val="000000"/>
          <w:sz w:val="20"/>
        </w:rPr>
      </w:pPr>
      <w:r>
        <w:rPr>
          <w:color w:val="000000"/>
          <w:sz w:val="20"/>
        </w:rPr>
        <w:tab/>
        <w:t>(b)</w:t>
      </w:r>
      <w:r>
        <w:rPr>
          <w:color w:val="000000"/>
          <w:sz w:val="20"/>
        </w:rPr>
        <w:tab/>
        <w:t>determine the relevant Minister for the purposes of that pipeline.</w:t>
      </w:r>
    </w:p>
    <w:p>
      <w:pPr>
        <w:pStyle w:val="Heading3"/>
      </w:pPr>
      <w:bookmarkStart w:id="520" w:name="_Toc156819229"/>
      <w:bookmarkStart w:id="521" w:name="_Toc156990648"/>
      <w:bookmarkStart w:id="522" w:name="_Toc158374868"/>
      <w:r>
        <w:rPr>
          <w:rStyle w:val="CharDivNo"/>
        </w:rPr>
        <w:lastRenderedPageBreak/>
        <w:t>Part 5</w:t>
      </w:r>
      <w:r>
        <w:t xml:space="preserve"> — </w:t>
      </w:r>
      <w:r>
        <w:rPr>
          <w:rStyle w:val="CharDivText"/>
        </w:rPr>
        <w:t>Reclassification of pipelines</w:t>
      </w:r>
      <w:bookmarkEnd w:id="520"/>
      <w:bookmarkEnd w:id="521"/>
      <w:bookmarkEnd w:id="522"/>
    </w:p>
    <w:p>
      <w:pPr>
        <w:pStyle w:val="Heading5"/>
      </w:pPr>
      <w:bookmarkStart w:id="523" w:name="_Toc158374869"/>
      <w:r>
        <w:rPr>
          <w:rStyle w:val="CharSectno"/>
        </w:rPr>
        <w:t>128</w:t>
      </w:r>
      <w:r>
        <w:t>.</w:t>
      </w:r>
      <w:r>
        <w:tab/>
        <w:t>Service provider may apply for reclassification of pipeline</w:t>
      </w:r>
      <w:bookmarkEnd w:id="52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in respect of a pipeline by means of which the service provider provides pipeline services, apply to the NCC for the pipeline to be reclassified 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pipeline is a transmission pipeline—a distribution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pipeline is a distribution pipeline—a transmission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application must be accompanied by the fee prescribed by the Regulations (if any).</w:t>
      </w:r>
    </w:p>
    <w:p>
      <w:pPr>
        <w:pStyle w:val="Heading5"/>
      </w:pPr>
      <w:bookmarkStart w:id="524" w:name="_Toc158374870"/>
      <w:r>
        <w:rPr>
          <w:rStyle w:val="CharSectno"/>
        </w:rPr>
        <w:t>129</w:t>
      </w:r>
      <w:r>
        <w:t>.</w:t>
      </w:r>
      <w:r>
        <w:tab/>
        <w:t>Reclassification decision</w:t>
      </w:r>
      <w:bookmarkEnd w:id="52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make a decision (a </w:t>
      </w:r>
      <w:r>
        <w:rPr>
          <w:rStyle w:val="CharDefText"/>
          <w:bCs/>
          <w:sz w:val="23"/>
        </w:rPr>
        <w:t>reclassification decision</w:t>
      </w:r>
      <w:r>
        <w:rPr>
          <w:color w:val="000000"/>
          <w:sz w:val="23"/>
          <w:szCs w:val="23"/>
        </w:rPr>
        <w:t>)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128;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reclassification decision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making a reclassification decision, the NCC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(4)</w:t>
      </w:r>
      <w:r>
        <w:rPr>
          <w:color w:val="000000"/>
          <w:sz w:val="23"/>
          <w:szCs w:val="23"/>
        </w:rPr>
        <w:tab/>
        <w:t>The NCC must also as part of the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reclassifies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reclassifies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under subsection (4), the NCC determines that a pipeline reclassified as a distribution pipeline is also a cross boundary distribution pipeline, the NCC must determine the participating jurisdiction with which the cross boundary distribution pipeline is most closely connected. In doing so, the NCC must have regard to the jurisdictional determination criteria.</w:t>
      </w:r>
    </w:p>
    <w:p>
      <w:pPr>
        <w:pStyle w:val="Heading5"/>
      </w:pPr>
      <w:bookmarkStart w:id="525" w:name="_Toc158374871"/>
      <w:r>
        <w:rPr>
          <w:rStyle w:val="CharSectno"/>
        </w:rPr>
        <w:t>130</w:t>
      </w:r>
      <w:r>
        <w:t>.</w:t>
      </w:r>
      <w:r>
        <w:tab/>
        <w:t>Effect of reclassification decision</w:t>
      </w:r>
      <w:bookmarkEnd w:id="525"/>
    </w:p>
    <w:p>
      <w:pPr>
        <w:keepNext/>
        <w:keepLines/>
        <w:autoSpaceDE w:val="0"/>
        <w:autoSpaceDN w:val="0"/>
        <w:adjustRightInd w:val="0"/>
        <w:spacing w:before="120"/>
        <w:ind w:left="1588"/>
        <w:rPr>
          <w:color w:val="000000"/>
          <w:sz w:val="23"/>
          <w:szCs w:val="23"/>
        </w:rPr>
      </w:pPr>
      <w:r>
        <w:rPr>
          <w:color w:val="000000"/>
          <w:sz w:val="23"/>
          <w:szCs w:val="23"/>
        </w:rPr>
        <w:t>On the making of a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pipeline is, in accordance with the decision, reclassified as either a transmission pipeline or distribution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Minister in respect of the pipeline is the relevant Minister as provided under this Law.</w:t>
      </w:r>
    </w:p>
    <w:p>
      <w:pPr>
        <w:pStyle w:val="Heading2"/>
      </w:pPr>
      <w:bookmarkStart w:id="526" w:name="_Toc156819233"/>
      <w:bookmarkStart w:id="527" w:name="_Toc156990652"/>
      <w:bookmarkStart w:id="528" w:name="_Toc158374872"/>
      <w:r>
        <w:rPr>
          <w:rStyle w:val="CharPartNo"/>
        </w:rPr>
        <w:lastRenderedPageBreak/>
        <w:t>Chapter 4</w:t>
      </w:r>
      <w:r>
        <w:t xml:space="preserve"> — </w:t>
      </w:r>
      <w:r>
        <w:rPr>
          <w:rStyle w:val="CharPartText"/>
        </w:rPr>
        <w:t>General requirements for provision of covered pipeline services</w:t>
      </w:r>
      <w:bookmarkEnd w:id="526"/>
      <w:bookmarkEnd w:id="527"/>
      <w:bookmarkEnd w:id="528"/>
    </w:p>
    <w:p>
      <w:pPr>
        <w:pStyle w:val="Heading3"/>
        <w:spacing w:before="120"/>
      </w:pPr>
      <w:bookmarkStart w:id="529" w:name="_Toc156819234"/>
      <w:bookmarkStart w:id="530" w:name="_Toc156990653"/>
      <w:bookmarkStart w:id="531" w:name="_Toc158374873"/>
      <w:r>
        <w:rPr>
          <w:rStyle w:val="CharDivNo"/>
        </w:rPr>
        <w:t>Part 1</w:t>
      </w:r>
      <w:r>
        <w:t xml:space="preserve"> — </w:t>
      </w:r>
      <w:r>
        <w:rPr>
          <w:rStyle w:val="CharDivText"/>
        </w:rPr>
        <w:t>General duties for provision of pipeline services by covered pipelines</w:t>
      </w:r>
      <w:bookmarkEnd w:id="529"/>
      <w:bookmarkEnd w:id="530"/>
      <w:bookmarkEnd w:id="531"/>
    </w:p>
    <w:p>
      <w:pPr>
        <w:pStyle w:val="Heading5"/>
        <w:spacing w:before="120"/>
      </w:pPr>
      <w:bookmarkStart w:id="532" w:name="_Toc158374874"/>
      <w:r>
        <w:rPr>
          <w:rStyle w:val="CharSectno"/>
        </w:rPr>
        <w:t>131</w:t>
      </w:r>
      <w:r>
        <w:t>.</w:t>
      </w:r>
      <w:r>
        <w:tab/>
        <w:t>Service provider must be legal entity of a specified kind to provide pipeline services by covered pipeline</w:t>
      </w:r>
      <w:bookmarkEnd w:id="532"/>
    </w:p>
    <w:p>
      <w:pPr>
        <w:keepNext/>
        <w:keepLines/>
        <w:autoSpaceDE w:val="0"/>
        <w:autoSpaceDN w:val="0"/>
        <w:adjustRightInd w:val="0"/>
        <w:spacing w:before="120"/>
        <w:ind w:left="1588"/>
        <w:rPr>
          <w:color w:val="000000"/>
          <w:sz w:val="23"/>
          <w:szCs w:val="23"/>
        </w:rPr>
      </w:pPr>
      <w:r>
        <w:rPr>
          <w:color w:val="000000"/>
          <w:sz w:val="23"/>
          <w:szCs w:val="23"/>
        </w:rPr>
        <w:t>A covered pipeline service provider must not provide a pipeline service by means of a covered pipeline unless the service provider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legal entity registered under the </w:t>
      </w:r>
      <w:r>
        <w:rPr>
          <w:i/>
          <w:iCs/>
          <w:color w:val="000000"/>
          <w:sz w:val="23"/>
          <w:szCs w:val="23"/>
        </w:rPr>
        <w:t>Corporations Act 2001</w:t>
      </w:r>
      <w:r>
        <w:rPr>
          <w:color w:val="000000"/>
          <w:sz w:val="23"/>
          <w:szCs w:val="23"/>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foreign company;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corporation established by or under a law of this jurisdiction or another participating jurisdiction, whether or not that corporation has been established for a public purpose;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Crown in right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person referred to in paragraph (a) to (d) and that person provides a pipeline service by means of a covered pipeline together with another person referred to in paragraph (a) to (d).</w:t>
      </w:r>
    </w:p>
    <w:p>
      <w:pPr>
        <w:pStyle w:val="Heading5"/>
        <w:keepNext w:val="0"/>
        <w:keepLines w:val="0"/>
      </w:pPr>
      <w:bookmarkStart w:id="533" w:name="_Toc158374875"/>
      <w:r>
        <w:rPr>
          <w:rStyle w:val="CharSectno"/>
        </w:rPr>
        <w:t>132</w:t>
      </w:r>
      <w:r>
        <w:t>.</w:t>
      </w:r>
      <w:r>
        <w:tab/>
        <w:t>Submission of full access arrangement or revisions to applicable full access arrangements</w:t>
      </w:r>
      <w:bookmarkEnd w:id="533"/>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 covered pipeline service provider must submit to the AER, for approval by the AER under the Rules, a full access arrangement or revisions to an applicable access arrangement that is a full access arrangement, in respect of </w:t>
      </w:r>
      <w:r>
        <w:rPr>
          <w:color w:val="000000"/>
          <w:sz w:val="23"/>
          <w:szCs w:val="23"/>
        </w:rPr>
        <w:lastRenderedPageBreak/>
        <w:t>the pipeline services the provider provides or intends to provide—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circumstances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of time specified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pipeline services that are, or are intended to be, provided by the service provider light regulation services;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the extent the Rules provide subsection (1) is not to apply.</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A service provider who provides or intends to provide pipeline services by means of an international pipeline to which a price regulation applies must submit a limited access arrangement to the AER for approval: see section 168.</w:t>
      </w:r>
    </w:p>
    <w:p>
      <w:pPr>
        <w:pStyle w:val="Heading5"/>
      </w:pPr>
      <w:bookmarkStart w:id="534" w:name="_Toc158374876"/>
      <w:r>
        <w:rPr>
          <w:rStyle w:val="CharSectno"/>
        </w:rPr>
        <w:t>133</w:t>
      </w:r>
      <w:r>
        <w:t>.</w:t>
      </w:r>
      <w:r>
        <w:tab/>
        <w:t>Preventing or hindering access</w:t>
      </w:r>
      <w:bookmarkEnd w:id="53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 party to an agreement with a service provider relating to a pipeline service provided by means of a covered pipeline;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a result of an access determination is entitled to a pipeline service provided by means of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associate of a service provider or a person referred to in paragraph (b),</w:t>
      </w:r>
    </w:p>
    <w:p>
      <w:pPr>
        <w:keepLines/>
        <w:autoSpaceDE w:val="0"/>
        <w:autoSpaceDN w:val="0"/>
        <w:adjustRightInd w:val="0"/>
        <w:spacing w:before="120"/>
        <w:ind w:left="1588"/>
        <w:rPr>
          <w:color w:val="000000"/>
          <w:sz w:val="23"/>
          <w:szCs w:val="23"/>
        </w:rPr>
      </w:pPr>
      <w:r>
        <w:rPr>
          <w:color w:val="000000"/>
          <w:sz w:val="23"/>
          <w:szCs w:val="23"/>
        </w:rPr>
        <w:lastRenderedPageBreak/>
        <w:t>must not engage in conduct for the purpose of preventing or hindering the access of another person to a pipeline service provided by means of the covered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a person is deemed to engage in conduct for a particular purpose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conduct is or was engaged in for that purpose or for a purpose that includes, or included, that purpose;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purpose is or was a substantial purpose.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Subsection (3) does not limit the manner in which the purpose of a person may be established for the purpose of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engaging in conduct is a reference to doing or refusing to do any act, including refusing to supply a pipeline service or, without reasonable grounds, limiting or disrupting a pipeline service, or making, or giving effect to, a provision of, a contract or arrangement, arriving at, or giving effect to, a provision of, an understanding or requiring the giving of, or giving, a covenant;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refusing to do an act includes a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refraining (otherwise than inadvertently) from doing that act;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lastRenderedPageBreak/>
        <w:tab/>
        <w:t>(ii)</w:t>
      </w:r>
      <w:r>
        <w:rPr>
          <w:color w:val="000000"/>
          <w:sz w:val="23"/>
          <w:szCs w:val="23"/>
        </w:rPr>
        <w:tab/>
        <w:t>making it known that that act will not be done.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Subsection (1) does not apply to conduct engaged in in accordance with an agreement, if the agreement was in force on 30 March 1995.</w:t>
      </w:r>
    </w:p>
    <w:p>
      <w:pPr>
        <w:keepNext/>
        <w:keepLines/>
        <w:autoSpaceDE w:val="0"/>
        <w:autoSpaceDN w:val="0"/>
        <w:adjustRightInd w:val="0"/>
        <w:spacing w:before="120"/>
        <w:ind w:left="1588" w:hanging="567"/>
        <w:rPr>
          <w:b/>
          <w:bCs/>
          <w:color w:val="000000"/>
          <w:sz w:val="20"/>
        </w:rPr>
      </w:pPr>
      <w:r>
        <w:rPr>
          <w:b/>
          <w:bCs/>
          <w:color w:val="000000"/>
          <w:sz w:val="20"/>
        </w:rPr>
        <w:t>Example—</w:t>
      </w:r>
    </w:p>
    <w:p>
      <w:pPr>
        <w:keepLines/>
        <w:autoSpaceDE w:val="0"/>
        <w:autoSpaceDN w:val="0"/>
        <w:adjustRightInd w:val="0"/>
        <w:spacing w:before="120"/>
        <w:ind w:left="1588"/>
        <w:rPr>
          <w:color w:val="000000"/>
          <w:sz w:val="20"/>
        </w:rPr>
      </w:pPr>
      <w:r>
        <w:rPr>
          <w:color w:val="000000"/>
          <w:sz w:val="20"/>
        </w:rPr>
        <w:t>An example of conduct which may be prohibited if the requisite purpose is established is refusing to supply, or limiting or disrupting the supply of, a pipeline service to a user or prospective user for technical or safety reasons without reasonable grounds.</w:t>
      </w:r>
    </w:p>
    <w:p>
      <w:pPr>
        <w:pStyle w:val="Heading5"/>
      </w:pPr>
      <w:bookmarkStart w:id="535" w:name="_Toc158374877"/>
      <w:r>
        <w:rPr>
          <w:rStyle w:val="CharSectno"/>
        </w:rPr>
        <w:t>134</w:t>
      </w:r>
      <w:r>
        <w:t>.</w:t>
      </w:r>
      <w:r>
        <w:tab/>
        <w:t>Supply and haulage of natural gas</w:t>
      </w:r>
      <w:bookmarkEnd w:id="53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producer states terms and conditions (whether or not including the price) (</w:t>
      </w:r>
      <w:r>
        <w:rPr>
          <w:rStyle w:val="CharDefText"/>
          <w:bCs/>
          <w:sz w:val="23"/>
        </w:rPr>
        <w:t>the first terms</w:t>
      </w:r>
      <w:r>
        <w:rPr>
          <w:color w:val="000000"/>
          <w:sz w:val="23"/>
          <w:szCs w:val="23"/>
        </w:rPr>
        <w:t>) on which the producer offers to supply natural gas through a covered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rStyle w:val="CharDefText"/>
          <w:bCs/>
          <w:sz w:val="23"/>
        </w:rPr>
        <w:t>the second terms</w:t>
      </w:r>
      <w:r>
        <w:rPr>
          <w:color w:val="000000"/>
          <w:sz w:val="23"/>
          <w:szCs w:val="23"/>
        </w:rPr>
        <w:t>) on which the producer will supply natural gas to the person at the exit flange.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there is a difference in the price stated in the first terms and the second terms, the producer must include in the second terms a statement of the reasons for the difference.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Heading5"/>
        <w:spacing w:before="120"/>
      </w:pPr>
      <w:bookmarkStart w:id="536" w:name="_Toc158374878"/>
      <w:r>
        <w:rPr>
          <w:rStyle w:val="CharSectno"/>
        </w:rPr>
        <w:lastRenderedPageBreak/>
        <w:t>135</w:t>
      </w:r>
      <w:r>
        <w:t>.</w:t>
      </w:r>
      <w:r>
        <w:tab/>
        <w:t>Covered pipeline service provider must comply with queuing requirements</w:t>
      </w:r>
      <w:bookmarkEnd w:id="536"/>
    </w:p>
    <w:p>
      <w:pPr>
        <w:keepLines/>
        <w:autoSpaceDE w:val="0"/>
        <w:autoSpaceDN w:val="0"/>
        <w:adjustRightInd w:val="0"/>
        <w:spacing w:before="120"/>
        <w:ind w:left="1588"/>
        <w:rPr>
          <w:color w:val="000000"/>
          <w:sz w:val="23"/>
          <w:szCs w:val="23"/>
        </w:rPr>
      </w:pPr>
      <w:r>
        <w:rPr>
          <w:color w:val="000000"/>
          <w:sz w:val="23"/>
          <w:szCs w:val="23"/>
        </w:rPr>
        <w:t>A covered pipeline service provider must comply with the queuing requirements of an applicable access arrangement.</w:t>
      </w:r>
    </w:p>
    <w:p>
      <w:pPr>
        <w:pStyle w:val="Heading5"/>
        <w:keepLines w:val="0"/>
      </w:pPr>
      <w:bookmarkStart w:id="537" w:name="_Toc158374879"/>
      <w:r>
        <w:rPr>
          <w:rStyle w:val="CharSectno"/>
        </w:rPr>
        <w:t>136</w:t>
      </w:r>
      <w:r>
        <w:t>.</w:t>
      </w:r>
      <w:r>
        <w:tab/>
        <w:t>Covered pipeline service provider providing light regulation services must not price discriminate</w:t>
      </w:r>
      <w:bookmarkEnd w:id="537"/>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not engage in price discrimination when providing light regulation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if the covered pipeline service provider engages in price discrimination that is conducive to efficient service provision.</w:t>
      </w:r>
    </w:p>
    <w:p>
      <w:pPr>
        <w:pStyle w:val="Heading3"/>
      </w:pPr>
      <w:bookmarkStart w:id="538" w:name="_Toc156819241"/>
      <w:bookmarkStart w:id="539" w:name="_Toc156990660"/>
      <w:bookmarkStart w:id="540" w:name="_Toc158374880"/>
      <w:r>
        <w:rPr>
          <w:rStyle w:val="CharDivNo"/>
        </w:rPr>
        <w:t>Part 2</w:t>
      </w:r>
      <w:r>
        <w:t xml:space="preserve"> — </w:t>
      </w:r>
      <w:r>
        <w:rPr>
          <w:rStyle w:val="CharDivText"/>
        </w:rPr>
        <w:t>Structural and operational separation requirements (ring fencing)</w:t>
      </w:r>
      <w:bookmarkEnd w:id="538"/>
      <w:bookmarkEnd w:id="539"/>
      <w:bookmarkEnd w:id="540"/>
    </w:p>
    <w:p>
      <w:pPr>
        <w:pStyle w:val="Heading4"/>
      </w:pPr>
      <w:bookmarkStart w:id="541" w:name="_Toc156819242"/>
      <w:bookmarkStart w:id="542" w:name="_Toc156990661"/>
      <w:bookmarkStart w:id="543" w:name="_Toc158374881"/>
      <w:r>
        <w:t>Division 1 — Interpretation</w:t>
      </w:r>
      <w:bookmarkEnd w:id="541"/>
      <w:bookmarkEnd w:id="542"/>
      <w:bookmarkEnd w:id="543"/>
    </w:p>
    <w:p>
      <w:pPr>
        <w:pStyle w:val="Heading5"/>
      </w:pPr>
      <w:bookmarkStart w:id="544" w:name="_Toc158374882"/>
      <w:r>
        <w:rPr>
          <w:rStyle w:val="CharSectno"/>
        </w:rPr>
        <w:t>137</w:t>
      </w:r>
      <w:r>
        <w:t>.</w:t>
      </w:r>
      <w:r>
        <w:tab/>
        <w:t>Definitions</w:t>
      </w:r>
      <w:bookmarkEnd w:id="544"/>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additional ring fencing requirement</w:t>
      </w:r>
      <w:r>
        <w:rPr>
          <w:bCs/>
          <w:i/>
          <w:iCs/>
          <w:color w:val="000000"/>
          <w:sz w:val="23"/>
          <w:szCs w:val="23"/>
        </w:rPr>
        <w:t xml:space="preserve"> </w:t>
      </w:r>
      <w:r>
        <w:rPr>
          <w:color w:val="000000"/>
          <w:sz w:val="23"/>
          <w:szCs w:val="23"/>
        </w:rPr>
        <w:t>has the meaning given by section 143(1);</w:t>
      </w:r>
    </w:p>
    <w:p>
      <w:pPr>
        <w:keepLines/>
        <w:autoSpaceDE w:val="0"/>
        <w:autoSpaceDN w:val="0"/>
        <w:adjustRightInd w:val="0"/>
        <w:spacing w:before="120"/>
        <w:ind w:left="1588"/>
        <w:rPr>
          <w:color w:val="000000"/>
          <w:sz w:val="23"/>
          <w:szCs w:val="23"/>
        </w:rPr>
      </w:pPr>
      <w:r>
        <w:rPr>
          <w:rStyle w:val="CharDefText"/>
          <w:bCs/>
          <w:sz w:val="23"/>
        </w:rPr>
        <w:t>compliance date</w:t>
      </w:r>
      <w:r>
        <w:rPr>
          <w:bCs/>
          <w:i/>
          <w:iCs/>
          <w:color w:val="000000"/>
          <w:sz w:val="23"/>
          <w:szCs w:val="23"/>
        </w:rPr>
        <w:t xml:space="preserve"> </w:t>
      </w:r>
      <w:r>
        <w:rPr>
          <w:color w:val="000000"/>
          <w:sz w:val="23"/>
          <w:szCs w:val="23"/>
        </w:rPr>
        <w:t>means the date that is 6 months after the date a pipeline becomes a covered pipeline;</w:t>
      </w:r>
    </w:p>
    <w:p>
      <w:pPr>
        <w:keepLines/>
        <w:autoSpaceDE w:val="0"/>
        <w:autoSpaceDN w:val="0"/>
        <w:adjustRightInd w:val="0"/>
        <w:spacing w:before="120"/>
        <w:ind w:left="1588"/>
        <w:rPr>
          <w:color w:val="000000"/>
          <w:sz w:val="23"/>
          <w:szCs w:val="23"/>
        </w:rPr>
      </w:pPr>
      <w:r>
        <w:rPr>
          <w:rStyle w:val="CharDefText"/>
          <w:bCs/>
          <w:sz w:val="23"/>
        </w:rPr>
        <w:t>marketing staff</w:t>
      </w:r>
      <w:r>
        <w:rPr>
          <w:bCs/>
          <w:i/>
          <w:iCs/>
          <w:color w:val="000000"/>
          <w:sz w:val="23"/>
          <w:szCs w:val="23"/>
        </w:rPr>
        <w:t xml:space="preserve"> </w:t>
      </w:r>
      <w:r>
        <w:rPr>
          <w:color w:val="000000"/>
          <w:sz w:val="23"/>
          <w:szCs w:val="23"/>
        </w:rPr>
        <w:t>has the meaning given by section 138;</w:t>
      </w:r>
    </w:p>
    <w:p>
      <w:pPr>
        <w:keepNext/>
        <w:keepLines/>
        <w:autoSpaceDE w:val="0"/>
        <w:autoSpaceDN w:val="0"/>
        <w:adjustRightInd w:val="0"/>
        <w:spacing w:before="120"/>
        <w:ind w:left="1588"/>
        <w:rPr>
          <w:color w:val="000000"/>
          <w:sz w:val="23"/>
          <w:szCs w:val="23"/>
        </w:rPr>
      </w:pPr>
      <w:r>
        <w:rPr>
          <w:rStyle w:val="CharDefText"/>
          <w:bCs/>
          <w:sz w:val="23"/>
        </w:rPr>
        <w:t>related business</w:t>
      </w:r>
      <w:r>
        <w:rPr>
          <w:bCs/>
          <w:i/>
          <w:iCs/>
          <w:color w:val="000000"/>
          <w:sz w:val="23"/>
          <w:szCs w:val="23"/>
        </w:rPr>
        <w:t xml:space="preserve"> </w:t>
      </w:r>
      <w:r>
        <w:rPr>
          <w:color w:val="000000"/>
          <w:sz w:val="23"/>
          <w:szCs w:val="23"/>
        </w:rPr>
        <w:t>means the business of producing, purchasing or selling natural gas or processable gas, but does not include purchasing or selling of natural gas or processable gas to the extent necessary—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the safe and reliable operation of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to enable a service provider to provide balancing services in connection with a covered pipeline.</w:t>
      </w:r>
    </w:p>
    <w:p>
      <w:pPr>
        <w:pStyle w:val="Heading5"/>
      </w:pPr>
      <w:bookmarkStart w:id="545" w:name="_Toc158374883"/>
      <w:r>
        <w:rPr>
          <w:rStyle w:val="CharSectno"/>
        </w:rPr>
        <w:t>138</w:t>
      </w:r>
      <w:r>
        <w:t>.</w:t>
      </w:r>
      <w:r>
        <w:tab/>
        <w:t>Meaning of marketing staff</w:t>
      </w:r>
      <w:bookmarkEnd w:id="54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is marketing staff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an officer, employee, consultant or independent contractor or agent of the covered pipeline service provider;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directly involved in the sale, marketing or advertising of pipeline services (whether or not the person is also involved in other activities);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associate of 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an officer, employee, consultant or independent contractor or agent of the associate;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directly involved in the sale, marketing or advertising of pipeline services (whether or not the person is also involved in other activities).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is not marketing staff of a covered pipeline service provider, or an associate of a covered pipeline service provider,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person’s function or role (as an officer, employee, consultant or independent contractor or agent of a covered pipeline service provider, or an associate of a covered pipeline service provider) is only to provide technical, administrative, legal and accounting services to that provider or associate;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the sale, marketing or advertising of pipeline services is only an incidental part of the person’s function or role (as an officer, employee, consultant or independent contractor or agent of a covered pipeline service provider, or an associate of a covered pipeline service provider).</w:t>
      </w:r>
    </w:p>
    <w:p>
      <w:pPr>
        <w:keepNext/>
        <w:autoSpaceDE w:val="0"/>
        <w:autoSpaceDN w:val="0"/>
        <w:adjustRightInd w:val="0"/>
        <w:spacing w:before="120"/>
        <w:ind w:left="1588" w:hanging="567"/>
        <w:rPr>
          <w:b/>
          <w:bCs/>
          <w:color w:val="000000"/>
          <w:sz w:val="20"/>
        </w:rPr>
      </w:pPr>
      <w:r>
        <w:rPr>
          <w:b/>
          <w:bCs/>
          <w:color w:val="000000"/>
          <w:sz w:val="20"/>
        </w:rPr>
        <w:t>Example—</w:t>
      </w:r>
    </w:p>
    <w:p>
      <w:pPr>
        <w:autoSpaceDE w:val="0"/>
        <w:autoSpaceDN w:val="0"/>
        <w:adjustRightInd w:val="0"/>
        <w:spacing w:before="120"/>
        <w:ind w:left="1588"/>
        <w:rPr>
          <w:color w:val="000000"/>
          <w:sz w:val="20"/>
        </w:rPr>
      </w:pPr>
      <w:r>
        <w:rPr>
          <w:color w:val="000000"/>
          <w:sz w:val="20"/>
        </w:rPr>
        <w:t>A person in the position of general manager of marketing of a covered pipeline service provider or an associate of a covered pipeline service provider would be marketing staff whereas a person in the position of chief executive officer, or chief financial officer, of a covered pipeline service provider or an associate of a covered pipeline service provider would not be marketing staff.</w:t>
      </w:r>
    </w:p>
    <w:p>
      <w:pPr>
        <w:pStyle w:val="Heading4"/>
      </w:pPr>
      <w:bookmarkStart w:id="546" w:name="_Toc156819245"/>
      <w:bookmarkStart w:id="547" w:name="_Toc156990664"/>
      <w:bookmarkStart w:id="548" w:name="_Toc158374884"/>
      <w:r>
        <w:t>Division 2 — Minimum ring fencing requirements</w:t>
      </w:r>
      <w:bookmarkEnd w:id="546"/>
      <w:bookmarkEnd w:id="547"/>
      <w:bookmarkEnd w:id="548"/>
    </w:p>
    <w:p>
      <w:pPr>
        <w:pStyle w:val="Heading5"/>
      </w:pPr>
      <w:bookmarkStart w:id="549" w:name="_Toc158374885"/>
      <w:r>
        <w:rPr>
          <w:rStyle w:val="CharSectno"/>
        </w:rPr>
        <w:t>139</w:t>
      </w:r>
      <w:r>
        <w:t>.</w:t>
      </w:r>
      <w:r>
        <w:tab/>
        <w:t>Carrying on of related businesses prohibited</w:t>
      </w:r>
      <w:bookmarkEnd w:id="549"/>
    </w:p>
    <w:p>
      <w:pPr>
        <w:keepLines/>
        <w:autoSpaceDE w:val="0"/>
        <w:autoSpaceDN w:val="0"/>
        <w:adjustRightInd w:val="0"/>
        <w:spacing w:before="120"/>
        <w:ind w:left="1588"/>
        <w:rPr>
          <w:color w:val="000000"/>
          <w:sz w:val="23"/>
          <w:szCs w:val="23"/>
        </w:rPr>
      </w:pPr>
      <w:r>
        <w:rPr>
          <w:color w:val="000000"/>
          <w:sz w:val="23"/>
          <w:szCs w:val="23"/>
        </w:rPr>
        <w:t>On and after the compliance date, a covered pipeline service provider must not carry on a related business.</w:t>
      </w:r>
    </w:p>
    <w:p>
      <w:pPr>
        <w:pStyle w:val="Heading5"/>
      </w:pPr>
      <w:bookmarkStart w:id="550" w:name="_Toc158374886"/>
      <w:r>
        <w:rPr>
          <w:rStyle w:val="CharSectno"/>
        </w:rPr>
        <w:t>140</w:t>
      </w:r>
      <w:r>
        <w:t>.</w:t>
      </w:r>
      <w:r>
        <w:tab/>
        <w:t>Marketing staff and the taking part in related businesses</w:t>
      </w:r>
      <w:bookmarkEnd w:id="55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and after the compliance date, a covered pipeline service provider must ensure that none of its marketing staff are officers, employees, consultants, independent contractors or agents of an associate of the covered pipeline service provider that takes part in a related business.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compliance date, a covered pipeline service provider must ensure that none of its officers, employees, consultants, independent contractors or agents are marketing staff of an associate of the covered pipeline service provider that takes part in a related business.</w:t>
      </w:r>
    </w:p>
    <w:p>
      <w:pPr>
        <w:pStyle w:val="Heading5"/>
      </w:pPr>
      <w:bookmarkStart w:id="551" w:name="_Toc158374887"/>
      <w:r>
        <w:rPr>
          <w:rStyle w:val="CharSectno"/>
        </w:rPr>
        <w:lastRenderedPageBreak/>
        <w:t>141</w:t>
      </w:r>
      <w:r>
        <w:t>.</w:t>
      </w:r>
      <w:r>
        <w:tab/>
        <w:t>Accounts that must be prepared, maintained and kept</w:t>
      </w:r>
      <w:bookmarkEnd w:id="551"/>
    </w:p>
    <w:p>
      <w:pPr>
        <w:keepNext/>
        <w:keepLines/>
        <w:autoSpaceDE w:val="0"/>
        <w:autoSpaceDN w:val="0"/>
        <w:adjustRightInd w:val="0"/>
        <w:spacing w:before="120"/>
        <w:ind w:left="1588"/>
        <w:rPr>
          <w:color w:val="000000"/>
          <w:sz w:val="23"/>
          <w:szCs w:val="23"/>
        </w:rPr>
      </w:pPr>
      <w:r>
        <w:rPr>
          <w:color w:val="000000"/>
          <w:sz w:val="23"/>
          <w:szCs w:val="23"/>
        </w:rPr>
        <w:t>On and after the compliance date, a covered pipeline service provider must prepare, maintain and keep—</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separate accounts in respect of pipeline services provided by means of every covered pipeline owned, operated or controlled by the covered pipeline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consolidated set of accounts in respect of the whole of the business of the covered pipeline service provider.</w:t>
      </w:r>
    </w:p>
    <w:p>
      <w:pPr>
        <w:pStyle w:val="Heading4"/>
      </w:pPr>
      <w:bookmarkStart w:id="552" w:name="_Toc156819249"/>
      <w:bookmarkStart w:id="553" w:name="_Toc156990668"/>
      <w:bookmarkStart w:id="554" w:name="_Toc158374888"/>
      <w:r>
        <w:t>Division 3 — Additional ring fencing requirements</w:t>
      </w:r>
      <w:bookmarkEnd w:id="552"/>
      <w:bookmarkEnd w:id="553"/>
      <w:bookmarkEnd w:id="554"/>
    </w:p>
    <w:p>
      <w:pPr>
        <w:pStyle w:val="Heading5"/>
      </w:pPr>
      <w:bookmarkStart w:id="555" w:name="_Toc158374889"/>
      <w:r>
        <w:rPr>
          <w:rStyle w:val="CharSectno"/>
        </w:rPr>
        <w:t>142</w:t>
      </w:r>
      <w:r>
        <w:t>.</w:t>
      </w:r>
      <w:r>
        <w:tab/>
        <w:t>Division does not limit operation of Division 2</w:t>
      </w:r>
      <w:bookmarkEnd w:id="555"/>
    </w:p>
    <w:p>
      <w:pPr>
        <w:keepLines/>
        <w:autoSpaceDE w:val="0"/>
        <w:autoSpaceDN w:val="0"/>
        <w:adjustRightInd w:val="0"/>
        <w:spacing w:before="120"/>
        <w:ind w:left="1588"/>
        <w:rPr>
          <w:color w:val="000000"/>
          <w:sz w:val="23"/>
          <w:szCs w:val="23"/>
        </w:rPr>
      </w:pPr>
      <w:r>
        <w:rPr>
          <w:color w:val="000000"/>
          <w:sz w:val="23"/>
          <w:szCs w:val="23"/>
        </w:rPr>
        <w:t>This Division does not limit Division 2.</w:t>
      </w:r>
    </w:p>
    <w:p>
      <w:pPr>
        <w:pStyle w:val="Heading5"/>
      </w:pPr>
      <w:bookmarkStart w:id="556" w:name="_Toc158374890"/>
      <w:r>
        <w:t>143.</w:t>
      </w:r>
      <w:r>
        <w:tab/>
        <w:t>AER ring fencing determinations</w:t>
      </w:r>
      <w:bookmarkEnd w:id="55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Division and subject to and in accordance with the Rules, the AER may make a determination requiring a covered pipeline service provider or associate of a covered pipeline service provider named in the determination to do, or refrain from doing, a thing specified in the determination (an </w:t>
      </w:r>
      <w:r>
        <w:rPr>
          <w:rStyle w:val="CharDefText"/>
          <w:bCs/>
          <w:sz w:val="23"/>
        </w:rPr>
        <w:t>additional ring fencing requirement</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specifying an additional ring fencing requirement the AER must have regard to the following principles: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where 1 part of the business of a covered pipeline service provider (</w:t>
      </w:r>
      <w:r>
        <w:rPr>
          <w:rStyle w:val="CharDefText"/>
          <w:sz w:val="23"/>
        </w:rPr>
        <w:t>business unit A</w:t>
      </w:r>
      <w:r>
        <w:rPr>
          <w:color w:val="000000"/>
          <w:sz w:val="23"/>
          <w:szCs w:val="23"/>
        </w:rPr>
        <w:t>) is providing pipeline services to another part of the business of the covered pipeline service provider (</w:t>
      </w:r>
      <w:r>
        <w:rPr>
          <w:rStyle w:val="CharDefText"/>
          <w:bCs/>
          <w:sz w:val="23"/>
        </w:rPr>
        <w:t>business unit B</w:t>
      </w:r>
      <w:r>
        <w:rPr>
          <w:color w:val="000000"/>
          <w:sz w:val="23"/>
          <w:szCs w:val="23"/>
        </w:rPr>
        <w:t>), the covered pipeline service provider must ensure that business unit A provides the pipeline services to business unit B as if business unit B were a separate unrelated entity;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in the case where a covered pipeline service provider is providing pipeline services to an associate of the service provider, the covered pipeline service provider must ensure that those services are provided as if the associate of the covered pipeline service provider were a separate unrelated entity;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users and prospective users should have sufficient information in order to understand whether a covered pipeline service provider is complying with paragraph (a) or (b).</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notify, in writing, the covered pipeline service provider or associate named in the AER ring fencing determination of the making of that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covered pipeline service provider or associate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An AER ring fencing determination must specify the date on and after which the covered pipeline service provider or associate of a covered pipeline service provider must do, or refrain from doing, a thing specified in the determination (a </w:t>
      </w:r>
      <w:r>
        <w:rPr>
          <w:rStyle w:val="CharDefText"/>
          <w:bCs/>
          <w:sz w:val="23"/>
        </w:rPr>
        <w:t>notified compliance date</w:t>
      </w:r>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notified compliance date must not be a date that is earlier than 10 business days after the date the covered pipeline service provider or associate of a covered pipeline service provider is given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covered pipeline service provider or associate of a covered pipeline service provider must comply with every additional ring fencing requirement specified in an AER ring fencing determination on and after the notified compliance date.</w:t>
      </w:r>
    </w:p>
    <w:p>
      <w:pPr>
        <w:pStyle w:val="Heading5"/>
        <w:spacing w:before="120"/>
      </w:pPr>
      <w:bookmarkStart w:id="557" w:name="_Toc158374891"/>
      <w:r>
        <w:rPr>
          <w:rStyle w:val="CharSectno"/>
        </w:rPr>
        <w:lastRenderedPageBreak/>
        <w:t>144</w:t>
      </w:r>
      <w:r>
        <w:t>.</w:t>
      </w:r>
      <w:r>
        <w:tab/>
        <w:t>AER to have regard to likely compliance costs of additional ring fencing requirements</w:t>
      </w:r>
      <w:bookmarkEnd w:id="557"/>
    </w:p>
    <w:p>
      <w:pPr>
        <w:keepNext/>
        <w:keepLines/>
        <w:autoSpaceDE w:val="0"/>
        <w:autoSpaceDN w:val="0"/>
        <w:adjustRightInd w:val="0"/>
        <w:spacing w:before="120"/>
        <w:ind w:left="1588"/>
        <w:rPr>
          <w:color w:val="000000"/>
          <w:sz w:val="23"/>
          <w:szCs w:val="23"/>
        </w:rPr>
      </w:pPr>
      <w:r>
        <w:rPr>
          <w:color w:val="000000"/>
          <w:sz w:val="23"/>
          <w:szCs w:val="23"/>
        </w:rPr>
        <w:t>In making an AER ring fencing determination the AER must have regard to the likely costs that may be incurred by,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efficient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efficient associate of a covered pipeline service provider,</w:t>
      </w:r>
    </w:p>
    <w:p>
      <w:pPr>
        <w:keepLines/>
        <w:autoSpaceDE w:val="0"/>
        <w:autoSpaceDN w:val="0"/>
        <w:adjustRightInd w:val="0"/>
        <w:spacing w:before="120"/>
        <w:ind w:left="1588"/>
        <w:rPr>
          <w:color w:val="000000"/>
          <w:sz w:val="23"/>
          <w:szCs w:val="23"/>
        </w:rPr>
      </w:pPr>
      <w:r>
        <w:rPr>
          <w:color w:val="000000"/>
          <w:sz w:val="23"/>
          <w:szCs w:val="23"/>
        </w:rPr>
        <w:t>in complying with an additional ring fencing requirement specified in the determination.</w:t>
      </w:r>
    </w:p>
    <w:p>
      <w:pPr>
        <w:pStyle w:val="Heading5"/>
      </w:pPr>
      <w:bookmarkStart w:id="558" w:name="_Toc158374892"/>
      <w:r>
        <w:rPr>
          <w:rStyle w:val="CharSectno"/>
        </w:rPr>
        <w:t>145</w:t>
      </w:r>
      <w:r>
        <w:t>.</w:t>
      </w:r>
      <w:r>
        <w:tab/>
        <w:t>Types of ring fencing requirements that may be specified in an AER ring fencing determination</w:t>
      </w:r>
      <w:bookmarkEnd w:id="558"/>
    </w:p>
    <w:p>
      <w:pPr>
        <w:keepNext/>
        <w:keepLines/>
        <w:autoSpaceDE w:val="0"/>
        <w:autoSpaceDN w:val="0"/>
        <w:adjustRightInd w:val="0"/>
        <w:spacing w:before="120"/>
        <w:ind w:left="1588"/>
        <w:rPr>
          <w:color w:val="000000"/>
          <w:sz w:val="23"/>
          <w:szCs w:val="23"/>
        </w:rPr>
      </w:pPr>
      <w:r>
        <w:rPr>
          <w:color w:val="000000"/>
          <w:sz w:val="23"/>
          <w:szCs w:val="23"/>
        </w:rPr>
        <w:t>Without limiting what may be specified as an additional ring fencing requirement, the AER, in an AER ring fencing determination, may require a covered pipeline service provider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ensure that its business and business activities are conducted, structured and arranged in the particular manner specified;</w:t>
      </w:r>
    </w:p>
    <w:p>
      <w:pPr>
        <w:keepNext/>
        <w:keepLines/>
        <w:autoSpaceDE w:val="0"/>
        <w:autoSpaceDN w:val="0"/>
        <w:adjustRightInd w:val="0"/>
        <w:spacing w:before="120"/>
        <w:ind w:left="3176" w:hanging="794"/>
        <w:rPr>
          <w:b/>
          <w:bCs/>
          <w:color w:val="000000"/>
          <w:sz w:val="20"/>
        </w:rPr>
      </w:pPr>
      <w:r>
        <w:rPr>
          <w:b/>
          <w:bCs/>
          <w:color w:val="000000"/>
          <w:sz w:val="20"/>
        </w:rPr>
        <w:t>Example 1—</w:t>
      </w:r>
    </w:p>
    <w:p>
      <w:pPr>
        <w:keepLines/>
        <w:autoSpaceDE w:val="0"/>
        <w:autoSpaceDN w:val="0"/>
        <w:adjustRightInd w:val="0"/>
        <w:spacing w:before="120"/>
        <w:ind w:left="3176"/>
        <w:rPr>
          <w:color w:val="000000"/>
          <w:sz w:val="20"/>
        </w:rPr>
      </w:pPr>
      <w:r>
        <w:rPr>
          <w:color w:val="000000"/>
          <w:sz w:val="20"/>
        </w:rPr>
        <w:t>An AER ring fencing determination may require the covered pipeline service provider to ensure that persons employed or engaged by the covered pipeline service provider in relation to the provision of pipeline services are not also associates, or employed by associates, of the covered pipeline service provider that take part in a related business and how this must be effected.</w:t>
      </w:r>
    </w:p>
    <w:p>
      <w:pPr>
        <w:keepNext/>
        <w:keepLines/>
        <w:autoSpaceDE w:val="0"/>
        <w:autoSpaceDN w:val="0"/>
        <w:adjustRightInd w:val="0"/>
        <w:spacing w:before="120"/>
        <w:ind w:left="3176" w:hanging="794"/>
        <w:rPr>
          <w:b/>
          <w:bCs/>
          <w:color w:val="000000"/>
          <w:sz w:val="20"/>
        </w:rPr>
      </w:pPr>
      <w:r>
        <w:rPr>
          <w:b/>
          <w:bCs/>
          <w:color w:val="000000"/>
          <w:sz w:val="20"/>
        </w:rPr>
        <w:lastRenderedPageBreak/>
        <w:t>Example 2—</w:t>
      </w:r>
    </w:p>
    <w:p>
      <w:pPr>
        <w:keepLines/>
        <w:autoSpaceDE w:val="0"/>
        <w:autoSpaceDN w:val="0"/>
        <w:adjustRightInd w:val="0"/>
        <w:spacing w:before="120"/>
        <w:ind w:left="3176"/>
        <w:rPr>
          <w:color w:val="000000"/>
          <w:sz w:val="20"/>
        </w:rPr>
      </w:pPr>
      <w:r>
        <w:rPr>
          <w:color w:val="000000"/>
          <w:sz w:val="20"/>
        </w:rPr>
        <w:t>An AER ring fencing determination may require the covered pipeline service provider to put in place electronic, physical and procedural security measures in respect of the offices and computer systems of the covered pipeline service provider, and of the offices and computer systems of its associates, so that certain specified employees or persons engaged by the covered pipeline service provider do not have access to certain specified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 specified manner, disclose, to the AER and to the public, specified information in a specified manner about its business operations, structure and arrangements, and its business activities.</w:t>
      </w:r>
    </w:p>
    <w:p>
      <w:pPr>
        <w:pStyle w:val="Heading4"/>
      </w:pPr>
      <w:bookmarkStart w:id="559" w:name="_Toc156819254"/>
      <w:bookmarkStart w:id="560" w:name="_Toc156990673"/>
      <w:bookmarkStart w:id="561" w:name="_Toc158374893"/>
      <w:r>
        <w:t>Division 4 — AER ring fencing exemptions</w:t>
      </w:r>
      <w:bookmarkEnd w:id="559"/>
      <w:bookmarkEnd w:id="560"/>
      <w:bookmarkEnd w:id="561"/>
    </w:p>
    <w:p>
      <w:pPr>
        <w:pStyle w:val="Heading5"/>
      </w:pPr>
      <w:bookmarkStart w:id="562" w:name="_Toc158374894"/>
      <w:r>
        <w:rPr>
          <w:rStyle w:val="CharSectno"/>
        </w:rPr>
        <w:t>146</w:t>
      </w:r>
      <w:r>
        <w:t>.</w:t>
      </w:r>
      <w:r>
        <w:tab/>
        <w:t>Exemptions from minimum ring fencing requirements</w:t>
      </w:r>
      <w:bookmarkEnd w:id="56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may, in accordance with the Rules, apply to the AER for an exemption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under section 141.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receiving an application under subsection (1), the AER, subject to and in accordance with the Rules, may exempt a covered pipeline service provider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under section 141.</w:t>
      </w:r>
    </w:p>
    <w:p>
      <w:pPr>
        <w:pStyle w:val="Heading4"/>
      </w:pPr>
      <w:bookmarkStart w:id="563" w:name="_Toc156819256"/>
      <w:bookmarkStart w:id="564" w:name="_Toc156990675"/>
      <w:bookmarkStart w:id="565" w:name="_Toc158374895"/>
      <w:r>
        <w:lastRenderedPageBreak/>
        <w:t>Division 5 — Associate contracts</w:t>
      </w:r>
      <w:bookmarkEnd w:id="563"/>
      <w:bookmarkEnd w:id="564"/>
      <w:bookmarkEnd w:id="565"/>
    </w:p>
    <w:p>
      <w:pPr>
        <w:pStyle w:val="Heading5"/>
      </w:pPr>
      <w:bookmarkStart w:id="566" w:name="_Toc158374896"/>
      <w:r>
        <w:rPr>
          <w:rStyle w:val="CharSectno"/>
        </w:rPr>
        <w:t>147</w:t>
      </w:r>
      <w:r>
        <w:t>.</w:t>
      </w:r>
      <w:r>
        <w:tab/>
        <w:t>Service provider must not enter into or give effect to associate contracts that have anti</w:t>
      </w:r>
      <w:r>
        <w:noBreakHyphen/>
        <w:t>competitive effect</w:t>
      </w:r>
      <w:bookmarkEnd w:id="566"/>
    </w:p>
    <w:p>
      <w:pPr>
        <w:keepNext/>
        <w:keepLines/>
        <w:autoSpaceDE w:val="0"/>
        <w:autoSpaceDN w:val="0"/>
        <w:adjustRightInd w:val="0"/>
        <w:spacing w:before="120"/>
        <w:ind w:left="1588"/>
        <w:rPr>
          <w:color w:val="000000"/>
          <w:sz w:val="23"/>
          <w:szCs w:val="23"/>
        </w:rPr>
      </w:pPr>
      <w:r>
        <w:rPr>
          <w:color w:val="000000"/>
          <w:sz w:val="23"/>
          <w:szCs w:val="23"/>
        </w:rPr>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enter into an associate contract that has;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an associate contract so that contract, as varied, has;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effect to a provision of an associate contract that has,</w:t>
      </w:r>
    </w:p>
    <w:p>
      <w:pPr>
        <w:keepLines/>
        <w:autoSpaceDE w:val="0"/>
        <w:autoSpaceDN w:val="0"/>
        <w:adjustRightInd w:val="0"/>
        <w:spacing w:before="120"/>
        <w:ind w:left="1588"/>
        <w:rPr>
          <w:color w:val="000000"/>
          <w:sz w:val="23"/>
          <w:szCs w:val="23"/>
        </w:rPr>
      </w:pPr>
      <w:r>
        <w:rPr>
          <w:color w:val="000000"/>
          <w:sz w:val="23"/>
          <w:szCs w:val="23"/>
        </w:rPr>
        <w:t>the purpose, or would have or be likely to have the effect, of substantially lessening competition in a market for natural gas services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associate contract is an approved associate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that provision is contained in an approved associate contract.</w:t>
      </w:r>
    </w:p>
    <w:p>
      <w:pPr>
        <w:pStyle w:val="Heading5"/>
      </w:pPr>
      <w:bookmarkStart w:id="567" w:name="_Toc158374897"/>
      <w:r>
        <w:rPr>
          <w:rStyle w:val="CharSectno"/>
        </w:rPr>
        <w:t>148</w:t>
      </w:r>
      <w:r>
        <w:t>.</w:t>
      </w:r>
      <w:r>
        <w:tab/>
        <w:t>Service provider must not enter into or give effect to associate contracts inconsistent with competitive parity rule</w:t>
      </w:r>
      <w:bookmarkEnd w:id="56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enter into an associate contract that 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an associate contract so that contract, as varied, 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effect to a provision of an associate contract that is,</w:t>
      </w:r>
    </w:p>
    <w:p>
      <w:pPr>
        <w:keepLines/>
        <w:autoSpaceDE w:val="0"/>
        <w:autoSpaceDN w:val="0"/>
        <w:adjustRightInd w:val="0"/>
        <w:spacing w:before="120"/>
        <w:ind w:left="1588"/>
        <w:rPr>
          <w:color w:val="000000"/>
          <w:sz w:val="23"/>
          <w:szCs w:val="23"/>
        </w:rPr>
      </w:pPr>
      <w:r>
        <w:rPr>
          <w:color w:val="000000"/>
          <w:sz w:val="23"/>
          <w:szCs w:val="23"/>
        </w:rPr>
        <w:t>inconsistent with the competitive parity rule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associate contract is an approved associated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that provision is contained in an approved associate contract.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(2)</w:t>
      </w:r>
      <w:r>
        <w:rPr>
          <w:color w:val="000000"/>
          <w:sz w:val="23"/>
          <w:szCs w:val="23"/>
        </w:rPr>
        <w:tab/>
        <w:t>For the purposes of subsection (1), and any Rules made for the purposes of that subsection, the competitive parity rule is the rule that a covered pipeline service provider must ensure that any pipeline services that the covered pipeline service provider provides to an associate of the covered pipeline service provider are provided to that associate as if that associate were a separate unrelated entity.</w:t>
      </w:r>
    </w:p>
    <w:p>
      <w:pPr>
        <w:pStyle w:val="Heading2"/>
      </w:pPr>
      <w:bookmarkStart w:id="568" w:name="_Toc156819259"/>
      <w:bookmarkStart w:id="569" w:name="_Toc156990678"/>
      <w:bookmarkStart w:id="570" w:name="_Toc158374898"/>
      <w:r>
        <w:rPr>
          <w:rStyle w:val="CharPartNo"/>
        </w:rPr>
        <w:lastRenderedPageBreak/>
        <w:t>Chapter 5</w:t>
      </w:r>
      <w:r>
        <w:t xml:space="preserve"> — </w:t>
      </w:r>
      <w:r>
        <w:rPr>
          <w:rStyle w:val="CharPartText"/>
        </w:rPr>
        <w:t>Greenfields pipeline incentives</w:t>
      </w:r>
      <w:bookmarkEnd w:id="568"/>
      <w:bookmarkEnd w:id="569"/>
      <w:bookmarkEnd w:id="570"/>
    </w:p>
    <w:p>
      <w:pPr>
        <w:pStyle w:val="Heading3"/>
      </w:pPr>
      <w:bookmarkStart w:id="571" w:name="_Toc156819260"/>
      <w:bookmarkStart w:id="572" w:name="_Toc156990679"/>
      <w:bookmarkStart w:id="573" w:name="_Toc158374899"/>
      <w:r>
        <w:rPr>
          <w:rStyle w:val="CharDivNo"/>
        </w:rPr>
        <w:t>Part 1</w:t>
      </w:r>
      <w:r>
        <w:t xml:space="preserve"> — </w:t>
      </w:r>
      <w:r>
        <w:rPr>
          <w:rStyle w:val="CharDivText"/>
        </w:rPr>
        <w:t>Interpretation</w:t>
      </w:r>
      <w:bookmarkEnd w:id="571"/>
      <w:bookmarkEnd w:id="572"/>
      <w:bookmarkEnd w:id="573"/>
    </w:p>
    <w:p>
      <w:pPr>
        <w:pStyle w:val="Heading5"/>
      </w:pPr>
      <w:bookmarkStart w:id="574" w:name="_Toc158374900"/>
      <w:r>
        <w:rPr>
          <w:rStyle w:val="CharSectno"/>
        </w:rPr>
        <w:t>149</w:t>
      </w:r>
      <w:r>
        <w:t>.</w:t>
      </w:r>
      <w:r>
        <w:tab/>
        <w:t>Definitions</w:t>
      </w:r>
      <w:bookmarkEnd w:id="574"/>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excluded infrastructure</w:t>
      </w:r>
      <w:r>
        <w:rPr>
          <w:color w:val="000000"/>
          <w:sz w:val="23"/>
          <w:szCs w:val="23"/>
        </w:rPr>
        <w:t>, in relation to a pipeline, means tanks, reservoirs, machinery, equipment or other infrastructure that forms part of the pipeline but is classified by the Rules as excluded infrastructure for the purposes of this Law;</w:t>
      </w:r>
    </w:p>
    <w:p>
      <w:pPr>
        <w:keepNext/>
        <w:keepLines/>
        <w:autoSpaceDE w:val="0"/>
        <w:autoSpaceDN w:val="0"/>
        <w:adjustRightInd w:val="0"/>
        <w:spacing w:before="120"/>
        <w:ind w:left="1588"/>
        <w:rPr>
          <w:color w:val="000000"/>
          <w:sz w:val="23"/>
          <w:szCs w:val="23"/>
        </w:rPr>
      </w:pPr>
      <w:r>
        <w:rPr>
          <w:rStyle w:val="CharDefText"/>
          <w:bCs/>
          <w:sz w:val="23"/>
        </w:rPr>
        <w:t>greenfields pipeline project</w:t>
      </w:r>
      <w:r>
        <w:rPr>
          <w:bCs/>
          <w:i/>
          <w:iCs/>
          <w:color w:val="000000"/>
          <w:sz w:val="23"/>
          <w:szCs w:val="23"/>
        </w:rPr>
        <w:t xml:space="preserve"> </w:t>
      </w:r>
      <w:r>
        <w:rPr>
          <w:color w:val="000000"/>
          <w:sz w:val="23"/>
          <w:szCs w:val="23"/>
        </w:rPr>
        <w:t>means a project for the construction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that is to be structurally separate from any existing pipeline (whether or not it is to traverse a route different from the route of an existing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major extension to an existing pipeline that is not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major extension to a covered pipeline by means of which light regulation services are provided if that extension is exempted by the AER under section 19.</w:t>
      </w:r>
    </w:p>
    <w:p>
      <w:pPr>
        <w:pStyle w:val="Heading5"/>
      </w:pPr>
      <w:bookmarkStart w:id="575" w:name="_Toc158374901"/>
      <w:r>
        <w:rPr>
          <w:rStyle w:val="CharSectno"/>
        </w:rPr>
        <w:t>150</w:t>
      </w:r>
      <w:r>
        <w:t>.</w:t>
      </w:r>
      <w:r>
        <w:tab/>
        <w:t>International pipeline to be a transmission pipeline for purposes of Chapter</w:t>
      </w:r>
      <w:bookmarkEnd w:id="575"/>
    </w:p>
    <w:p>
      <w:pPr>
        <w:keepLines/>
        <w:autoSpaceDE w:val="0"/>
        <w:autoSpaceDN w:val="0"/>
        <w:adjustRightInd w:val="0"/>
        <w:spacing w:before="120"/>
        <w:ind w:left="1588"/>
        <w:rPr>
          <w:color w:val="000000"/>
          <w:sz w:val="23"/>
          <w:szCs w:val="23"/>
        </w:rPr>
      </w:pPr>
      <w:r>
        <w:rPr>
          <w:color w:val="000000"/>
          <w:sz w:val="23"/>
          <w:szCs w:val="23"/>
        </w:rPr>
        <w:t>An international pipeline is, for the purposes of this Chapter, a transmission pipeline.</w:t>
      </w:r>
    </w:p>
    <w:p>
      <w:pPr>
        <w:pStyle w:val="Heading3"/>
      </w:pPr>
      <w:bookmarkStart w:id="576" w:name="_Toc156819263"/>
      <w:bookmarkStart w:id="577" w:name="_Toc156990682"/>
      <w:bookmarkStart w:id="578" w:name="_Toc158374902"/>
      <w:r>
        <w:rPr>
          <w:rStyle w:val="CharDivNo"/>
        </w:rPr>
        <w:lastRenderedPageBreak/>
        <w:t>Part 2</w:t>
      </w:r>
      <w:r>
        <w:t xml:space="preserve"> — </w:t>
      </w:r>
      <w:r>
        <w:rPr>
          <w:rStyle w:val="CharDivText"/>
        </w:rPr>
        <w:t>15</w:t>
      </w:r>
      <w:r>
        <w:rPr>
          <w:rStyle w:val="CharDivText"/>
        </w:rPr>
        <w:noBreakHyphen/>
        <w:t>year no</w:t>
      </w:r>
      <w:r>
        <w:rPr>
          <w:rStyle w:val="CharDivText"/>
        </w:rPr>
        <w:noBreakHyphen/>
        <w:t>coverage determinations</w:t>
      </w:r>
      <w:bookmarkEnd w:id="576"/>
      <w:bookmarkEnd w:id="577"/>
      <w:bookmarkEnd w:id="578"/>
    </w:p>
    <w:p>
      <w:pPr>
        <w:pStyle w:val="Heading5"/>
      </w:pPr>
      <w:bookmarkStart w:id="579" w:name="_Toc158374903"/>
      <w:r>
        <w:rPr>
          <w:rStyle w:val="CharSectno"/>
        </w:rPr>
        <w:t>151</w:t>
      </w:r>
      <w:r>
        <w:t>.</w:t>
      </w:r>
      <w:r>
        <w:tab/>
        <w:t>Application for 15</w:t>
      </w:r>
      <w:r>
        <w:noBreakHyphen/>
        <w:t>year no</w:t>
      </w:r>
      <w:r>
        <w:noBreakHyphen/>
        <w:t>coverage determination for proposed pipeline</w:t>
      </w:r>
      <w:bookmarkEnd w:id="57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a greenfields pipeline project is proposed, or has commenced, the service provider may, before the pipeline is commissioned, apply for a determination (a </w:t>
      </w:r>
      <w:r>
        <w:rPr>
          <w:rStyle w:val="CharDefText"/>
          <w:bCs/>
          <w:sz w:val="23"/>
        </w:rPr>
        <w:t>15</w:t>
      </w:r>
      <w:r>
        <w:rPr>
          <w:rStyle w:val="CharDefText"/>
          <w:bCs/>
          <w:sz w:val="23"/>
        </w:rPr>
        <w:noBreakHyphen/>
        <w:t>year no</w:t>
      </w:r>
      <w:r>
        <w:rPr>
          <w:rStyle w:val="CharDefText"/>
          <w:bCs/>
          <w:sz w:val="23"/>
        </w:rPr>
        <w:noBreakHyphen/>
        <w:t>coverage determination</w:t>
      </w:r>
      <w:r>
        <w:rPr>
          <w:color w:val="000000"/>
          <w:sz w:val="23"/>
          <w:szCs w:val="23"/>
        </w:rPr>
        <w:t>) exempting the pipeline from being a covered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price regulation exemption has been granted for an international pipeline, an application for a 15</w:t>
      </w:r>
      <w:r>
        <w:rPr>
          <w:color w:val="000000"/>
          <w:sz w:val="23"/>
          <w:szCs w:val="23"/>
        </w:rPr>
        <w:noBreakHyphen/>
        <w:t>year no</w:t>
      </w:r>
      <w:r>
        <w:rPr>
          <w:color w:val="000000"/>
          <w:sz w:val="23"/>
          <w:szCs w:val="23"/>
        </w:rPr>
        <w:noBreakHyphen/>
        <w:t>coverage determination for the pipeline may be made by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before the pipeline is commissioned;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after the pipeline is commissioned but before the term of the price regulation exemption comes to an end.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for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includes a person that intends to be a service provider.</w:t>
      </w:r>
    </w:p>
    <w:p>
      <w:pPr>
        <w:pStyle w:val="Heading5"/>
      </w:pPr>
      <w:bookmarkStart w:id="580" w:name="_Toc158374904"/>
      <w:r>
        <w:rPr>
          <w:rStyle w:val="CharSectno"/>
        </w:rPr>
        <w:lastRenderedPageBreak/>
        <w:t>152</w:t>
      </w:r>
      <w:r>
        <w:t>.</w:t>
      </w:r>
      <w:r>
        <w:tab/>
        <w:t>Application to be dealt with in accordance with the Rules</w:t>
      </w:r>
      <w:bookmarkEnd w:id="580"/>
    </w:p>
    <w:p>
      <w:pPr>
        <w:keepLines/>
        <w:autoSpaceDE w:val="0"/>
        <w:autoSpaceDN w:val="0"/>
        <w:adjustRightInd w:val="0"/>
        <w:spacing w:before="120"/>
        <w:ind w:left="1588"/>
        <w:rPr>
          <w:color w:val="000000"/>
          <w:sz w:val="23"/>
          <w:szCs w:val="23"/>
        </w:rPr>
      </w:pPr>
      <w:r>
        <w:rPr>
          <w:color w:val="000000"/>
          <w:sz w:val="23"/>
          <w:szCs w:val="23"/>
        </w:rPr>
        <w:t>On receiving an application under section 151, the NCC must deal with it in accordance with the Rules.</w:t>
      </w:r>
    </w:p>
    <w:p>
      <w:pPr>
        <w:pStyle w:val="Heading5"/>
      </w:pPr>
      <w:bookmarkStart w:id="581" w:name="_Toc158374905"/>
      <w:r>
        <w:rPr>
          <w:rStyle w:val="CharSectno"/>
        </w:rPr>
        <w:t>153</w:t>
      </w:r>
      <w:r>
        <w:t>.</w:t>
      </w:r>
      <w:r>
        <w:tab/>
        <w:t>No</w:t>
      </w:r>
      <w:r>
        <w:noBreakHyphen/>
        <w:t>coverage recommendation</w:t>
      </w:r>
      <w:bookmarkEnd w:id="58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recommending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exempted from being a covered pipeline for a period of 15 years;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 be exempted from being a covered pipeline for a period of 15 years.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to the outcome sought in the application under section 151.</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15</w:t>
      </w:r>
      <w:r>
        <w:rPr>
          <w:color w:val="000000"/>
          <w:sz w:val="20"/>
        </w:rPr>
        <w:noBreakHyphen/>
        <w:t>year no</w:t>
      </w:r>
      <w:r>
        <w:rPr>
          <w:color w:val="000000"/>
          <w:sz w:val="20"/>
        </w:rPr>
        <w:noBreakHyphen/>
        <w:t>coverage determination in relation to the whole pipeline. The NCC may recommend that only a part of the pipeline the subject of the application be subject to a 15</w:t>
      </w:r>
      <w:r>
        <w:rPr>
          <w:color w:val="000000"/>
          <w:sz w:val="20"/>
        </w:rPr>
        <w:noBreakHyphen/>
        <w:t>year no</w:t>
      </w:r>
      <w:r>
        <w:rPr>
          <w:color w:val="000000"/>
          <w:sz w:val="20"/>
        </w:rPr>
        <w:noBreakHyphen/>
        <w:t>coverage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582" w:name="_Toc158374906"/>
      <w:r>
        <w:rPr>
          <w:rStyle w:val="CharSectno"/>
        </w:rPr>
        <w:lastRenderedPageBreak/>
        <w:t>154</w:t>
      </w:r>
      <w:r>
        <w:t>.</w:t>
      </w:r>
      <w:r>
        <w:tab/>
        <w:t>Principles governing the making of a no</w:t>
      </w:r>
      <w:r>
        <w:noBreakHyphen/>
        <w:t>coverage recommendation</w:t>
      </w:r>
      <w:bookmarkEnd w:id="58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no</w:t>
      </w:r>
      <w:r>
        <w:rPr>
          <w:color w:val="000000"/>
          <w:sz w:val="23"/>
          <w:szCs w:val="23"/>
        </w:rPr>
        <w:noBreakHyphen/>
        <w:t>coverage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must give effect to the pipeline coverage criteria; and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 the recommendation must be against making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 the recommendation must be in favour of making a 15</w:t>
      </w:r>
      <w:r>
        <w:rPr>
          <w:color w:val="000000"/>
          <w:sz w:val="23"/>
          <w:szCs w:val="23"/>
        </w:rPr>
        <w:noBreakHyphen/>
        <w:t>year no coverage determination.</w:t>
      </w:r>
    </w:p>
    <w:p>
      <w:pPr>
        <w:pStyle w:val="Heading5"/>
      </w:pPr>
      <w:bookmarkStart w:id="583" w:name="_Toc158374907"/>
      <w:r>
        <w:rPr>
          <w:rStyle w:val="CharSectno"/>
        </w:rPr>
        <w:t>155</w:t>
      </w:r>
      <w:r>
        <w:t>.</w:t>
      </w:r>
      <w:r>
        <w:tab/>
        <w:t>Initial classification decision to be made as part of recommendation</w:t>
      </w:r>
      <w:bookmarkEnd w:id="58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pipeline the subject of an application under section 151 is not an international pipeline, the NCC must, as part of a no</w:t>
      </w:r>
      <w:r>
        <w:rPr>
          <w:color w:val="000000"/>
          <w:sz w:val="23"/>
          <w:szCs w:val="23"/>
        </w:rPr>
        <w:noBreakHyphen/>
        <w:t xml:space="preserve">coverage recommendation, classify the pipeline as a transmission pipeline or a distribution pipeline (an </w:t>
      </w:r>
      <w:r>
        <w:rPr>
          <w:rStyle w:val="CharDefText"/>
          <w:bCs/>
          <w:sz w:val="23"/>
        </w:rPr>
        <w:t>initial classification decision</w:t>
      </w:r>
      <w:r>
        <w:rPr>
          <w:color w:val="000000"/>
          <w:sz w:val="23"/>
          <w:szCs w:val="23"/>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classifies the pipeline the subject of the application as a transmission pipeline—determine whether the transmission pipeline is also a cross boundary transmission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also determine, as part of an initial classification decision, the participating jurisdiction with which the pipeline the subject of the application under section 151 is most closely connected if the NCC determines the pipeline is also a cross boundary distribution pipeline. In doing so, the NCC must have regard to the jurisdictional determination criteria.</w:t>
      </w:r>
    </w:p>
    <w:p>
      <w:pPr>
        <w:pStyle w:val="Heading5"/>
      </w:pPr>
      <w:bookmarkStart w:id="584" w:name="_Toc158374908"/>
      <w:r>
        <w:rPr>
          <w:rStyle w:val="CharSectno"/>
        </w:rPr>
        <w:t>156</w:t>
      </w:r>
      <w:r>
        <w:t>.</w:t>
      </w:r>
      <w:r>
        <w:tab/>
        <w:t>Relevant Minister’s determination on application</w:t>
      </w:r>
      <w:bookmarkEnd w:id="58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no</w:t>
      </w:r>
      <w:r>
        <w:rPr>
          <w:color w:val="000000"/>
          <w:sz w:val="23"/>
          <w:szCs w:val="23"/>
        </w:rPr>
        <w:noBreakHyphen/>
        <w:t>coverage recommendation the relevant Minister must decide whether or not to make a 15</w:t>
      </w:r>
      <w:r>
        <w:rPr>
          <w:color w:val="000000"/>
          <w:sz w:val="23"/>
          <w:szCs w:val="23"/>
        </w:rPr>
        <w:noBreakHyphen/>
        <w:t>year no</w:t>
      </w:r>
      <w:r>
        <w:rPr>
          <w:color w:val="000000"/>
          <w:sz w:val="23"/>
          <w:szCs w:val="23"/>
        </w:rPr>
        <w:noBreakHyphen/>
        <w:t>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30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151.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15</w:t>
      </w:r>
      <w:r>
        <w:rPr>
          <w:color w:val="000000"/>
          <w:sz w:val="23"/>
          <w:szCs w:val="23"/>
        </w:rPr>
        <w:noBreakHyphen/>
        <w:t>year no</w:t>
      </w:r>
      <w:r>
        <w:rPr>
          <w:color w:val="000000"/>
          <w:sz w:val="23"/>
          <w:szCs w:val="23"/>
        </w:rPr>
        <w:noBreakHyphen/>
        <w:t>coverage determination or a decision not to make a 15</w:t>
      </w:r>
      <w:r>
        <w:rPr>
          <w:color w:val="000000"/>
          <w:sz w:val="23"/>
          <w:szCs w:val="23"/>
        </w:rPr>
        <w:noBreakHyphen/>
        <w:t>year no</w:t>
      </w:r>
      <w:r>
        <w:rPr>
          <w:color w:val="000000"/>
          <w:sz w:val="23"/>
          <w:szCs w:val="23"/>
        </w:rPr>
        <w:noBreakHyphen/>
        <w:t>coverage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(d)</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15</w:t>
      </w:r>
      <w:r>
        <w:rPr>
          <w:color w:val="000000"/>
          <w:sz w:val="23"/>
          <w:szCs w:val="23"/>
        </w:rPr>
        <w:noBreakHyphen/>
        <w:t>year no</w:t>
      </w:r>
      <w:r>
        <w:rPr>
          <w:color w:val="000000"/>
          <w:sz w:val="23"/>
          <w:szCs w:val="23"/>
        </w:rPr>
        <w:noBreakHyphen/>
        <w:t>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151;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no</w:t>
      </w:r>
      <w:r>
        <w:rPr>
          <w:color w:val="000000"/>
          <w:sz w:val="23"/>
          <w:szCs w:val="23"/>
        </w:rPr>
        <w:noBreakHyphen/>
        <w:t>coverage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15</w:t>
      </w:r>
      <w:r>
        <w:rPr>
          <w:color w:val="000000"/>
          <w:sz w:val="20"/>
        </w:rPr>
        <w:noBreakHyphen/>
        <w:t>year no</w:t>
      </w:r>
      <w:r>
        <w:rPr>
          <w:color w:val="000000"/>
          <w:sz w:val="20"/>
        </w:rPr>
        <w:noBreakHyphen/>
        <w:t>coverage determination in relation to the whole pipeline. The NCC may recommend that only a part of the pipeline the subject of the application be subject to a 15</w:t>
      </w:r>
      <w:r>
        <w:rPr>
          <w:color w:val="000000"/>
          <w:sz w:val="20"/>
        </w:rPr>
        <w:noBreakHyphen/>
        <w:t>year no</w:t>
      </w:r>
      <w:r>
        <w:rPr>
          <w:color w:val="000000"/>
          <w:sz w:val="20"/>
        </w:rPr>
        <w:noBreakHyphen/>
        <w:t>coverage determination. The relevant Minister may make a 15</w:t>
      </w:r>
      <w:r>
        <w:rPr>
          <w:color w:val="000000"/>
          <w:sz w:val="20"/>
        </w:rPr>
        <w:noBreakHyphen/>
        <w:t>year no</w:t>
      </w:r>
      <w:r>
        <w:rPr>
          <w:color w:val="000000"/>
          <w:sz w:val="20"/>
        </w:rPr>
        <w:noBreakHyphen/>
        <w:t>coverage determination that applies to different parts of the pipeline to those recommended by the NCC be subject to the determination.</w:t>
      </w:r>
    </w:p>
    <w:p>
      <w:pPr>
        <w:pStyle w:val="Heading5"/>
      </w:pPr>
      <w:bookmarkStart w:id="585" w:name="_Toc158374909"/>
      <w:r>
        <w:rPr>
          <w:rStyle w:val="CharSectno"/>
        </w:rPr>
        <w:t>157</w:t>
      </w:r>
      <w:r>
        <w:t>.</w:t>
      </w:r>
      <w:r>
        <w:tab/>
        <w:t>Principles governing the making of a 15</w:t>
      </w:r>
      <w:r>
        <w:noBreakHyphen/>
        <w:t>year no</w:t>
      </w:r>
      <w:r>
        <w:noBreakHyphen/>
        <w:t>coverage determination or decision not to do so</w:t>
      </w:r>
      <w:bookmarkEnd w:id="58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15</w:t>
      </w:r>
      <w:r>
        <w:rPr>
          <w:color w:val="000000"/>
          <w:sz w:val="23"/>
          <w:szCs w:val="23"/>
        </w:rPr>
        <w:noBreakHyphen/>
        <w:t>year no</w:t>
      </w:r>
      <w:r>
        <w:rPr>
          <w:color w:val="000000"/>
          <w:sz w:val="23"/>
          <w:szCs w:val="23"/>
        </w:rPr>
        <w:noBreakHyphen/>
        <w:t>coverage determination under this Part,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no</w:t>
      </w:r>
      <w:r>
        <w:rPr>
          <w:color w:val="000000"/>
          <w:sz w:val="23"/>
          <w:szCs w:val="23"/>
        </w:rPr>
        <w:noBreakHyphen/>
        <w:t>coverage recommendation;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156(4);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lastRenderedPageBreak/>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Minister is satisfied that all the pipeline coverage criteria are satisfied in relation to the pipeline the Minister must not make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Minister is not satisfied that all the pipeline coverage criteria are satisfied in relation to the pipeline the Minister must make a 15</w:t>
      </w:r>
      <w:r>
        <w:rPr>
          <w:color w:val="000000"/>
          <w:sz w:val="23"/>
          <w:szCs w:val="23"/>
        </w:rPr>
        <w:noBreakHyphen/>
        <w:t>year no</w:t>
      </w:r>
      <w:r>
        <w:rPr>
          <w:color w:val="000000"/>
          <w:sz w:val="23"/>
          <w:szCs w:val="23"/>
        </w:rPr>
        <w:noBreakHyphen/>
        <w:t>coverage determination.</w:t>
      </w:r>
    </w:p>
    <w:p>
      <w:pPr>
        <w:pStyle w:val="Heading5"/>
        <w:spacing w:before="120"/>
      </w:pPr>
      <w:bookmarkStart w:id="586" w:name="_Toc158374910"/>
      <w:r>
        <w:rPr>
          <w:rStyle w:val="CharSectno"/>
        </w:rPr>
        <w:t>158</w:t>
      </w:r>
      <w:r>
        <w:t>.</w:t>
      </w:r>
      <w:r>
        <w:tab/>
        <w:t>Effect of 15</w:t>
      </w:r>
      <w:r>
        <w:noBreakHyphen/>
        <w:t>year no</w:t>
      </w:r>
      <w:r>
        <w:noBreakHyphen/>
        <w:t>coverage determination</w:t>
      </w:r>
      <w:bookmarkEnd w:id="586"/>
    </w:p>
    <w:p>
      <w:pPr>
        <w:keepNext/>
        <w:keepLines/>
        <w:tabs>
          <w:tab w:val="center" w:pos="1191"/>
          <w:tab w:val="left" w:pos="1588"/>
        </w:tabs>
        <w:autoSpaceDE w:val="0"/>
        <w:autoSpaceDN w:val="0"/>
        <w:adjustRightInd w:val="0"/>
        <w:spacing w:before="80"/>
        <w:ind w:left="1588" w:hanging="794"/>
        <w:rPr>
          <w:color w:val="000000"/>
          <w:sz w:val="23"/>
          <w:szCs w:val="23"/>
        </w:rPr>
      </w:pPr>
      <w:r>
        <w:rPr>
          <w:color w:val="000000"/>
          <w:sz w:val="23"/>
          <w:szCs w:val="23"/>
        </w:rPr>
        <w:tab/>
        <w:t>(1)</w:t>
      </w:r>
      <w:r>
        <w:rPr>
          <w:color w:val="000000"/>
          <w:sz w:val="23"/>
          <w:szCs w:val="23"/>
        </w:rPr>
        <w:tab/>
        <w:t>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takes effect on and from the date specified in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continues in operation for a period of 15 years from the commissioning of the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coverage of a pipeline to which a 15</w:t>
      </w:r>
      <w:r>
        <w:rPr>
          <w:color w:val="000000"/>
          <w:sz w:val="23"/>
          <w:szCs w:val="23"/>
        </w:rPr>
        <w:noBreakHyphen/>
        <w:t>year no</w:t>
      </w:r>
      <w:r>
        <w:rPr>
          <w:color w:val="000000"/>
          <w:sz w:val="23"/>
          <w:szCs w:val="23"/>
        </w:rPr>
        <w:noBreakHyphen/>
        <w:t>coverage determination applies can be made before the end of the period for which the determination remains in operation only if the coverage sought in the application is to commence from, or after, the end of that period.</w:t>
      </w:r>
    </w:p>
    <w:p>
      <w:pPr>
        <w:pStyle w:val="Heading5"/>
        <w:spacing w:before="120"/>
      </w:pPr>
      <w:bookmarkStart w:id="587" w:name="_Toc158374911"/>
      <w:r>
        <w:rPr>
          <w:rStyle w:val="CharSectno"/>
        </w:rPr>
        <w:t>159</w:t>
      </w:r>
      <w:r>
        <w:t>.</w:t>
      </w:r>
      <w:r>
        <w:tab/>
        <w:t>Consequences of Minister deciding against making 15</w:t>
      </w:r>
      <w:r>
        <w:noBreakHyphen/>
        <w:t>year no</w:t>
      </w:r>
      <w:r>
        <w:noBreakHyphen/>
        <w:t>coverage determination for international pipeline</w:t>
      </w:r>
      <w:bookmarkEnd w:id="58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Commonwealth Minister decides against making a 15</w:t>
      </w:r>
      <w:r>
        <w:rPr>
          <w:color w:val="000000"/>
          <w:sz w:val="23"/>
          <w:szCs w:val="23"/>
        </w:rPr>
        <w:noBreakHyphen/>
        <w:t>year no</w:t>
      </w:r>
      <w:r>
        <w:rPr>
          <w:color w:val="000000"/>
          <w:sz w:val="23"/>
          <w:szCs w:val="23"/>
        </w:rPr>
        <w:noBreakHyphen/>
        <w:t>coverage determination for an international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the applicant asks the Commonwealth Minister to treat the application as an application for a price regulation exemption,</w:t>
      </w:r>
    </w:p>
    <w:p>
      <w:pPr>
        <w:autoSpaceDE w:val="0"/>
        <w:autoSpaceDN w:val="0"/>
        <w:adjustRightInd w:val="0"/>
        <w:spacing w:before="80"/>
        <w:ind w:left="1588"/>
        <w:rPr>
          <w:color w:val="000000"/>
          <w:sz w:val="23"/>
          <w:szCs w:val="23"/>
        </w:rPr>
      </w:pPr>
      <w:r>
        <w:rPr>
          <w:color w:val="000000"/>
          <w:sz w:val="23"/>
          <w:szCs w:val="23"/>
        </w:rPr>
        <w:t>the Commonwealth Minister may treat the application as an application for a price regulation exemption under Chapter 5 Part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Commonwealth Minister decides to treat an application for a 15</w:t>
      </w:r>
      <w:r>
        <w:rPr>
          <w:color w:val="000000"/>
          <w:sz w:val="23"/>
          <w:szCs w:val="23"/>
        </w:rPr>
        <w:noBreakHyphen/>
        <w:t>year no</w:t>
      </w:r>
      <w:r>
        <w:rPr>
          <w:color w:val="000000"/>
          <w:sz w:val="23"/>
          <w:szCs w:val="23"/>
        </w:rPr>
        <w:noBreakHyphen/>
        <w:t>coverage determination as an application for a price regulation exemption, the Commonwealth Minister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refer the application to the NCC for a recommendation under Chapter 5 Part 3;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proceed to determine the application without a recommendation under Chapter 5 Part 3.</w:t>
      </w:r>
    </w:p>
    <w:p>
      <w:pPr>
        <w:pStyle w:val="Heading3"/>
      </w:pPr>
      <w:bookmarkStart w:id="588" w:name="_Toc156819273"/>
      <w:bookmarkStart w:id="589" w:name="_Toc156990692"/>
      <w:bookmarkStart w:id="590" w:name="_Toc158374912"/>
      <w:r>
        <w:rPr>
          <w:rStyle w:val="CharDivNo"/>
        </w:rPr>
        <w:t>Part 3</w:t>
      </w:r>
      <w:r>
        <w:t xml:space="preserve"> — </w:t>
      </w:r>
      <w:r>
        <w:rPr>
          <w:rStyle w:val="CharDivText"/>
        </w:rPr>
        <w:t>Price regulation exemptions</w:t>
      </w:r>
      <w:bookmarkEnd w:id="588"/>
      <w:bookmarkEnd w:id="589"/>
      <w:bookmarkEnd w:id="590"/>
    </w:p>
    <w:p>
      <w:pPr>
        <w:pStyle w:val="Heading4"/>
      </w:pPr>
      <w:bookmarkStart w:id="591" w:name="_Toc156819274"/>
      <w:bookmarkStart w:id="592" w:name="_Toc156990693"/>
      <w:bookmarkStart w:id="593" w:name="_Toc158374913"/>
      <w:r>
        <w:t>Division 1 — Application for price regulation exemption</w:t>
      </w:r>
      <w:bookmarkEnd w:id="591"/>
      <w:bookmarkEnd w:id="592"/>
      <w:bookmarkEnd w:id="593"/>
    </w:p>
    <w:p>
      <w:pPr>
        <w:pStyle w:val="Heading5"/>
      </w:pPr>
      <w:bookmarkStart w:id="594" w:name="_Toc158374914"/>
      <w:r>
        <w:rPr>
          <w:rStyle w:val="CharSectno"/>
        </w:rPr>
        <w:t>160</w:t>
      </w:r>
      <w:r>
        <w:t>.</w:t>
      </w:r>
      <w:r>
        <w:tab/>
        <w:t>Application for price regulation exemption</w:t>
      </w:r>
      <w:bookmarkEnd w:id="59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greenfields pipeline project for construction of an international pipeline is proposed, or has commenced, the service provider may, before the pipeline is commissioned, apply for a price regulation exemption for the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price regulation exemption—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includes a person that intends to be a service provider.</w:t>
      </w:r>
    </w:p>
    <w:p>
      <w:pPr>
        <w:pStyle w:val="Heading4"/>
      </w:pPr>
      <w:bookmarkStart w:id="595" w:name="_Toc156819276"/>
      <w:bookmarkStart w:id="596" w:name="_Toc156990695"/>
      <w:bookmarkStart w:id="597" w:name="_Toc158374915"/>
      <w:r>
        <w:t>Division 2 — Recommendations by NCC</w:t>
      </w:r>
      <w:bookmarkEnd w:id="595"/>
      <w:bookmarkEnd w:id="596"/>
      <w:bookmarkEnd w:id="597"/>
    </w:p>
    <w:p>
      <w:pPr>
        <w:pStyle w:val="Heading5"/>
        <w:spacing w:before="120"/>
      </w:pPr>
      <w:bookmarkStart w:id="598" w:name="_Toc158374916"/>
      <w:r>
        <w:rPr>
          <w:rStyle w:val="CharSectno"/>
        </w:rPr>
        <w:t>161</w:t>
      </w:r>
      <w:r>
        <w:t>.</w:t>
      </w:r>
      <w:r>
        <w:tab/>
        <w:t>Application to be dealt with in accordance with the Rules</w:t>
      </w:r>
      <w:bookmarkEnd w:id="598"/>
    </w:p>
    <w:p>
      <w:pPr>
        <w:keepLines/>
        <w:autoSpaceDE w:val="0"/>
        <w:autoSpaceDN w:val="0"/>
        <w:adjustRightInd w:val="0"/>
        <w:spacing w:before="120"/>
        <w:ind w:left="1588"/>
        <w:rPr>
          <w:color w:val="000000"/>
          <w:sz w:val="23"/>
          <w:szCs w:val="23"/>
        </w:rPr>
      </w:pPr>
      <w:r>
        <w:rPr>
          <w:color w:val="000000"/>
          <w:sz w:val="23"/>
          <w:szCs w:val="23"/>
        </w:rPr>
        <w:t>On receiving an application under section 160, the NCC must deal with it in accordance with the Rules.</w:t>
      </w:r>
    </w:p>
    <w:p>
      <w:pPr>
        <w:pStyle w:val="Heading5"/>
      </w:pPr>
      <w:bookmarkStart w:id="599" w:name="_Toc158374917"/>
      <w:r>
        <w:rPr>
          <w:rStyle w:val="CharSectno"/>
        </w:rPr>
        <w:t>162</w:t>
      </w:r>
      <w:r>
        <w:t>.</w:t>
      </w:r>
      <w:r>
        <w:tab/>
        <w:t>NCC’s recommendation</w:t>
      </w:r>
      <w:bookmarkEnd w:id="59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to the Commonwealth Minister as to whether the Minister should grant a price regulation exemption for the pipeline the subject of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must be delivered to the Commonwealth Minister without delay.</w:t>
      </w:r>
    </w:p>
    <w:p>
      <w:pPr>
        <w:pStyle w:val="Heading5"/>
      </w:pPr>
      <w:bookmarkStart w:id="600" w:name="_Toc158374918"/>
      <w:r>
        <w:rPr>
          <w:rStyle w:val="CharSectno"/>
        </w:rPr>
        <w:t>163</w:t>
      </w:r>
      <w:r>
        <w:t>.</w:t>
      </w:r>
      <w:r>
        <w:tab/>
        <w:t>General principle governing NCC’s recommendation</w:t>
      </w:r>
      <w:bookmarkEnd w:id="60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its recommendation on an application for a price regulation exemption, the NCC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(2)</w:t>
      </w:r>
      <w:r>
        <w:rPr>
          <w:color w:val="000000"/>
          <w:sz w:val="23"/>
          <w:szCs w:val="23"/>
        </w:rPr>
        <w:tab/>
        <w:t>In doing so,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with particular reference to—</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other possible effects on the public interest;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have regard to any other relevant matter.</w:t>
      </w:r>
    </w:p>
    <w:p>
      <w:pPr>
        <w:pStyle w:val="Heading4"/>
      </w:pPr>
      <w:bookmarkStart w:id="601" w:name="_Toc156819280"/>
      <w:bookmarkStart w:id="602" w:name="_Toc156990699"/>
      <w:bookmarkStart w:id="603" w:name="_Toc158374919"/>
      <w:r>
        <w:t>Division 3 — Making and effect of price regulation exemption</w:t>
      </w:r>
      <w:bookmarkEnd w:id="601"/>
      <w:bookmarkEnd w:id="602"/>
      <w:bookmarkEnd w:id="603"/>
    </w:p>
    <w:p>
      <w:pPr>
        <w:pStyle w:val="Heading5"/>
      </w:pPr>
      <w:bookmarkStart w:id="604" w:name="_Toc158374920"/>
      <w:r>
        <w:rPr>
          <w:rStyle w:val="CharSectno"/>
        </w:rPr>
        <w:t>164</w:t>
      </w:r>
      <w:r>
        <w:t>.</w:t>
      </w:r>
      <w:r>
        <w:tab/>
        <w:t>Making of price regulation exemption</w:t>
      </w:r>
      <w:bookmarkEnd w:id="60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the NCC’s recommendation under section 162, the Commonwealth Minister must decide whether to grant a price regulation exemption.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Commonwealth Minister must use his or her best endeavours to make the decision within 10 business days after receiving the NCC’s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Commonwealth Minister is unable to make the decision within the period specified under subsection (2), he or she must make the decision as soon as reasonably practicable after the end of the specified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pStyle w:val="Heading5"/>
      </w:pPr>
      <w:bookmarkStart w:id="605" w:name="_Toc158374921"/>
      <w:r>
        <w:rPr>
          <w:rStyle w:val="CharSectno"/>
        </w:rPr>
        <w:lastRenderedPageBreak/>
        <w:t>165</w:t>
      </w:r>
      <w:r>
        <w:t>.</w:t>
      </w:r>
      <w:r>
        <w:tab/>
        <w:t>Principles governing the making of a price regulation exemption</w:t>
      </w:r>
      <w:bookmarkEnd w:id="60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decision to grant a price regulation exemption, the Commonwealth Minister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Commonwealth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with particular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other possible effects of the exemption on the public interest;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have regard to the NCC’s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take into account any relevant submissions and comments made to the NCC by the public under the Rules in relation to the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may have regard to any other relevant matter.</w:t>
      </w:r>
    </w:p>
    <w:p>
      <w:pPr>
        <w:pStyle w:val="Heading5"/>
      </w:pPr>
      <w:bookmarkStart w:id="606" w:name="_Toc158374922"/>
      <w:r>
        <w:rPr>
          <w:rStyle w:val="CharSectno"/>
        </w:rPr>
        <w:t>166</w:t>
      </w:r>
      <w:r>
        <w:t>.</w:t>
      </w:r>
      <w:r>
        <w:tab/>
        <w:t>Conditions applying to a price regulation exemption</w:t>
      </w:r>
      <w:bookmarkEnd w:id="606"/>
    </w:p>
    <w:p>
      <w:pPr>
        <w:keepNext/>
        <w:keepLines/>
        <w:autoSpaceDE w:val="0"/>
        <w:autoSpaceDN w:val="0"/>
        <w:adjustRightInd w:val="0"/>
        <w:spacing w:before="120"/>
        <w:ind w:left="1588"/>
        <w:rPr>
          <w:color w:val="000000"/>
          <w:sz w:val="23"/>
          <w:szCs w:val="23"/>
        </w:rPr>
      </w:pPr>
      <w:r>
        <w:rPr>
          <w:color w:val="000000"/>
          <w:sz w:val="23"/>
          <w:szCs w:val="23"/>
        </w:rPr>
        <w:t>A price regulation exemption granted under this Part is subject to the following conditions: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service provider must publish on its website prices for the provision of pipeline services by means of the international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service provider’s limited access arrangement and the register of spare capacity are to be accessible on the service provider’s website; and</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(c)</w:t>
      </w:r>
      <w:r>
        <w:rPr>
          <w:color w:val="000000"/>
          <w:sz w:val="23"/>
          <w:szCs w:val="23"/>
        </w:rPr>
        <w:tab/>
        <w:t>the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as and when required by the AER or the Commonwealth Minister, provide information requested by the AER or the Commonwealth Minister (in a manner and form determined or approved by the AER or the Commonwealth Minister) on access negotiations and the result of access negotiations; and</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report annually to the AER and the Commonwealth Minister (in a manner and form approved by the AER or the Commonwealth Minister) on access negotiations and the result of access negotiations.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sections 168 and 169(3).</w:t>
      </w:r>
    </w:p>
    <w:p>
      <w:pPr>
        <w:pStyle w:val="Heading5"/>
      </w:pPr>
      <w:bookmarkStart w:id="607" w:name="_Toc158374923"/>
      <w:r>
        <w:rPr>
          <w:rStyle w:val="CharSectno"/>
        </w:rPr>
        <w:t>167</w:t>
      </w:r>
      <w:r>
        <w:t>.</w:t>
      </w:r>
      <w:r>
        <w:tab/>
        <w:t>Effect of price regulation exemption</w:t>
      </w:r>
      <w:bookmarkEnd w:id="60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price regulation exemption is granted, then for a period of 15 years from the commissioning of the pipeline, the services provided by means of the pipeline are not subject to price or revenue regulation under this Law or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price regulation exemption is, however, ineffective unless a limited access arrangement, approved by the AER, is in force in relation to the relevant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168.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while a price regulation exemption remains in force, the Commonwealth Minister makes a 15</w:t>
      </w:r>
      <w:r>
        <w:rPr>
          <w:color w:val="000000"/>
          <w:sz w:val="23"/>
          <w:szCs w:val="23"/>
        </w:rPr>
        <w:noBreakHyphen/>
        <w:t>year no</w:t>
      </w:r>
      <w:r>
        <w:rPr>
          <w:color w:val="000000"/>
          <w:sz w:val="23"/>
          <w:szCs w:val="23"/>
        </w:rPr>
        <w:noBreakHyphen/>
        <w:t>coverage determination for the pipeline, the 15</w:t>
      </w:r>
      <w:r>
        <w:rPr>
          <w:color w:val="000000"/>
          <w:sz w:val="23"/>
          <w:szCs w:val="23"/>
        </w:rPr>
        <w:noBreakHyphen/>
        <w:t>year no</w:t>
      </w:r>
      <w:r>
        <w:rPr>
          <w:color w:val="000000"/>
          <w:sz w:val="23"/>
          <w:szCs w:val="23"/>
        </w:rPr>
        <w:noBreakHyphen/>
        <w:t>coverage determination supersedes the price regulation exemption (which is then terminated) and remains in force for the balance of the period for which the exemption was granted.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(4)</w:t>
      </w:r>
      <w:r>
        <w:rPr>
          <w:color w:val="000000"/>
          <w:sz w:val="23"/>
          <w:szCs w:val="23"/>
        </w:rPr>
        <w:tab/>
        <w:t>An application for coverage of a pipeline to which a price regulation exemption applies can only be made before the end of the period of exemption if the coverage sought in the application is to commence from, or after, the end of that period.</w:t>
      </w:r>
    </w:p>
    <w:p>
      <w:pPr>
        <w:pStyle w:val="Heading4"/>
        <w:keepNext w:val="0"/>
      </w:pPr>
      <w:bookmarkStart w:id="608" w:name="_Toc156819285"/>
      <w:bookmarkStart w:id="609" w:name="_Toc156990704"/>
      <w:bookmarkStart w:id="610" w:name="_Toc158374924"/>
      <w:r>
        <w:t>Division 4 — Limited access arrangements</w:t>
      </w:r>
      <w:bookmarkEnd w:id="608"/>
      <w:bookmarkEnd w:id="609"/>
      <w:bookmarkEnd w:id="610"/>
    </w:p>
    <w:p>
      <w:pPr>
        <w:pStyle w:val="Heading5"/>
        <w:keepNext w:val="0"/>
        <w:keepLines w:val="0"/>
      </w:pPr>
      <w:bookmarkStart w:id="611" w:name="_Toc158374925"/>
      <w:r>
        <w:rPr>
          <w:rStyle w:val="CharSectno"/>
        </w:rPr>
        <w:t>168</w:t>
      </w:r>
      <w:r>
        <w:t>.</w:t>
      </w:r>
      <w:r>
        <w:tab/>
        <w:t>Limited access arrangements for pipeline services provided by international pipeline to which a price regulation exemption applies</w:t>
      </w:r>
      <w:bookmarkEnd w:id="611"/>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must, within 60 business days after the grant of a price regulation exemption,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limited access arrangement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submit to the AER, for approval by the AER under the Rules, revisions to an applicable access arrangement that is a limited access arrangement and that applies to the pipeline service to which that arrangement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specified by the Rules.</w:t>
      </w:r>
    </w:p>
    <w:p>
      <w:pPr>
        <w:pStyle w:val="Heading4"/>
      </w:pPr>
      <w:bookmarkStart w:id="612" w:name="_Toc156819287"/>
      <w:bookmarkStart w:id="613" w:name="_Toc156990706"/>
      <w:bookmarkStart w:id="614" w:name="_Toc158374926"/>
      <w:r>
        <w:t>Division 5 — Other matters</w:t>
      </w:r>
      <w:bookmarkEnd w:id="612"/>
      <w:bookmarkEnd w:id="613"/>
      <w:bookmarkEnd w:id="614"/>
    </w:p>
    <w:p>
      <w:pPr>
        <w:pStyle w:val="Heading5"/>
      </w:pPr>
      <w:bookmarkStart w:id="615" w:name="_Toc158374927"/>
      <w:r>
        <w:rPr>
          <w:rStyle w:val="CharSectno"/>
        </w:rPr>
        <w:t>169</w:t>
      </w:r>
      <w:r>
        <w:t>.</w:t>
      </w:r>
      <w:r>
        <w:tab/>
        <w:t>Other obligations to which service provider is subject</w:t>
      </w:r>
      <w:bookmarkEnd w:id="61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service provider for a pipeline to which a price regulation exemption applies is subject to the following provisions as if the pipeline were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Chapter 4 Part 1 (except sections 132 and 136);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Chapter 4 Part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service provider for a pipeline to which a price regulation exemption applies must comply with any Rules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relate to the facilitation of, and request for access to, pipeline services provided by means of that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apply to the service provider or a class of person of which the service provider is a member.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ensure compliance with conditions to which the price regulation exemption is subject.</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160.</w:t>
      </w:r>
    </w:p>
    <w:p>
      <w:pPr>
        <w:pStyle w:val="Heading5"/>
      </w:pPr>
      <w:bookmarkStart w:id="616" w:name="_Toc158374928"/>
      <w:r>
        <w:rPr>
          <w:rStyle w:val="CharSectno"/>
        </w:rPr>
        <w:t>170</w:t>
      </w:r>
      <w:r>
        <w:t>.</w:t>
      </w:r>
      <w:r>
        <w:tab/>
        <w:t>Service provider must not price discriminate in providing international pipeline services</w:t>
      </w:r>
      <w:bookmarkEnd w:id="61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must not, when providing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an international pipeline to which a price regulation exemption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a limited access arrangement applies,</w:t>
      </w:r>
    </w:p>
    <w:p>
      <w:pPr>
        <w:keepLines/>
        <w:autoSpaceDE w:val="0"/>
        <w:autoSpaceDN w:val="0"/>
        <w:adjustRightInd w:val="0"/>
        <w:spacing w:before="120"/>
        <w:ind w:left="1588"/>
        <w:rPr>
          <w:color w:val="000000"/>
          <w:sz w:val="23"/>
          <w:szCs w:val="23"/>
        </w:rPr>
      </w:pPr>
      <w:r>
        <w:rPr>
          <w:color w:val="000000"/>
          <w:sz w:val="23"/>
          <w:szCs w:val="23"/>
        </w:rPr>
        <w:t>engage in price discrimination.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if the service provider engages in price discrimination that is conducive to efficient service provision.</w:t>
      </w:r>
    </w:p>
    <w:p>
      <w:pPr>
        <w:pStyle w:val="Heading3"/>
      </w:pPr>
      <w:bookmarkStart w:id="617" w:name="_Toc156819290"/>
      <w:bookmarkStart w:id="618" w:name="_Toc156990709"/>
      <w:bookmarkStart w:id="619" w:name="_Toc158374929"/>
      <w:r>
        <w:rPr>
          <w:rStyle w:val="CharDivNo"/>
        </w:rPr>
        <w:lastRenderedPageBreak/>
        <w:t>Part 4</w:t>
      </w:r>
      <w:r>
        <w:t xml:space="preserve"> — </w:t>
      </w:r>
      <w:r>
        <w:rPr>
          <w:rStyle w:val="CharDivText"/>
        </w:rPr>
        <w:t>Extended or modified application of greenfields pipeline incentive</w:t>
      </w:r>
      <w:bookmarkEnd w:id="617"/>
      <w:bookmarkEnd w:id="618"/>
      <w:bookmarkEnd w:id="619"/>
    </w:p>
    <w:p>
      <w:pPr>
        <w:pStyle w:val="Heading5"/>
      </w:pPr>
      <w:bookmarkStart w:id="620" w:name="_Toc158374930"/>
      <w:r>
        <w:rPr>
          <w:rStyle w:val="CharSectno"/>
        </w:rPr>
        <w:t>171</w:t>
      </w:r>
      <w:r>
        <w:t>.</w:t>
      </w:r>
      <w:r>
        <w:tab/>
        <w:t>Requirement for conformity between pipeline description and pipeline as constructed</w:t>
      </w:r>
      <w:bookmarkEnd w:id="62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Part—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greenfields pipeline incentive applies to the pipeline as described in the relevant pipeline description;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pipeline, as constructed, materially differs from the pipeline as described in the relevant pipeline description, the incentive does not attach to the pipeline and the service provider is not entitled to its benefit.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determining whether a pipeline, as constructed, materially differs from the relevant pipeline description, excluded infrastructure is not to be taken into account.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relevant pipeline description</w:t>
      </w:r>
      <w:r>
        <w:rPr>
          <w:bCs/>
          <w:i/>
          <w:iCs/>
          <w:color w:val="000000"/>
          <w:sz w:val="23"/>
          <w:szCs w:val="23"/>
        </w:rPr>
        <w:t xml:space="preserve"> </w:t>
      </w:r>
      <w:r>
        <w:rPr>
          <w:color w:val="000000"/>
          <w:sz w:val="23"/>
          <w:szCs w:val="23"/>
        </w:rPr>
        <w:t>means a description of a pipeline required to be included in an application under section 151 or 160.</w:t>
      </w:r>
    </w:p>
    <w:p>
      <w:pPr>
        <w:pStyle w:val="Heading5"/>
      </w:pPr>
      <w:bookmarkStart w:id="621" w:name="_Toc158374931"/>
      <w:r>
        <w:rPr>
          <w:rStyle w:val="CharSectno"/>
        </w:rPr>
        <w:t>172</w:t>
      </w:r>
      <w:r>
        <w:t>.</w:t>
      </w:r>
      <w:r>
        <w:tab/>
        <w:t>Power of relevant Minister to amend pipeline description</w:t>
      </w:r>
      <w:bookmarkEnd w:id="62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relevant Minister may, on application by the service provider for a pipeline for which a greenfields pipeline incentive has been granted, amend the relevant pipeline description.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amendment cannot, however, be made under this section after the pipeline has been commissioned.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refer an application for amendment to a pipeline description to the NCC for advice;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if the amendment sought involves a substantial change to the pipeline description as it currently exists must refer the application to the NCC for advice.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giving its advice to the relevant Minister, the NCC must have regard to the criteria that were relevant to the grant of the greenfields pipeline incentive.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deciding whether to make the amendment sought,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criteria that were relevant to the grant of the greenfields pipeline incentive;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application has been referred to the NCC for advice must consider the NCC’s advice.</w:t>
      </w:r>
    </w:p>
    <w:p>
      <w:pPr>
        <w:pStyle w:val="Heading3"/>
      </w:pPr>
      <w:bookmarkStart w:id="622" w:name="_Toc156819293"/>
      <w:bookmarkStart w:id="623" w:name="_Toc156990712"/>
      <w:bookmarkStart w:id="624" w:name="_Toc158374932"/>
      <w:r>
        <w:rPr>
          <w:rStyle w:val="CharDivNo"/>
        </w:rPr>
        <w:t>Part 5</w:t>
      </w:r>
      <w:r>
        <w:t xml:space="preserve"> — </w:t>
      </w:r>
      <w:r>
        <w:rPr>
          <w:rStyle w:val="CharDivText"/>
        </w:rPr>
        <w:t>Early termination of greenfields pipeline incentive</w:t>
      </w:r>
      <w:bookmarkEnd w:id="622"/>
      <w:bookmarkEnd w:id="623"/>
      <w:bookmarkEnd w:id="624"/>
    </w:p>
    <w:p>
      <w:pPr>
        <w:pStyle w:val="Heading5"/>
      </w:pPr>
      <w:bookmarkStart w:id="625" w:name="_Toc158374933"/>
      <w:r>
        <w:rPr>
          <w:rStyle w:val="CharSectno"/>
        </w:rPr>
        <w:t>173</w:t>
      </w:r>
      <w:r>
        <w:t>.</w:t>
      </w:r>
      <w:r>
        <w:tab/>
        <w:t>Greenfields pipeline incentive may lapse</w:t>
      </w:r>
      <w:bookmarkEnd w:id="62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greenfields pipeline incentive lapses if the pipeline for which it was granted is not commissioned within 3 years after the incentive was granted.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Regulations may, in a particular case, extend the period of 3 years referred to in subsection (1).</w:t>
      </w:r>
    </w:p>
    <w:p>
      <w:pPr>
        <w:pStyle w:val="Heading5"/>
      </w:pPr>
      <w:bookmarkStart w:id="626" w:name="_Toc158374934"/>
      <w:r>
        <w:rPr>
          <w:rStyle w:val="CharSectno"/>
        </w:rPr>
        <w:t>174</w:t>
      </w:r>
      <w:r>
        <w:t>.</w:t>
      </w:r>
      <w:r>
        <w:tab/>
        <w:t>Revocation by consent</w:t>
      </w:r>
      <w:bookmarkEnd w:id="626"/>
    </w:p>
    <w:p>
      <w:pPr>
        <w:keepLines/>
        <w:autoSpaceDE w:val="0"/>
        <w:autoSpaceDN w:val="0"/>
        <w:adjustRightInd w:val="0"/>
        <w:spacing w:before="120"/>
        <w:ind w:left="1588"/>
        <w:rPr>
          <w:color w:val="000000"/>
          <w:sz w:val="23"/>
          <w:szCs w:val="23"/>
        </w:rPr>
      </w:pPr>
      <w:r>
        <w:rPr>
          <w:color w:val="000000"/>
          <w:sz w:val="23"/>
          <w:szCs w:val="23"/>
        </w:rPr>
        <w:t>The relevant Minister may, at the request of the service provider, revoke a greenfields pipeline incentive.</w:t>
      </w:r>
    </w:p>
    <w:p>
      <w:pPr>
        <w:pStyle w:val="Heading5"/>
      </w:pPr>
      <w:bookmarkStart w:id="627" w:name="_Toc158374935"/>
      <w:r>
        <w:rPr>
          <w:rStyle w:val="CharSectno"/>
        </w:rPr>
        <w:t>175</w:t>
      </w:r>
      <w:r>
        <w:t>.</w:t>
      </w:r>
      <w:r>
        <w:tab/>
        <w:t>Revocation for misrepresentation</w:t>
      </w:r>
      <w:bookmarkEnd w:id="627"/>
    </w:p>
    <w:p>
      <w:pPr>
        <w:keepNext/>
        <w:keepLines/>
        <w:autoSpaceDE w:val="0"/>
        <w:autoSpaceDN w:val="0"/>
        <w:adjustRightInd w:val="0"/>
        <w:spacing w:before="120"/>
        <w:ind w:left="1588"/>
        <w:rPr>
          <w:color w:val="000000"/>
          <w:sz w:val="23"/>
          <w:szCs w:val="23"/>
        </w:rPr>
      </w:pPr>
      <w:r>
        <w:rPr>
          <w:color w:val="000000"/>
          <w:sz w:val="23"/>
          <w:szCs w:val="23"/>
        </w:rPr>
        <w:t>The relevant Minister may, on application by the AER, revoke a greenfields pipeline incentive on the ground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misrepresented a material fact on the basis of which the application was granted;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the applicant failed to disclose material information that the applicant was required to disclose under this Chapter.</w:t>
      </w:r>
    </w:p>
    <w:p>
      <w:pPr>
        <w:pStyle w:val="Heading5"/>
      </w:pPr>
      <w:bookmarkStart w:id="628" w:name="_Toc158374936"/>
      <w:r>
        <w:rPr>
          <w:rStyle w:val="CharSectno"/>
        </w:rPr>
        <w:t>176</w:t>
      </w:r>
      <w:r>
        <w:t>.</w:t>
      </w:r>
      <w:r>
        <w:tab/>
        <w:t>Revocation for breach of condition to which a price regulation exemption is subject</w:t>
      </w:r>
      <w:bookmarkEnd w:id="628"/>
    </w:p>
    <w:p>
      <w:pPr>
        <w:keepLines/>
        <w:autoSpaceDE w:val="0"/>
        <w:autoSpaceDN w:val="0"/>
        <w:adjustRightInd w:val="0"/>
        <w:spacing w:before="120"/>
        <w:ind w:left="1588"/>
        <w:rPr>
          <w:color w:val="000000"/>
          <w:sz w:val="23"/>
          <w:szCs w:val="23"/>
        </w:rPr>
      </w:pPr>
      <w:r>
        <w:rPr>
          <w:color w:val="000000"/>
          <w:sz w:val="23"/>
          <w:szCs w:val="23"/>
        </w:rPr>
        <w:t>The Commonwealth Minister, on application by the AER, may revoke a price regulation exemption on the ground that the service provider has breached a condition to which the price regulation exemption is subject.</w:t>
      </w:r>
    </w:p>
    <w:p>
      <w:pPr>
        <w:pStyle w:val="Heading5"/>
      </w:pPr>
      <w:bookmarkStart w:id="629" w:name="_Toc158374937"/>
      <w:r>
        <w:rPr>
          <w:rStyle w:val="CharSectno"/>
        </w:rPr>
        <w:t>177</w:t>
      </w:r>
      <w:r>
        <w:t>.</w:t>
      </w:r>
      <w:r>
        <w:tab/>
        <w:t>Exhaustive provision for termination of greenfields pipeline incentive</w:t>
      </w:r>
      <w:bookmarkEnd w:id="629"/>
    </w:p>
    <w:p>
      <w:pPr>
        <w:keepLines/>
        <w:autoSpaceDE w:val="0"/>
        <w:autoSpaceDN w:val="0"/>
        <w:adjustRightInd w:val="0"/>
        <w:spacing w:before="120"/>
        <w:ind w:left="1588"/>
        <w:rPr>
          <w:color w:val="000000"/>
          <w:sz w:val="23"/>
          <w:szCs w:val="23"/>
        </w:rPr>
      </w:pPr>
      <w:r>
        <w:rPr>
          <w:color w:val="000000"/>
          <w:sz w:val="23"/>
          <w:szCs w:val="23"/>
        </w:rPr>
        <w:t>A greenfields pipeline incentive does not terminate, and cannot be revoked, before the end of its term except as provided in this Part.</w:t>
      </w:r>
    </w:p>
    <w:p>
      <w:pPr>
        <w:pStyle w:val="Heading2"/>
      </w:pPr>
      <w:bookmarkStart w:id="630" w:name="_Toc156819299"/>
      <w:bookmarkStart w:id="631" w:name="_Toc156990718"/>
      <w:bookmarkStart w:id="632" w:name="_Toc158374938"/>
      <w:r>
        <w:rPr>
          <w:rStyle w:val="CharPartNo"/>
        </w:rPr>
        <w:lastRenderedPageBreak/>
        <w:t>Chapter 6</w:t>
      </w:r>
      <w:r>
        <w:t xml:space="preserve"> — </w:t>
      </w:r>
      <w:r>
        <w:rPr>
          <w:rStyle w:val="CharPartText"/>
        </w:rPr>
        <w:t>Access disputes—scheme pipelines</w:t>
      </w:r>
      <w:bookmarkEnd w:id="630"/>
      <w:bookmarkEnd w:id="631"/>
      <w:bookmarkEnd w:id="632"/>
    </w:p>
    <w:p>
      <w:pPr>
        <w:pStyle w:val="Footnoteheading"/>
      </w:pPr>
      <w:r>
        <w:tab/>
        <w:t>[Heading inserted: see SA Act No. 23 of 2017 s. 5 and WA Gazette 22 Dec 2017 p. 5984.]</w:t>
      </w:r>
    </w:p>
    <w:p>
      <w:pPr>
        <w:pStyle w:val="Heading3"/>
      </w:pPr>
      <w:bookmarkStart w:id="633" w:name="_Toc156819300"/>
      <w:bookmarkStart w:id="634" w:name="_Toc156990719"/>
      <w:bookmarkStart w:id="635" w:name="_Toc158374939"/>
      <w:r>
        <w:rPr>
          <w:rStyle w:val="CharDivNo"/>
        </w:rPr>
        <w:t>Part 1</w:t>
      </w:r>
      <w:r>
        <w:t xml:space="preserve"> — </w:t>
      </w:r>
      <w:r>
        <w:rPr>
          <w:rStyle w:val="CharDivText"/>
        </w:rPr>
        <w:t>Interpretation and application</w:t>
      </w:r>
      <w:bookmarkEnd w:id="633"/>
      <w:bookmarkEnd w:id="634"/>
      <w:bookmarkEnd w:id="635"/>
    </w:p>
    <w:p>
      <w:pPr>
        <w:pStyle w:val="Heading5"/>
      </w:pPr>
      <w:bookmarkStart w:id="636" w:name="_Toc158374940"/>
      <w:r>
        <w:rPr>
          <w:rStyle w:val="CharSectno"/>
        </w:rPr>
        <w:t>178</w:t>
      </w:r>
      <w:r>
        <w:t>.</w:t>
      </w:r>
      <w:r>
        <w:tab/>
        <w:t>Definitions</w:t>
      </w:r>
      <w:bookmarkEnd w:id="636"/>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access dispute</w:t>
      </w:r>
      <w:r>
        <w:rPr>
          <w:bCs/>
          <w:i/>
          <w:iCs/>
          <w:color w:val="000000"/>
          <w:sz w:val="23"/>
          <w:szCs w:val="23"/>
        </w:rPr>
        <w:t xml:space="preserve"> </w:t>
      </w:r>
      <w:r>
        <w:rPr>
          <w:color w:val="000000"/>
          <w:sz w:val="23"/>
          <w:szCs w:val="23"/>
        </w:rPr>
        <w:t>means a dispute between a user or prospective user and a service provider about 1 or more aspects of access to a pipeline service provided by means of a scheme pipeline;</w:t>
      </w:r>
    </w:p>
    <w:p>
      <w:pPr>
        <w:keepLines/>
        <w:autoSpaceDE w:val="0"/>
        <w:autoSpaceDN w:val="0"/>
        <w:adjustRightInd w:val="0"/>
        <w:spacing w:before="120"/>
        <w:ind w:left="1588"/>
        <w:rPr>
          <w:color w:val="000000"/>
          <w:sz w:val="23"/>
          <w:szCs w:val="23"/>
        </w:rPr>
      </w:pPr>
      <w:r>
        <w:rPr>
          <w:rStyle w:val="CharDefText"/>
          <w:bCs/>
          <w:sz w:val="23"/>
        </w:rPr>
        <w:t xml:space="preserve">access dispute pipeline </w:t>
      </w:r>
      <w:r>
        <w:rPr>
          <w:color w:val="000000"/>
          <w:sz w:val="23"/>
          <w:szCs w:val="23"/>
        </w:rPr>
        <w:t>means a scheme pipeline used or that could be used to provide a pipeline service that is the subject of an access dispute;</w:t>
      </w:r>
    </w:p>
    <w:p>
      <w:pPr>
        <w:keepLines/>
        <w:autoSpaceDE w:val="0"/>
        <w:autoSpaceDN w:val="0"/>
        <w:adjustRightInd w:val="0"/>
        <w:spacing w:before="120"/>
        <w:ind w:left="1588"/>
        <w:rPr>
          <w:color w:val="000000"/>
          <w:sz w:val="23"/>
          <w:szCs w:val="23"/>
        </w:rPr>
      </w:pPr>
      <w:r>
        <w:rPr>
          <w:rStyle w:val="CharDefText"/>
          <w:bCs/>
          <w:sz w:val="23"/>
        </w:rPr>
        <w:t>dispute hearing</w:t>
      </w:r>
      <w:r>
        <w:rPr>
          <w:bCs/>
          <w:i/>
          <w:iCs/>
          <w:color w:val="000000"/>
          <w:sz w:val="23"/>
          <w:szCs w:val="23"/>
        </w:rPr>
        <w:t xml:space="preserve"> </w:t>
      </w:r>
      <w:r>
        <w:rPr>
          <w:color w:val="000000"/>
          <w:sz w:val="23"/>
          <w:szCs w:val="23"/>
        </w:rPr>
        <w:t>means a hearing conducted by the dispute resolution body for the purpose of making an access determination;</w:t>
      </w:r>
    </w:p>
    <w:p>
      <w:pPr>
        <w:keepLines/>
        <w:autoSpaceDE w:val="0"/>
        <w:autoSpaceDN w:val="0"/>
        <w:adjustRightInd w:val="0"/>
        <w:spacing w:before="120"/>
        <w:ind w:left="1588"/>
        <w:rPr>
          <w:color w:val="000000"/>
          <w:sz w:val="23"/>
          <w:szCs w:val="23"/>
        </w:rPr>
      </w:pPr>
      <w:r>
        <w:rPr>
          <w:rStyle w:val="CharDefText"/>
          <w:bCs/>
          <w:sz w:val="23"/>
        </w:rPr>
        <w:t>party</w:t>
      </w:r>
      <w:r>
        <w:rPr>
          <w:color w:val="000000"/>
          <w:sz w:val="23"/>
          <w:szCs w:val="23"/>
        </w:rPr>
        <w:t>, in relation to an access dispute, has the meaning given by section 183.</w:t>
      </w:r>
    </w:p>
    <w:p>
      <w:pPr>
        <w:pStyle w:val="Heading5"/>
      </w:pPr>
      <w:bookmarkStart w:id="637" w:name="_Toc158374941"/>
      <w:r>
        <w:rPr>
          <w:rStyle w:val="CharSectno"/>
        </w:rPr>
        <w:t>179</w:t>
      </w:r>
      <w:r>
        <w:t>.</w:t>
      </w:r>
      <w:r>
        <w:tab/>
        <w:t>Chapter does not limit how disputes about access may be raised or dealt with</w:t>
      </w:r>
      <w:bookmarkEnd w:id="637"/>
    </w:p>
    <w:p>
      <w:pPr>
        <w:keepLines/>
        <w:autoSpaceDE w:val="0"/>
        <w:autoSpaceDN w:val="0"/>
        <w:adjustRightInd w:val="0"/>
        <w:spacing w:before="120"/>
        <w:ind w:left="1588"/>
        <w:rPr>
          <w:color w:val="000000"/>
          <w:sz w:val="23"/>
          <w:szCs w:val="23"/>
        </w:rPr>
      </w:pPr>
      <w:r>
        <w:rPr>
          <w:color w:val="000000"/>
          <w:sz w:val="23"/>
          <w:szCs w:val="23"/>
        </w:rPr>
        <w:t>This Chapter is not to be taken to limit how a dispute about access to a pipeline service may be raised or dealt with.</w:t>
      </w:r>
    </w:p>
    <w:p>
      <w:pPr>
        <w:pStyle w:val="Heading5"/>
      </w:pPr>
      <w:bookmarkStart w:id="638" w:name="_Toc158374942"/>
      <w:r>
        <w:rPr>
          <w:rStyle w:val="CharSectno"/>
        </w:rPr>
        <w:t>180</w:t>
      </w:r>
      <w:r>
        <w:t>.</w:t>
      </w:r>
      <w:r>
        <w:tab/>
        <w:t>No price or revenue regulation for access disputes relating to international pipeline services</w:t>
      </w:r>
      <w:bookmarkEnd w:id="638"/>
    </w:p>
    <w:p>
      <w:pPr>
        <w:keepNext/>
        <w:keepLines/>
        <w:autoSpaceDE w:val="0"/>
        <w:autoSpaceDN w:val="0"/>
        <w:adjustRightInd w:val="0"/>
        <w:spacing w:before="120"/>
        <w:ind w:left="1588"/>
        <w:rPr>
          <w:color w:val="000000"/>
          <w:sz w:val="23"/>
          <w:szCs w:val="23"/>
        </w:rPr>
      </w:pPr>
      <w:r>
        <w:rPr>
          <w:color w:val="000000"/>
          <w:sz w:val="23"/>
          <w:szCs w:val="23"/>
        </w:rPr>
        <w:t>An access dispute notified under this Chapter in relation to a pipeline service provided by means of an international pipeline to which a price regulation exemption applies must not be resolved under this Chapter on terms—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regulating the price at which a service is to be provided by the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limiting the revenue to be derived by the service provider from the provision of a service.</w:t>
      </w:r>
    </w:p>
    <w:p>
      <w:pPr>
        <w:pStyle w:val="Heading3"/>
      </w:pPr>
      <w:bookmarkStart w:id="639" w:name="_Toc156819304"/>
      <w:bookmarkStart w:id="640" w:name="_Toc156990723"/>
      <w:bookmarkStart w:id="641" w:name="_Toc158374943"/>
      <w:r>
        <w:rPr>
          <w:rStyle w:val="CharDivNo"/>
        </w:rPr>
        <w:t>Part 2</w:t>
      </w:r>
      <w:r>
        <w:t xml:space="preserve"> — </w:t>
      </w:r>
      <w:r>
        <w:rPr>
          <w:rStyle w:val="CharDivText"/>
        </w:rPr>
        <w:t>Notification of access dispute</w:t>
      </w:r>
      <w:bookmarkEnd w:id="639"/>
      <w:bookmarkEnd w:id="640"/>
      <w:bookmarkEnd w:id="641"/>
    </w:p>
    <w:p>
      <w:pPr>
        <w:pStyle w:val="Heading5"/>
      </w:pPr>
      <w:bookmarkStart w:id="642" w:name="_Toc158374944"/>
      <w:r>
        <w:rPr>
          <w:rStyle w:val="CharSectno"/>
        </w:rPr>
        <w:t>181</w:t>
      </w:r>
      <w:r>
        <w:t>.</w:t>
      </w:r>
      <w:r>
        <w:tab/>
        <w:t>Notification of access dispute</w:t>
      </w:r>
      <w:bookmarkEnd w:id="64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a prospective user or user is unable to agree with a service provider about 1 or more aspects of access to a pipeline service provided or to be provided by means of a scheme pipeline, the prospective user, user or service provider may notify the dispute resolution body, in writing, that an access dispute exists.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dispute about access to a light regulation service may be notified under this section because light regulation services are pipeline services provided by means of a covered pipeline (which is a scheme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notification 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a notification under subsection (1), the dispute resolution body must notify, in writing, of the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service provider, if a prospective user or user (as the case requires) notified the dispute resolution body of the access dispute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prospective user or user (as the case requires), if the service provider notified the dispute resolution body of the access dispute under subsection (1).</w:t>
      </w:r>
    </w:p>
    <w:p>
      <w:pPr>
        <w:pStyle w:val="Heading5"/>
      </w:pPr>
      <w:bookmarkStart w:id="643" w:name="_Toc158374945"/>
      <w:r>
        <w:rPr>
          <w:rStyle w:val="CharSectno"/>
        </w:rPr>
        <w:t>181A</w:t>
      </w:r>
      <w:r>
        <w:t>.</w:t>
      </w:r>
      <w:r>
        <w:tab/>
        <w:t>Providing information for certain disputes</w:t>
      </w:r>
      <w:bookmarkEnd w:id="64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sz w:val="23"/>
        </w:rPr>
        <w:tab/>
        <w:t>If the dispute resolution body for a dispute notified under section 181(1) is the WA arbitrator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(a)</w:t>
      </w:r>
      <w:r>
        <w:rPr>
          <w:sz w:val="23"/>
        </w:rPr>
        <w:tab/>
        <w:t>the WA arbitrator is to inform the ERA that notification of the dispute has been received;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sz w:val="23"/>
        </w:rPr>
        <w:tab/>
        <w:t>the WA arbitrator may request the ERA to give the WA arbitrator any information in the ERA’s possession that is relevant to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sz w:val="23"/>
        </w:rPr>
        <w:tab/>
        <w:t>The ERA is to give the WA arbitrator the information requested, whether or not it is confidential and whether or not it came into the ERA’s possession for the purposes of resolving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sz w:val="23"/>
        </w:rPr>
        <w:tab/>
        <w:t>If the ERA gives the WA arbitrator information that is confidential, the ERA is to identify the nature and extent of the confidentiality and the WA arbitrator is to treat the information accordingly.</w:t>
      </w:r>
    </w:p>
    <w:p>
      <w:pPr>
        <w:pStyle w:val="Footnotesection"/>
      </w:pPr>
      <w:r>
        <w:tab/>
        <w:t>[Section 181A inserted: WA Act Sch. 1 cl. 9.]</w:t>
      </w:r>
    </w:p>
    <w:p>
      <w:pPr>
        <w:pStyle w:val="Heading5"/>
      </w:pPr>
      <w:bookmarkStart w:id="644" w:name="_Toc158374946"/>
      <w:r>
        <w:rPr>
          <w:rStyle w:val="CharSectno"/>
        </w:rPr>
        <w:t>182</w:t>
      </w:r>
      <w:r>
        <w:t>.</w:t>
      </w:r>
      <w:r>
        <w:tab/>
        <w:t>Withdrawal of notification</w:t>
      </w:r>
      <w:bookmarkEnd w:id="64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person who notified the dispute resolution body of an access dispute under section 181(1) may withdraw that notification at any time before the dispute resolution body makes an access determination in respect of that access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notification must be withdrawn by notice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notification is withdrawn, it must be taken, for the purposes of this Chapter, never to have been given.</w:t>
      </w:r>
    </w:p>
    <w:p>
      <w:pPr>
        <w:pStyle w:val="Heading5"/>
      </w:pPr>
      <w:bookmarkStart w:id="645" w:name="_Toc158374947"/>
      <w:r>
        <w:rPr>
          <w:rStyle w:val="CharSectno"/>
        </w:rPr>
        <w:t>183</w:t>
      </w:r>
      <w:r>
        <w:t>.</w:t>
      </w:r>
      <w:r>
        <w:tab/>
        <w:t>Parties to an access dispute</w:t>
      </w:r>
      <w:bookmarkEnd w:id="645"/>
    </w:p>
    <w:p>
      <w:pPr>
        <w:keepNext/>
        <w:keepLines/>
        <w:autoSpaceDE w:val="0"/>
        <w:autoSpaceDN w:val="0"/>
        <w:adjustRightInd w:val="0"/>
        <w:spacing w:before="120"/>
        <w:ind w:left="1588"/>
        <w:rPr>
          <w:color w:val="000000"/>
          <w:sz w:val="23"/>
          <w:szCs w:val="23"/>
        </w:rPr>
      </w:pPr>
      <w:r>
        <w:rPr>
          <w:color w:val="000000"/>
          <w:sz w:val="23"/>
          <w:szCs w:val="23"/>
        </w:rPr>
        <w:t>The parties to an access dispute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notifying the dispute resolution body of an access dispute under section 181(1);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notified by the dispute resolution body under section 181(3);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(c)</w:t>
      </w:r>
      <w:r>
        <w:rPr>
          <w:color w:val="000000"/>
          <w:sz w:val="23"/>
          <w:szCs w:val="23"/>
        </w:rPr>
        <w:tab/>
        <w:t>if the dispute resolution body is of the opinion that the resolution of the access dispute may involve requiring another person to do something—that other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other person who applies in writing to be made a party and is accepted by the dispute resolution body as having a sufficient interest.</w:t>
      </w:r>
    </w:p>
    <w:p>
      <w:pPr>
        <w:pStyle w:val="Heading3"/>
      </w:pPr>
      <w:bookmarkStart w:id="646" w:name="_Toc156819309"/>
      <w:bookmarkStart w:id="647" w:name="_Toc156990728"/>
      <w:bookmarkStart w:id="648" w:name="_Toc158374948"/>
      <w:r>
        <w:rPr>
          <w:rStyle w:val="CharDivNo"/>
        </w:rPr>
        <w:t>Part 3</w:t>
      </w:r>
      <w:r>
        <w:t xml:space="preserve"> — </w:t>
      </w:r>
      <w:r>
        <w:rPr>
          <w:rStyle w:val="CharDivText"/>
        </w:rPr>
        <w:t>Access determinations</w:t>
      </w:r>
      <w:bookmarkEnd w:id="646"/>
      <w:bookmarkEnd w:id="647"/>
      <w:bookmarkEnd w:id="648"/>
    </w:p>
    <w:p>
      <w:pPr>
        <w:pStyle w:val="Heading5"/>
      </w:pPr>
      <w:bookmarkStart w:id="649" w:name="_Toc158374949"/>
      <w:r>
        <w:rPr>
          <w:rStyle w:val="CharSectno"/>
        </w:rPr>
        <w:t>184</w:t>
      </w:r>
      <w:r>
        <w:t>.</w:t>
      </w:r>
      <w:r>
        <w:tab/>
        <w:t>Determination of access dispute</w:t>
      </w:r>
      <w:bookmarkEnd w:id="64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Unless the dispute resolution body terminates an access dispute under section 186, the dispute resolution body must make a determination on access by the prospective user or user, as the case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making an access determination the dispute resolution body must comply with this Chapter and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writing;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include a statement of reasons for making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parties without delay.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access determination has effect on and after the date specified in the determination.</w:t>
      </w:r>
    </w:p>
    <w:p>
      <w:pPr>
        <w:pStyle w:val="Heading5"/>
      </w:pPr>
      <w:bookmarkStart w:id="650" w:name="_Toc158374950"/>
      <w:r>
        <w:rPr>
          <w:rStyle w:val="CharSectno"/>
        </w:rPr>
        <w:t>185</w:t>
      </w:r>
      <w:r>
        <w:t>.</w:t>
      </w:r>
      <w:r>
        <w:tab/>
        <w:t>Dispute resolution body may require parties to mediate, conciliate or engage in an alternative dispute resolution process</w:t>
      </w:r>
      <w:bookmarkEnd w:id="65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require the parties, in accordance with the Rules, to mediate, conciliate or engage in another alternative dispute resolution process for the purpose of resolving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party must comply with a requirement under subsection (1).</w:t>
      </w:r>
    </w:p>
    <w:p>
      <w:pPr>
        <w:pStyle w:val="Heading5"/>
      </w:pPr>
      <w:bookmarkStart w:id="651" w:name="_Toc158374951"/>
      <w:r>
        <w:rPr>
          <w:rStyle w:val="CharSectno"/>
        </w:rPr>
        <w:lastRenderedPageBreak/>
        <w:t>186</w:t>
      </w:r>
      <w:r>
        <w:t>.</w:t>
      </w:r>
      <w:r>
        <w:tab/>
        <w:t>Dispute resolution body may terminate access dispute in certain cases</w:t>
      </w:r>
      <w:bookmarkEnd w:id="65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at any time terminate an access dispute (without making an access determination) if the dispute resolution body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notification of the access dispute was vexatious;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the dispute is trivial, misconceived or lacking in substance;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party who notified the access dispute had, but did not avail itself of, an opportunity to engage in negotiations in good faith with the other party before that notification;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specified dispute termination circumstance has occurred.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section 188, the dispute resolution body may also terminate an access dispute (without making an access determination) if the dispute resolution body considers that the aspect of access about which there is a dispute is expressly or impliedly dealt with under a contract between,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prospective user and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user and service provider.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 xml:space="preserve">specified dispute termination circumstance </w:t>
      </w:r>
      <w:r>
        <w:rPr>
          <w:color w:val="000000"/>
          <w:sz w:val="23"/>
          <w:szCs w:val="23"/>
        </w:rPr>
        <w:t>means a circumstance specified by the Rules as being a circumstance, the occurrence of which, entitles the dispute resolution body to terminate an access dispute (without making an access determination).</w:t>
      </w:r>
    </w:p>
    <w:p>
      <w:pPr>
        <w:pStyle w:val="Heading5"/>
      </w:pPr>
      <w:bookmarkStart w:id="652" w:name="_Toc158374952"/>
      <w:r>
        <w:rPr>
          <w:rStyle w:val="CharSectno"/>
        </w:rPr>
        <w:lastRenderedPageBreak/>
        <w:t>187</w:t>
      </w:r>
      <w:r>
        <w:t>.</w:t>
      </w:r>
      <w:r>
        <w:tab/>
        <w:t>No access determination if dispute resolution body considers there is genuine competition</w:t>
      </w:r>
      <w:bookmarkEnd w:id="652"/>
    </w:p>
    <w:p>
      <w:pPr>
        <w:keepLines/>
        <w:autoSpaceDE w:val="0"/>
        <w:autoSpaceDN w:val="0"/>
        <w:adjustRightInd w:val="0"/>
        <w:spacing w:before="120"/>
        <w:ind w:left="1588"/>
        <w:rPr>
          <w:color w:val="000000"/>
          <w:sz w:val="23"/>
          <w:szCs w:val="23"/>
        </w:rPr>
      </w:pPr>
      <w:r>
        <w:rPr>
          <w:color w:val="000000"/>
          <w:sz w:val="23"/>
          <w:szCs w:val="23"/>
        </w:rPr>
        <w:t>Despite anything to the contrary in this Chapter, the dispute resolution body may refuse to make an access determination that requires the service provider to provide a particular pipeline service to a prospective user or user if the dispute resolution body considers that the pipeline service the subject of the access dispute could be provided on a genuinely competitive basis by a person other than the service provider or an associate of the service provider.</w:t>
      </w:r>
    </w:p>
    <w:p>
      <w:pPr>
        <w:pStyle w:val="Heading5"/>
      </w:pPr>
      <w:bookmarkStart w:id="653" w:name="_Toc158374953"/>
      <w:r>
        <w:rPr>
          <w:rStyle w:val="CharSectno"/>
        </w:rPr>
        <w:t>188</w:t>
      </w:r>
      <w:r>
        <w:t>.</w:t>
      </w:r>
      <w:r>
        <w:tab/>
        <w:t>Restrictions on access determinations</w:t>
      </w:r>
      <w:bookmarkEnd w:id="65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must not make an access determination that would have any of the following effects: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preventing a user obtaining a sufficient amount of a pipeline service under a contract or previous access determination to be able to meet the user’s reasonably anticipated requirements, measured at the time the access dispute was notified;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preventing a prospective user or user from obtaining, by the exercise of a pre</w:t>
      </w:r>
      <w:r>
        <w:rPr>
          <w:color w:val="000000"/>
          <w:sz w:val="23"/>
          <w:szCs w:val="23"/>
        </w:rPr>
        <w:noBreakHyphen/>
        <w:t>notification right, a sufficient amount of a pipeline service to be able to meet the prospective user’s or user’s actual requirements;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pre</w:t>
      </w:r>
      <w:r>
        <w:rPr>
          <w:rStyle w:val="CharDefText"/>
          <w:bCs/>
          <w:sz w:val="23"/>
        </w:rPr>
        <w:noBreakHyphen/>
        <w:t>notification right</w:t>
      </w:r>
      <w:r>
        <w:rPr>
          <w:bCs/>
          <w:i/>
          <w:iCs/>
          <w:color w:val="000000"/>
          <w:sz w:val="23"/>
          <w:szCs w:val="23"/>
        </w:rPr>
        <w:t xml:space="preserve"> </w:t>
      </w:r>
      <w:r>
        <w:rPr>
          <w:color w:val="000000"/>
          <w:sz w:val="23"/>
          <w:szCs w:val="23"/>
        </w:rPr>
        <w:t>means a right under a contract, or under an access determination, that was in force at the time when the access dispute was notified under section 181;</w:t>
      </w:r>
    </w:p>
    <w:p>
      <w:pPr>
        <w:keepNext/>
        <w:keepLines/>
        <w:autoSpaceDE w:val="0"/>
        <w:autoSpaceDN w:val="0"/>
        <w:adjustRightInd w:val="0"/>
        <w:spacing w:before="120"/>
        <w:ind w:left="1588"/>
        <w:rPr>
          <w:color w:val="000000"/>
          <w:sz w:val="23"/>
          <w:szCs w:val="23"/>
        </w:rPr>
      </w:pPr>
      <w:r>
        <w:rPr>
          <w:rStyle w:val="CharDefText"/>
          <w:bCs/>
          <w:sz w:val="23"/>
        </w:rPr>
        <w:lastRenderedPageBreak/>
        <w:t>relevant exclusivity right</w:t>
      </w:r>
      <w:r>
        <w:rPr>
          <w:bCs/>
          <w:i/>
          <w:iCs/>
          <w:color w:val="000000"/>
          <w:sz w:val="23"/>
          <w:szCs w:val="23"/>
        </w:rPr>
        <w:t xml:space="preserve"> </w:t>
      </w:r>
      <w:r>
        <w:rPr>
          <w:color w:val="000000"/>
          <w:sz w:val="23"/>
          <w:szCs w:val="23"/>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rPr>
      </w:pPr>
      <w:r>
        <w:rPr>
          <w:color w:val="000000"/>
          <w:sz w:val="23"/>
          <w:szCs w:val="23"/>
        </w:rPr>
        <w:t>but does not include a user’s contractual right to obtain a certain amount of pipeline services;</w:t>
      </w:r>
    </w:p>
    <w:p>
      <w:pPr>
        <w:keepLines/>
        <w:autoSpaceDE w:val="0"/>
        <w:autoSpaceDN w:val="0"/>
        <w:adjustRightInd w:val="0"/>
        <w:spacing w:before="120"/>
        <w:ind w:left="1588"/>
        <w:rPr>
          <w:color w:val="000000"/>
          <w:sz w:val="23"/>
          <w:szCs w:val="23"/>
        </w:rPr>
      </w:pPr>
      <w:r>
        <w:rPr>
          <w:rStyle w:val="CharDefText"/>
          <w:bCs/>
          <w:sz w:val="23"/>
        </w:rPr>
        <w:t>relevant protected contractual right</w:t>
      </w:r>
      <w:r>
        <w:rPr>
          <w:bCs/>
          <w:i/>
          <w:iCs/>
          <w:color w:val="000000"/>
          <w:sz w:val="23"/>
          <w:szCs w:val="23"/>
        </w:rPr>
        <w:t xml:space="preserve"> </w:t>
      </w:r>
      <w:r>
        <w:rPr>
          <w:color w:val="000000"/>
          <w:sz w:val="23"/>
          <w:szCs w:val="23"/>
        </w:rPr>
        <w:t>means a right under a contract (other than a relevant exclusivity right) that was in force immediately before the notification of an access dispute under section 181.</w:t>
      </w:r>
    </w:p>
    <w:p>
      <w:pPr>
        <w:pStyle w:val="Heading5"/>
      </w:pPr>
      <w:bookmarkStart w:id="654" w:name="_Toc158374954"/>
      <w:r>
        <w:rPr>
          <w:rStyle w:val="CharSectno"/>
        </w:rPr>
        <w:t>189</w:t>
      </w:r>
      <w:r>
        <w:t>.</w:t>
      </w:r>
      <w:r>
        <w:tab/>
        <w:t>Access determination must give effect to applicable access arrangement</w:t>
      </w:r>
      <w:bookmarkEnd w:id="654"/>
    </w:p>
    <w:p>
      <w:pPr>
        <w:keepNext/>
        <w:keepLines/>
        <w:autoSpaceDE w:val="0"/>
        <w:autoSpaceDN w:val="0"/>
        <w:adjustRightInd w:val="0"/>
        <w:spacing w:before="120"/>
        <w:ind w:left="1588"/>
        <w:rPr>
          <w:color w:val="000000"/>
          <w:sz w:val="23"/>
          <w:szCs w:val="23"/>
        </w:rPr>
      </w:pPr>
      <w:r>
        <w:rPr>
          <w:color w:val="000000"/>
          <w:sz w:val="23"/>
          <w:szCs w:val="23"/>
        </w:rPr>
        <w:t>Subject to sections 190 and 191 and any Rules made for the purposes of this Part, the dispute resolution body must, in making an access determination, give effect to the applicable access arrangement—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applying to the pipeline services provided, or to be provided, by means of the access dispute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effect at the time the determination is made,</w:t>
      </w:r>
    </w:p>
    <w:p>
      <w:pPr>
        <w:keepLines/>
        <w:autoSpaceDE w:val="0"/>
        <w:autoSpaceDN w:val="0"/>
        <w:adjustRightInd w:val="0"/>
        <w:spacing w:before="120"/>
        <w:ind w:left="1588"/>
        <w:rPr>
          <w:color w:val="000000"/>
          <w:sz w:val="23"/>
          <w:szCs w:val="23"/>
        </w:rPr>
      </w:pPr>
      <w:r>
        <w:rPr>
          <w:color w:val="000000"/>
          <w:sz w:val="23"/>
          <w:szCs w:val="23"/>
        </w:rPr>
        <w:t>(even though that arrangement may not have been in force when notification of the access dispute was given).</w:t>
      </w:r>
    </w:p>
    <w:p>
      <w:pPr>
        <w:pStyle w:val="Heading5"/>
      </w:pPr>
      <w:bookmarkStart w:id="655" w:name="_Toc158374955"/>
      <w:r>
        <w:rPr>
          <w:rStyle w:val="CharSectno"/>
        </w:rPr>
        <w:t>190</w:t>
      </w:r>
      <w:r>
        <w:t>.</w:t>
      </w:r>
      <w:r>
        <w:tab/>
        <w:t>Access determinations and past contributions of capital to fund installations or the construction of new facilities</w:t>
      </w:r>
      <w:bookmarkEnd w:id="65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an access determination, the dispute resolution body may (where relevant) take into account past contributions of capital to fund installations or the construction of new facilities.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(2)</w:t>
      </w:r>
      <w:r>
        <w:rPr>
          <w:color w:val="000000"/>
          <w:sz w:val="23"/>
          <w:szCs w:val="23"/>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specify the matters that the dispute resolution body must address in making that access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content of that access determination.</w:t>
      </w:r>
    </w:p>
    <w:p>
      <w:pPr>
        <w:pStyle w:val="Heading5"/>
      </w:pPr>
      <w:bookmarkStart w:id="656" w:name="_Toc158374956"/>
      <w:r>
        <w:rPr>
          <w:rStyle w:val="CharSectno"/>
        </w:rPr>
        <w:t>191</w:t>
      </w:r>
      <w:r>
        <w:t>.</w:t>
      </w:r>
      <w:r>
        <w:tab/>
        <w:t>Rules may allow determination that varies applicable access arrangement for installation of a new facility</w:t>
      </w:r>
      <w:bookmarkEnd w:id="65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dispute resolution body is proposing to make an access determination that will require—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install or construct a new facility to expand the capacity of the access dispute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prospective user or user who is a party to the access dispute to contribute some or all of the capital to fund the installation or construction of the new facility.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confer a function or power on the dispute resolution body to, when making the access determination, vary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matters that the dispute resolution body must address in making that access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the kinds of variations that may be made to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specify the content of that access determination.</w:t>
      </w:r>
    </w:p>
    <w:p>
      <w:pPr>
        <w:pStyle w:val="Heading5"/>
      </w:pPr>
      <w:bookmarkStart w:id="657" w:name="_Toc158374957"/>
      <w:r>
        <w:rPr>
          <w:rStyle w:val="CharSectno"/>
        </w:rPr>
        <w:lastRenderedPageBreak/>
        <w:t>192</w:t>
      </w:r>
      <w:r>
        <w:t>.</w:t>
      </w:r>
      <w:r>
        <w:tab/>
        <w:t>Access determinations need not require the provision of a pipeline service</w:t>
      </w:r>
      <w:bookmarkEnd w:id="657"/>
    </w:p>
    <w:p>
      <w:pPr>
        <w:keepLines/>
        <w:autoSpaceDE w:val="0"/>
        <w:autoSpaceDN w:val="0"/>
        <w:adjustRightInd w:val="0"/>
        <w:spacing w:before="120"/>
        <w:ind w:left="1588"/>
        <w:rPr>
          <w:color w:val="000000"/>
          <w:sz w:val="23"/>
          <w:szCs w:val="23"/>
        </w:rPr>
      </w:pPr>
      <w:r>
        <w:rPr>
          <w:color w:val="000000"/>
          <w:sz w:val="23"/>
          <w:szCs w:val="23"/>
        </w:rPr>
        <w:t>An access determination may, but need not, require a service provider to provide a pipeline service to a prospective user.</w:t>
      </w:r>
    </w:p>
    <w:p>
      <w:pPr>
        <w:pStyle w:val="Heading5"/>
      </w:pPr>
      <w:bookmarkStart w:id="658" w:name="_Toc158374958"/>
      <w:r>
        <w:rPr>
          <w:rStyle w:val="CharSectno"/>
        </w:rPr>
        <w:t>193</w:t>
      </w:r>
      <w:r>
        <w:t>.</w:t>
      </w:r>
      <w:r>
        <w:tab/>
        <w:t>Content of access determinations</w:t>
      </w:r>
      <w:bookmarkEnd w:id="658"/>
    </w:p>
    <w:p>
      <w:pPr>
        <w:keepNext/>
        <w:keepLines/>
        <w:autoSpaceDE w:val="0"/>
        <w:autoSpaceDN w:val="0"/>
        <w:adjustRightInd w:val="0"/>
        <w:spacing w:before="120"/>
        <w:ind w:left="1588"/>
        <w:rPr>
          <w:color w:val="000000"/>
          <w:sz w:val="23"/>
          <w:szCs w:val="23"/>
        </w:rPr>
      </w:pPr>
      <w:r>
        <w:rPr>
          <w:color w:val="000000"/>
          <w:sz w:val="23"/>
          <w:szCs w:val="23"/>
        </w:rPr>
        <w:t>Subject to this Chapter, an access determination may deal with any matter relating to the provision of a pipeline service to a prospective user or user.</w:t>
      </w:r>
    </w:p>
    <w:p>
      <w:pPr>
        <w:keepNext/>
        <w:keepLines/>
        <w:autoSpaceDE w:val="0"/>
        <w:autoSpaceDN w:val="0"/>
        <w:adjustRightInd w:val="0"/>
        <w:spacing w:before="120"/>
        <w:ind w:left="2382" w:hanging="794"/>
        <w:rPr>
          <w:b/>
          <w:bCs/>
          <w:color w:val="000000"/>
          <w:sz w:val="20"/>
        </w:rPr>
      </w:pPr>
      <w:r>
        <w:rPr>
          <w:b/>
          <w:bCs/>
          <w:color w:val="000000"/>
          <w:sz w:val="20"/>
        </w:rPr>
        <w:t>Example—</w:t>
      </w:r>
    </w:p>
    <w:p>
      <w:pPr>
        <w:keepNext/>
        <w:keepLines/>
        <w:autoSpaceDE w:val="0"/>
        <w:autoSpaceDN w:val="0"/>
        <w:adjustRightInd w:val="0"/>
        <w:spacing w:before="120"/>
        <w:ind w:left="2382"/>
        <w:rPr>
          <w:color w:val="000000"/>
          <w:sz w:val="20"/>
        </w:rPr>
      </w:pPr>
      <w:r>
        <w:rPr>
          <w:color w:val="000000"/>
          <w:sz w:val="20"/>
        </w:rPr>
        <w:t>An access determination may require the service provider to provide a pipeline service to the prospective user or user at—</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a specified tariff, rate or charge; and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on specified terms and conditions.</w:t>
      </w:r>
    </w:p>
    <w:p>
      <w:pPr>
        <w:pStyle w:val="Heading3"/>
      </w:pPr>
      <w:bookmarkStart w:id="659" w:name="_Toc156819320"/>
      <w:bookmarkStart w:id="660" w:name="_Toc156990739"/>
      <w:bookmarkStart w:id="661" w:name="_Toc158374959"/>
      <w:r>
        <w:rPr>
          <w:rStyle w:val="CharDivNo"/>
        </w:rPr>
        <w:t>Part 4</w:t>
      </w:r>
      <w:r>
        <w:t xml:space="preserve"> — </w:t>
      </w:r>
      <w:r>
        <w:rPr>
          <w:rStyle w:val="CharDivText"/>
        </w:rPr>
        <w:t>Variation of access determinations</w:t>
      </w:r>
      <w:bookmarkEnd w:id="659"/>
      <w:bookmarkEnd w:id="660"/>
      <w:bookmarkEnd w:id="661"/>
    </w:p>
    <w:p>
      <w:pPr>
        <w:pStyle w:val="Heading5"/>
      </w:pPr>
      <w:bookmarkStart w:id="662" w:name="_Toc158374960"/>
      <w:r>
        <w:rPr>
          <w:rStyle w:val="CharSectno"/>
        </w:rPr>
        <w:t>194</w:t>
      </w:r>
      <w:r>
        <w:t>.</w:t>
      </w:r>
      <w:r>
        <w:tab/>
        <w:t>Variation of access determination</w:t>
      </w:r>
      <w:bookmarkEnd w:id="66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vary an access determination on the application of any party to the determination. However, it cannot vary the final determination if any other party objects.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If the parties cannot agree on a variation, a new access dispute can be notified under section 181.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Section 188 applies to a variation under this section as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access dispute arising out of the access determination had been notified when the application was made to the dispute resolution body for the variation of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the variation were the making of an access determination in the terms of the varied determination.</w:t>
      </w:r>
    </w:p>
    <w:p>
      <w:pPr>
        <w:pStyle w:val="Heading3"/>
      </w:pPr>
      <w:bookmarkStart w:id="663" w:name="_Toc156819322"/>
      <w:bookmarkStart w:id="664" w:name="_Toc156990741"/>
      <w:bookmarkStart w:id="665" w:name="_Toc158374961"/>
      <w:r>
        <w:rPr>
          <w:rStyle w:val="CharDivNo"/>
        </w:rPr>
        <w:t>Part 5</w:t>
      </w:r>
      <w:r>
        <w:t xml:space="preserve"> — </w:t>
      </w:r>
      <w:r>
        <w:rPr>
          <w:rStyle w:val="CharDivText"/>
        </w:rPr>
        <w:t>Compliance with access determinations</w:t>
      </w:r>
      <w:bookmarkEnd w:id="663"/>
      <w:bookmarkEnd w:id="664"/>
      <w:bookmarkEnd w:id="665"/>
    </w:p>
    <w:p>
      <w:pPr>
        <w:pStyle w:val="Heading5"/>
      </w:pPr>
      <w:bookmarkStart w:id="666" w:name="_Toc158374962"/>
      <w:r>
        <w:rPr>
          <w:rStyle w:val="CharSectno"/>
        </w:rPr>
        <w:t>195</w:t>
      </w:r>
      <w:r>
        <w:t>.</w:t>
      </w:r>
      <w:r>
        <w:tab/>
        <w:t>Compliance with access determination</w:t>
      </w:r>
      <w:bookmarkEnd w:id="666"/>
    </w:p>
    <w:p>
      <w:pPr>
        <w:keepLines/>
        <w:autoSpaceDE w:val="0"/>
        <w:autoSpaceDN w:val="0"/>
        <w:adjustRightInd w:val="0"/>
        <w:spacing w:before="120"/>
        <w:ind w:left="1588"/>
        <w:rPr>
          <w:color w:val="000000"/>
          <w:sz w:val="23"/>
          <w:szCs w:val="23"/>
        </w:rPr>
      </w:pPr>
      <w:r>
        <w:rPr>
          <w:color w:val="000000"/>
          <w:sz w:val="23"/>
          <w:szCs w:val="23"/>
        </w:rPr>
        <w:t>A party to an access dispute in respect of which an access determination is made must comply with the access determination.</w:t>
      </w:r>
    </w:p>
    <w:p>
      <w:pPr>
        <w:pStyle w:val="Heading3"/>
      </w:pPr>
      <w:bookmarkStart w:id="667" w:name="_Toc156819324"/>
      <w:bookmarkStart w:id="668" w:name="_Toc156990743"/>
      <w:bookmarkStart w:id="669" w:name="_Toc158374963"/>
      <w:r>
        <w:rPr>
          <w:rStyle w:val="CharDivNo"/>
        </w:rPr>
        <w:t>Part 6</w:t>
      </w:r>
      <w:r>
        <w:t xml:space="preserve"> — </w:t>
      </w:r>
      <w:r>
        <w:rPr>
          <w:rStyle w:val="CharDivText"/>
        </w:rPr>
        <w:t>Access dispute hearing procedure</w:t>
      </w:r>
      <w:bookmarkEnd w:id="667"/>
      <w:bookmarkEnd w:id="668"/>
      <w:bookmarkEnd w:id="669"/>
    </w:p>
    <w:p>
      <w:pPr>
        <w:pStyle w:val="Heading5"/>
      </w:pPr>
      <w:bookmarkStart w:id="670" w:name="_Toc158374964"/>
      <w:r>
        <w:rPr>
          <w:rStyle w:val="CharSectno"/>
        </w:rPr>
        <w:t>196</w:t>
      </w:r>
      <w:r>
        <w:t>.</w:t>
      </w:r>
      <w:r>
        <w:tab/>
        <w:t>Hearing to be in private</w:t>
      </w:r>
      <w:bookmarkEnd w:id="67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subsection (2), a dispute hearing is to be in private.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parties agree, a dispute hearing or part of a dispute hearing may be conducted in public.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give written directions as to the persons who may be present at a dispute hearing that is conducted in private.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giving directions under subsection (3), the dispute resolution body must have regard to the wishes of the parties and the need for commercial confidentiality.</w:t>
      </w:r>
    </w:p>
    <w:p>
      <w:pPr>
        <w:pStyle w:val="Heading5"/>
      </w:pPr>
      <w:bookmarkStart w:id="671" w:name="_Toc158374965"/>
      <w:r>
        <w:rPr>
          <w:rStyle w:val="CharSectno"/>
        </w:rPr>
        <w:t>197</w:t>
      </w:r>
      <w:r>
        <w:t>.</w:t>
      </w:r>
      <w:r>
        <w:tab/>
        <w:t>Right to representation</w:t>
      </w:r>
      <w:bookmarkEnd w:id="671"/>
    </w:p>
    <w:p>
      <w:pPr>
        <w:keepLines/>
        <w:autoSpaceDE w:val="0"/>
        <w:autoSpaceDN w:val="0"/>
        <w:adjustRightInd w:val="0"/>
        <w:spacing w:before="120"/>
        <w:ind w:left="1588"/>
        <w:rPr>
          <w:color w:val="000000"/>
          <w:sz w:val="23"/>
          <w:szCs w:val="23"/>
        </w:rPr>
      </w:pPr>
      <w:r>
        <w:rPr>
          <w:color w:val="000000"/>
          <w:sz w:val="23"/>
          <w:szCs w:val="23"/>
        </w:rPr>
        <w:t>In a dispute hearing a party may appear in person or be represented by another person.</w:t>
      </w:r>
    </w:p>
    <w:p>
      <w:pPr>
        <w:pStyle w:val="Heading5"/>
      </w:pPr>
      <w:bookmarkStart w:id="672" w:name="_Toc158374966"/>
      <w:r>
        <w:rPr>
          <w:rStyle w:val="CharSectno"/>
        </w:rPr>
        <w:t>198</w:t>
      </w:r>
      <w:r>
        <w:t>.</w:t>
      </w:r>
      <w:r>
        <w:tab/>
        <w:t>Procedure of dispute resolution body</w:t>
      </w:r>
      <w:bookmarkEnd w:id="67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a dispute hearing the dispute resolution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not bound by technicalities, legal forms or rules of evidence;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must act as speedily as a proper consideration of the access dispute allows, having regard to the need to carefully and quickly inquire into and investigate the access dispute and all matters affecting the merits, and fair settlement, of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inform itself about any matter relevant to the access dispute in any way it thinks appropriate.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determine the periods that are reasonably necessary for the fair and adequate presentation of the respective cases of the parties in the dispute hearing, and may require that the cases be presented within those periods.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require evidence or argument to be presented in writing, and may decide the matters on which the dispute resolution body will hear oral evidence or argument.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dispute resolution body may determine that a dispute hearing is to be conducted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telephone;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closed circuit television;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means of communication.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Rules may make further provision about the procedure for the conduct of dispute hearings.</w:t>
      </w:r>
    </w:p>
    <w:p>
      <w:pPr>
        <w:pStyle w:val="Heading5"/>
      </w:pPr>
      <w:bookmarkStart w:id="673" w:name="_Toc158374967"/>
      <w:r>
        <w:rPr>
          <w:rStyle w:val="CharSectno"/>
        </w:rPr>
        <w:t>199</w:t>
      </w:r>
      <w:r>
        <w:t>.</w:t>
      </w:r>
      <w:r>
        <w:tab/>
        <w:t>Particular powers of dispute resolution body in a hearing</w:t>
      </w:r>
      <w:bookmarkEnd w:id="67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do any of the following things for the purpose of determining an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a direction in the course of, or for the purpose of, a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hear and determine the access dispute in the absence of a party who has been given notice of the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(c)</w:t>
      </w:r>
      <w:r>
        <w:rPr>
          <w:color w:val="000000"/>
          <w:sz w:val="23"/>
          <w:szCs w:val="23"/>
        </w:rPr>
        <w:tab/>
        <w:t>sit at any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adjourn to any time and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refer any matter to an independent expert and accept the expert’s report as evidence.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make an interim determination.</w:t>
      </w:r>
    </w:p>
    <w:p>
      <w:pPr>
        <w:pStyle w:val="Heading5"/>
      </w:pPr>
      <w:bookmarkStart w:id="674" w:name="_Toc158374968"/>
      <w:r>
        <w:rPr>
          <w:rStyle w:val="CharSectno"/>
        </w:rPr>
        <w:t>200</w:t>
      </w:r>
      <w:r>
        <w:t>.</w:t>
      </w:r>
      <w:r>
        <w:tab/>
        <w:t>Disclosure of information</w:t>
      </w:r>
      <w:bookmarkEnd w:id="67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give an oral or written order to a person not to divulge or communicate to anyone else specified information that was given to the person in the course of an access dispute unless the person has the dispute resolution body’s permission.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must not, without reasonable excuse, refuse or fail to comply with an order under subsection (1).</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5"/>
      </w:pPr>
      <w:bookmarkStart w:id="675" w:name="_Toc158374969"/>
      <w:r>
        <w:rPr>
          <w:rStyle w:val="CharSectno"/>
        </w:rPr>
        <w:t>201</w:t>
      </w:r>
      <w:r>
        <w:t>.</w:t>
      </w:r>
      <w:r>
        <w:tab/>
        <w:t>Power to take evidence on oath or affirmation</w:t>
      </w:r>
      <w:bookmarkEnd w:id="67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take evidence on oath or affirmation and for that purpose the dispute resolution body may administer an oath or affirmation.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summon a person to appear before the dispute resolution body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evidence;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such documents (if any) as are referred to in the summons;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evidence and produce such documents (if any) as are referred to in the summons.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powers in this section may be exercised only for the purposes of hearing and determining an access dispute.</w:t>
      </w:r>
    </w:p>
    <w:p>
      <w:pPr>
        <w:pStyle w:val="Heading5"/>
      </w:pPr>
      <w:bookmarkStart w:id="676" w:name="_Toc158374970"/>
      <w:r>
        <w:rPr>
          <w:rStyle w:val="CharSectno"/>
        </w:rPr>
        <w:lastRenderedPageBreak/>
        <w:t>202</w:t>
      </w:r>
      <w:r>
        <w:t>.</w:t>
      </w:r>
      <w:r>
        <w:tab/>
        <w:t>Failing to attend as a witness</w:t>
      </w:r>
      <w:bookmarkEnd w:id="676"/>
    </w:p>
    <w:p>
      <w:pPr>
        <w:keepNext/>
        <w:keepLines/>
        <w:autoSpaceDE w:val="0"/>
        <w:autoSpaceDN w:val="0"/>
        <w:adjustRightInd w:val="0"/>
        <w:spacing w:before="120"/>
        <w:ind w:left="1588"/>
        <w:rPr>
          <w:color w:val="000000"/>
          <w:sz w:val="23"/>
          <w:szCs w:val="23"/>
        </w:rPr>
      </w:pPr>
      <w:r>
        <w:rPr>
          <w:color w:val="000000"/>
          <w:sz w:val="23"/>
          <w:szCs w:val="23"/>
        </w:rPr>
        <w:t>A person who is served, as prescribed by the Regulations, with a summons to appear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attend as required by the summons;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appear and report himself or herself from day to day unless excused, or released from further attendance, by the dispute resolution body.</w:t>
      </w:r>
    </w:p>
    <w:p>
      <w:pPr>
        <w:keepLines/>
        <w:autoSpaceDE w:val="0"/>
        <w:autoSpaceDN w:val="0"/>
        <w:adjustRightInd w:val="0"/>
        <w:spacing w:before="80"/>
        <w:ind w:left="1588"/>
        <w:rPr>
          <w:color w:val="000000"/>
          <w:sz w:val="23"/>
          <w:szCs w:val="23"/>
        </w:rPr>
      </w:pPr>
      <w:r>
        <w:rPr>
          <w:color w:val="000000"/>
          <w:sz w:val="23"/>
          <w:szCs w:val="23"/>
        </w:rPr>
        <w:t>Maximum penalty: $2 000.</w:t>
      </w:r>
    </w:p>
    <w:p>
      <w:pPr>
        <w:pStyle w:val="Heading5"/>
      </w:pPr>
      <w:bookmarkStart w:id="677" w:name="_Toc158374971"/>
      <w:r>
        <w:rPr>
          <w:rStyle w:val="CharSectno"/>
        </w:rPr>
        <w:t>203</w:t>
      </w:r>
      <w:r>
        <w:t>.</w:t>
      </w:r>
      <w:r>
        <w:tab/>
        <w:t>Failing to answer questions etc</w:t>
      </w:r>
      <w:bookmarkEnd w:id="67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appearing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refuse or fail to be sworn or to make an affirmation;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refuse or fail to answer a question that the person is required to answer by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refuse or fail to produce a document that he or she is required to produce by a summons under this Chapter served on him or her as prescribed by the Regulations.</w:t>
      </w:r>
    </w:p>
    <w:p>
      <w:pPr>
        <w:keepLines/>
        <w:autoSpaceDE w:val="0"/>
        <w:autoSpaceDN w:val="0"/>
        <w:adjustRightInd w:val="0"/>
        <w:spacing w:before="80"/>
        <w:ind w:left="1588"/>
        <w:rPr>
          <w:color w:val="000000"/>
          <w:sz w:val="23"/>
          <w:szCs w:val="23"/>
        </w:rPr>
      </w:pPr>
      <w:r>
        <w:rPr>
          <w:color w:val="000000"/>
          <w:sz w:val="23"/>
          <w:szCs w:val="23"/>
        </w:rPr>
        <w:t>Maximum penalty: $2 000.</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a reasonable excuse for the purposes of subsection (1) for a natural person to refuse or fail to answer a question or produce a document on the ground that the answer or the production of the document might—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tend to incriminate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expose the person to a criminal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(2) does not limit what is a reasonable excuse for the purposes of subsection (1).</w:t>
      </w:r>
    </w:p>
    <w:p>
      <w:pPr>
        <w:pStyle w:val="Heading5"/>
      </w:pPr>
      <w:bookmarkStart w:id="678" w:name="_Toc158374972"/>
      <w:r>
        <w:rPr>
          <w:rStyle w:val="CharSectno"/>
        </w:rPr>
        <w:lastRenderedPageBreak/>
        <w:t>204</w:t>
      </w:r>
      <w:r>
        <w:t>.</w:t>
      </w:r>
      <w:r>
        <w:tab/>
        <w:t>Intimidation etc</w:t>
      </w:r>
      <w:bookmarkEnd w:id="678"/>
    </w:p>
    <w:p>
      <w:pPr>
        <w:keepNext/>
        <w:keepLines/>
        <w:autoSpaceDE w:val="0"/>
        <w:autoSpaceDN w:val="0"/>
        <w:adjustRightInd w:val="0"/>
        <w:spacing w:before="120"/>
        <w:ind w:left="1588"/>
        <w:rPr>
          <w:color w:val="000000"/>
          <w:sz w:val="23"/>
          <w:szCs w:val="23"/>
        </w:rPr>
      </w:pPr>
      <w:r>
        <w:rPr>
          <w:color w:val="000000"/>
          <w:sz w:val="23"/>
          <w:szCs w:val="23"/>
        </w:rPr>
        <w:t>A person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threaten, intimidate or coerce another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cause or procure damage, loss or disadvantage to another person,</w:t>
      </w:r>
    </w:p>
    <w:p>
      <w:pPr>
        <w:keepNext/>
        <w:keepLines/>
        <w:autoSpaceDE w:val="0"/>
        <w:autoSpaceDN w:val="0"/>
        <w:adjustRightInd w:val="0"/>
        <w:spacing w:before="120"/>
        <w:ind w:left="1588"/>
        <w:rPr>
          <w:color w:val="000000"/>
          <w:sz w:val="23"/>
          <w:szCs w:val="23"/>
        </w:rPr>
      </w:pPr>
      <w:r>
        <w:rPr>
          <w:color w:val="000000"/>
          <w:sz w:val="23"/>
          <w:szCs w:val="23"/>
        </w:rPr>
        <w:t>because that other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proposes to produce, or has produced, documents to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proposes to appear, or has appeared, as a witness before the dispute resolution body.</w:t>
      </w:r>
    </w:p>
    <w:p>
      <w:pPr>
        <w:keepLines/>
        <w:autoSpaceDE w:val="0"/>
        <w:autoSpaceDN w:val="0"/>
        <w:adjustRightInd w:val="0"/>
        <w:spacing w:before="80"/>
        <w:ind w:left="1588"/>
        <w:rPr>
          <w:color w:val="000000"/>
          <w:sz w:val="23"/>
          <w:szCs w:val="23"/>
        </w:rPr>
      </w:pPr>
      <w:r>
        <w:rPr>
          <w:color w:val="000000"/>
          <w:sz w:val="23"/>
          <w:szCs w:val="23"/>
        </w:rPr>
        <w:t>Maximum penalty: $2 000.</w:t>
      </w:r>
    </w:p>
    <w:p>
      <w:pPr>
        <w:pStyle w:val="Heading5"/>
      </w:pPr>
      <w:bookmarkStart w:id="679" w:name="_Toc158374973"/>
      <w:r>
        <w:rPr>
          <w:rStyle w:val="CharSectno"/>
        </w:rPr>
        <w:t>205</w:t>
      </w:r>
      <w:r>
        <w:t>.</w:t>
      </w:r>
      <w:r>
        <w:tab/>
        <w:t>Party may request dispute resolution body to treat material as confidential</w:t>
      </w:r>
      <w:bookmarkEnd w:id="67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party in a dispute hearing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 the dispute resolution body that, in the party’s opinion, a specified part of a document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request the dispute resolution body not to give a copy of that part to another party.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receiving a request, the dispute resolution body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 the other party or parties that the request has been made and of the general nature of the matters to which the relevant part of the document relates;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ask the other party or parties whether there is any objection to the dispute resolution body complying with the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there is an objection to the dispute resolution body complying with the request, the party objecting may inform the dispute resolution body of the objection and of the reasons for it.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(4)</w:t>
      </w:r>
      <w:r>
        <w:rPr>
          <w:color w:val="000000"/>
          <w:sz w:val="23"/>
          <w:szCs w:val="23"/>
        </w:rPr>
        <w:tab/>
        <w:t>After considering—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request;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objection;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further submissions that any party has made in relation to the request,</w:t>
      </w:r>
    </w:p>
    <w:p>
      <w:pPr>
        <w:keepLines/>
        <w:autoSpaceDE w:val="0"/>
        <w:autoSpaceDN w:val="0"/>
        <w:adjustRightInd w:val="0"/>
        <w:spacing w:before="120"/>
        <w:ind w:left="1588"/>
        <w:rPr>
          <w:color w:val="000000"/>
          <w:sz w:val="23"/>
          <w:szCs w:val="23"/>
        </w:rPr>
      </w:pPr>
      <w:r>
        <w:rPr>
          <w:color w:val="000000"/>
          <w:sz w:val="23"/>
          <w:szCs w:val="23"/>
        </w:rPr>
        <w:t>the dispute resolution body may decide—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not to give the other party or parties a copy of so much of the document as contains confidential information that the dispute resolution body thinks should not be given;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dispute resolution body and subject to such other conditions as the dispute resolution body determines.</w:t>
      </w:r>
    </w:p>
    <w:p>
      <w:pPr>
        <w:pStyle w:val="Heading5"/>
      </w:pPr>
      <w:bookmarkStart w:id="680" w:name="_Toc158374974"/>
      <w:r>
        <w:rPr>
          <w:rStyle w:val="CharSectno"/>
        </w:rPr>
        <w:t>206</w:t>
      </w:r>
      <w:r>
        <w:t>.</w:t>
      </w:r>
      <w:r>
        <w:tab/>
        <w:t>Costs</w:t>
      </w:r>
      <w:bookmarkEnd w:id="68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Each party is to bear its own costs in a dispute hearing except to the extent that an order under this section specifies otherwise.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At any time, the dispute resolution body may order that a party pay all or a specified part of the costs of another party in a dispute hearing.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make an order under subsection (2) only if satisfied that it is fair to do so, having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a party has conducted the dispute hearing in a way that unnecessarily disadvantaged another party by conduct such 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lastRenderedPageBreak/>
        <w:tab/>
        <w:t>(i)</w:t>
      </w:r>
      <w:r>
        <w:rPr>
          <w:color w:val="000000"/>
          <w:sz w:val="23"/>
          <w:szCs w:val="23"/>
        </w:rPr>
        <w:tab/>
        <w:t>failing to comply with an order or direction of the dispute resolution body without reasonable excuse;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failing to comply with this Law, the Regulations or the Rules;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asking for an adjournment as a result of subparagraph (i) or (ii);</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causing an adjournment;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attempting to deceive another party or the dispute resolution body;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w:t>
      </w:r>
      <w:r>
        <w:rPr>
          <w:color w:val="000000"/>
          <w:sz w:val="23"/>
          <w:szCs w:val="23"/>
        </w:rPr>
        <w:tab/>
        <w:t>vexatiously conducting an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a party has been responsible for prolonging unreasonably the time taken to complete the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relative strengths of the claims made by each of the parties, including whether a party has made a claim that has no tenable basis in fact or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nature and complexity of the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other matter the dispute resolution body considers relevant.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party to whom an order made under subsection (2)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dispute resolution body considers that the representative of a party, rather than the party, is responsible for conduct described in subsection (3)(a) or (b), the dispute resolution body may order that the representative in his or her own capacity compensate another party for any costs incurred unnecessarily.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Before making an order under subsection (5), the dispute resolution body must give the representative a reasonable opportunity to be heard.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(7)</w:t>
      </w:r>
      <w:r>
        <w:rPr>
          <w:color w:val="000000"/>
          <w:sz w:val="23"/>
          <w:szCs w:val="23"/>
        </w:rPr>
        <w:tab/>
        <w:t>A representative of a party to whom an order made under subsection (5)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If the dispute resolution body makes an order for costs before the end of an access dispute, the dispute resolution body may require that the order be complied with before it continues with the proceeding.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 xml:space="preserve">If the dispute resolution body makes an order for costs, the dispute resolution body may fix the amount of costs itself. </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This section applies to costs incurred by the parties in a dispute hearing even if the notification of the access dispute to which the dispute hearing relates is withdrawn.</w:t>
      </w:r>
    </w:p>
    <w:p>
      <w:pPr>
        <w:pStyle w:val="Heading5"/>
      </w:pPr>
      <w:bookmarkStart w:id="681" w:name="_Toc158374975"/>
      <w:r>
        <w:t>207.</w:t>
      </w:r>
      <w:r>
        <w:tab/>
        <w:t>Outstanding costs are a debt due to party awarded the costs</w:t>
      </w:r>
      <w:bookmarkEnd w:id="681"/>
    </w:p>
    <w:p>
      <w:pPr>
        <w:keepNext/>
        <w:keepLines/>
        <w:autoSpaceDE w:val="0"/>
        <w:autoSpaceDN w:val="0"/>
        <w:adjustRightInd w:val="0"/>
        <w:spacing w:before="120"/>
        <w:ind w:left="1588"/>
        <w:rPr>
          <w:color w:val="000000"/>
          <w:sz w:val="23"/>
          <w:szCs w:val="23"/>
        </w:rPr>
      </w:pPr>
      <w:r>
        <w:rPr>
          <w:color w:val="000000"/>
          <w:sz w:val="23"/>
          <w:szCs w:val="23"/>
        </w:rPr>
        <w:t>Costs that are payable under section 206(4) or (7)—</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are a debt due to the party to whom the dispute resolution body has ordered that they be paid;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be recovered by that party in a court of competent jurisdiction.</w:t>
      </w:r>
    </w:p>
    <w:p>
      <w:pPr>
        <w:pStyle w:val="Heading3"/>
      </w:pPr>
      <w:bookmarkStart w:id="682" w:name="_Toc156819337"/>
      <w:bookmarkStart w:id="683" w:name="_Toc156990756"/>
      <w:bookmarkStart w:id="684" w:name="_Toc158374976"/>
      <w:r>
        <w:rPr>
          <w:rStyle w:val="CharDivNo"/>
        </w:rPr>
        <w:t>Part 7</w:t>
      </w:r>
      <w:r>
        <w:t xml:space="preserve"> — </w:t>
      </w:r>
      <w:r>
        <w:rPr>
          <w:rStyle w:val="CharDivText"/>
        </w:rPr>
        <w:t>Joint access dispute hearings</w:t>
      </w:r>
      <w:bookmarkEnd w:id="682"/>
      <w:bookmarkEnd w:id="683"/>
      <w:bookmarkEnd w:id="684"/>
    </w:p>
    <w:p>
      <w:pPr>
        <w:pStyle w:val="Heading5"/>
      </w:pPr>
      <w:bookmarkStart w:id="685" w:name="_Toc158374977"/>
      <w:r>
        <w:rPr>
          <w:rStyle w:val="CharSectno"/>
        </w:rPr>
        <w:t>208</w:t>
      </w:r>
      <w:r>
        <w:t>.</w:t>
      </w:r>
      <w:r>
        <w:tab/>
        <w:t>Definition</w:t>
      </w:r>
      <w:bookmarkEnd w:id="685"/>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nominated disputes</w:t>
      </w:r>
      <w:r>
        <w:rPr>
          <w:bCs/>
          <w:i/>
          <w:iCs/>
          <w:color w:val="000000"/>
          <w:sz w:val="23"/>
          <w:szCs w:val="23"/>
        </w:rPr>
        <w:t xml:space="preserve"> </w:t>
      </w:r>
      <w:r>
        <w:rPr>
          <w:color w:val="000000"/>
          <w:sz w:val="23"/>
          <w:szCs w:val="23"/>
        </w:rPr>
        <w:t>has the meaning given by section 209(2).</w:t>
      </w:r>
    </w:p>
    <w:p>
      <w:pPr>
        <w:pStyle w:val="Heading5"/>
      </w:pPr>
      <w:bookmarkStart w:id="686" w:name="_Toc158374978"/>
      <w:r>
        <w:rPr>
          <w:rStyle w:val="CharSectno"/>
        </w:rPr>
        <w:t>209</w:t>
      </w:r>
      <w:r>
        <w:t>.</w:t>
      </w:r>
      <w:r>
        <w:tab/>
        <w:t>Joint dispute hearing</w:t>
      </w:r>
      <w:bookmarkEnd w:id="68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dispute resolution body is conducting 2 or more dispute hearings at a particular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1 or more matters are common to the access disputes in relation to which the dispute hearings are being conducted.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(2)</w:t>
      </w:r>
      <w:r>
        <w:rPr>
          <w:color w:val="000000"/>
          <w:sz w:val="23"/>
          <w:szCs w:val="23"/>
        </w:rPr>
        <w:tab/>
        <w:t xml:space="preserve">The dispute resolution body may, by notice in writing, decide that it will hold a joint dispute hearing in respect of such of those access disputes (the </w:t>
      </w:r>
      <w:r>
        <w:rPr>
          <w:rStyle w:val="CharDefText"/>
          <w:bCs/>
          <w:sz w:val="23"/>
        </w:rPr>
        <w:t>nominated disputes</w:t>
      </w:r>
      <w:r>
        <w:rPr>
          <w:color w:val="000000"/>
          <w:sz w:val="23"/>
          <w:szCs w:val="23"/>
        </w:rPr>
        <w:t>) as are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do so only if it considers this would be likely to result in the nominated disputes being resolved in a more efficient and timely manner.</w:t>
      </w:r>
    </w:p>
    <w:p>
      <w:pPr>
        <w:pStyle w:val="Heading5"/>
      </w:pPr>
      <w:bookmarkStart w:id="687" w:name="_Toc158374979"/>
      <w:r>
        <w:rPr>
          <w:rStyle w:val="CharSectno"/>
        </w:rPr>
        <w:t>210</w:t>
      </w:r>
      <w:r>
        <w:t>.</w:t>
      </w:r>
      <w:r>
        <w:tab/>
        <w:t>Consulting the parties</w:t>
      </w:r>
      <w:bookmarkEnd w:id="68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Before making a decision under section 209(2), the dispute resolution body must give each party to each of the nominated disputes a notice in writing—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specifying what the dispute resolution body is proposing to do;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inviting the party to make a written submission on the proposal to the dispute resolution body within 10 business days after the notice is given.</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must have regard to any submission so made in deciding whether to do so. The dispute resolution body may have regard to any other matter it considers relevant.</w:t>
      </w:r>
    </w:p>
    <w:p>
      <w:pPr>
        <w:pStyle w:val="Heading5"/>
      </w:pPr>
      <w:bookmarkStart w:id="688" w:name="_Toc158374980"/>
      <w:r>
        <w:rPr>
          <w:rStyle w:val="CharSectno"/>
        </w:rPr>
        <w:t>211</w:t>
      </w:r>
      <w:r>
        <w:t>.</w:t>
      </w:r>
      <w:r>
        <w:tab/>
        <w:t>Constitution and procedure of dispute resolution body for joint dispute hearings</w:t>
      </w:r>
      <w:bookmarkEnd w:id="688"/>
    </w:p>
    <w:p>
      <w:pPr>
        <w:keepLines/>
        <w:autoSpaceDE w:val="0"/>
        <w:autoSpaceDN w:val="0"/>
        <w:adjustRightInd w:val="0"/>
        <w:spacing w:before="120"/>
        <w:ind w:left="1588"/>
        <w:rPr>
          <w:color w:val="000000"/>
          <w:sz w:val="23"/>
          <w:szCs w:val="23"/>
        </w:rPr>
      </w:pPr>
      <w:r>
        <w:rPr>
          <w:color w:val="000000"/>
          <w:sz w:val="23"/>
          <w:szCs w:val="23"/>
        </w:rPr>
        <w:t>Chapter 6 Part 6 applies to the joint dispute hearing in a corresponding way to the way in which it applies to a particular dispute hearing.</w:t>
      </w:r>
    </w:p>
    <w:p>
      <w:pPr>
        <w:pStyle w:val="Heading5"/>
      </w:pPr>
      <w:bookmarkStart w:id="689" w:name="_Toc158374981"/>
      <w:r>
        <w:rPr>
          <w:rStyle w:val="CharSectno"/>
        </w:rPr>
        <w:t>212</w:t>
      </w:r>
      <w:r>
        <w:t>.</w:t>
      </w:r>
      <w:r>
        <w:tab/>
        <w:t>Record of proceedings etc</w:t>
      </w:r>
      <w:bookmarkEnd w:id="68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as constituted for the purposes of the joint dispute hearing may have regard to any record of the proceedings of the dispute of any of the nominated disputes.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(2)</w:t>
      </w:r>
      <w:r>
        <w:rPr>
          <w:color w:val="000000"/>
          <w:sz w:val="23"/>
          <w:szCs w:val="23"/>
        </w:rPr>
        <w:tab/>
        <w:t>The dispute resolution body as constituted for the purposes of the dispute hearing of each of the nominated disputes may, for the purposes of making an access determination in relation to the access dispute to which that hearing relates—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have regard to any record of the proceedings of the joint dispute hearing;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adopt any findings of fact made by the dispute resolution body as constituted for the purposes of the joint dispute hearing.</w:t>
      </w:r>
    </w:p>
    <w:p>
      <w:pPr>
        <w:pStyle w:val="Heading3"/>
      </w:pPr>
      <w:bookmarkStart w:id="690" w:name="_Toc156819343"/>
      <w:bookmarkStart w:id="691" w:name="_Toc156990762"/>
      <w:bookmarkStart w:id="692" w:name="_Toc158374982"/>
      <w:r>
        <w:rPr>
          <w:rStyle w:val="CharDivNo"/>
        </w:rPr>
        <w:t>Part 8</w:t>
      </w:r>
      <w:r>
        <w:t> — </w:t>
      </w:r>
      <w:r>
        <w:rPr>
          <w:rStyle w:val="CharDivText"/>
        </w:rPr>
        <w:t>Miscellaneous matters</w:t>
      </w:r>
      <w:bookmarkEnd w:id="690"/>
      <w:bookmarkEnd w:id="691"/>
      <w:bookmarkEnd w:id="692"/>
    </w:p>
    <w:p>
      <w:pPr>
        <w:pStyle w:val="Heading5"/>
      </w:pPr>
      <w:bookmarkStart w:id="693" w:name="_Toc158374983"/>
      <w:r>
        <w:rPr>
          <w:rStyle w:val="CharSectno"/>
        </w:rPr>
        <w:t>213</w:t>
      </w:r>
      <w:r>
        <w:t>.</w:t>
      </w:r>
      <w:r>
        <w:tab/>
        <w:t>Correction of access determinations for clerical mistakes etc</w:t>
      </w:r>
      <w:bookmarkEnd w:id="693"/>
    </w:p>
    <w:p>
      <w:pPr>
        <w:keepNext/>
        <w:keepLines/>
        <w:autoSpaceDE w:val="0"/>
        <w:autoSpaceDN w:val="0"/>
        <w:adjustRightInd w:val="0"/>
        <w:spacing w:before="120"/>
        <w:ind w:left="1588"/>
        <w:rPr>
          <w:color w:val="000000"/>
          <w:sz w:val="23"/>
          <w:szCs w:val="23"/>
        </w:rPr>
      </w:pPr>
      <w:r>
        <w:rPr>
          <w:color w:val="000000"/>
          <w:sz w:val="23"/>
          <w:szCs w:val="23"/>
        </w:rPr>
        <w:t>If an access determination contains—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clerical mistake;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error arising from an accidental slip or omission;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material miscalculation of figures or a material mistake in the description of any person, thing or matter referred to in the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defect in form,</w:t>
      </w:r>
    </w:p>
    <w:p>
      <w:pPr>
        <w:keepLines/>
        <w:autoSpaceDE w:val="0"/>
        <w:autoSpaceDN w:val="0"/>
        <w:adjustRightInd w:val="0"/>
        <w:spacing w:before="120"/>
        <w:ind w:left="1588"/>
        <w:rPr>
          <w:color w:val="000000"/>
          <w:sz w:val="23"/>
          <w:szCs w:val="23"/>
        </w:rPr>
      </w:pPr>
      <w:r>
        <w:rPr>
          <w:color w:val="000000"/>
          <w:sz w:val="23"/>
          <w:szCs w:val="23"/>
        </w:rPr>
        <w:t>the dispute resolution body may correct the access determination.</w:t>
      </w:r>
    </w:p>
    <w:p>
      <w:pPr>
        <w:pStyle w:val="Heading5"/>
      </w:pPr>
      <w:bookmarkStart w:id="694" w:name="_Toc158374984"/>
      <w:r>
        <w:rPr>
          <w:rStyle w:val="CharSectno"/>
        </w:rPr>
        <w:t>214</w:t>
      </w:r>
      <w:r>
        <w:t>.</w:t>
      </w:r>
      <w:r>
        <w:tab/>
        <w:t>Reservation of capacity during an access dispute</w:t>
      </w:r>
      <w:bookmarkEnd w:id="694"/>
    </w:p>
    <w:p>
      <w:pPr>
        <w:keepLines/>
        <w:autoSpaceDE w:val="0"/>
        <w:autoSpaceDN w:val="0"/>
        <w:adjustRightInd w:val="0"/>
        <w:spacing w:before="120"/>
        <w:ind w:left="1588"/>
        <w:rPr>
          <w:color w:val="000000"/>
          <w:sz w:val="23"/>
          <w:szCs w:val="23"/>
        </w:rPr>
      </w:pPr>
      <w:r>
        <w:rPr>
          <w:color w:val="000000"/>
          <w:sz w:val="23"/>
          <w:szCs w:val="23"/>
        </w:rPr>
        <w:t>A service provider who is in an access dispute with a user must not, without the consent of the user, alter the rights that the user has to use the capacity of the access dispute pipeline during the period of the dispute.</w:t>
      </w:r>
    </w:p>
    <w:p>
      <w:pPr>
        <w:pStyle w:val="Heading5"/>
      </w:pPr>
      <w:bookmarkStart w:id="695" w:name="_Toc158374985"/>
      <w:r>
        <w:rPr>
          <w:rStyle w:val="CharSectno"/>
        </w:rPr>
        <w:lastRenderedPageBreak/>
        <w:t>215</w:t>
      </w:r>
      <w:r>
        <w:t>.</w:t>
      </w:r>
      <w:r>
        <w:tab/>
        <w:t>Subsequent service providers bound by access determinations</w:t>
      </w:r>
      <w:bookmarkEnd w:id="69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access determination applies to every subsequent service provider as if that subsequent service provider were a party to the access dispute in respect of which the access determination was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subsequent service provider</w:t>
      </w:r>
      <w:r>
        <w:rPr>
          <w:bCs/>
          <w:i/>
          <w:iCs/>
          <w:color w:val="000000"/>
          <w:sz w:val="23"/>
          <w:szCs w:val="23"/>
        </w:rPr>
        <w:t xml:space="preserve"> </w:t>
      </w:r>
      <w:r>
        <w:rPr>
          <w:color w:val="000000"/>
          <w:sz w:val="23"/>
          <w:szCs w:val="23"/>
        </w:rPr>
        <w:t>means a service provider (other than the service provider to whom the access determination applies) who provides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subject of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respect of which the access determination was made.</w:t>
      </w:r>
    </w:p>
    <w:p>
      <w:pPr>
        <w:pStyle w:val="Heading5"/>
      </w:pPr>
      <w:bookmarkStart w:id="696" w:name="_Toc158374986"/>
      <w:r>
        <w:rPr>
          <w:rStyle w:val="CharSectno"/>
        </w:rPr>
        <w:t>216</w:t>
      </w:r>
      <w:r>
        <w:t>.</w:t>
      </w:r>
      <w:r>
        <w:tab/>
        <w:t>Regulations about the costs to be paid by parties to access dispute</w:t>
      </w:r>
      <w:bookmarkEnd w:id="696"/>
    </w:p>
    <w:p>
      <w:pPr>
        <w:keepNext/>
        <w:keepLines/>
        <w:autoSpaceDE w:val="0"/>
        <w:autoSpaceDN w:val="0"/>
        <w:adjustRightInd w:val="0"/>
        <w:spacing w:before="120"/>
        <w:ind w:left="1588"/>
        <w:rPr>
          <w:color w:val="000000"/>
          <w:sz w:val="23"/>
          <w:szCs w:val="23"/>
        </w:rPr>
      </w:pPr>
      <w:r>
        <w:rPr>
          <w:color w:val="000000"/>
          <w:sz w:val="23"/>
          <w:szCs w:val="23"/>
        </w:rPr>
        <w:t>The Regulations may provide for the dispute resolution body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charge the parties to an access dispute for its costs in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apportion those costs between the parties.</w:t>
      </w:r>
    </w:p>
    <w:p>
      <w:pPr>
        <w:pStyle w:val="Heading2"/>
      </w:pPr>
      <w:bookmarkStart w:id="697" w:name="_Toc156819348"/>
      <w:bookmarkStart w:id="698" w:name="_Toc156990767"/>
      <w:bookmarkStart w:id="699" w:name="_Toc158374987"/>
      <w:r>
        <w:rPr>
          <w:rStyle w:val="CharPartNo"/>
        </w:rPr>
        <w:lastRenderedPageBreak/>
        <w:t>Chapter 6A</w:t>
      </w:r>
      <w:r>
        <w:t>—</w:t>
      </w:r>
      <w:r>
        <w:rPr>
          <w:rStyle w:val="CharPartText"/>
        </w:rPr>
        <w:t>Access disputes—non-scheme pipelines</w:t>
      </w:r>
      <w:bookmarkEnd w:id="697"/>
      <w:bookmarkEnd w:id="698"/>
      <w:bookmarkEnd w:id="699"/>
    </w:p>
    <w:p>
      <w:pPr>
        <w:pStyle w:val="Footnoteheading"/>
      </w:pPr>
      <w:r>
        <w:tab/>
        <w:t>[Heading inserted: see SA Act No. 23 of 2017 s. 6 and WA Gazette 22 Dec 2017 p. 5984.]</w:t>
      </w:r>
    </w:p>
    <w:p>
      <w:pPr>
        <w:pStyle w:val="Heading3"/>
      </w:pPr>
      <w:bookmarkStart w:id="700" w:name="_Toc156819349"/>
      <w:bookmarkStart w:id="701" w:name="_Toc156990768"/>
      <w:bookmarkStart w:id="702" w:name="_Toc158374988"/>
      <w:r>
        <w:rPr>
          <w:rStyle w:val="CharDivNo"/>
        </w:rPr>
        <w:t>Part 1</w:t>
      </w:r>
      <w:r>
        <w:t>—</w:t>
      </w:r>
      <w:r>
        <w:rPr>
          <w:rStyle w:val="CharDivText"/>
        </w:rPr>
        <w:t>Interpretation and application</w:t>
      </w:r>
      <w:bookmarkEnd w:id="700"/>
      <w:bookmarkEnd w:id="701"/>
      <w:bookmarkEnd w:id="702"/>
    </w:p>
    <w:p>
      <w:pPr>
        <w:pStyle w:val="Footnoteheading"/>
      </w:pPr>
      <w:r>
        <w:tab/>
        <w:t>[Heading inserted: see SA Act No. 23 of 2017 s. 6 and WA Gazette 22 Dec 2017 p. 5984.]</w:t>
      </w:r>
    </w:p>
    <w:p>
      <w:pPr>
        <w:pStyle w:val="Heading5"/>
      </w:pPr>
      <w:bookmarkStart w:id="703" w:name="_Toc158374989"/>
      <w:r>
        <w:rPr>
          <w:rStyle w:val="CharSectno"/>
        </w:rPr>
        <w:t>216A</w:t>
      </w:r>
      <w:r>
        <w:t>.</w:t>
      </w:r>
      <w:r>
        <w:tab/>
        <w:t>Definitions</w:t>
      </w:r>
      <w:bookmarkEnd w:id="70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In this Chapter—</w:t>
      </w:r>
    </w:p>
    <w:p>
      <w:pPr>
        <w:keepLines/>
        <w:autoSpaceDE w:val="0"/>
        <w:autoSpaceDN w:val="0"/>
        <w:adjustRightInd w:val="0"/>
        <w:spacing w:before="120"/>
        <w:ind w:left="1588"/>
        <w:rPr>
          <w:color w:val="000000"/>
          <w:sz w:val="23"/>
          <w:szCs w:val="23"/>
        </w:rPr>
      </w:pPr>
      <w:r>
        <w:rPr>
          <w:rStyle w:val="CharDefText"/>
          <w:sz w:val="23"/>
          <w:szCs w:val="23"/>
        </w:rPr>
        <w:t>access determination</w:t>
      </w:r>
      <w:r>
        <w:rPr>
          <w:color w:val="000000"/>
          <w:sz w:val="23"/>
          <w:szCs w:val="23"/>
        </w:rPr>
        <w:t xml:space="preserve"> means a determination of an arbitrator under </w:t>
      </w:r>
      <w:hyperlink w:anchor="idba65a7ed_fd82_4b20_88b9_904b318ba9" w:history="1">
        <w:r>
          <w:rPr>
            <w:color w:val="000000"/>
            <w:sz w:val="23"/>
            <w:szCs w:val="23"/>
          </w:rPr>
          <w:t>Part 3</w:t>
        </w:r>
      </w:hyperlink>
      <w:r>
        <w:rPr>
          <w:color w:val="000000"/>
          <w:sz w:val="23"/>
          <w:szCs w:val="23"/>
        </w:rPr>
        <w:t xml:space="preserve"> and includes a variation under </w:t>
      </w:r>
      <w:hyperlink w:anchor="id9d474823_dac0_4d5a_80a9_511a82a3dd" w:history="1">
        <w:r>
          <w:rPr>
            <w:color w:val="000000"/>
            <w:sz w:val="23"/>
            <w:szCs w:val="23"/>
          </w:rPr>
          <w:t>Part 5</w:t>
        </w:r>
      </w:hyperlink>
      <w:r>
        <w:rPr>
          <w:color w:val="000000"/>
          <w:sz w:val="23"/>
          <w:szCs w:val="23"/>
        </w:rPr>
        <w:t>;</w:t>
      </w:r>
    </w:p>
    <w:p>
      <w:pPr>
        <w:keepLines/>
        <w:autoSpaceDE w:val="0"/>
        <w:autoSpaceDN w:val="0"/>
        <w:adjustRightInd w:val="0"/>
        <w:spacing w:before="120"/>
        <w:ind w:left="1588"/>
        <w:rPr>
          <w:color w:val="000000"/>
          <w:sz w:val="23"/>
          <w:szCs w:val="23"/>
        </w:rPr>
      </w:pPr>
      <w:r>
        <w:rPr>
          <w:rStyle w:val="CharDefText"/>
          <w:sz w:val="23"/>
          <w:szCs w:val="23"/>
        </w:rPr>
        <w:t>access dispute</w:t>
      </w:r>
      <w:r>
        <w:t xml:space="preserve"> </w:t>
      </w:r>
      <w:r>
        <w:rPr>
          <w:color w:val="000000"/>
          <w:sz w:val="23"/>
          <w:szCs w:val="23"/>
        </w:rPr>
        <w:t>means a dispute between a user or prospective user and a service provider about 1 or more aspects of access to a pipeline service provided by means of a non</w:t>
      </w:r>
      <w:r>
        <w:rPr>
          <w:color w:val="000000"/>
          <w:sz w:val="23"/>
          <w:szCs w:val="23"/>
        </w:rPr>
        <w:noBreakHyphen/>
        <w:t xml:space="preserve">scheme pipeline (subject to the operation of </w:t>
      </w:r>
      <w:hyperlink w:anchor="idca11615c_5180_4211_b24e_974f7b7973" w:history="1">
        <w:r>
          <w:rPr>
            <w:color w:val="000000"/>
            <w:sz w:val="23"/>
            <w:szCs w:val="23"/>
          </w:rPr>
          <w:t>section 216C(2)</w:t>
        </w:r>
      </w:hyperlink>
      <w:r>
        <w:rPr>
          <w:color w:val="000000"/>
          <w:sz w:val="23"/>
          <w:szCs w:val="23"/>
        </w:rPr>
        <w:t>);</w:t>
      </w:r>
    </w:p>
    <w:p>
      <w:pPr>
        <w:keepLines/>
        <w:autoSpaceDE w:val="0"/>
        <w:autoSpaceDN w:val="0"/>
        <w:adjustRightInd w:val="0"/>
        <w:spacing w:before="120"/>
        <w:ind w:left="1588"/>
        <w:rPr>
          <w:color w:val="000000"/>
          <w:sz w:val="23"/>
          <w:szCs w:val="23"/>
        </w:rPr>
      </w:pPr>
      <w:r>
        <w:rPr>
          <w:rStyle w:val="CharDefText"/>
          <w:sz w:val="23"/>
          <w:szCs w:val="23"/>
        </w:rPr>
        <w:t>dispute hearing</w:t>
      </w:r>
      <w:r>
        <w:rPr>
          <w:color w:val="000000"/>
          <w:sz w:val="23"/>
          <w:szCs w:val="23"/>
        </w:rPr>
        <w:t xml:space="preserve"> means a hearing conducted by an arbitrator under this Chapter for the purpose of making an access determination;</w:t>
      </w:r>
    </w:p>
    <w:p>
      <w:pPr>
        <w:keepLines/>
        <w:autoSpaceDE w:val="0"/>
        <w:autoSpaceDN w:val="0"/>
        <w:adjustRightInd w:val="0"/>
        <w:spacing w:before="120"/>
        <w:ind w:left="1588"/>
        <w:rPr>
          <w:color w:val="000000"/>
          <w:sz w:val="23"/>
          <w:szCs w:val="23"/>
        </w:rPr>
      </w:pPr>
      <w:r>
        <w:rPr>
          <w:rStyle w:val="CharDefText"/>
          <w:sz w:val="23"/>
          <w:szCs w:val="23"/>
        </w:rPr>
        <w:t>distribution pipeline</w:t>
      </w:r>
      <w:r>
        <w:rPr>
          <w:color w:val="000000"/>
          <w:sz w:val="23"/>
          <w:szCs w:val="23"/>
        </w:rPr>
        <w:t xml:space="preserve"> means a pipeline that is classified in accordance with this Law or the Rules as a distribution pipeline and includes any extension to, or expansion of the capacity of, such a pipeline that, by operation of an access arrangement or access determination, is to be treated as part of the pipeline;</w:t>
      </w:r>
    </w:p>
    <w:p>
      <w:pPr>
        <w:keepLines/>
        <w:autoSpaceDE w:val="0"/>
        <w:autoSpaceDN w:val="0"/>
        <w:adjustRightInd w:val="0"/>
        <w:spacing w:before="120"/>
        <w:ind w:left="1588"/>
        <w:rPr>
          <w:color w:val="000000"/>
          <w:sz w:val="23"/>
          <w:szCs w:val="23"/>
        </w:rPr>
      </w:pPr>
      <w:r>
        <w:rPr>
          <w:rStyle w:val="CharDefText"/>
          <w:sz w:val="23"/>
          <w:szCs w:val="23"/>
        </w:rPr>
        <w:t>non</w:t>
      </w:r>
      <w:r>
        <w:rPr>
          <w:rStyle w:val="CharDefText"/>
          <w:sz w:val="23"/>
          <w:szCs w:val="23"/>
        </w:rPr>
        <w:noBreakHyphen/>
        <w:t>scheme pipeline</w:t>
      </w:r>
      <w:r>
        <w:rPr>
          <w:color w:val="000000"/>
          <w:sz w:val="23"/>
          <w:szCs w:val="23"/>
        </w:rPr>
        <w:t xml:space="preserve"> means a pipeline to which this Chapter applies by operation of </w:t>
      </w:r>
      <w:hyperlink w:anchor="idb185bbdd_eb39_4556_8fab_e211a16ce7" w:history="1">
        <w:r>
          <w:rPr>
            <w:color w:val="000000"/>
            <w:sz w:val="23"/>
            <w:szCs w:val="23"/>
          </w:rPr>
          <w:t>section 216C</w:t>
        </w:r>
      </w:hyperlink>
      <w:r>
        <w:rPr>
          <w:color w:val="000000"/>
          <w:sz w:val="23"/>
          <w:szCs w:val="23"/>
        </w:rPr>
        <w:t>;</w:t>
      </w:r>
    </w:p>
    <w:p>
      <w:pPr>
        <w:keepLines/>
        <w:autoSpaceDE w:val="0"/>
        <w:autoSpaceDN w:val="0"/>
        <w:adjustRightInd w:val="0"/>
        <w:spacing w:before="120"/>
        <w:ind w:left="1588"/>
        <w:rPr>
          <w:color w:val="000000"/>
          <w:sz w:val="23"/>
          <w:szCs w:val="23"/>
        </w:rPr>
      </w:pPr>
      <w:r>
        <w:rPr>
          <w:rStyle w:val="CharDefText"/>
          <w:sz w:val="23"/>
          <w:szCs w:val="23"/>
        </w:rPr>
        <w:t>party</w:t>
      </w:r>
      <w:r>
        <w:rPr>
          <w:color w:val="000000"/>
          <w:sz w:val="23"/>
          <w:szCs w:val="23"/>
        </w:rPr>
        <w:t xml:space="preserve">, in relation to an access dispute, has the meaning given by </w:t>
      </w:r>
      <w:hyperlink w:anchor="id51ae116f_36db_4e33_a54f_3440a6b614" w:history="1">
        <w:r>
          <w:rPr>
            <w:color w:val="000000"/>
            <w:sz w:val="23"/>
            <w:szCs w:val="23"/>
          </w:rPr>
          <w:t>section 216I</w:t>
        </w:r>
      </w:hyperlink>
      <w:r>
        <w:rPr>
          <w:color w:val="000000"/>
          <w:sz w:val="23"/>
          <w:szCs w:val="23"/>
        </w:rPr>
        <w:t>;</w:t>
      </w:r>
    </w:p>
    <w:p>
      <w:pPr>
        <w:keepLines/>
        <w:autoSpaceDE w:val="0"/>
        <w:autoSpaceDN w:val="0"/>
        <w:adjustRightInd w:val="0"/>
        <w:spacing w:before="120"/>
        <w:ind w:left="1588"/>
        <w:rPr>
          <w:color w:val="000000"/>
          <w:sz w:val="23"/>
          <w:szCs w:val="23"/>
        </w:rPr>
      </w:pPr>
      <w:r>
        <w:rPr>
          <w:rStyle w:val="CharDefText"/>
          <w:sz w:val="23"/>
          <w:szCs w:val="23"/>
        </w:rPr>
        <w:t>prospective user</w:t>
      </w:r>
      <w:r>
        <w:t xml:space="preserve"> </w:t>
      </w:r>
      <w:r>
        <w:rPr>
          <w:color w:val="000000"/>
          <w:sz w:val="23"/>
          <w:szCs w:val="23"/>
        </w:rPr>
        <w:t xml:space="preserve">has the meaning given by </w:t>
      </w:r>
      <w:hyperlink w:anchor="id31a9f6b6_3b8b_463d_93d6_ecf15c2876" w:history="1">
        <w:r>
          <w:rPr>
            <w:color w:val="000000"/>
            <w:sz w:val="23"/>
            <w:szCs w:val="23"/>
          </w:rPr>
          <w:t>section 216B</w:t>
        </w:r>
      </w:hyperlink>
      <w:r>
        <w:rPr>
          <w:color w:val="000000"/>
          <w:sz w:val="23"/>
          <w:szCs w:val="23"/>
        </w:rPr>
        <w:t>;</w:t>
      </w:r>
    </w:p>
    <w:p>
      <w:pPr>
        <w:keepLines/>
        <w:autoSpaceDE w:val="0"/>
        <w:autoSpaceDN w:val="0"/>
        <w:adjustRightInd w:val="0"/>
        <w:spacing w:before="120"/>
        <w:ind w:left="1588"/>
        <w:rPr>
          <w:color w:val="000000"/>
          <w:sz w:val="23"/>
          <w:szCs w:val="23"/>
        </w:rPr>
      </w:pPr>
      <w:r>
        <w:rPr>
          <w:rStyle w:val="CharDefText"/>
          <w:sz w:val="23"/>
          <w:szCs w:val="23"/>
        </w:rPr>
        <w:t>scheme administrator</w:t>
      </w:r>
      <w:r>
        <w:rPr>
          <w:color w:val="000000"/>
          <w:sz w:val="23"/>
          <w:szCs w:val="23"/>
        </w:rPr>
        <w:t xml:space="preserve"> means the AER;</w:t>
      </w:r>
    </w:p>
    <w:p>
      <w:pPr>
        <w:keepLines/>
        <w:autoSpaceDE w:val="0"/>
        <w:autoSpaceDN w:val="0"/>
        <w:adjustRightInd w:val="0"/>
        <w:spacing w:before="120"/>
        <w:ind w:left="1588"/>
        <w:rPr>
          <w:color w:val="000000"/>
          <w:sz w:val="23"/>
          <w:szCs w:val="23"/>
        </w:rPr>
      </w:pPr>
      <w:r>
        <w:rPr>
          <w:rStyle w:val="CharDefText"/>
          <w:sz w:val="23"/>
          <w:szCs w:val="23"/>
        </w:rPr>
        <w:lastRenderedPageBreak/>
        <w:t>transmission pipeline</w:t>
      </w:r>
      <w:r>
        <w:rPr>
          <w:color w:val="000000"/>
          <w:sz w:val="23"/>
          <w:szCs w:val="23"/>
        </w:rPr>
        <w:t xml:space="preserve"> means a pipeline that is classified in accordance with this Law or the Rules as a transmission pipeline and includes any extension to, or expansion of the capacity of, such a pipeline that, by operation of an access arrangement or access determination, is to be treated as part of the pipeline;</w:t>
      </w:r>
    </w:p>
    <w:p>
      <w:pPr>
        <w:keepLines/>
        <w:autoSpaceDE w:val="0"/>
        <w:autoSpaceDN w:val="0"/>
        <w:adjustRightInd w:val="0"/>
        <w:spacing w:before="120"/>
        <w:ind w:left="1588"/>
        <w:rPr>
          <w:color w:val="000000"/>
          <w:sz w:val="23"/>
          <w:szCs w:val="23"/>
        </w:rPr>
      </w:pPr>
      <w:r>
        <w:rPr>
          <w:rStyle w:val="CharDefText"/>
          <w:sz w:val="23"/>
          <w:szCs w:val="23"/>
        </w:rPr>
        <w:t>user</w:t>
      </w:r>
      <w:r>
        <w:rPr>
          <w:color w:val="000000"/>
          <w:sz w:val="23"/>
          <w:szCs w:val="23"/>
        </w:rPr>
        <w:t xml:space="preserve"> means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 party to a contract with a service provider under which the service provider provides or intends to provide a pipeline service to that person by means of a non</w:t>
      </w:r>
      <w:r>
        <w:rPr>
          <w:color w:val="000000"/>
          <w:sz w:val="23"/>
          <w:szCs w:val="23"/>
        </w:rPr>
        <w:noBreakHyphen/>
        <w:t>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a right under an access determination to be provided with a pipeline service by means of a non</w:t>
      </w:r>
      <w:r>
        <w:rPr>
          <w:color w:val="000000"/>
          <w:sz w:val="23"/>
          <w:szCs w:val="23"/>
        </w:rPr>
        <w:noBreakHyphen/>
        <w:t>scheme pipeline.</w:t>
      </w:r>
    </w:p>
    <w:p>
      <w:pPr>
        <w:pStyle w:val="Footnotesection"/>
      </w:pPr>
      <w:r>
        <w:tab/>
        <w:t>[Section 216A inserted: see SA Act No. 23 of 2017 s. 6 and WA Gazette 22 Dec 2017 p. 5984.]</w:t>
      </w:r>
    </w:p>
    <w:p>
      <w:pPr>
        <w:pStyle w:val="Heading5"/>
      </w:pPr>
      <w:bookmarkStart w:id="704" w:name="_Toc158374990"/>
      <w:r>
        <w:rPr>
          <w:rStyle w:val="CharSectno"/>
        </w:rPr>
        <w:t>216B</w:t>
      </w:r>
      <w:r>
        <w:t>.</w:t>
      </w:r>
      <w:r>
        <w:tab/>
        <w:t>Meaning of prospective user</w:t>
      </w:r>
      <w:bookmarkEnd w:id="70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For the purposes of this Chapter, a prospective user is a person who seeks or wishes to be provided with a pipeline service by means of a non</w:t>
      </w:r>
      <w:r>
        <w:rPr>
          <w:color w:val="000000"/>
          <w:sz w:val="23"/>
          <w:szCs w:val="23"/>
        </w:rPr>
        <w:noBreakHyphen/>
        <w:t>scheme pipeline.</w:t>
      </w:r>
    </w:p>
    <w:p>
      <w:pPr>
        <w:keepLines/>
        <w:tabs>
          <w:tab w:val="center" w:pos="1191"/>
          <w:tab w:val="left" w:pos="1588"/>
        </w:tabs>
        <w:autoSpaceDE w:val="0"/>
        <w:autoSpaceDN w:val="0"/>
        <w:adjustRightInd w:val="0"/>
        <w:spacing w:before="120"/>
        <w:ind w:left="1588" w:hanging="794"/>
        <w:rPr>
          <w:color w:val="000000"/>
          <w:sz w:val="23"/>
          <w:szCs w:val="23"/>
        </w:rPr>
      </w:pPr>
      <w:bookmarkStart w:id="705" w:name="id5acd68d1_0864_4e4d_a80e_5f04c21cf9"/>
      <w:r>
        <w:rPr>
          <w:color w:val="000000"/>
          <w:sz w:val="23"/>
          <w:szCs w:val="23"/>
        </w:rPr>
        <w:tab/>
        <w:t>(2)</w:t>
      </w:r>
      <w:r>
        <w:rPr>
          <w:color w:val="000000"/>
          <w:sz w:val="23"/>
          <w:szCs w:val="23"/>
        </w:rPr>
        <w:tab/>
        <w:t>To avoid doubt, a user is also a prospective user for the purposes of this Chapter if the user seeks or wishes to be provided with a pipeline service by means of a non</w:t>
      </w:r>
      <w:r>
        <w:rPr>
          <w:color w:val="000000"/>
          <w:sz w:val="23"/>
          <w:szCs w:val="23"/>
        </w:rPr>
        <w:noBreakHyphen/>
        <w:t>scheme pipeline other than a pipeline service already provided to them under—</w:t>
      </w:r>
      <w:bookmarkEnd w:id="705"/>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contract; or</w:t>
      </w:r>
    </w:p>
    <w:p>
      <w:pPr>
        <w:keepLines/>
        <w:tabs>
          <w:tab w:val="center" w:pos="1985"/>
          <w:tab w:val="left" w:pos="2382"/>
        </w:tabs>
        <w:autoSpaceDE w:val="0"/>
        <w:autoSpaceDN w:val="0"/>
        <w:adjustRightInd w:val="0"/>
        <w:spacing w:before="120"/>
        <w:ind w:left="2382" w:hanging="794"/>
        <w:rPr>
          <w:color w:val="000000"/>
          <w:sz w:val="23"/>
          <w:szCs w:val="23"/>
        </w:rPr>
      </w:pPr>
      <w:bookmarkStart w:id="706" w:name="id4d2e09fa_9ebd_4b6e_a77c_6881a24ff6"/>
      <w:r>
        <w:rPr>
          <w:color w:val="000000"/>
          <w:sz w:val="23"/>
          <w:szCs w:val="23"/>
        </w:rPr>
        <w:tab/>
        <w:t>(b)</w:t>
      </w:r>
      <w:r>
        <w:rPr>
          <w:color w:val="000000"/>
          <w:sz w:val="23"/>
          <w:szCs w:val="23"/>
        </w:rPr>
        <w:tab/>
        <w:t>an access determination.</w:t>
      </w:r>
      <w:bookmarkEnd w:id="70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r>
      <w:hyperlink w:anchor="id4d2e09fa_9ebd_4b6e_a77c_6881a24ff6" w:history="1">
        <w:r>
          <w:rPr>
            <w:color w:val="000000"/>
            <w:sz w:val="23"/>
            <w:szCs w:val="23"/>
          </w:rPr>
          <w:t>Subsection (2)(b)</w:t>
        </w:r>
      </w:hyperlink>
      <w:r>
        <w:rPr>
          <w:color w:val="000000"/>
          <w:sz w:val="23"/>
          <w:szCs w:val="23"/>
        </w:rPr>
        <w:t xml:space="preserve"> does not limit the operation of </w:t>
      </w:r>
      <w:hyperlink w:anchor="id9d474823_dac0_4d5a_80a9_511a82a3dd" w:history="1">
        <w:r>
          <w:rPr>
            <w:color w:val="000000"/>
            <w:sz w:val="23"/>
            <w:szCs w:val="23"/>
          </w:rPr>
          <w:t>Part 5</w:t>
        </w:r>
      </w:hyperlink>
      <w:r>
        <w:rPr>
          <w:color w:val="000000"/>
          <w:sz w:val="23"/>
          <w:szCs w:val="23"/>
        </w:rPr>
        <w:t>.</w:t>
      </w:r>
    </w:p>
    <w:p>
      <w:pPr>
        <w:pStyle w:val="Footnotesection"/>
      </w:pPr>
      <w:r>
        <w:tab/>
        <w:t>[Section 216B inserted: see SA Act No. 23 of 2017 s. 6 and WA Gazette 22 Dec 2017 p. 5984.]</w:t>
      </w:r>
    </w:p>
    <w:p>
      <w:pPr>
        <w:pStyle w:val="Heading5"/>
      </w:pPr>
      <w:bookmarkStart w:id="707" w:name="_Toc158374991"/>
      <w:r>
        <w:rPr>
          <w:rStyle w:val="CharSectno"/>
        </w:rPr>
        <w:lastRenderedPageBreak/>
        <w:t>216C</w:t>
      </w:r>
      <w:r>
        <w:t>.</w:t>
      </w:r>
      <w:r>
        <w:tab/>
        <w:t>Application of Chapter</w:t>
      </w:r>
      <w:bookmarkEnd w:id="70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w:t>
      </w:r>
      <w:hyperlink w:anchor="idca11615c_5180_4211_b24e_974f7b7973" w:history="1">
        <w:r>
          <w:rPr>
            <w:color w:val="000000"/>
            <w:sz w:val="23"/>
            <w:szCs w:val="23"/>
          </w:rPr>
          <w:t>subsection (2)</w:t>
        </w:r>
      </w:hyperlink>
      <w:r>
        <w:rPr>
          <w:color w:val="000000"/>
          <w:sz w:val="23"/>
          <w:szCs w:val="23"/>
        </w:rPr>
        <w:t>, this Chapter applies to and in relation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transmission pipeline that is not a scheme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distribution pipeline that is not a scheme pipeline.</w:t>
      </w:r>
    </w:p>
    <w:p>
      <w:pPr>
        <w:keepLines/>
        <w:tabs>
          <w:tab w:val="center" w:pos="1191"/>
          <w:tab w:val="left" w:pos="1588"/>
        </w:tabs>
        <w:autoSpaceDE w:val="0"/>
        <w:autoSpaceDN w:val="0"/>
        <w:adjustRightInd w:val="0"/>
        <w:spacing w:before="120"/>
        <w:ind w:left="1588" w:hanging="794"/>
        <w:rPr>
          <w:color w:val="000000"/>
          <w:sz w:val="23"/>
          <w:szCs w:val="23"/>
        </w:rPr>
      </w:pPr>
      <w:bookmarkStart w:id="708" w:name="idca11615c_5180_4211_b24e_974f7b7973"/>
      <w:r>
        <w:rPr>
          <w:color w:val="000000"/>
          <w:sz w:val="23"/>
          <w:szCs w:val="23"/>
        </w:rPr>
        <w:tab/>
        <w:t>(2)</w:t>
      </w:r>
      <w:r>
        <w:rPr>
          <w:color w:val="000000"/>
          <w:sz w:val="23"/>
          <w:szCs w:val="23"/>
        </w:rPr>
        <w:tab/>
        <w:t>This Chapter does not apply to or in relation to—</w:t>
      </w:r>
      <w:bookmarkEnd w:id="708"/>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or part of a pipeline, excluded from the operation of this Chapter by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pipeline within a class or group of pipelines excluded from the operation of this Chapter by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pipeline service (including in relation to a specific pipeline, or part of a specific pipeline) excluded from the operation of this Chapter by the Rules.</w:t>
      </w:r>
    </w:p>
    <w:p>
      <w:pPr>
        <w:pStyle w:val="Footnotesection"/>
      </w:pPr>
      <w:r>
        <w:tab/>
        <w:t>[Section 216C inserted: see SA Act No. 23 of 2017 s. 6 and WA Gazette 22 Dec 2017 p. 5984.]</w:t>
      </w:r>
    </w:p>
    <w:p>
      <w:pPr>
        <w:pStyle w:val="Heading5"/>
      </w:pPr>
      <w:bookmarkStart w:id="709" w:name="_Toc158374992"/>
      <w:r>
        <w:rPr>
          <w:rStyle w:val="CharSectno"/>
        </w:rPr>
        <w:t>216D</w:t>
      </w:r>
      <w:r>
        <w:t>.</w:t>
      </w:r>
      <w:r>
        <w:tab/>
        <w:t>Application of this Chapter to disputes arising under Rules</w:t>
      </w:r>
      <w:bookmarkEnd w:id="70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provisions of this Chapter applicable to the determination of an access dispute apply, subject to such modifications as may be prescribed by the Rules, to the determination of any dispute arising under any provision of the Rules specified in the Rules for the purposes of this section.</w:t>
      </w:r>
    </w:p>
    <w:p>
      <w:pPr>
        <w:pStyle w:val="Footnotesection"/>
      </w:pPr>
      <w:r>
        <w:tab/>
        <w:t>[Section 216D inserted: see SA Act No. 23 of 2017 s. 6 and WA Gazette 22 Dec 2017 p. 5984.]</w:t>
      </w:r>
    </w:p>
    <w:p>
      <w:pPr>
        <w:pStyle w:val="Heading5"/>
      </w:pPr>
      <w:bookmarkStart w:id="710" w:name="_Toc158374993"/>
      <w:r>
        <w:rPr>
          <w:rStyle w:val="CharSectno"/>
        </w:rPr>
        <w:lastRenderedPageBreak/>
        <w:t>216E</w:t>
      </w:r>
      <w:r>
        <w:t>.</w:t>
      </w:r>
      <w:r>
        <w:tab/>
        <w:t>Chapter does not limit how disputes about access may be raised or dealt with</w:t>
      </w:r>
      <w:bookmarkEnd w:id="71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This Chapter is not to be taken to limit how a dispute about access to a pipeline service may be raised or dealt with.</w:t>
      </w:r>
    </w:p>
    <w:p>
      <w:pPr>
        <w:pStyle w:val="Footnotesection"/>
      </w:pPr>
      <w:r>
        <w:tab/>
        <w:t>[Section 216E inserted: see SA Act No. 23 of 2017 s. 6 and WA Gazette 22 Dec 2017 p. 5984.]</w:t>
      </w:r>
    </w:p>
    <w:p>
      <w:pPr>
        <w:pStyle w:val="Heading3"/>
      </w:pPr>
      <w:bookmarkStart w:id="711" w:name="_Toc156819355"/>
      <w:bookmarkStart w:id="712" w:name="_Toc156990774"/>
      <w:bookmarkStart w:id="713" w:name="_Toc158374994"/>
      <w:r>
        <w:rPr>
          <w:rStyle w:val="CharDivNo"/>
        </w:rPr>
        <w:t>Part 2</w:t>
      </w:r>
      <w:r>
        <w:t>—</w:t>
      </w:r>
      <w:r>
        <w:rPr>
          <w:rStyle w:val="CharDivText"/>
        </w:rPr>
        <w:t>Negotiation of access</w:t>
      </w:r>
      <w:bookmarkEnd w:id="711"/>
      <w:bookmarkEnd w:id="712"/>
      <w:bookmarkEnd w:id="713"/>
    </w:p>
    <w:p>
      <w:pPr>
        <w:pStyle w:val="Footnoteheading"/>
      </w:pPr>
      <w:r>
        <w:tab/>
        <w:t>[Heading inserted: see SA Act No. 23 of 2017 s. 6 and WA Gazette 22 Dec 2017 p. 5984.]</w:t>
      </w:r>
    </w:p>
    <w:p>
      <w:pPr>
        <w:pStyle w:val="Heading5"/>
      </w:pPr>
      <w:bookmarkStart w:id="714" w:name="_Toc158374995"/>
      <w:r>
        <w:rPr>
          <w:rStyle w:val="CharSectno"/>
        </w:rPr>
        <w:t>216F</w:t>
      </w:r>
      <w:r>
        <w:t>.</w:t>
      </w:r>
      <w:r>
        <w:tab/>
        <w:t>Access proposals</w:t>
      </w:r>
      <w:bookmarkEnd w:id="71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Rules may contain provisions for or with respect to seeking access to a pipeline service provided or to be provided by means of a non</w:t>
      </w:r>
      <w:r>
        <w:rPr>
          <w:color w:val="000000"/>
          <w:sz w:val="23"/>
          <w:szCs w:val="23"/>
        </w:rPr>
        <w:noBreakHyphen/>
        <w:t>scheme pipeline (or by part of a non</w:t>
      </w:r>
      <w:r>
        <w:rPr>
          <w:color w:val="000000"/>
          <w:sz w:val="23"/>
          <w:szCs w:val="23"/>
        </w:rPr>
        <w:noBreakHyphen/>
        <w:t>scheme pipeline or by an extension to, or expansion of the capacity of, a non</w:t>
      </w:r>
      <w:r>
        <w:rPr>
          <w:color w:val="000000"/>
          <w:sz w:val="23"/>
          <w:szCs w:val="23"/>
        </w:rPr>
        <w:noBreakHyphen/>
        <w:t>scheme pipeline).</w:t>
      </w:r>
    </w:p>
    <w:p>
      <w:pPr>
        <w:pStyle w:val="Footnotesection"/>
      </w:pPr>
      <w:r>
        <w:tab/>
        <w:t>[Section 216F inserted: see SA Act No. 23 of 2017 s. 6 and WA Gazette 22 Dec 2017 p. 5984.]</w:t>
      </w:r>
    </w:p>
    <w:p>
      <w:pPr>
        <w:pStyle w:val="Heading5"/>
      </w:pPr>
      <w:bookmarkStart w:id="715" w:name="_Toc158374996"/>
      <w:r>
        <w:rPr>
          <w:rStyle w:val="CharSectno"/>
        </w:rPr>
        <w:t>216G</w:t>
      </w:r>
      <w:r>
        <w:t>.</w:t>
      </w:r>
      <w:r>
        <w:tab/>
        <w:t>Duty to negotiate in good faith</w:t>
      </w:r>
      <w:bookmarkEnd w:id="71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A prospective user or user seeking access to a pipeline service provided or to be provided by means of a non</w:t>
      </w:r>
      <w:r>
        <w:rPr>
          <w:color w:val="000000"/>
          <w:sz w:val="23"/>
          <w:szCs w:val="23"/>
        </w:rPr>
        <w:noBreakHyphen/>
        <w:t>scheme pipeline (or by part of a non</w:t>
      </w:r>
      <w:r>
        <w:rPr>
          <w:color w:val="000000"/>
          <w:sz w:val="23"/>
          <w:szCs w:val="23"/>
        </w:rPr>
        <w:noBreakHyphen/>
        <w:t>scheme pipeline or by an extension to, or expansion of the capacity of, a non</w:t>
      </w:r>
      <w:r>
        <w:rPr>
          <w:color w:val="000000"/>
          <w:sz w:val="23"/>
          <w:szCs w:val="23"/>
        </w:rPr>
        <w:noBreakHyphen/>
        <w:t>scheme pipeline), and the service provider for the relevant non</w:t>
      </w:r>
      <w:r>
        <w:rPr>
          <w:color w:val="000000"/>
          <w:sz w:val="23"/>
          <w:szCs w:val="23"/>
        </w:rPr>
        <w:noBreakHyphen/>
        <w:t>scheme pipeline, must negotiate in good faith with each other about whether access can be granted and, if so, the terms and conditions for the provision of access to the prospective user or user (as the case requires).</w:t>
      </w:r>
    </w:p>
    <w:p>
      <w:pPr>
        <w:pStyle w:val="Footnotesection"/>
      </w:pPr>
      <w:r>
        <w:tab/>
        <w:t>[Section 216G inserted: see SA Act No. 23 of 2017 s. 6 and WA Gazette 22 Dec 2017 p. 5984.]</w:t>
      </w:r>
    </w:p>
    <w:p>
      <w:pPr>
        <w:pStyle w:val="Heading5"/>
      </w:pPr>
      <w:bookmarkStart w:id="716" w:name="_Toc158374997"/>
      <w:r>
        <w:rPr>
          <w:rStyle w:val="CharSectno"/>
        </w:rPr>
        <w:lastRenderedPageBreak/>
        <w:t>216H</w:t>
      </w:r>
      <w:r>
        <w:t>.</w:t>
      </w:r>
      <w:r>
        <w:tab/>
        <w:t>Notification of access dispute</w:t>
      </w:r>
      <w:bookmarkEnd w:id="716"/>
    </w:p>
    <w:p>
      <w:pPr>
        <w:tabs>
          <w:tab w:val="center" w:pos="1191"/>
          <w:tab w:val="left" w:pos="1588"/>
        </w:tabs>
        <w:autoSpaceDE w:val="0"/>
        <w:autoSpaceDN w:val="0"/>
        <w:adjustRightInd w:val="0"/>
        <w:spacing w:before="120"/>
        <w:ind w:left="1588" w:hanging="794"/>
        <w:rPr>
          <w:color w:val="000000"/>
          <w:sz w:val="23"/>
          <w:szCs w:val="23"/>
        </w:rPr>
      </w:pPr>
      <w:bookmarkStart w:id="717" w:name="id1252043a_7393_493f_a585_47e04b32aa"/>
      <w:r>
        <w:rPr>
          <w:color w:val="000000"/>
          <w:sz w:val="23"/>
          <w:szCs w:val="23"/>
        </w:rPr>
        <w:tab/>
        <w:t>(1)</w:t>
      </w:r>
      <w:r>
        <w:rPr>
          <w:color w:val="000000"/>
          <w:sz w:val="23"/>
          <w:szCs w:val="23"/>
        </w:rPr>
        <w:tab/>
        <w:t>Subject to this section, if a prospective user or user (as the case requires) and a service provider cannot agree about 1 or more aspects of access to a pipeline service after a request has been made in accordance with the Rules, the prospective user or user, or the service provider, may notify the scheme administrator, in writing, that an access dispute exists.</w:t>
      </w:r>
      <w:bookmarkEnd w:id="717"/>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notification must include, in accordance with the Rules, information about—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matters (if any) on which agreement has been reached;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matters that are in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matter specified by the Rules.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notification must be accompanied by the fee set by the Rules (if any).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notification cannot be made under this section if the access dispute relates to a matter excluded from arbitration under this Chapter by the Rules.</w:t>
      </w:r>
    </w:p>
    <w:p>
      <w:pPr>
        <w:pStyle w:val="Footnotesection"/>
      </w:pPr>
      <w:r>
        <w:tab/>
        <w:t>[Section 216H inserted: see SA Act No. 23 of 2017 s. 6 and WA Gazette 22 Dec 2017 p. 5984.]</w:t>
      </w:r>
    </w:p>
    <w:p>
      <w:pPr>
        <w:pStyle w:val="Heading5"/>
      </w:pPr>
      <w:bookmarkStart w:id="718" w:name="_Toc158374998"/>
      <w:r>
        <w:rPr>
          <w:rStyle w:val="CharSectno"/>
        </w:rPr>
        <w:t>216I</w:t>
      </w:r>
      <w:r>
        <w:t>.</w:t>
      </w:r>
      <w:r>
        <w:tab/>
        <w:t>Parties to an access dispute</w:t>
      </w:r>
      <w:bookmarkEnd w:id="71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parties to an access dispute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parties to the negotiations that gave rise to the access dispute under </w:t>
      </w:r>
      <w:hyperlink w:anchor="id1252043a_7393_493f_a585_47e04b32aa" w:history="1">
        <w:r>
          <w:rPr>
            <w:color w:val="000000"/>
            <w:sz w:val="23"/>
            <w:szCs w:val="23"/>
          </w:rPr>
          <w:t>section 216H(1)</w:t>
        </w:r>
      </w:hyperlink>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scheme administrator is of the opinion that the resolution of the access dispute may involve requiring another person to do something and that it is appropriate that the person be joined as a party—that other person.</w:t>
      </w:r>
    </w:p>
    <w:p>
      <w:pPr>
        <w:pStyle w:val="Footnotesection"/>
      </w:pPr>
      <w:r>
        <w:tab/>
        <w:t>[Section 216I inserted: see SA Act No. 23 of 2017 s. 6 and WA Gazette 22 Dec 2017 p. 5984.]</w:t>
      </w:r>
    </w:p>
    <w:p>
      <w:pPr>
        <w:pStyle w:val="Heading3"/>
      </w:pPr>
      <w:bookmarkStart w:id="719" w:name="_Toc156819360"/>
      <w:bookmarkStart w:id="720" w:name="_Toc156990779"/>
      <w:bookmarkStart w:id="721" w:name="_Toc158374999"/>
      <w:r>
        <w:rPr>
          <w:rStyle w:val="CharDivNo"/>
        </w:rPr>
        <w:lastRenderedPageBreak/>
        <w:t>Part 3</w:t>
      </w:r>
      <w:r>
        <w:t>—</w:t>
      </w:r>
      <w:r>
        <w:rPr>
          <w:rStyle w:val="CharDivText"/>
        </w:rPr>
        <w:t>Reference of dispute to arbitration</w:t>
      </w:r>
      <w:bookmarkEnd w:id="719"/>
      <w:bookmarkEnd w:id="720"/>
      <w:bookmarkEnd w:id="721"/>
    </w:p>
    <w:p>
      <w:pPr>
        <w:pStyle w:val="Footnoteheading"/>
        <w:keepNext/>
      </w:pPr>
      <w:r>
        <w:tab/>
        <w:t>[Heading inserted: see SA Act No. 23 of 2017 s. 6 and WA Gazette 22 Dec 2017 p. 5984.]</w:t>
      </w:r>
    </w:p>
    <w:p>
      <w:pPr>
        <w:pStyle w:val="Heading5"/>
      </w:pPr>
      <w:bookmarkStart w:id="722" w:name="_Toc158375000"/>
      <w:r>
        <w:rPr>
          <w:rStyle w:val="CharSectno"/>
        </w:rPr>
        <w:t>216J</w:t>
      </w:r>
      <w:r>
        <w:t>.</w:t>
      </w:r>
      <w:r>
        <w:tab/>
        <w:t>Reference of dispute</w:t>
      </w:r>
      <w:bookmarkEnd w:id="72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the scheme administrator receives notification of an access dispute under </w:t>
      </w:r>
      <w:hyperlink w:anchor="idf13f2df7_6ecf_44a6_a1e2_a97c983d6e" w:history="1">
        <w:r>
          <w:rPr>
            <w:color w:val="000000"/>
            <w:sz w:val="23"/>
            <w:szCs w:val="23"/>
          </w:rPr>
          <w:t>Part 2</w:t>
        </w:r>
      </w:hyperlink>
      <w:r>
        <w:rPr>
          <w:color w:val="000000"/>
          <w:sz w:val="23"/>
          <w:szCs w:val="23"/>
        </w:rPr>
        <w:t>, the dispute must be referred to arbitration.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scheme administrator must give notice of the referral of an access dispute to arbitration to the parties to the negotiations that gave rise to the access dispute and, if relevant, to any other person who will be a party to the access dispute.</w:t>
      </w:r>
    </w:p>
    <w:p>
      <w:pPr>
        <w:pStyle w:val="Footnotesection"/>
      </w:pPr>
      <w:r>
        <w:tab/>
        <w:t>[Section 216J inserted: see SA Act No. 23 of 2017 s. 6 and WA Gazette 22 Dec 2017 p. 5984.]</w:t>
      </w:r>
    </w:p>
    <w:p>
      <w:pPr>
        <w:pStyle w:val="Heading5"/>
      </w:pPr>
      <w:bookmarkStart w:id="723" w:name="_Toc158375001"/>
      <w:r>
        <w:rPr>
          <w:rStyle w:val="CharSectno"/>
        </w:rPr>
        <w:t>216K</w:t>
      </w:r>
      <w:r>
        <w:t>.</w:t>
      </w:r>
      <w:r>
        <w:tab/>
        <w:t>Selection of arbitrator</w:t>
      </w:r>
      <w:bookmarkEnd w:id="72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parties to an access dispute may agree to appoint, in accordance with the Rules, the arbitrator for the purposes of an access dispute that is to be referred to arbitration under this Part.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parties do not agree to the appointment of an arbitrator within a period specified by the Rules, the arbitrator will be a person selected by the scheme administrator after consultation with the parties to the access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arbitrator must be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independent of the parties to the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properly qualified to act in the resolution of the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has no direct or indirect interest in the outcome of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(4)</w:t>
      </w:r>
      <w:r>
        <w:rPr>
          <w:color w:val="000000"/>
          <w:sz w:val="23"/>
          <w:szCs w:val="23"/>
        </w:rPr>
        <w:tab/>
        <w:t>If for some reason an arbitrator does not complete an arbitration, the parties may agree, in accordance with the Rules, to make a fresh appointment and, in default of agreement within a period specified by the Rules, the scheme administrator may, after consultation with the parties, make the appointment.</w:t>
      </w:r>
    </w:p>
    <w:p>
      <w:pPr>
        <w:pStyle w:val="Footnotesection"/>
      </w:pPr>
      <w:r>
        <w:tab/>
        <w:t>[Section 216K inserted: see SA Act No. 23 of 2017 s. 6 and WA Gazette 22 Dec 2017 p. 5984.]</w:t>
      </w:r>
    </w:p>
    <w:p>
      <w:pPr>
        <w:pStyle w:val="Heading5"/>
      </w:pPr>
      <w:bookmarkStart w:id="724" w:name="_Toc158375002"/>
      <w:r>
        <w:rPr>
          <w:rStyle w:val="CharSectno"/>
        </w:rPr>
        <w:t>216L</w:t>
      </w:r>
      <w:r>
        <w:t>.</w:t>
      </w:r>
      <w:r>
        <w:tab/>
        <w:t>Determination of access dispute</w:t>
      </w:r>
      <w:bookmarkEnd w:id="72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Unless an arbitration is terminated under another provision of this Chapter, the arbitrator must make a determination on access by the prospective user or user (as the case requires) (including a determination that does not require a service provider to provide access to any pipeline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determination may deal with any matter relating to access by the prospective user or user to the pipeline services specified by the Rules for the purposes of this subsection (and the arbitrator must not make a determination that is inconsistent with the Rules or goes beyond the matters specified by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Rules may also, in connection with the making of an access determination, contain provisions for or with respect to such things 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form of any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content of any determination, including as to the giving of reasons;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time within which a determination must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process for making a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when a determination takes effect; and</w:t>
      </w:r>
    </w:p>
    <w:p>
      <w:pPr>
        <w:keepNext/>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(f)</w:t>
      </w:r>
      <w:r>
        <w:rPr>
          <w:color w:val="000000"/>
          <w:sz w:val="23"/>
          <w:szCs w:val="23"/>
        </w:rPr>
        <w:tab/>
        <w:t>the giving of notice of the making of a determination.</w:t>
      </w:r>
    </w:p>
    <w:p>
      <w:pPr>
        <w:pStyle w:val="Footnotesection"/>
      </w:pPr>
      <w:r>
        <w:tab/>
        <w:t>[Section 216L inserted: see SA Act No. 23 of 2017 s. 6 and WA Gazette 22 Dec 2017 p. 5984.]</w:t>
      </w:r>
    </w:p>
    <w:p>
      <w:pPr>
        <w:pStyle w:val="Heading5"/>
      </w:pPr>
      <w:bookmarkStart w:id="725" w:name="_Toc158375003"/>
      <w:r>
        <w:rPr>
          <w:rStyle w:val="CharSectno"/>
        </w:rPr>
        <w:t>216M</w:t>
      </w:r>
      <w:r>
        <w:t>.</w:t>
      </w:r>
      <w:r>
        <w:tab/>
        <w:t>Principles to be taken into account</w:t>
      </w:r>
      <w:bookmarkEnd w:id="72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arbitrator must, when making a determination on access, take into account any pricing or other principle specified in the Rules.</w:t>
      </w:r>
    </w:p>
    <w:p>
      <w:pPr>
        <w:pStyle w:val="Footnotesection"/>
      </w:pPr>
      <w:r>
        <w:tab/>
        <w:t>[Section 216M inserted: see SA Act No. 23 of 2017 s. 6 and WA Gazette 22 Dec 2017 p. 5984.]</w:t>
      </w:r>
    </w:p>
    <w:p>
      <w:pPr>
        <w:pStyle w:val="Heading5"/>
      </w:pPr>
      <w:bookmarkStart w:id="726" w:name="_Toc158375004"/>
      <w:r>
        <w:rPr>
          <w:rStyle w:val="CharSectno"/>
        </w:rPr>
        <w:t>216N</w:t>
      </w:r>
      <w:r>
        <w:t>.</w:t>
      </w:r>
      <w:r>
        <w:tab/>
        <w:t>Restrictions on access determinations</w:t>
      </w:r>
      <w:bookmarkEnd w:id="72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arbitrator must not make an access determination that would have any of the following effects: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preventing a user obtaining a sufficient amount of a pipeline service under a contract or previous access determination to be able to meet the user's reasonably anticipated requirements, measured at the time that the access dispute was notified;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preventing a prospective user or user from obtaining, by the exercise of a pre</w:t>
      </w:r>
      <w:r>
        <w:rPr>
          <w:color w:val="000000"/>
          <w:sz w:val="23"/>
          <w:szCs w:val="23"/>
        </w:rPr>
        <w:noBreakHyphen/>
        <w:t>notification right, a sufficient amount of a pipeline service to be able to meet the prospective user's or user's actual requirements;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depriving a person of a relevant protected contractual right.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iCs/>
          <w:sz w:val="23"/>
        </w:rPr>
        <w:t>pre-notification right</w:t>
      </w:r>
      <w:r>
        <w:rPr>
          <w:color w:val="000000"/>
          <w:sz w:val="23"/>
          <w:szCs w:val="23"/>
        </w:rPr>
        <w:t xml:space="preserve"> means a right under a contract, or under an access determination, that was in force at the time when the access dispute was notified under </w:t>
      </w:r>
      <w:hyperlink w:anchor="id23b988d0_d14f_4868_8c32_fd1cf0f40c" w:history="1">
        <w:r>
          <w:rPr>
            <w:color w:val="000000"/>
            <w:sz w:val="23"/>
            <w:szCs w:val="23"/>
          </w:rPr>
          <w:t>section 216H</w:t>
        </w:r>
      </w:hyperlink>
      <w:r>
        <w:rPr>
          <w:color w:val="000000"/>
          <w:sz w:val="23"/>
          <w:szCs w:val="23"/>
        </w:rPr>
        <w:t>;</w:t>
      </w:r>
    </w:p>
    <w:p>
      <w:pPr>
        <w:keepNext/>
        <w:keepLines/>
        <w:autoSpaceDE w:val="0"/>
        <w:autoSpaceDN w:val="0"/>
        <w:adjustRightInd w:val="0"/>
        <w:spacing w:before="120"/>
        <w:ind w:left="1588"/>
        <w:rPr>
          <w:color w:val="000000"/>
          <w:sz w:val="23"/>
          <w:szCs w:val="23"/>
        </w:rPr>
      </w:pPr>
      <w:r>
        <w:rPr>
          <w:rStyle w:val="CharDefText"/>
          <w:bCs/>
          <w:iCs/>
          <w:sz w:val="23"/>
        </w:rPr>
        <w:lastRenderedPageBreak/>
        <w:t>relevant exclusivity right</w:t>
      </w:r>
      <w:r>
        <w:rPr>
          <w:color w:val="000000"/>
          <w:sz w:val="23"/>
          <w:szCs w:val="23"/>
        </w:rPr>
        <w:t xml:space="preserve"> means an express contractual right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rPr>
      </w:pPr>
      <w:r>
        <w:rPr>
          <w:color w:val="000000"/>
          <w:sz w:val="23"/>
          <w:szCs w:val="23"/>
        </w:rPr>
        <w:t>but does not include a user's contractual right to obtain a certain amount of pipeline services;</w:t>
      </w:r>
    </w:p>
    <w:p>
      <w:pPr>
        <w:keepLines/>
        <w:autoSpaceDE w:val="0"/>
        <w:autoSpaceDN w:val="0"/>
        <w:adjustRightInd w:val="0"/>
        <w:spacing w:before="120"/>
        <w:ind w:left="1588"/>
        <w:rPr>
          <w:color w:val="000000"/>
          <w:sz w:val="23"/>
          <w:szCs w:val="23"/>
        </w:rPr>
      </w:pPr>
      <w:r>
        <w:rPr>
          <w:rStyle w:val="CharDefText"/>
          <w:bCs/>
          <w:iCs/>
          <w:sz w:val="23"/>
        </w:rPr>
        <w:t xml:space="preserve">relevant protected contractual right </w:t>
      </w:r>
      <w:r>
        <w:rPr>
          <w:color w:val="000000"/>
          <w:sz w:val="23"/>
          <w:szCs w:val="23"/>
        </w:rPr>
        <w:t xml:space="preserve">means a right under a contract (other than a relevant exclusivity right) that was in force immediately before notification of an access dispute under </w:t>
      </w:r>
      <w:hyperlink w:anchor="id23b988d0_d14f_4868_8c32_fd1cf0f40c" w:history="1">
        <w:r>
          <w:rPr>
            <w:color w:val="000000"/>
            <w:sz w:val="23"/>
            <w:szCs w:val="23"/>
          </w:rPr>
          <w:t>section 216H</w:t>
        </w:r>
      </w:hyperlink>
      <w:r>
        <w:rPr>
          <w:color w:val="000000"/>
          <w:sz w:val="23"/>
          <w:szCs w:val="23"/>
        </w:rPr>
        <w:t>.</w:t>
      </w:r>
    </w:p>
    <w:p>
      <w:pPr>
        <w:pStyle w:val="Footnotesection"/>
      </w:pPr>
      <w:r>
        <w:tab/>
        <w:t>[Section 216N inserted: see SA Act No. 23 of 2017 s. 6 and WA Gazette 22 Dec 2017 p. 5984.]</w:t>
      </w:r>
    </w:p>
    <w:p>
      <w:pPr>
        <w:pStyle w:val="Heading5"/>
      </w:pPr>
      <w:bookmarkStart w:id="727" w:name="_Toc158375005"/>
      <w:r>
        <w:rPr>
          <w:rStyle w:val="CharSectno"/>
        </w:rPr>
        <w:t>216O</w:t>
      </w:r>
      <w:r>
        <w:t>.</w:t>
      </w:r>
      <w:r>
        <w:tab/>
        <w:t>Arbitrator's power to terminate arbitration</w:t>
      </w:r>
      <w:bookmarkEnd w:id="72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arbitrator may determine not to proceed with an arbitration (and terminate the proceedings under this Chapter) if the arbitrator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notification of the dispute was vexatious;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the dispute is trivial, misconceived or lacking in substance;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party who notified the access dispute did not negotiate in good faith;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there is some other good reason why the arbitration should not proceed.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Furthermore, the arbitrator may at any time terminate an arbitration without making an access determination if the arbitrator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prospective user or user seeking access is not engaging in the arbitration in good faith;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the terms and conditions on which access is to be granted should be governed by an existing contract or determination.</w:t>
      </w:r>
    </w:p>
    <w:p>
      <w:pPr>
        <w:keepLines/>
        <w:tabs>
          <w:tab w:val="center" w:pos="1191"/>
          <w:tab w:val="left" w:pos="1588"/>
        </w:tabs>
        <w:autoSpaceDE w:val="0"/>
        <w:autoSpaceDN w:val="0"/>
        <w:adjustRightInd w:val="0"/>
        <w:spacing w:before="120"/>
        <w:ind w:left="1588" w:hanging="794"/>
        <w:rPr>
          <w:color w:val="000000"/>
          <w:sz w:val="23"/>
          <w:szCs w:val="23"/>
        </w:rPr>
      </w:pPr>
      <w:bookmarkStart w:id="728" w:name="id2e84f1b4_b9d4_4b7b_9037_edad614264"/>
      <w:r>
        <w:rPr>
          <w:color w:val="000000"/>
          <w:sz w:val="23"/>
          <w:szCs w:val="23"/>
        </w:rPr>
        <w:tab/>
        <w:t>(3)</w:t>
      </w:r>
      <w:r>
        <w:rPr>
          <w:color w:val="000000"/>
          <w:sz w:val="23"/>
          <w:szCs w:val="23"/>
        </w:rPr>
        <w:tab/>
        <w:t>The arbitrator may also at any time terminate an arbitration if the arbitrator considers that a specified dispute termination circumstance has occurred.</w:t>
      </w:r>
      <w:bookmarkEnd w:id="72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In </w:t>
      </w:r>
      <w:hyperlink w:anchor="id2e84f1b4_b9d4_4b7b_9037_edad614264" w:history="1">
        <w:r>
          <w:rPr>
            <w:color w:val="000000"/>
            <w:sz w:val="23"/>
            <w:szCs w:val="23"/>
          </w:rPr>
          <w:t>subsection (3)</w:t>
        </w:r>
      </w:hyperlink>
      <w:r>
        <w:rPr>
          <w:color w:val="000000"/>
          <w:sz w:val="23"/>
          <w:szCs w:val="23"/>
        </w:rPr>
        <w:t xml:space="preserve">, a </w:t>
      </w:r>
      <w:r>
        <w:rPr>
          <w:b/>
          <w:bCs/>
          <w:i/>
          <w:iCs/>
          <w:color w:val="000000"/>
          <w:sz w:val="23"/>
          <w:szCs w:val="23"/>
        </w:rPr>
        <w:t>specified dispute termination circumstance</w:t>
      </w:r>
      <w:r>
        <w:rPr>
          <w:color w:val="000000"/>
          <w:sz w:val="23"/>
          <w:szCs w:val="23"/>
        </w:rPr>
        <w:t xml:space="preserve"> is a circumstance specified by the Rules as being a circumstance, the occurrence of which, entitles the arbitrator to terminate an access dispute without any further step being taken.</w:t>
      </w:r>
    </w:p>
    <w:p>
      <w:pPr>
        <w:pStyle w:val="Footnotesection"/>
      </w:pPr>
      <w:r>
        <w:tab/>
        <w:t>[Section 216O inserted: see SA Act No. 23 of 2017 s. 6 and WA Gazette 22 Dec 2017 p. 5984.]</w:t>
      </w:r>
    </w:p>
    <w:p>
      <w:pPr>
        <w:pStyle w:val="Heading5"/>
      </w:pPr>
      <w:bookmarkStart w:id="729" w:name="_Toc158375006"/>
      <w:r>
        <w:rPr>
          <w:rStyle w:val="CharSectno"/>
        </w:rPr>
        <w:t>216P</w:t>
      </w:r>
      <w:r>
        <w:t>.</w:t>
      </w:r>
      <w:r>
        <w:tab/>
        <w:t>Access seeker's right to terminate arbitration</w:t>
      </w:r>
      <w:bookmarkEnd w:id="72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prospective user or user seeking access to pipelines services under this Chapter may terminate the arbitration before an access determination is made by the arbitrator.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arbitration is terminated under this section by giving notice of termination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arbitrator;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other parties to the arbitration;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scheme administrator.</w:t>
      </w:r>
    </w:p>
    <w:p>
      <w:pPr>
        <w:pStyle w:val="Footnotesection"/>
      </w:pPr>
      <w:r>
        <w:tab/>
        <w:t>[Section 216P inserted: see SA Act No. 23 of 2017 s. 6 and WA Gazette 22 Dec 2017 p. 5984.]</w:t>
      </w:r>
    </w:p>
    <w:p>
      <w:pPr>
        <w:pStyle w:val="Heading3"/>
      </w:pPr>
      <w:bookmarkStart w:id="730" w:name="_Toc156819368"/>
      <w:bookmarkStart w:id="731" w:name="_Toc156990787"/>
      <w:bookmarkStart w:id="732" w:name="_Toc158375007"/>
      <w:r>
        <w:rPr>
          <w:rStyle w:val="CharDivNo"/>
        </w:rPr>
        <w:lastRenderedPageBreak/>
        <w:t>Part 4</w:t>
      </w:r>
      <w:r>
        <w:t>—</w:t>
      </w:r>
      <w:r>
        <w:rPr>
          <w:rStyle w:val="CharDivText"/>
        </w:rPr>
        <w:t>Compliance with access determinations</w:t>
      </w:r>
      <w:bookmarkEnd w:id="730"/>
      <w:bookmarkEnd w:id="731"/>
      <w:bookmarkEnd w:id="732"/>
    </w:p>
    <w:p>
      <w:pPr>
        <w:pStyle w:val="Footnoteheading"/>
        <w:keepNext/>
      </w:pPr>
      <w:r>
        <w:tab/>
        <w:t>[Heading inserted: see SA Act No. 23 of 2017 s. 6 and WA Gazette 22 Dec 2017 p. 5984.]</w:t>
      </w:r>
    </w:p>
    <w:p>
      <w:pPr>
        <w:pStyle w:val="Heading5"/>
      </w:pPr>
      <w:bookmarkStart w:id="733" w:name="_Toc158375008"/>
      <w:r>
        <w:rPr>
          <w:rStyle w:val="CharSectno"/>
        </w:rPr>
        <w:t>216Q</w:t>
      </w:r>
      <w:r>
        <w:t>.</w:t>
      </w:r>
      <w:r>
        <w:tab/>
        <w:t>Compliance with access determinations</w:t>
      </w:r>
      <w:bookmarkEnd w:id="73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the Rules and to </w:t>
      </w:r>
      <w:hyperlink w:anchor="ida8dd6fe7_9b1d_4302_b895_0e06afdd64" w:history="1">
        <w:r>
          <w:rPr>
            <w:color w:val="000000"/>
            <w:sz w:val="23"/>
            <w:szCs w:val="23"/>
          </w:rPr>
          <w:t>subsection (2)</w:t>
        </w:r>
      </w:hyperlink>
      <w:r>
        <w:rPr>
          <w:color w:val="000000"/>
          <w:sz w:val="23"/>
          <w:szCs w:val="23"/>
        </w:rPr>
        <w:t>, an access determination is enforceable as if it were a contract between the parties to the access determination.</w:t>
      </w:r>
    </w:p>
    <w:p>
      <w:pPr>
        <w:keepLines/>
        <w:tabs>
          <w:tab w:val="center" w:pos="1191"/>
          <w:tab w:val="left" w:pos="1588"/>
        </w:tabs>
        <w:autoSpaceDE w:val="0"/>
        <w:autoSpaceDN w:val="0"/>
        <w:adjustRightInd w:val="0"/>
        <w:spacing w:before="120"/>
        <w:ind w:left="1588" w:hanging="794"/>
        <w:rPr>
          <w:color w:val="000000"/>
          <w:sz w:val="23"/>
          <w:szCs w:val="23"/>
        </w:rPr>
      </w:pPr>
      <w:bookmarkStart w:id="734" w:name="ida8dd6fe7_9b1d_4302_b895_0e06afdd64"/>
      <w:r>
        <w:rPr>
          <w:color w:val="000000"/>
          <w:sz w:val="23"/>
          <w:szCs w:val="23"/>
        </w:rPr>
        <w:tab/>
        <w:t>(2)</w:t>
      </w:r>
      <w:r>
        <w:rPr>
          <w:color w:val="000000"/>
          <w:sz w:val="23"/>
          <w:szCs w:val="23"/>
        </w:rPr>
        <w:tab/>
        <w:t>A prospective user or user of a pipeline service to which an access determination relates is not bound to seek access to the service (but if access is sought or obtained then the prospective user or user (as the case requires) is bound by any relevant provision of the access determination).</w:t>
      </w:r>
      <w:bookmarkEnd w:id="734"/>
    </w:p>
    <w:p>
      <w:pPr>
        <w:pStyle w:val="Footnotesection"/>
      </w:pPr>
      <w:r>
        <w:tab/>
        <w:t>[Section 216Q inserted: see SA Act No. 23 of 2017 s. 6 and WA Gazette 22 Dec 2017 p. 5984.]</w:t>
      </w:r>
    </w:p>
    <w:p>
      <w:pPr>
        <w:pStyle w:val="Heading3"/>
      </w:pPr>
      <w:bookmarkStart w:id="735" w:name="_Toc156819370"/>
      <w:bookmarkStart w:id="736" w:name="_Toc156990789"/>
      <w:bookmarkStart w:id="737" w:name="_Toc158375009"/>
      <w:r>
        <w:rPr>
          <w:rStyle w:val="CharDivNo"/>
        </w:rPr>
        <w:t>Part 5</w:t>
      </w:r>
      <w:r>
        <w:t>—</w:t>
      </w:r>
      <w:r>
        <w:rPr>
          <w:rStyle w:val="CharDivText"/>
        </w:rPr>
        <w:t>Variation of access determinations</w:t>
      </w:r>
      <w:bookmarkEnd w:id="735"/>
      <w:bookmarkEnd w:id="736"/>
      <w:bookmarkEnd w:id="737"/>
    </w:p>
    <w:p>
      <w:pPr>
        <w:pStyle w:val="Footnoteheading"/>
      </w:pPr>
      <w:r>
        <w:tab/>
        <w:t>[Heading inserted: see SA Act No. 23 of 2017 s. 6 and WA Gazette 22 Dec 2017 p. 5984.]</w:t>
      </w:r>
    </w:p>
    <w:p>
      <w:pPr>
        <w:pStyle w:val="Heading5"/>
      </w:pPr>
      <w:bookmarkStart w:id="738" w:name="_Toc158375010"/>
      <w:r>
        <w:rPr>
          <w:rStyle w:val="CharSectno"/>
        </w:rPr>
        <w:t>216R</w:t>
      </w:r>
      <w:r>
        <w:t>.</w:t>
      </w:r>
      <w:r>
        <w:tab/>
        <w:t>Variation of access determinations</w:t>
      </w:r>
      <w:bookmarkEnd w:id="73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access determination may be varied by agreement between all parties to the access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Rules may also contain provisions with respect to seeking variations to an access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provisions of this Chapter about the arbitration of an access dispute apply with necessary modifications to a proposal under the Rules to vary an access determination or to a dispute arising out of such a proposal.</w:t>
      </w:r>
    </w:p>
    <w:p>
      <w:pPr>
        <w:pStyle w:val="Footnotesection"/>
      </w:pPr>
      <w:r>
        <w:tab/>
        <w:t>[Section 216R inserted: see SA Act No. 23 of 2017 s. 6 and WA Gazette 22 Dec 2017 p. 5984.]</w:t>
      </w:r>
    </w:p>
    <w:p>
      <w:pPr>
        <w:pStyle w:val="Heading3"/>
      </w:pPr>
      <w:bookmarkStart w:id="739" w:name="_Toc156819372"/>
      <w:bookmarkStart w:id="740" w:name="_Toc156990791"/>
      <w:bookmarkStart w:id="741" w:name="_Toc158375011"/>
      <w:r>
        <w:rPr>
          <w:rStyle w:val="CharDivNo"/>
        </w:rPr>
        <w:lastRenderedPageBreak/>
        <w:t>Part 6</w:t>
      </w:r>
      <w:r>
        <w:t>—</w:t>
      </w:r>
      <w:r>
        <w:rPr>
          <w:rStyle w:val="CharDivText"/>
        </w:rPr>
        <w:t>Hearing procedures</w:t>
      </w:r>
      <w:bookmarkEnd w:id="739"/>
      <w:bookmarkEnd w:id="740"/>
      <w:bookmarkEnd w:id="741"/>
    </w:p>
    <w:p>
      <w:pPr>
        <w:pStyle w:val="Footnoteheading"/>
      </w:pPr>
      <w:r>
        <w:tab/>
        <w:t>[Heading inserted: see SA Act No. 23 of 2017 s. 6 and WA Gazette 22 Dec 2017 p. 5984.]</w:t>
      </w:r>
    </w:p>
    <w:p>
      <w:pPr>
        <w:pStyle w:val="Heading5"/>
      </w:pPr>
      <w:bookmarkStart w:id="742" w:name="_Toc158375012"/>
      <w:r>
        <w:rPr>
          <w:rStyle w:val="CharSectno"/>
        </w:rPr>
        <w:t>216S</w:t>
      </w:r>
      <w:r>
        <w:t>.</w:t>
      </w:r>
      <w:r>
        <w:tab/>
        <w:t>Hearing procedures</w:t>
      </w:r>
      <w:bookmarkEnd w:id="74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Chapter 6 Part 6 applies to an arbitration under this Chapter—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as if—</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reference in that Part to a dispute hearing were a reference to a hearing conducted by an arbitrator for the purposes of making an access determination under this Chapter;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reference in that Part to a party or parties were a reference to a party or the parties to an arbitration under this Chapter;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reference in that Part to the dispute resolution body were a reference to an arbitrator under this Chapter;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reference in that Part to an access dispute were a reference to an access dispute under this Chapter;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subject to the exclusion of sections 206 and 207, and subject to any other exclusion prescribed by the Regulations;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subject to any modifications prescribed by the Regulations;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with such other necessary alterations and modifications.</w:t>
      </w:r>
    </w:p>
    <w:p>
      <w:pPr>
        <w:pStyle w:val="Footnotesection"/>
      </w:pPr>
      <w:r>
        <w:tab/>
        <w:t>[Section 216S inserted: see SA Act No. 23 of 2017 s. 6 and WA Gazette 22 Dec 2017 p. 5984.]</w:t>
      </w:r>
    </w:p>
    <w:p>
      <w:pPr>
        <w:pStyle w:val="Heading3"/>
      </w:pPr>
      <w:bookmarkStart w:id="743" w:name="_Toc156819374"/>
      <w:bookmarkStart w:id="744" w:name="_Toc156990793"/>
      <w:bookmarkStart w:id="745" w:name="_Toc158375013"/>
      <w:r>
        <w:rPr>
          <w:rStyle w:val="CharDivNo"/>
        </w:rPr>
        <w:lastRenderedPageBreak/>
        <w:t>Part 7</w:t>
      </w:r>
      <w:r>
        <w:t>—</w:t>
      </w:r>
      <w:r>
        <w:rPr>
          <w:rStyle w:val="CharDivText"/>
        </w:rPr>
        <w:t>Miscellaneous matters</w:t>
      </w:r>
      <w:bookmarkEnd w:id="743"/>
      <w:bookmarkEnd w:id="744"/>
      <w:bookmarkEnd w:id="745"/>
    </w:p>
    <w:p>
      <w:pPr>
        <w:pStyle w:val="Footnoteheading"/>
      </w:pPr>
      <w:r>
        <w:tab/>
        <w:t>[Heading inserted: see SA Act No. 23 of 2017 s. 6 and WA Gazette 22 Dec 2017 p. 5984.]</w:t>
      </w:r>
    </w:p>
    <w:p>
      <w:pPr>
        <w:pStyle w:val="Heading5"/>
      </w:pPr>
      <w:bookmarkStart w:id="746" w:name="_Toc158375014"/>
      <w:r>
        <w:rPr>
          <w:rStyle w:val="CharSectno"/>
        </w:rPr>
        <w:t>216T</w:t>
      </w:r>
      <w:r>
        <w:t>.</w:t>
      </w:r>
      <w:r>
        <w:tab/>
        <w:t>Correction of access determinations for clerical mistakes etc</w:t>
      </w:r>
      <w:bookmarkEnd w:id="74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Rules may make provision with respect to correcting the following in an access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clerical mistake;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error arising from an accidental slip or omission;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material miscalculation of figures or a material mistake in the description of any person, thing or matter referred to in an access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defect in form.</w:t>
      </w:r>
    </w:p>
    <w:p>
      <w:pPr>
        <w:pStyle w:val="Footnotesection"/>
      </w:pPr>
      <w:r>
        <w:tab/>
        <w:t>[Section 216T inserted: see SA Act No. 23 of 2017 s. 6 and WA Gazette 22 Dec 2017 p. 5984.]</w:t>
      </w:r>
    </w:p>
    <w:p>
      <w:pPr>
        <w:pStyle w:val="Heading5"/>
      </w:pPr>
      <w:bookmarkStart w:id="747" w:name="_Toc158375015"/>
      <w:r>
        <w:rPr>
          <w:rStyle w:val="CharSectno"/>
        </w:rPr>
        <w:t>216U</w:t>
      </w:r>
      <w:r>
        <w:t>.</w:t>
      </w:r>
      <w:r>
        <w:tab/>
        <w:t>Reservation of capacity during an access dispute</w:t>
      </w:r>
      <w:bookmarkEnd w:id="74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A service provider who is in an access dispute with a user must not, without the consent of the user, alter the rights that the user has to use the capacity of the non</w:t>
      </w:r>
      <w:r>
        <w:rPr>
          <w:color w:val="000000"/>
          <w:sz w:val="23"/>
          <w:szCs w:val="23"/>
        </w:rPr>
        <w:noBreakHyphen/>
        <w:t>scheme pipeline during the period of the dispute.</w:t>
      </w:r>
    </w:p>
    <w:p>
      <w:pPr>
        <w:pStyle w:val="Footnotesection"/>
      </w:pPr>
      <w:r>
        <w:tab/>
        <w:t>[Section 216U inserted: see SA Act No. 23 of 2017 s. 6 and WA Gazette 22 Dec 2017 p. 5984.]</w:t>
      </w:r>
    </w:p>
    <w:p>
      <w:pPr>
        <w:pStyle w:val="Heading5"/>
      </w:pPr>
      <w:bookmarkStart w:id="748" w:name="_Toc158375016"/>
      <w:r>
        <w:rPr>
          <w:rStyle w:val="CharSectno"/>
        </w:rPr>
        <w:t>216V</w:t>
      </w:r>
      <w:r>
        <w:t>.</w:t>
      </w:r>
      <w:r>
        <w:tab/>
        <w:t>Costs of arbitration</w:t>
      </w:r>
      <w:bookmarkEnd w:id="748"/>
    </w:p>
    <w:p>
      <w:pPr>
        <w:keepLines/>
        <w:tabs>
          <w:tab w:val="center" w:pos="1191"/>
          <w:tab w:val="left" w:pos="1588"/>
        </w:tabs>
        <w:autoSpaceDE w:val="0"/>
        <w:autoSpaceDN w:val="0"/>
        <w:adjustRightInd w:val="0"/>
        <w:spacing w:before="120"/>
        <w:ind w:left="1588" w:hanging="794"/>
        <w:rPr>
          <w:color w:val="000000"/>
          <w:sz w:val="23"/>
          <w:szCs w:val="23"/>
        </w:rPr>
      </w:pPr>
      <w:bookmarkStart w:id="749" w:name="id22e4cd07_6925_454f_94c4_72f206e63a"/>
      <w:r>
        <w:rPr>
          <w:color w:val="000000"/>
          <w:sz w:val="23"/>
          <w:szCs w:val="23"/>
        </w:rPr>
        <w:tab/>
        <w:t>(1)</w:t>
      </w:r>
      <w:r>
        <w:rPr>
          <w:color w:val="000000"/>
          <w:sz w:val="23"/>
          <w:szCs w:val="23"/>
        </w:rPr>
        <w:tab/>
        <w:t>Subject to this section, the costs of an arbitration under this Chapter (including costs associated with the arbitration process and the cost of the arbitrator) will be shared equally between the parties to the arbitration.</w:t>
      </w:r>
      <w:bookmarkEnd w:id="74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(2)</w:t>
      </w:r>
      <w:r>
        <w:rPr>
          <w:color w:val="000000"/>
          <w:sz w:val="23"/>
          <w:szCs w:val="23"/>
        </w:rPr>
        <w:tab/>
        <w:t xml:space="preserve">The Rules may make provision with respect to the costs of an arbitration under this Chapter, including rules that provide for a different approach to allocating costs under </w:t>
      </w:r>
      <w:hyperlink w:anchor="id22e4cd07_6925_454f_94c4_72f206e63a" w:history="1">
        <w:r>
          <w:rPr>
            <w:color w:val="000000"/>
            <w:sz w:val="23"/>
            <w:szCs w:val="23"/>
          </w:rPr>
          <w:t>subsection (1)</w:t>
        </w:r>
      </w:hyperlink>
      <w:r>
        <w:rPr>
          <w:color w:val="000000"/>
          <w:sz w:val="23"/>
          <w:szCs w:val="23"/>
        </w:rPr>
        <w:t xml:space="preserve"> in specified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Costs payable to an arbitrator are a debt due to the arbitrator and may be recovered by the arbitrator in a court of competent jurisdiction.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Despite anything in a preceding subsection, the parties to an arbitration will bear their own costs.</w:t>
      </w:r>
    </w:p>
    <w:p>
      <w:pPr>
        <w:pStyle w:val="Footnotesection"/>
      </w:pPr>
      <w:r>
        <w:tab/>
        <w:t>[Section 216V inserted: see SA Act No. 23 of 2017 s. 6 and WA Gazette 22 Dec 2017 p. 5984.]</w:t>
      </w:r>
    </w:p>
    <w:p>
      <w:pPr>
        <w:pStyle w:val="Heading2"/>
      </w:pPr>
      <w:bookmarkStart w:id="750" w:name="_Toc156819378"/>
      <w:bookmarkStart w:id="751" w:name="_Toc156990797"/>
      <w:bookmarkStart w:id="752" w:name="_Toc158375017"/>
      <w:r>
        <w:rPr>
          <w:rStyle w:val="CharPartNo"/>
        </w:rPr>
        <w:lastRenderedPageBreak/>
        <w:t>Chapter 7</w:t>
      </w:r>
      <w:r>
        <w:t xml:space="preserve"> — </w:t>
      </w:r>
      <w:r>
        <w:rPr>
          <w:rStyle w:val="CharPartText"/>
        </w:rPr>
        <w:t>The Natural Gas Services Bulletin Board</w:t>
      </w:r>
      <w:bookmarkEnd w:id="750"/>
      <w:bookmarkEnd w:id="751"/>
      <w:bookmarkEnd w:id="752"/>
    </w:p>
    <w:p>
      <w:pPr>
        <w:pStyle w:val="Heading3"/>
      </w:pPr>
      <w:bookmarkStart w:id="753" w:name="_Toc156819379"/>
      <w:bookmarkStart w:id="754" w:name="_Toc156990798"/>
      <w:bookmarkStart w:id="755" w:name="_Toc158375018"/>
      <w:r>
        <w:rPr>
          <w:rStyle w:val="CharDivNo"/>
        </w:rPr>
        <w:t>Part 1</w:t>
      </w:r>
      <w:r>
        <w:t xml:space="preserve"> — </w:t>
      </w:r>
      <w:r>
        <w:rPr>
          <w:rStyle w:val="CharDivText"/>
        </w:rPr>
        <w:t>The Bulletin Board Operator</w:t>
      </w:r>
      <w:bookmarkEnd w:id="753"/>
      <w:bookmarkEnd w:id="754"/>
      <w:bookmarkEnd w:id="755"/>
    </w:p>
    <w:p>
      <w:pPr>
        <w:pStyle w:val="Heading5"/>
      </w:pPr>
      <w:bookmarkStart w:id="756" w:name="_Toc158375019"/>
      <w:r>
        <w:rPr>
          <w:rStyle w:val="CharSectno"/>
        </w:rPr>
        <w:t>217</w:t>
      </w:r>
      <w:r>
        <w:t>.</w:t>
      </w:r>
      <w:r>
        <w:tab/>
        <w:t>The Bulletin Board operator</w:t>
      </w:r>
      <w:bookmarkEnd w:id="756"/>
    </w:p>
    <w:p>
      <w:pPr>
        <w:keepLines/>
        <w:autoSpaceDE w:val="0"/>
        <w:autoSpaceDN w:val="0"/>
        <w:adjustRightInd w:val="0"/>
        <w:spacing w:before="120"/>
        <w:ind w:left="1588"/>
        <w:rPr>
          <w:color w:val="000000"/>
          <w:sz w:val="23"/>
          <w:szCs w:val="23"/>
        </w:rPr>
      </w:pPr>
      <w:r>
        <w:rPr>
          <w:color w:val="000000"/>
          <w:sz w:val="23"/>
          <w:szCs w:val="23"/>
        </w:rPr>
        <w:t>The Bulletin Board operator is the person prescribed by the Regulations as the Bulletin Board operator.</w:t>
      </w:r>
    </w:p>
    <w:p>
      <w:pPr>
        <w:pStyle w:val="Heading5"/>
      </w:pPr>
      <w:bookmarkStart w:id="757" w:name="_Toc158375020"/>
      <w:r>
        <w:rPr>
          <w:rStyle w:val="CharSectno"/>
        </w:rPr>
        <w:t>218</w:t>
      </w:r>
      <w:r>
        <w:t>.</w:t>
      </w:r>
      <w:r>
        <w:tab/>
        <w:t>Obligation to establish and maintain the Natural Gas Services Bulletin Board</w:t>
      </w:r>
      <w:bookmarkEnd w:id="75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first prescribed under section 217 must establish a website, to be known as the Natural Gas Services Bulletin Board, containing information of the kind specified in the Rules in relation to natural gas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Bulletin Board operator must maintain the Natural Gas Services Bulletin Board.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Bulletin Board operator may replace the website with another website containing information of the kind specified in the Rules in relation to natural gas services.</w:t>
      </w:r>
    </w:p>
    <w:p>
      <w:pPr>
        <w:pStyle w:val="Heading5"/>
      </w:pPr>
      <w:bookmarkStart w:id="758" w:name="_Toc158375021"/>
      <w:r>
        <w:rPr>
          <w:rStyle w:val="CharSectno"/>
        </w:rPr>
        <w:t>219</w:t>
      </w:r>
      <w:r>
        <w:t>.</w:t>
      </w:r>
      <w:r>
        <w:tab/>
        <w:t>Other functions of the Bulletin Board operator</w:t>
      </w:r>
      <w:bookmarkEnd w:id="758"/>
    </w:p>
    <w:p>
      <w:pPr>
        <w:keepNext/>
        <w:keepLines/>
        <w:autoSpaceDE w:val="0"/>
        <w:autoSpaceDN w:val="0"/>
        <w:adjustRightInd w:val="0"/>
        <w:spacing w:before="120"/>
        <w:ind w:left="1588"/>
        <w:rPr>
          <w:color w:val="000000"/>
          <w:sz w:val="23"/>
          <w:szCs w:val="23"/>
        </w:rPr>
      </w:pPr>
      <w:r>
        <w:rPr>
          <w:color w:val="000000"/>
          <w:sz w:val="23"/>
          <w:szCs w:val="23"/>
        </w:rPr>
        <w:t>The Bulletin Board operator also has the following functions: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collect and collate Bulletin Board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collect and collate other information in relation to natural gas services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derive from information of the type mentioned in paragraphs (a) and (b) information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(d)</w:t>
      </w:r>
      <w:r>
        <w:rPr>
          <w:color w:val="000000"/>
          <w:sz w:val="23"/>
          <w:szCs w:val="23"/>
        </w:rPr>
        <w:tab/>
        <w:t>to publish information on the Natural Gas Services Bulletin Board of the kinds that may or must be included on the Natural Gas Services Bulletin Board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manage information of the type mentioned in paragraphs (a), (b) and (c);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such other functions as are conferred on the Bulletin Board operator by this Law, the Rules or any other law prescribed by the Regulations for the purposes of this paragraph.</w:t>
      </w:r>
    </w:p>
    <w:p>
      <w:pPr>
        <w:pStyle w:val="Heading5"/>
      </w:pPr>
      <w:bookmarkStart w:id="759" w:name="_Toc158375022"/>
      <w:r>
        <w:rPr>
          <w:rStyle w:val="CharSectno"/>
        </w:rPr>
        <w:t>220</w:t>
      </w:r>
      <w:r>
        <w:t>.</w:t>
      </w:r>
      <w:r>
        <w:tab/>
        <w:t>Powers of the Bulletin Board operator</w:t>
      </w:r>
      <w:bookmarkEnd w:id="759"/>
    </w:p>
    <w:p>
      <w:pPr>
        <w:keepLines/>
        <w:autoSpaceDE w:val="0"/>
        <w:autoSpaceDN w:val="0"/>
        <w:adjustRightInd w:val="0"/>
        <w:spacing w:before="120"/>
        <w:ind w:left="1588"/>
        <w:rPr>
          <w:color w:val="000000"/>
          <w:sz w:val="23"/>
          <w:szCs w:val="23"/>
        </w:rPr>
      </w:pPr>
      <w:r>
        <w:rPr>
          <w:color w:val="000000"/>
          <w:sz w:val="23"/>
          <w:szCs w:val="23"/>
        </w:rPr>
        <w:t>The Bulletin Board operator has the power to do all things necessary or convenient to be done for or in connection with the performance of its functions.</w:t>
      </w:r>
    </w:p>
    <w:p>
      <w:pPr>
        <w:pStyle w:val="Heading5"/>
      </w:pPr>
      <w:bookmarkStart w:id="760" w:name="_Toc158375023"/>
      <w:r>
        <w:rPr>
          <w:rStyle w:val="CharSectno"/>
        </w:rPr>
        <w:t>221</w:t>
      </w:r>
      <w:r>
        <w:t>.</w:t>
      </w:r>
      <w:r>
        <w:tab/>
        <w:t>Immunity of the Bulletin Board operator</w:t>
      </w:r>
      <w:bookmarkEnd w:id="76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or an officer or employee of the Bulletin Board operator does not incur any civil monetary liability for an act or omission in the performance or exercise, or purported performance or exercise, of a function or power of the Bulletin Board operator under this Law or the Rules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Bulletin Board operator may enter into an agreement with a person varying or excluding the operation of a provision of this section and, to the extent of that agreement, that provision does not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section does not apply to any liability of an officer or employee of a body corporate to the body corporate.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civil monetary liability</w:t>
      </w:r>
      <w:r>
        <w:rPr>
          <w:bCs/>
          <w:i/>
          <w:iCs/>
          <w:color w:val="000000"/>
          <w:sz w:val="23"/>
          <w:szCs w:val="23"/>
        </w:rPr>
        <w:t xml:space="preserve"> </w:t>
      </w:r>
      <w:r>
        <w:rPr>
          <w:color w:val="000000"/>
          <w:sz w:val="23"/>
          <w:szCs w:val="23"/>
        </w:rPr>
        <w:t>means liability to pay damages or compensation or any other amount ordered in a civil proceeding, but does not include liability to pay a civil penalty under this Law, an infringement penalty under Chapter 8 Part 7 or the costs of a proceeding.</w:t>
      </w:r>
    </w:p>
    <w:p>
      <w:pPr>
        <w:pStyle w:val="Heading5"/>
      </w:pPr>
      <w:bookmarkStart w:id="761" w:name="_Toc158375024"/>
      <w:r>
        <w:rPr>
          <w:rStyle w:val="CharSectno"/>
        </w:rPr>
        <w:t>222</w:t>
      </w:r>
      <w:r>
        <w:t>.</w:t>
      </w:r>
      <w:r>
        <w:tab/>
        <w:t>Fees for services provided</w:t>
      </w:r>
      <w:bookmarkEnd w:id="76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may charge a fee specified, or a fee calculated in accordance with a formula or methodology specified, in the Rules for access by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Natural Gas Services Bulletin Board;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Bulletin Board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fee must not be such as to amount to taxation.</w:t>
      </w:r>
    </w:p>
    <w:p>
      <w:pPr>
        <w:pStyle w:val="Heading3"/>
      </w:pPr>
      <w:bookmarkStart w:id="762" w:name="_Toc156819386"/>
      <w:bookmarkStart w:id="763" w:name="_Toc156990805"/>
      <w:bookmarkStart w:id="764" w:name="_Toc158375025"/>
      <w:r>
        <w:rPr>
          <w:rStyle w:val="CharDivNo"/>
        </w:rPr>
        <w:t>Part 2</w:t>
      </w:r>
      <w:r>
        <w:t xml:space="preserve"> — </w:t>
      </w:r>
      <w:r>
        <w:rPr>
          <w:rStyle w:val="CharDivText"/>
        </w:rPr>
        <w:t>Bulletin Board information</w:t>
      </w:r>
      <w:bookmarkEnd w:id="762"/>
      <w:bookmarkEnd w:id="763"/>
      <w:bookmarkEnd w:id="764"/>
    </w:p>
    <w:p>
      <w:pPr>
        <w:pStyle w:val="Heading5"/>
      </w:pPr>
      <w:bookmarkStart w:id="765" w:name="_Toc158375026"/>
      <w:r>
        <w:rPr>
          <w:rStyle w:val="CharSectno"/>
        </w:rPr>
        <w:t>223</w:t>
      </w:r>
      <w:r>
        <w:t>.</w:t>
      </w:r>
      <w:r>
        <w:tab/>
        <w:t>Obligation to give information to the Bulletin Board operator</w:t>
      </w:r>
      <w:bookmarkEnd w:id="765"/>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 person of the following kind who has possession or control of information in relation to natural gas services </w:t>
      </w:r>
      <w:r>
        <w:rPr>
          <w:color w:val="000000"/>
          <w:sz w:val="23"/>
          <w:szCs w:val="23"/>
        </w:rPr>
        <w:lastRenderedPageBreak/>
        <w:t>must give the Bulletin Board operator the information if the person is required to do so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gas market operator;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non scheme pipeline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producer;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storage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another person who is prescribed by the Regulations for the purposes of this paragraph.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information must be given to the Bulletin Board operator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(1) does not apply if the person is exempt under the Rules from giving the information.</w:t>
      </w:r>
    </w:p>
    <w:p>
      <w:pPr>
        <w:pStyle w:val="Heading5"/>
      </w:pPr>
      <w:bookmarkStart w:id="766" w:name="_Toc158375027"/>
      <w:r>
        <w:rPr>
          <w:rStyle w:val="CharSectno"/>
        </w:rPr>
        <w:t>224</w:t>
      </w:r>
      <w:r>
        <w:t>.</w:t>
      </w:r>
      <w:r>
        <w:tab/>
        <w:t>Person cannot rely on duty of confidence to avoid compliance with obligation</w:t>
      </w:r>
      <w:bookmarkEnd w:id="766"/>
    </w:p>
    <w:p>
      <w:pPr>
        <w:keepLines/>
        <w:autoSpaceDE w:val="0"/>
        <w:autoSpaceDN w:val="0"/>
        <w:adjustRightInd w:val="0"/>
        <w:spacing w:before="120"/>
        <w:ind w:left="1588"/>
        <w:rPr>
          <w:color w:val="000000"/>
          <w:sz w:val="23"/>
          <w:szCs w:val="23"/>
        </w:rPr>
      </w:pPr>
      <w:r>
        <w:rPr>
          <w:color w:val="000000"/>
          <w:sz w:val="23"/>
          <w:szCs w:val="23"/>
        </w:rPr>
        <w:t>A person must not refuse to comply with the requirement in section 223(1) on the ground of any duty of confidence.</w:t>
      </w:r>
    </w:p>
    <w:p>
      <w:pPr>
        <w:pStyle w:val="Heading5"/>
      </w:pPr>
      <w:bookmarkStart w:id="767" w:name="_Toc158375028"/>
      <w:r>
        <w:rPr>
          <w:rStyle w:val="CharSectno"/>
        </w:rPr>
        <w:t>225</w:t>
      </w:r>
      <w:r>
        <w:t>.</w:t>
      </w:r>
      <w:r>
        <w:tab/>
        <w:t>Giving to Bulletin Board operator false and misleading information</w:t>
      </w:r>
      <w:bookmarkEnd w:id="767"/>
    </w:p>
    <w:p>
      <w:pPr>
        <w:keepLines/>
        <w:autoSpaceDE w:val="0"/>
        <w:autoSpaceDN w:val="0"/>
        <w:adjustRightInd w:val="0"/>
        <w:spacing w:before="120"/>
        <w:ind w:left="1588"/>
        <w:rPr>
          <w:color w:val="000000"/>
          <w:sz w:val="23"/>
          <w:szCs w:val="23"/>
        </w:rPr>
      </w:pPr>
      <w:r>
        <w:rPr>
          <w:color w:val="000000"/>
          <w:sz w:val="23"/>
          <w:szCs w:val="23"/>
        </w:rPr>
        <w:t>A person must not give Bulletin Board information to the Bulletin Board operator that the person knows is false or misleading in a material particular.</w:t>
      </w:r>
    </w:p>
    <w:p>
      <w:pPr>
        <w:pStyle w:val="Heading5"/>
      </w:pPr>
      <w:bookmarkStart w:id="768" w:name="_Toc158375029"/>
      <w:r>
        <w:rPr>
          <w:rStyle w:val="CharSectno"/>
        </w:rPr>
        <w:t>226</w:t>
      </w:r>
      <w:r>
        <w:t>.</w:t>
      </w:r>
      <w:r>
        <w:tab/>
        <w:t>Immunity of persons giving information to the Bulletin Board operator</w:t>
      </w:r>
      <w:bookmarkEnd w:id="76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gives Bulletin Board information to the Bulletin Board operator does not incur any civil monetary liability for an act or omission in giving that information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(2)</w:t>
      </w:r>
      <w:r>
        <w:rPr>
          <w:color w:val="000000"/>
          <w:sz w:val="23"/>
          <w:szCs w:val="23"/>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mentioned in subsection (1) may enter into an agreement with another person varying or excluding the operation of a provision of this section and, to the extent of that agreement, that provision does not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civil monetary liability</w:t>
      </w:r>
      <w:r>
        <w:rPr>
          <w:bCs/>
          <w:i/>
          <w:iCs/>
          <w:color w:val="000000"/>
          <w:sz w:val="23"/>
          <w:szCs w:val="23"/>
        </w:rPr>
        <w:t xml:space="preserve"> </w:t>
      </w:r>
      <w:r>
        <w:rPr>
          <w:color w:val="000000"/>
          <w:sz w:val="23"/>
          <w:szCs w:val="23"/>
        </w:rPr>
        <w:t>means liability to pay damages or compensation or any other amount ordered in a civil proceeding, but does not include liability to pay a civil penalty under this Law, an infringement penalty under Chapter 8 Part 7 or the costs of a proceeding.</w:t>
      </w:r>
    </w:p>
    <w:p>
      <w:pPr>
        <w:pStyle w:val="Heading3"/>
      </w:pPr>
      <w:bookmarkStart w:id="769" w:name="_Toc156819391"/>
      <w:bookmarkStart w:id="770" w:name="_Toc156990810"/>
      <w:bookmarkStart w:id="771" w:name="_Toc158375030"/>
      <w:r>
        <w:rPr>
          <w:rStyle w:val="CharDivNo"/>
        </w:rPr>
        <w:t>Part 3</w:t>
      </w:r>
      <w:r>
        <w:t xml:space="preserve"> — </w:t>
      </w:r>
      <w:r>
        <w:rPr>
          <w:rStyle w:val="CharDivText"/>
        </w:rPr>
        <w:t>Protection of information</w:t>
      </w:r>
      <w:bookmarkEnd w:id="769"/>
      <w:bookmarkEnd w:id="770"/>
      <w:bookmarkEnd w:id="771"/>
    </w:p>
    <w:p>
      <w:pPr>
        <w:pStyle w:val="Heading5"/>
      </w:pPr>
      <w:bookmarkStart w:id="772" w:name="_Toc158375031"/>
      <w:r>
        <w:rPr>
          <w:rStyle w:val="CharSectno"/>
        </w:rPr>
        <w:t>227</w:t>
      </w:r>
      <w:r>
        <w:t>.</w:t>
      </w:r>
      <w:r>
        <w:tab/>
        <w:t>Protection of information by the Bulletin Board operator</w:t>
      </w:r>
      <w:bookmarkEnd w:id="77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must not copy, record, use or disclose information that is Bulletin Board information, except for the purposes of exercising powers or performing functions as the Bulletin Board operator.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(2)</w:t>
      </w:r>
      <w:r>
        <w:rPr>
          <w:color w:val="000000"/>
          <w:sz w:val="23"/>
          <w:szCs w:val="23"/>
        </w:rPr>
        <w:tab/>
        <w:t>If a person ceases to be the Bulletin Board operator, the person must not afterwards copy, record, use or disclose information that is Bulletin Board information and that was disclosed to the person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(1) does not apply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Bulletin Board operator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information is also disclosed to the Bulletin Board operator—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circumstances other than those expressly permitted by the Rules.</w:t>
      </w:r>
    </w:p>
    <w:p>
      <w:pPr>
        <w:pStyle w:val="Heading5"/>
      </w:pPr>
      <w:bookmarkStart w:id="773" w:name="_Toc158375032"/>
      <w:r>
        <w:rPr>
          <w:rStyle w:val="CharSectno"/>
        </w:rPr>
        <w:t>228</w:t>
      </w:r>
      <w:r>
        <w:t>.</w:t>
      </w:r>
      <w:r>
        <w:tab/>
        <w:t>Protection of information by employees etc of the Bulletin Board operator</w:t>
      </w:r>
      <w:bookmarkEnd w:id="77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officer of the Bulletin Board operator;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employee of the Bulletin Board operator;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person performing work for or rendering services to the Bulletin Board operator otherwise than as an officer or employee,</w:t>
      </w:r>
    </w:p>
    <w:p>
      <w:pPr>
        <w:keepLines/>
        <w:autoSpaceDE w:val="0"/>
        <w:autoSpaceDN w:val="0"/>
        <w:adjustRightInd w:val="0"/>
        <w:spacing w:before="120"/>
        <w:ind w:left="1588"/>
        <w:rPr>
          <w:color w:val="000000"/>
          <w:sz w:val="23"/>
          <w:szCs w:val="23"/>
        </w:rPr>
      </w:pPr>
      <w:r>
        <w:rPr>
          <w:color w:val="000000"/>
          <w:sz w:val="23"/>
          <w:szCs w:val="23"/>
        </w:rPr>
        <w:lastRenderedPageBreak/>
        <w:t>must not copy, record, use or disclose information that is Bulletin Board information, except in that person’s capacity as a person who is exercising powers or performing functions, or assisting in the exercise of powers or performance of functions, for the Bulletin Board operator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information is Bulletin Board information; and</w:t>
      </w:r>
    </w:p>
    <w:p>
      <w:pPr>
        <w:keepLines/>
        <w:tabs>
          <w:tab w:val="center" w:pos="1985"/>
          <w:tab w:val="left" w:pos="2382"/>
        </w:tabs>
        <w:autoSpaceDE w:val="0"/>
        <w:autoSpaceDN w:val="0"/>
        <w:adjustRightInd w:val="0"/>
        <w:spacing w:before="80"/>
        <w:ind w:left="2382" w:hanging="794"/>
        <w:rPr>
          <w:color w:val="000000"/>
          <w:sz w:val="23"/>
          <w:szCs w:val="23"/>
        </w:rPr>
      </w:pPr>
      <w:r>
        <w:rPr>
          <w:color w:val="000000"/>
          <w:sz w:val="23"/>
          <w:szCs w:val="23"/>
        </w:rPr>
        <w:tab/>
        <w:t>(b)</w:t>
      </w:r>
      <w:r>
        <w:rPr>
          <w:color w:val="000000"/>
          <w:sz w:val="23"/>
          <w:szCs w:val="23"/>
        </w:rPr>
        <w:tab/>
        <w:t>the information is disclosed to a person in the person’s capacity 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officer of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employee of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person performing work for or rendering services to the Bulletin Board operator otherwise than as an officer or employee,</w:t>
      </w:r>
    </w:p>
    <w:p>
      <w:pPr>
        <w:keepLines/>
        <w:autoSpaceDE w:val="0"/>
        <w:autoSpaceDN w:val="0"/>
        <w:adjustRightInd w:val="0"/>
        <w:spacing w:before="120"/>
        <w:ind w:left="2382"/>
        <w:rPr>
          <w:color w:val="000000"/>
          <w:sz w:val="23"/>
          <w:szCs w:val="23"/>
        </w:rPr>
      </w:pPr>
      <w:r>
        <w:rPr>
          <w:color w:val="000000"/>
          <w:sz w:val="23"/>
          <w:szCs w:val="23"/>
        </w:rPr>
        <w:t>exercising powers or performing functions, or assisting in the exercise of powers or performance of functions, for the Bulletin Board operator;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1 of the following applies: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of an officer of the Bulletin Board operator—the person ceases to be an officer acting in that capacity;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an employee of the Bulletin Board operator—the person ceases to be an employee acting in that capacity;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in the case of a person performing work for or rendering services to the Bulletin Board operator otherwise than as an officer or employee—the person ceases to be a person of that kind acting in that capacity,</w:t>
      </w:r>
    </w:p>
    <w:p>
      <w:pPr>
        <w:keepLines/>
        <w:autoSpaceDE w:val="0"/>
        <w:autoSpaceDN w:val="0"/>
        <w:adjustRightInd w:val="0"/>
        <w:spacing w:before="120"/>
        <w:ind w:left="2382"/>
        <w:rPr>
          <w:color w:val="000000"/>
          <w:sz w:val="23"/>
          <w:szCs w:val="23"/>
        </w:rPr>
      </w:pPr>
      <w:r>
        <w:rPr>
          <w:color w:val="000000"/>
          <w:sz w:val="23"/>
          <w:szCs w:val="23"/>
        </w:rPr>
        <w:lastRenderedPageBreak/>
        <w:t>the person must not afterwards copy, record, use or disclose the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Subsections (1) and (2) do not apply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information is also disclosed to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circumstances other than those expressly permitted by the Rules.</w:t>
      </w:r>
    </w:p>
    <w:p>
      <w:pPr>
        <w:pStyle w:val="Heading2"/>
      </w:pPr>
      <w:bookmarkStart w:id="774" w:name="_Toc156819394"/>
      <w:bookmarkStart w:id="775" w:name="_Toc156990813"/>
      <w:bookmarkStart w:id="776" w:name="_Toc158375033"/>
      <w:r>
        <w:rPr>
          <w:rStyle w:val="CharPartNo"/>
        </w:rPr>
        <w:lastRenderedPageBreak/>
        <w:t>Chapter 8</w:t>
      </w:r>
      <w:r>
        <w:t xml:space="preserve"> — </w:t>
      </w:r>
      <w:r>
        <w:rPr>
          <w:rStyle w:val="CharPartText"/>
        </w:rPr>
        <w:t>Proceedings under the National Gas Law</w:t>
      </w:r>
      <w:bookmarkEnd w:id="774"/>
      <w:bookmarkEnd w:id="775"/>
      <w:bookmarkEnd w:id="776"/>
    </w:p>
    <w:p>
      <w:pPr>
        <w:pStyle w:val="Heading3"/>
      </w:pPr>
      <w:bookmarkStart w:id="777" w:name="_Toc156819395"/>
      <w:bookmarkStart w:id="778" w:name="_Toc156990814"/>
      <w:bookmarkStart w:id="779" w:name="_Toc158375034"/>
      <w:r>
        <w:rPr>
          <w:rStyle w:val="CharDivNo"/>
        </w:rPr>
        <w:t>Part 1</w:t>
      </w:r>
      <w:r>
        <w:t xml:space="preserve"> — </w:t>
      </w:r>
      <w:r>
        <w:rPr>
          <w:rStyle w:val="CharDivText"/>
        </w:rPr>
        <w:t>Proceedings generally</w:t>
      </w:r>
      <w:bookmarkEnd w:id="777"/>
      <w:bookmarkEnd w:id="778"/>
      <w:bookmarkEnd w:id="779"/>
    </w:p>
    <w:p>
      <w:pPr>
        <w:pStyle w:val="Heading5"/>
      </w:pPr>
      <w:bookmarkStart w:id="780" w:name="_Toc158375035"/>
      <w:r>
        <w:rPr>
          <w:rStyle w:val="CharSectno"/>
        </w:rPr>
        <w:t>229</w:t>
      </w:r>
      <w:r>
        <w:t>.</w:t>
      </w:r>
      <w:r>
        <w:tab/>
        <w:t>Instituting civil proceedings under this Law</w:t>
      </w:r>
      <w:bookmarkEnd w:id="78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Proceedings may not be instituted in a court in respect of a breach of a provision of this Law, the Regulations or Rules that is not an offence provision by any person except as provided for in this Chapter.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in accordance with Chapter 8 Part 2, institute civil proceedings in respect of a breach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the Regulations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provision of the Rules (including a provision that is a civil penalty provision or a conduct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other than the AER may, in accordance with Chapter 8 Part 2, institute civil proceedings in respect of a breach of a conduct provision.</w:t>
      </w:r>
    </w:p>
    <w:p>
      <w:pPr>
        <w:pStyle w:val="Heading5"/>
      </w:pPr>
      <w:bookmarkStart w:id="781" w:name="_Toc158375036"/>
      <w:r>
        <w:rPr>
          <w:rStyle w:val="CharSectno"/>
        </w:rPr>
        <w:t>230</w:t>
      </w:r>
      <w:r>
        <w:t>.</w:t>
      </w:r>
      <w:r>
        <w:tab/>
        <w:t>Time limit within which proceedings may be instituted</w:t>
      </w:r>
      <w:bookmarkEnd w:id="78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only institute a proceeding for a breach, by a person, of a provision of this Law, the Regulations or the Rules that is not an offence provision within 6 years after the date on which the breach occurred.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other than the AER, may only institute a proceeding for a breach of a conduct provision by another person within 6 years after the date on which the breach occurred.</w:t>
      </w:r>
    </w:p>
    <w:p>
      <w:pPr>
        <w:pStyle w:val="Heading3"/>
      </w:pPr>
      <w:bookmarkStart w:id="782" w:name="_Toc156819398"/>
      <w:bookmarkStart w:id="783" w:name="_Toc156990817"/>
      <w:bookmarkStart w:id="784" w:name="_Toc158375037"/>
      <w:r>
        <w:rPr>
          <w:rStyle w:val="CharDivNo"/>
        </w:rPr>
        <w:lastRenderedPageBreak/>
        <w:t>Part 2</w:t>
      </w:r>
      <w:r>
        <w:t xml:space="preserve"> — </w:t>
      </w:r>
      <w:r>
        <w:rPr>
          <w:rStyle w:val="CharDivText"/>
        </w:rPr>
        <w:t>Proceedings for breaches of this Law, Regulations or the Rules</w:t>
      </w:r>
      <w:bookmarkEnd w:id="782"/>
      <w:bookmarkEnd w:id="783"/>
      <w:bookmarkEnd w:id="784"/>
    </w:p>
    <w:p>
      <w:pPr>
        <w:pStyle w:val="Heading5"/>
      </w:pPr>
      <w:bookmarkStart w:id="785" w:name="_Toc158375038"/>
      <w:r>
        <w:rPr>
          <w:rStyle w:val="CharSectno"/>
        </w:rPr>
        <w:t>231</w:t>
      </w:r>
      <w:r>
        <w:t>.</w:t>
      </w:r>
      <w:r>
        <w:tab/>
        <w:t>AER proceedings for breaches of this Law, Regulations or the Rules that are not offences</w:t>
      </w:r>
      <w:bookmarkEnd w:id="78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Court may make an order, on application by the AER on behalf of the Commonwealth, declaring that a person is in breach of a provision of this Law, the Regulations or the Rules that is not an offence provision.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A Supreme Court of a participating jurisdiction that is a State may hear an application by the AER under subsection (1) by operation of section 39(2) of the </w:t>
      </w:r>
      <w:r>
        <w:rPr>
          <w:i/>
          <w:iCs/>
          <w:color w:val="000000"/>
          <w:sz w:val="20"/>
        </w:rPr>
        <w:t>Judiciary Act 1903</w:t>
      </w:r>
      <w:r>
        <w:rPr>
          <w:color w:val="000000"/>
          <w:sz w:val="20"/>
        </w:rPr>
        <w:t xml:space="preserve"> of the Commonwealth.</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When subsection (1)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order declares a person to be in breach of a provision of this Law the Regulations or the Rules that is not an offence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that the person pay a civil penalty determined in accordance with this Law, the Regulations and the Rules if the breach is a breach of a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that the person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order that the person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(d)</w:t>
      </w:r>
      <w:r>
        <w:rPr>
          <w:color w:val="000000"/>
          <w:sz w:val="23"/>
          <w:szCs w:val="23"/>
        </w:rPr>
        <w:tab/>
        <w:t>an order that the person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person has engaged, is engaging or is proposing to engage in any conduct in breach of a provision of this Law, the Regulations or the Rules that is not an offence provision, the Court may, on application by the AER on behalf of the Commonwealth, grant an injunction—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restraining the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in the Court’s opinion, it is desirable to do so—requiring the person to do something.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(3A)</w:t>
      </w:r>
      <w:r>
        <w:rPr>
          <w:color w:val="000000"/>
          <w:sz w:val="23"/>
          <w:szCs w:val="23"/>
        </w:rPr>
        <w:tab/>
        <w:t>When subsection (3)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pPr>
        <w:pStyle w:val="Footnotesection"/>
      </w:pPr>
      <w:r>
        <w:tab/>
        <w:t>[Section 231 modified: WA Act Sch. 1 cl. 10.]</w:t>
      </w:r>
    </w:p>
    <w:p>
      <w:pPr>
        <w:pStyle w:val="Heading5"/>
      </w:pPr>
      <w:bookmarkStart w:id="786" w:name="_Toc158375039"/>
      <w:r>
        <w:rPr>
          <w:rStyle w:val="CharSectno"/>
        </w:rPr>
        <w:lastRenderedPageBreak/>
        <w:t>232</w:t>
      </w:r>
      <w:r>
        <w:t>.</w:t>
      </w:r>
      <w:r>
        <w:tab/>
        <w:t>Proceedings for declaration that a person is in breach of a conduct provision</w:t>
      </w:r>
      <w:bookmarkEnd w:id="78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Court may make an order, on application by a person other than the AER, declaring that another person is in breach of a conduct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order declares a person to be in breach of a conduct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that the person in breach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that the person in breach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order that the person in breach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person has engaged, is engaging or is proposing to engage in any conduct in breach of a conduct provision, the Court may, on application by another person (other than the AER), grant an injunction—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restraining the first mentioned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in the Court’s opinion, it is desirable to do so—requiring the first mentioned person to do something.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(4)</w:t>
      </w:r>
      <w:r>
        <w:rPr>
          <w:color w:val="000000"/>
          <w:sz w:val="23"/>
          <w:szCs w:val="23"/>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in conduct of that kind.</w:t>
      </w:r>
    </w:p>
    <w:p>
      <w:pPr>
        <w:pStyle w:val="Heading5"/>
      </w:pPr>
      <w:bookmarkStart w:id="787" w:name="_Toc158375040"/>
      <w:r>
        <w:rPr>
          <w:rStyle w:val="CharSectno"/>
        </w:rPr>
        <w:t>233</w:t>
      </w:r>
      <w:r>
        <w:t>.</w:t>
      </w:r>
      <w:r>
        <w:tab/>
        <w:t>Actions for damages by persons for breach of conduct provision</w:t>
      </w:r>
      <w:bookmarkEnd w:id="787"/>
    </w:p>
    <w:p>
      <w:pPr>
        <w:keepLines/>
        <w:autoSpaceDE w:val="0"/>
        <w:autoSpaceDN w:val="0"/>
        <w:adjustRightInd w:val="0"/>
        <w:spacing w:before="120"/>
        <w:ind w:left="1588"/>
        <w:rPr>
          <w:color w:val="000000"/>
          <w:sz w:val="23"/>
          <w:szCs w:val="23"/>
        </w:rPr>
      </w:pPr>
      <w:r>
        <w:rPr>
          <w:color w:val="000000"/>
          <w:sz w:val="23"/>
          <w:szCs w:val="23"/>
        </w:rPr>
        <w:t>A person other than the AER who suffers loss or damage by conduct of another person that was done in breach of a conduct provision may recover the amount of the loss or damage by action against that other person in a court of competent jurisdiction.</w:t>
      </w:r>
    </w:p>
    <w:p>
      <w:pPr>
        <w:pStyle w:val="Heading3"/>
      </w:pPr>
      <w:bookmarkStart w:id="788" w:name="_Toc156819402"/>
      <w:bookmarkStart w:id="789" w:name="_Toc156990821"/>
      <w:bookmarkStart w:id="790" w:name="_Toc158375041"/>
      <w:r>
        <w:rPr>
          <w:rStyle w:val="CharDivNo"/>
        </w:rPr>
        <w:t>Part 3</w:t>
      </w:r>
      <w:r>
        <w:t xml:space="preserve"> — </w:t>
      </w:r>
      <w:r>
        <w:rPr>
          <w:rStyle w:val="CharDivText"/>
        </w:rPr>
        <w:t>Matters relating to breaches of this Law, the Regulations or the Rules</w:t>
      </w:r>
      <w:bookmarkEnd w:id="788"/>
      <w:bookmarkEnd w:id="789"/>
      <w:bookmarkEnd w:id="790"/>
    </w:p>
    <w:p>
      <w:pPr>
        <w:pStyle w:val="Heading5"/>
        <w:keepNext w:val="0"/>
        <w:keepLines w:val="0"/>
      </w:pPr>
      <w:bookmarkStart w:id="791" w:name="_Toc158375042"/>
      <w:r>
        <w:rPr>
          <w:rStyle w:val="CharSectno"/>
        </w:rPr>
        <w:t>234</w:t>
      </w:r>
      <w:r>
        <w:t>.</w:t>
      </w:r>
      <w:r>
        <w:tab/>
        <w:t>Matters for which there must be regard in determining amount of civil penalty</w:t>
      </w:r>
      <w:bookmarkEnd w:id="791"/>
    </w:p>
    <w:p>
      <w:pPr>
        <w:autoSpaceDE w:val="0"/>
        <w:autoSpaceDN w:val="0"/>
        <w:adjustRightInd w:val="0"/>
        <w:spacing w:before="120"/>
        <w:ind w:left="1588"/>
        <w:rPr>
          <w:color w:val="000000"/>
          <w:sz w:val="23"/>
          <w:szCs w:val="23"/>
        </w:rPr>
      </w:pPr>
      <w:r>
        <w:rPr>
          <w:color w:val="000000"/>
          <w:sz w:val="23"/>
          <w:szCs w:val="23"/>
        </w:rPr>
        <w:t>Every civil penalty ordered to be paid by a person declared to be in breach of a provision of this Law, the Regulations or the Rules must be determined having regard to all relevant matters, including—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nature and extent of the breach;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the nature and extent of any loss or damage suffered as a result of the breach;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circumstances in which the breach took place;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the person has engaged in any similar conduct and been found to be in breach of a provision of this Law, the Regulations or the Rules in respect of that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service provider had in place a compliance program approved by the AER or required under the Rules, and if so, whether the service provider has been complying with that program.</w:t>
      </w:r>
    </w:p>
    <w:p>
      <w:pPr>
        <w:pStyle w:val="Heading5"/>
      </w:pPr>
      <w:bookmarkStart w:id="792" w:name="_Toc158375043"/>
      <w:r>
        <w:rPr>
          <w:rStyle w:val="CharSectno"/>
        </w:rPr>
        <w:t>235</w:t>
      </w:r>
      <w:r>
        <w:t>.</w:t>
      </w:r>
      <w:r>
        <w:tab/>
        <w:t>Breach of a civil penalty provision is not an offence</w:t>
      </w:r>
      <w:bookmarkEnd w:id="792"/>
    </w:p>
    <w:p>
      <w:pPr>
        <w:keepLines/>
        <w:autoSpaceDE w:val="0"/>
        <w:autoSpaceDN w:val="0"/>
        <w:adjustRightInd w:val="0"/>
        <w:spacing w:before="120"/>
        <w:ind w:left="1588"/>
        <w:rPr>
          <w:color w:val="000000"/>
          <w:sz w:val="23"/>
          <w:szCs w:val="23"/>
        </w:rPr>
      </w:pPr>
      <w:r>
        <w:rPr>
          <w:color w:val="000000"/>
          <w:sz w:val="23"/>
          <w:szCs w:val="23"/>
        </w:rPr>
        <w:t>A breach of a civil penalty provision is not an offence.</w:t>
      </w:r>
    </w:p>
    <w:p>
      <w:pPr>
        <w:pStyle w:val="Heading5"/>
      </w:pPr>
      <w:bookmarkStart w:id="793" w:name="_Toc158375044"/>
      <w:r>
        <w:rPr>
          <w:rStyle w:val="CharSectno"/>
        </w:rPr>
        <w:t>236</w:t>
      </w:r>
      <w:r>
        <w:t>.</w:t>
      </w:r>
      <w:r>
        <w:tab/>
        <w:t>Breaches of civil penalty provisions involving continuing failure</w:t>
      </w:r>
      <w:bookmarkEnd w:id="793"/>
    </w:p>
    <w:p>
      <w:pPr>
        <w:keepLines/>
        <w:autoSpaceDE w:val="0"/>
        <w:autoSpaceDN w:val="0"/>
        <w:adjustRightInd w:val="0"/>
        <w:spacing w:before="120"/>
        <w:ind w:left="1588"/>
        <w:rPr>
          <w:color w:val="000000"/>
          <w:sz w:val="23"/>
          <w:szCs w:val="23"/>
        </w:rPr>
      </w:pPr>
      <w:r>
        <w:rPr>
          <w:color w:val="000000"/>
          <w:sz w:val="23"/>
          <w:szCs w:val="23"/>
        </w:rPr>
        <w:t>For the purpose of determining the civil penalty for a breach of a civil penalty provision, if the breach consists of a failure to do something that is required to be done, the breach is to be regarded as continuing until the act is done despite the fact that any period within which, or time before which, the act is required to be done has expired or passed.</w:t>
      </w:r>
    </w:p>
    <w:p>
      <w:pPr>
        <w:pStyle w:val="Heading5"/>
      </w:pPr>
      <w:bookmarkStart w:id="794" w:name="_Toc158375045"/>
      <w:r>
        <w:rPr>
          <w:rStyle w:val="CharSectno"/>
        </w:rPr>
        <w:t>237</w:t>
      </w:r>
      <w:r>
        <w:t>.</w:t>
      </w:r>
      <w:r>
        <w:tab/>
        <w:t>Conduct in breach of more than 1 civil penalty provision</w:t>
      </w:r>
      <w:bookmarkEnd w:id="79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conduct of a person constitutes a breach of 2 or more civil penalty provisions, proceedings may be instituted under this Law against the person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person is not liable to more than 1 civil penalty under this Law in respect of the same conduct.</w:t>
      </w:r>
    </w:p>
    <w:p>
      <w:pPr>
        <w:keepNext/>
        <w:keepLines/>
        <w:autoSpaceDE w:val="0"/>
        <w:autoSpaceDN w:val="0"/>
        <w:adjustRightInd w:val="0"/>
        <w:spacing w:before="120"/>
        <w:ind w:left="1588" w:hanging="567"/>
        <w:rPr>
          <w:b/>
          <w:bCs/>
          <w:color w:val="000000"/>
          <w:sz w:val="20"/>
        </w:rPr>
      </w:pPr>
      <w:r>
        <w:rPr>
          <w:b/>
          <w:bCs/>
          <w:color w:val="000000"/>
          <w:sz w:val="20"/>
        </w:rPr>
        <w:lastRenderedPageBreak/>
        <w:t>Note—</w:t>
      </w:r>
    </w:p>
    <w:p>
      <w:pPr>
        <w:keepLines/>
        <w:autoSpaceDE w:val="0"/>
        <w:autoSpaceDN w:val="0"/>
        <w:adjustRightInd w:val="0"/>
        <w:spacing w:before="120"/>
        <w:ind w:left="1588"/>
        <w:rPr>
          <w:color w:val="000000"/>
          <w:sz w:val="20"/>
        </w:rPr>
      </w:pPr>
      <w:r>
        <w:rPr>
          <w:color w:val="000000"/>
          <w:sz w:val="20"/>
        </w:rPr>
        <w:t>Clause 49 of Schedule 2 to this Law sets out further provisions in relation to double jeopardy.</w:t>
      </w:r>
    </w:p>
    <w:p>
      <w:pPr>
        <w:pStyle w:val="Heading5"/>
      </w:pPr>
      <w:bookmarkStart w:id="795" w:name="_Toc158375046"/>
      <w:r>
        <w:rPr>
          <w:rStyle w:val="CharSectno"/>
        </w:rPr>
        <w:t>238</w:t>
      </w:r>
      <w:r>
        <w:t>.</w:t>
      </w:r>
      <w:r>
        <w:tab/>
        <w:t>Persons involved in breach of civil penalty provision or conduct provision</w:t>
      </w:r>
      <w:bookmarkEnd w:id="79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aid, abet, counsel or procure a breach of a civil penalty provision or conduct provision by another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in any way directly or indirectly knowingly concerned in, or party to, a breach of a civil penalty provision or conduct provision by another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Law applies to a person who breaches subsection (1) in relation to a civil penalty provision or conduct provision as if the person were a person who has breached the civil penalty provision or conduct provision.</w:t>
      </w:r>
    </w:p>
    <w:p>
      <w:pPr>
        <w:pStyle w:val="Heading5"/>
      </w:pPr>
      <w:bookmarkStart w:id="796" w:name="_Toc158375047"/>
      <w:r>
        <w:rPr>
          <w:rStyle w:val="CharSectno"/>
        </w:rPr>
        <w:t>239</w:t>
      </w:r>
      <w:r>
        <w:t>.</w:t>
      </w:r>
      <w:r>
        <w:tab/>
        <w:t>Attempt to breach a civil penalty provision</w:t>
      </w:r>
      <w:bookmarkEnd w:id="796"/>
    </w:p>
    <w:p>
      <w:pPr>
        <w:keepLines/>
        <w:autoSpaceDE w:val="0"/>
        <w:autoSpaceDN w:val="0"/>
        <w:adjustRightInd w:val="0"/>
        <w:spacing w:before="120"/>
        <w:ind w:left="1588"/>
        <w:rPr>
          <w:color w:val="000000"/>
          <w:sz w:val="23"/>
          <w:szCs w:val="23"/>
        </w:rPr>
      </w:pPr>
      <w:r>
        <w:rPr>
          <w:color w:val="000000"/>
          <w:sz w:val="23"/>
          <w:szCs w:val="23"/>
        </w:rPr>
        <w:t>A person who attempts to commit a breach of a civil penalty provision commits a breach of that provision.</w:t>
      </w:r>
    </w:p>
    <w:p>
      <w:pPr>
        <w:pStyle w:val="Heading5"/>
      </w:pPr>
      <w:bookmarkStart w:id="797" w:name="_Toc158375048"/>
      <w:r>
        <w:rPr>
          <w:rStyle w:val="CharSectno"/>
        </w:rPr>
        <w:t>240</w:t>
      </w:r>
      <w:r>
        <w:t>.</w:t>
      </w:r>
      <w:r>
        <w:tab/>
        <w:t>Civil penalties payable to the Commonwealth</w:t>
      </w:r>
      <w:bookmarkEnd w:id="797"/>
    </w:p>
    <w:p>
      <w:pPr>
        <w:keepLines/>
        <w:autoSpaceDE w:val="0"/>
        <w:autoSpaceDN w:val="0"/>
        <w:adjustRightInd w:val="0"/>
        <w:spacing w:before="120"/>
        <w:ind w:left="1588"/>
        <w:rPr>
          <w:color w:val="000000"/>
          <w:sz w:val="23"/>
          <w:szCs w:val="23"/>
        </w:rPr>
      </w:pPr>
      <w:r>
        <w:rPr>
          <w:color w:val="000000"/>
          <w:sz w:val="23"/>
          <w:szCs w:val="23"/>
        </w:rPr>
        <w:t>If a person is ordered to pay a civil penalty, the penalty is payable to the State of Western Australia except if the order is made on an application by the AER on behalf of the Commonwealth, in which case it is payable to the Commonwealth.</w:t>
      </w:r>
    </w:p>
    <w:p>
      <w:pPr>
        <w:pStyle w:val="Footnotesection"/>
      </w:pPr>
      <w:r>
        <w:tab/>
        <w:t>[Section 240 modified: WA Act Sch. 1 cl. 11.]</w:t>
      </w:r>
    </w:p>
    <w:p>
      <w:pPr>
        <w:pStyle w:val="Heading3"/>
      </w:pPr>
      <w:bookmarkStart w:id="798" w:name="_Toc156819410"/>
      <w:bookmarkStart w:id="799" w:name="_Toc156990829"/>
      <w:bookmarkStart w:id="800" w:name="_Toc158375049"/>
      <w:r>
        <w:rPr>
          <w:rStyle w:val="CharDivNo"/>
        </w:rPr>
        <w:lastRenderedPageBreak/>
        <w:t>Part 4</w:t>
      </w:r>
      <w:r>
        <w:t xml:space="preserve"> — </w:t>
      </w:r>
      <w:r>
        <w:rPr>
          <w:rStyle w:val="CharDivText"/>
        </w:rPr>
        <w:t>Judicial review of decisions under this Law, the Regulations and the Rules</w:t>
      </w:r>
      <w:bookmarkEnd w:id="798"/>
      <w:bookmarkEnd w:id="799"/>
      <w:bookmarkEnd w:id="800"/>
    </w:p>
    <w:p>
      <w:pPr>
        <w:pStyle w:val="Heading5"/>
      </w:pPr>
      <w:bookmarkStart w:id="801" w:name="_Toc158375050"/>
      <w:r>
        <w:rPr>
          <w:rStyle w:val="CharSectno"/>
        </w:rPr>
        <w:t>241</w:t>
      </w:r>
      <w:r>
        <w:t>.</w:t>
      </w:r>
      <w:r>
        <w:tab/>
        <w:t>Definition</w:t>
      </w:r>
      <w:bookmarkEnd w:id="801"/>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person aggrieved</w:t>
      </w:r>
      <w:r>
        <w:rPr>
          <w:bCs/>
          <w:i/>
          <w:iCs/>
          <w:color w:val="000000"/>
          <w:sz w:val="23"/>
          <w:szCs w:val="23"/>
        </w:rPr>
        <w:t xml:space="preserve"> </w:t>
      </w:r>
      <w:r>
        <w:rPr>
          <w:color w:val="000000"/>
          <w:sz w:val="23"/>
          <w:szCs w:val="23"/>
        </w:rPr>
        <w:t>includes a person whose interests are adversely affected.</w:t>
      </w:r>
    </w:p>
    <w:p>
      <w:pPr>
        <w:pStyle w:val="Heading5"/>
      </w:pPr>
      <w:bookmarkStart w:id="802" w:name="_Toc158375051"/>
      <w:r>
        <w:rPr>
          <w:rStyle w:val="CharSectno"/>
        </w:rPr>
        <w:t>242</w:t>
      </w:r>
      <w:r>
        <w:t>.</w:t>
      </w:r>
      <w:r>
        <w:tab/>
        <w:t>Applications for judicial review of decisions of the AEMC</w:t>
      </w:r>
      <w:bookmarkEnd w:id="80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aggrieved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or determination of the AEMC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failure by the AEMC to make a decision or determination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conduct engaged in, or proposed to be engaged in, by the AEMC for the purpose of making a decision or determination under this Law, the Regulations or the Rules,</w:t>
      </w:r>
    </w:p>
    <w:p>
      <w:pPr>
        <w:keepLines/>
        <w:autoSpaceDE w:val="0"/>
        <w:autoSpaceDN w:val="0"/>
        <w:adjustRightInd w:val="0"/>
        <w:spacing w:before="120"/>
        <w:ind w:left="1588"/>
        <w:rPr>
          <w:color w:val="000000"/>
          <w:sz w:val="23"/>
          <w:szCs w:val="23"/>
        </w:rPr>
      </w:pPr>
      <w:r>
        <w:rPr>
          <w:color w:val="000000"/>
          <w:sz w:val="23"/>
          <w:szCs w:val="23"/>
        </w:rPr>
        <w:t>may apply to the Court for judicial review of the decision or determination, failure or conduct or proposed conduct.</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Commonwealth Minister, NCC and AER are subject to judicial review under the </w:t>
      </w:r>
      <w:r>
        <w:rPr>
          <w:i/>
          <w:iCs/>
          <w:color w:val="000000"/>
          <w:sz w:val="20"/>
        </w:rPr>
        <w:t>Administrative Decisions (Judicial Review) Act 1977</w:t>
      </w:r>
      <w:r>
        <w:rPr>
          <w:color w:val="000000"/>
          <w:sz w:val="20"/>
        </w:rPr>
        <w:t xml:space="preserve"> of the Commonwealth.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Heading5"/>
      </w:pPr>
      <w:bookmarkStart w:id="803" w:name="_Toc158375052"/>
      <w:r>
        <w:rPr>
          <w:rStyle w:val="CharSectno"/>
        </w:rPr>
        <w:lastRenderedPageBreak/>
        <w:t>243</w:t>
      </w:r>
      <w:r>
        <w:t>.</w:t>
      </w:r>
      <w:r>
        <w:tab/>
        <w:t>Applications for judicial review of decisions of the Bulletin Board operator</w:t>
      </w:r>
      <w:bookmarkEnd w:id="80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aggrieved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or determination of the Bulletin Board operator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failure by the Bulletin Board operator to make a decision or determination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conduct engaged in, or proposed to be engaged in, by the Bulletin Board operator for the purpose of making a decision or determination under this Law or the Rules,</w:t>
      </w:r>
    </w:p>
    <w:p>
      <w:pPr>
        <w:keepLines/>
        <w:autoSpaceDE w:val="0"/>
        <w:autoSpaceDN w:val="0"/>
        <w:adjustRightInd w:val="0"/>
        <w:spacing w:before="120"/>
        <w:ind w:left="1588"/>
        <w:rPr>
          <w:color w:val="000000"/>
          <w:sz w:val="23"/>
          <w:szCs w:val="23"/>
        </w:rPr>
      </w:pPr>
      <w:r>
        <w:rPr>
          <w:color w:val="000000"/>
          <w:sz w:val="23"/>
          <w:szCs w:val="23"/>
        </w:rPr>
        <w:t>may apply to the Court for judicial review of the decision or determination, failure or conduct or proposed conduct.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Heading3"/>
      </w:pPr>
      <w:bookmarkStart w:id="804" w:name="_Toc156819414"/>
      <w:bookmarkStart w:id="805" w:name="_Toc156990833"/>
      <w:bookmarkStart w:id="806" w:name="_Toc158375053"/>
      <w:r>
        <w:rPr>
          <w:rStyle w:val="CharDivNo"/>
        </w:rPr>
        <w:t>Part 5</w:t>
      </w:r>
      <w:r>
        <w:t xml:space="preserve"> — </w:t>
      </w:r>
      <w:r>
        <w:rPr>
          <w:rStyle w:val="CharDivText"/>
        </w:rPr>
        <w:t>Merits review and other non</w:t>
      </w:r>
      <w:r>
        <w:rPr>
          <w:rStyle w:val="CharDivText"/>
        </w:rPr>
        <w:noBreakHyphen/>
        <w:t>judicial review</w:t>
      </w:r>
      <w:bookmarkEnd w:id="804"/>
      <w:bookmarkEnd w:id="805"/>
      <w:bookmarkEnd w:id="806"/>
    </w:p>
    <w:p>
      <w:pPr>
        <w:pStyle w:val="Heading4"/>
        <w:keepNext w:val="0"/>
      </w:pPr>
      <w:bookmarkStart w:id="807" w:name="_Toc156819415"/>
      <w:bookmarkStart w:id="808" w:name="_Toc156990834"/>
      <w:bookmarkStart w:id="809" w:name="_Toc158375054"/>
      <w:r>
        <w:t>Division 1 — Interpretation</w:t>
      </w:r>
      <w:bookmarkEnd w:id="807"/>
      <w:bookmarkEnd w:id="808"/>
      <w:bookmarkEnd w:id="809"/>
    </w:p>
    <w:p>
      <w:pPr>
        <w:pStyle w:val="Heading5"/>
        <w:keepNext w:val="0"/>
        <w:keepLines w:val="0"/>
      </w:pPr>
      <w:bookmarkStart w:id="810" w:name="_Toc158375055"/>
      <w:r>
        <w:rPr>
          <w:rStyle w:val="CharSectno"/>
        </w:rPr>
        <w:t>244</w:t>
      </w:r>
      <w:r>
        <w:t>.</w:t>
      </w:r>
      <w:r>
        <w:tab/>
        <w:t>Definitions</w:t>
      </w:r>
      <w:bookmarkEnd w:id="810"/>
    </w:p>
    <w:p>
      <w:pPr>
        <w:autoSpaceDE w:val="0"/>
        <w:autoSpaceDN w:val="0"/>
        <w:adjustRightInd w:val="0"/>
        <w:spacing w:before="120"/>
        <w:ind w:left="1588"/>
        <w:rPr>
          <w:color w:val="000000"/>
          <w:sz w:val="23"/>
          <w:szCs w:val="23"/>
        </w:rPr>
      </w:pPr>
      <w:r>
        <w:rPr>
          <w:color w:val="000000"/>
          <w:sz w:val="23"/>
          <w:szCs w:val="23"/>
        </w:rPr>
        <w:t>In this Part—</w:t>
      </w:r>
    </w:p>
    <w:p>
      <w:pPr>
        <w:autoSpaceDE w:val="0"/>
        <w:autoSpaceDN w:val="0"/>
        <w:adjustRightInd w:val="0"/>
        <w:spacing w:before="120"/>
        <w:ind w:left="1588"/>
        <w:rPr>
          <w:color w:val="000000"/>
          <w:sz w:val="23"/>
          <w:szCs w:val="23"/>
        </w:rPr>
      </w:pPr>
      <w:r>
        <w:rPr>
          <w:rStyle w:val="CharDefText"/>
          <w:bCs/>
          <w:sz w:val="23"/>
        </w:rPr>
        <w:t>AER information disclosure decision</w:t>
      </w:r>
      <w:r>
        <w:rPr>
          <w:bCs/>
          <w:i/>
          <w:iCs/>
          <w:color w:val="000000"/>
          <w:sz w:val="23"/>
          <w:szCs w:val="23"/>
        </w:rPr>
        <w:t xml:space="preserve"> </w:t>
      </w:r>
      <w:r>
        <w:rPr>
          <w:color w:val="000000"/>
          <w:sz w:val="23"/>
          <w:szCs w:val="23"/>
        </w:rPr>
        <w:t>means a decision of the AER under section 329 to disclose information, or the contents of a document;</w:t>
      </w:r>
    </w:p>
    <w:p>
      <w:pPr>
        <w:keepNext/>
        <w:keepLines/>
        <w:autoSpaceDE w:val="0"/>
        <w:autoSpaceDN w:val="0"/>
        <w:adjustRightInd w:val="0"/>
        <w:spacing w:before="120"/>
        <w:ind w:left="1588"/>
        <w:rPr>
          <w:color w:val="000000"/>
          <w:sz w:val="23"/>
          <w:szCs w:val="23"/>
        </w:rPr>
      </w:pPr>
      <w:r>
        <w:rPr>
          <w:rStyle w:val="CharDefText"/>
          <w:bCs/>
          <w:sz w:val="23"/>
        </w:rPr>
        <w:t>affected or interested person or body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whom a reviewable regulatory decision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a user, prospective user or end user whose commercial interests are materially affected by a reviewable regulatory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user or consumer association;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(ca)</w:t>
      </w:r>
      <w:r>
        <w:rPr>
          <w:color w:val="000000"/>
          <w:sz w:val="23"/>
          <w:szCs w:val="23"/>
        </w:rPr>
        <w:tab/>
        <w:t>a reviewable regulatory decision process participant;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person whose interests are affected by a reviewable regulatory decision that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coverage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coverage revocation determination;</w:t>
      </w:r>
    </w:p>
    <w:p>
      <w:pPr>
        <w:keepNext/>
        <w:keepLines/>
        <w:autoSpaceDE w:val="0"/>
        <w:autoSpaceDN w:val="0"/>
        <w:adjustRightInd w:val="0"/>
        <w:spacing w:before="120"/>
        <w:ind w:left="1588"/>
        <w:rPr>
          <w:color w:val="000000"/>
          <w:sz w:val="23"/>
          <w:szCs w:val="23"/>
        </w:rPr>
      </w:pPr>
      <w:r>
        <w:rPr>
          <w:rStyle w:val="CharDefText"/>
          <w:bCs/>
          <w:sz w:val="23"/>
        </w:rPr>
        <w:t>applicant</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affected or interested person or body who has been granted leave to apply for review by the Tribunal under Division 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 makes an application under section 263;</w:t>
      </w:r>
    </w:p>
    <w:p>
      <w:pPr>
        <w:keepLines/>
        <w:autoSpaceDE w:val="0"/>
        <w:autoSpaceDN w:val="0"/>
        <w:adjustRightInd w:val="0"/>
        <w:spacing w:before="120"/>
        <w:ind w:left="1588"/>
        <w:rPr>
          <w:color w:val="000000"/>
          <w:sz w:val="23"/>
          <w:szCs w:val="23"/>
        </w:rPr>
      </w:pPr>
      <w:r>
        <w:rPr>
          <w:rStyle w:val="CharDefText"/>
          <w:bCs/>
          <w:sz w:val="23"/>
        </w:rPr>
        <w:t>average annual regulated revenue</w:t>
      </w:r>
      <w:r>
        <w:rPr>
          <w:bCs/>
          <w:i/>
          <w:iCs/>
          <w:color w:val="000000"/>
          <w:sz w:val="23"/>
          <w:szCs w:val="23"/>
        </w:rPr>
        <w:t xml:space="preserve"> </w:t>
      </w:r>
      <w:r>
        <w:rPr>
          <w:color w:val="000000"/>
          <w:sz w:val="23"/>
          <w:szCs w:val="23"/>
        </w:rPr>
        <w:t>means the annual average of regulated revenue calculated for the regulatory period of an applicable access arrangement;</w:t>
      </w:r>
    </w:p>
    <w:p>
      <w:pPr>
        <w:keepNext/>
        <w:keepLines/>
        <w:autoSpaceDE w:val="0"/>
        <w:autoSpaceDN w:val="0"/>
        <w:adjustRightInd w:val="0"/>
        <w:spacing w:before="120"/>
        <w:ind w:left="1588"/>
        <w:rPr>
          <w:color w:val="000000"/>
          <w:sz w:val="23"/>
          <w:szCs w:val="23"/>
        </w:rPr>
      </w:pPr>
      <w:r>
        <w:rPr>
          <w:rStyle w:val="CharDefText"/>
          <w:bCs/>
          <w:sz w:val="23"/>
        </w:rPr>
        <w:t>coverage related light regulation decision</w:t>
      </w:r>
      <w:r>
        <w:rPr>
          <w:bCs/>
          <w:i/>
          <w:iCs/>
          <w:color w:val="000000"/>
          <w:sz w:val="23"/>
          <w:szCs w:val="23"/>
        </w:rPr>
        <w:t xml:space="preserve"> </w:t>
      </w:r>
      <w:r>
        <w:rPr>
          <w:color w:val="000000"/>
          <w:sz w:val="23"/>
          <w:szCs w:val="23"/>
        </w:rPr>
        <w:t>means either of the following reviewable regulatory decisions: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the NCC under section 110(1);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NCC under section 119(3);</w:t>
      </w:r>
    </w:p>
    <w:p>
      <w:pPr>
        <w:keepLines/>
        <w:autoSpaceDE w:val="0"/>
        <w:autoSpaceDN w:val="0"/>
        <w:adjustRightInd w:val="0"/>
        <w:spacing w:before="120"/>
        <w:ind w:left="1588"/>
        <w:rPr>
          <w:color w:val="000000"/>
          <w:sz w:val="23"/>
          <w:szCs w:val="23"/>
        </w:rPr>
      </w:pPr>
      <w:r>
        <w:rPr>
          <w:rStyle w:val="CharDefText"/>
          <w:bCs/>
          <w:sz w:val="23"/>
        </w:rPr>
        <w:t>end user</w:t>
      </w:r>
      <w:r>
        <w:rPr>
          <w:bCs/>
          <w:i/>
          <w:iCs/>
          <w:color w:val="000000"/>
          <w:sz w:val="23"/>
          <w:szCs w:val="23"/>
        </w:rPr>
        <w:t xml:space="preserve"> </w:t>
      </w:r>
      <w:r>
        <w:rPr>
          <w:color w:val="000000"/>
          <w:sz w:val="23"/>
          <w:szCs w:val="23"/>
        </w:rPr>
        <w:t>includes a person who acquires, or proposes to acquire, natural gas for the purpose of on</w:t>
      </w:r>
      <w:r>
        <w:rPr>
          <w:color w:val="000000"/>
          <w:sz w:val="23"/>
          <w:szCs w:val="23"/>
        </w:rPr>
        <w:noBreakHyphen/>
        <w:t>selling that gas to a person who intends to consume that gas;</w:t>
      </w:r>
    </w:p>
    <w:p>
      <w:pPr>
        <w:keepLines/>
        <w:autoSpaceDE w:val="0"/>
        <w:autoSpaceDN w:val="0"/>
        <w:adjustRightInd w:val="0"/>
        <w:spacing w:before="120"/>
        <w:ind w:left="1588"/>
        <w:rPr>
          <w:color w:val="000000"/>
          <w:sz w:val="23"/>
          <w:szCs w:val="23"/>
        </w:rPr>
      </w:pPr>
      <w:r>
        <w:rPr>
          <w:rStyle w:val="CharDefText"/>
          <w:bCs/>
          <w:sz w:val="23"/>
        </w:rPr>
        <w:t>intervener</w:t>
      </w:r>
      <w:r>
        <w:rPr>
          <w:color w:val="000000"/>
          <w:sz w:val="23"/>
          <w:szCs w:val="23"/>
        </w:rPr>
        <w:t xml:space="preserve"> means a person or body referred to in section 253, 254 or 255 who has intervened in a review under Division 2 with the leave of the Tribunal or otherwise;</w:t>
      </w:r>
    </w:p>
    <w:p>
      <w:pPr>
        <w:keepLines/>
        <w:autoSpaceDE w:val="0"/>
        <w:autoSpaceDN w:val="0"/>
        <w:adjustRightInd w:val="0"/>
        <w:spacing w:before="120"/>
        <w:ind w:left="1588"/>
        <w:rPr>
          <w:color w:val="000000"/>
          <w:sz w:val="23"/>
          <w:szCs w:val="23"/>
        </w:rPr>
      </w:pPr>
      <w:r>
        <w:rPr>
          <w:rStyle w:val="CharDefText"/>
          <w:bCs/>
          <w:sz w:val="23"/>
          <w:szCs w:val="23"/>
        </w:rPr>
        <w:lastRenderedPageBreak/>
        <w:t>materially preferable designated NGO decision</w:t>
      </w:r>
      <w:r>
        <w:rPr>
          <w:color w:val="000000"/>
          <w:sz w:val="23"/>
          <w:szCs w:val="23"/>
        </w:rPr>
        <w:t>—see section 259(4a)(c);</w:t>
      </w:r>
    </w:p>
    <w:p>
      <w:pPr>
        <w:keepNext/>
        <w:keepLines/>
        <w:autoSpaceDE w:val="0"/>
        <w:autoSpaceDN w:val="0"/>
        <w:adjustRightInd w:val="0"/>
        <w:spacing w:before="120"/>
        <w:ind w:left="1588"/>
        <w:rPr>
          <w:color w:val="000000"/>
          <w:sz w:val="23"/>
          <w:szCs w:val="23"/>
        </w:rPr>
      </w:pPr>
      <w:r>
        <w:rPr>
          <w:rStyle w:val="CharDefText"/>
          <w:bCs/>
          <w:sz w:val="23"/>
        </w:rPr>
        <w:t>NCC recommendation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no</w:t>
      </w:r>
      <w:r>
        <w:rPr>
          <w:color w:val="000000"/>
          <w:sz w:val="23"/>
          <w:szCs w:val="23"/>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price regulation exemption recommendation;</w:t>
      </w:r>
    </w:p>
    <w:p>
      <w:pPr>
        <w:keepLines/>
        <w:autoSpaceDE w:val="0"/>
        <w:autoSpaceDN w:val="0"/>
        <w:adjustRightInd w:val="0"/>
        <w:spacing w:before="120"/>
        <w:ind w:left="1588"/>
        <w:rPr>
          <w:color w:val="000000"/>
          <w:sz w:val="23"/>
          <w:szCs w:val="23"/>
        </w:rPr>
      </w:pPr>
      <w:r>
        <w:rPr>
          <w:rStyle w:val="CharDefText"/>
          <w:bCs/>
          <w:sz w:val="23"/>
        </w:rPr>
        <w:t>original decision maker</w:t>
      </w:r>
      <w:r>
        <w:rPr>
          <w:bCs/>
          <w:i/>
          <w:iCs/>
          <w:color w:val="000000"/>
          <w:sz w:val="23"/>
          <w:szCs w:val="23"/>
        </w:rPr>
        <w:t xml:space="preserve"> </w:t>
      </w:r>
      <w:r>
        <w:rPr>
          <w:color w:val="000000"/>
          <w:sz w:val="23"/>
          <w:szCs w:val="23"/>
        </w:rPr>
        <w:t>means a relevant Minister, the Commonwealth Minister, the AER or the NCC;</w:t>
      </w:r>
    </w:p>
    <w:p>
      <w:pPr>
        <w:keepNext/>
        <w:keepLines/>
        <w:autoSpaceDE w:val="0"/>
        <w:autoSpaceDN w:val="0"/>
        <w:adjustRightInd w:val="0"/>
        <w:spacing w:before="120"/>
        <w:ind w:left="1588"/>
        <w:rPr>
          <w:color w:val="000000"/>
          <w:sz w:val="23"/>
          <w:szCs w:val="23"/>
        </w:rPr>
      </w:pPr>
      <w:r>
        <w:rPr>
          <w:rStyle w:val="CharDefText"/>
          <w:bCs/>
          <w:sz w:val="23"/>
        </w:rPr>
        <w:t>regulated revenue</w:t>
      </w:r>
      <w:r>
        <w:rPr>
          <w:bCs/>
          <w:i/>
          <w:iCs/>
          <w:color w:val="000000"/>
          <w:sz w:val="23"/>
          <w:szCs w:val="23"/>
        </w:rPr>
        <w:t xml:space="preserve"> </w:t>
      </w:r>
      <w:r>
        <w:rPr>
          <w:color w:val="000000"/>
          <w:sz w:val="23"/>
          <w:szCs w:val="23"/>
        </w:rPr>
        <w:t>means the total revenue earned or to be earned by a covered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during the regulatory period of,</w:t>
      </w:r>
    </w:p>
    <w:p>
      <w:pPr>
        <w:keepLines/>
        <w:autoSpaceDE w:val="0"/>
        <w:autoSpaceDN w:val="0"/>
        <w:adjustRightInd w:val="0"/>
        <w:spacing w:before="120"/>
        <w:ind w:left="1588"/>
        <w:rPr>
          <w:color w:val="000000"/>
          <w:sz w:val="23"/>
          <w:szCs w:val="23"/>
        </w:rPr>
      </w:pPr>
      <w:r>
        <w:rPr>
          <w:color w:val="000000"/>
          <w:sz w:val="23"/>
          <w:szCs w:val="23"/>
        </w:rPr>
        <w:t>an applicable access arrangement through the provision of reference services to which that arrangement applies;</w:t>
      </w:r>
    </w:p>
    <w:p>
      <w:pPr>
        <w:keepLines/>
        <w:autoSpaceDE w:val="0"/>
        <w:autoSpaceDN w:val="0"/>
        <w:adjustRightInd w:val="0"/>
        <w:spacing w:before="120"/>
        <w:ind w:left="1588"/>
        <w:rPr>
          <w:color w:val="000000"/>
          <w:sz w:val="23"/>
          <w:szCs w:val="23"/>
        </w:rPr>
      </w:pPr>
      <w:r>
        <w:rPr>
          <w:rStyle w:val="CharDefText"/>
          <w:bCs/>
          <w:sz w:val="23"/>
        </w:rPr>
        <w:t>regulatory period</w:t>
      </w:r>
      <w:r>
        <w:rPr>
          <w:bCs/>
          <w:i/>
          <w:iCs/>
          <w:color w:val="000000"/>
          <w:sz w:val="23"/>
          <w:szCs w:val="23"/>
        </w:rPr>
        <w:t xml:space="preserve"> </w:t>
      </w:r>
      <w:r>
        <w:rPr>
          <w:color w:val="000000"/>
          <w:sz w:val="23"/>
          <w:szCs w:val="23"/>
        </w:rPr>
        <w:t>means the period specified in an applicable access arrangement to be the regulatory period;</w:t>
      </w:r>
    </w:p>
    <w:p>
      <w:pPr>
        <w:keepLines/>
        <w:autoSpaceDE w:val="0"/>
        <w:autoSpaceDN w:val="0"/>
        <w:adjustRightInd w:val="0"/>
        <w:spacing w:before="120"/>
        <w:ind w:left="1588"/>
        <w:rPr>
          <w:color w:val="000000"/>
          <w:sz w:val="23"/>
          <w:szCs w:val="23"/>
        </w:rPr>
      </w:pPr>
      <w:r>
        <w:rPr>
          <w:rStyle w:val="CharDefText"/>
          <w:bCs/>
          <w:sz w:val="23"/>
        </w:rPr>
        <w:t>review under this Part</w:t>
      </w:r>
      <w:r>
        <w:rPr>
          <w:bCs/>
          <w:i/>
          <w:iCs/>
          <w:color w:val="000000"/>
          <w:sz w:val="23"/>
          <w:szCs w:val="23"/>
        </w:rPr>
        <w:t xml:space="preserve"> </w:t>
      </w:r>
      <w:r>
        <w:rPr>
          <w:color w:val="000000"/>
          <w:sz w:val="23"/>
          <w:szCs w:val="23"/>
        </w:rPr>
        <w:t>means a review under Division 2 or Division 3;</w:t>
      </w:r>
    </w:p>
    <w:p>
      <w:pPr>
        <w:keepNext/>
        <w:keepLines/>
        <w:autoSpaceDE w:val="0"/>
        <w:autoSpaceDN w:val="0"/>
        <w:adjustRightInd w:val="0"/>
        <w:spacing w:before="120"/>
        <w:ind w:left="1588"/>
        <w:rPr>
          <w:color w:val="000000"/>
          <w:sz w:val="23"/>
          <w:szCs w:val="23"/>
        </w:rPr>
      </w:pPr>
      <w:r>
        <w:rPr>
          <w:rStyle w:val="CharDefText"/>
          <w:bCs/>
          <w:sz w:val="23"/>
        </w:rPr>
        <w:t>reviewable regulatory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Ministerial coverage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light regulation determination or a decision of the NCC under Chapter 3 Part 2 not to make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decision of the NCC under Chapter 3 Part 2 to revoke or not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designated reviewable regulatory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(f)</w:t>
      </w:r>
      <w:r>
        <w:rPr>
          <w:color w:val="000000"/>
          <w:sz w:val="23"/>
          <w:szCs w:val="23"/>
        </w:rPr>
        <w:tab/>
        <w:t>a decision of the AER under section 146 to give an exemption;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 associate contract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 decision of an original decision maker that is prescribed by the Regulations to be a reviewable regulatory decision,</w:t>
      </w:r>
    </w:p>
    <w:p>
      <w:pPr>
        <w:keepLines/>
        <w:autoSpaceDE w:val="0"/>
        <w:autoSpaceDN w:val="0"/>
        <w:adjustRightInd w:val="0"/>
        <w:spacing w:before="120"/>
        <w:ind w:left="1588"/>
        <w:rPr>
          <w:color w:val="000000"/>
          <w:sz w:val="23"/>
          <w:szCs w:val="23"/>
        </w:rPr>
      </w:pPr>
      <w:r>
        <w:rPr>
          <w:color w:val="000000"/>
          <w:sz w:val="23"/>
          <w:szCs w:val="23"/>
        </w:rPr>
        <w:t>but does not include a decision of the AER made under Chapter 10 Part 2;</w:t>
      </w:r>
    </w:p>
    <w:p>
      <w:pPr>
        <w:keepLines/>
        <w:autoSpaceDE w:val="0"/>
        <w:autoSpaceDN w:val="0"/>
        <w:adjustRightInd w:val="0"/>
        <w:spacing w:before="120"/>
        <w:ind w:left="1588"/>
        <w:rPr>
          <w:color w:val="000000"/>
          <w:sz w:val="23"/>
          <w:szCs w:val="23"/>
        </w:rPr>
      </w:pPr>
      <w:r>
        <w:rPr>
          <w:rStyle w:val="CharDefText"/>
          <w:bCs/>
          <w:sz w:val="23"/>
          <w:szCs w:val="23"/>
        </w:rPr>
        <w:t>reviewable regulatory decision process participant</w:t>
      </w:r>
      <w:r>
        <w:rPr>
          <w:color w:val="000000"/>
          <w:sz w:val="23"/>
          <w:szCs w:val="23"/>
        </w:rPr>
        <w:t xml:space="preserve"> means a person or body who, in relation to a reviewable regulatory decision that is being reviewed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made a submission or comment in relation to the making of that decision within the time required under this Law or the Rules following an invitation to do so by the original decision maker;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made a submission or comment in relation to the making of that decision outside the time required under this Law or the Rules following an invitation to do so by the original decision maker but which the original decision maker chose to take into account in the making of that decision,</w:t>
      </w:r>
    </w:p>
    <w:p>
      <w:pPr>
        <w:keepLines/>
        <w:autoSpaceDE w:val="0"/>
        <w:autoSpaceDN w:val="0"/>
        <w:adjustRightInd w:val="0"/>
        <w:spacing w:before="120"/>
        <w:ind w:left="1588"/>
        <w:rPr>
          <w:color w:val="000000"/>
          <w:sz w:val="23"/>
          <w:szCs w:val="23"/>
        </w:rPr>
      </w:pPr>
      <w:r>
        <w:rPr>
          <w:color w:val="000000"/>
          <w:sz w:val="23"/>
          <w:szCs w:val="23"/>
        </w:rPr>
        <w:t>and includes, in relation to a designated reviewable regulatory decision, a Minister of a participating jurisdiction;</w:t>
      </w:r>
    </w:p>
    <w:p>
      <w:pPr>
        <w:keepNext/>
        <w:keepLines/>
        <w:autoSpaceDE w:val="0"/>
        <w:autoSpaceDN w:val="0"/>
        <w:adjustRightInd w:val="0"/>
        <w:spacing w:before="120"/>
        <w:ind w:left="1588"/>
        <w:rPr>
          <w:color w:val="000000"/>
          <w:sz w:val="23"/>
          <w:szCs w:val="23"/>
        </w:rPr>
      </w:pPr>
      <w:r>
        <w:rPr>
          <w:rStyle w:val="CharDefText"/>
          <w:bCs/>
          <w:sz w:val="23"/>
        </w:rPr>
        <w:t>small/medium user or consumer intervener</w:t>
      </w:r>
      <w:r>
        <w:rPr>
          <w:bCs/>
          <w:i/>
          <w:iCs/>
          <w:color w:val="000000"/>
          <w:sz w:val="23"/>
          <w:szCs w:val="23"/>
        </w:rPr>
        <w:t xml:space="preserve"> </w:t>
      </w:r>
      <w:r>
        <w:rPr>
          <w:color w:val="000000"/>
          <w:sz w:val="23"/>
          <w:szCs w:val="23"/>
        </w:rPr>
        <w:t>means a user or consumer intervener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members of which are only small to medium users or end users;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does not have any such members, has, as an object or purpose, the object or purpose of representing and promoting the interests of small to medium users or end users;</w:t>
      </w:r>
    </w:p>
    <w:p>
      <w:pPr>
        <w:keepLines/>
        <w:autoSpaceDE w:val="0"/>
        <w:autoSpaceDN w:val="0"/>
        <w:adjustRightInd w:val="0"/>
        <w:spacing w:before="120"/>
        <w:ind w:left="1588"/>
        <w:rPr>
          <w:color w:val="000000"/>
          <w:sz w:val="23"/>
          <w:szCs w:val="23"/>
        </w:rPr>
      </w:pPr>
      <w:r>
        <w:rPr>
          <w:rStyle w:val="CharDefText"/>
          <w:bCs/>
          <w:sz w:val="23"/>
        </w:rPr>
        <w:lastRenderedPageBreak/>
        <w:t>small to medium user or end user</w:t>
      </w:r>
      <w:r>
        <w:rPr>
          <w:bCs/>
          <w:i/>
          <w:iCs/>
          <w:color w:val="000000"/>
          <w:sz w:val="23"/>
          <w:szCs w:val="23"/>
        </w:rPr>
        <w:t xml:space="preserve"> </w:t>
      </w:r>
      <w:r>
        <w:rPr>
          <w:color w:val="000000"/>
          <w:sz w:val="23"/>
          <w:szCs w:val="23"/>
        </w:rPr>
        <w:t>means a user or end user whose annual consumption of natural gas does not exceed a level (expressed in terajoules) fixed by Regulation for the purposes of this definition;</w:t>
      </w:r>
    </w:p>
    <w:p>
      <w:pPr>
        <w:keepNext/>
        <w:keepLines/>
        <w:autoSpaceDE w:val="0"/>
        <w:autoSpaceDN w:val="0"/>
        <w:adjustRightInd w:val="0"/>
        <w:spacing w:before="120"/>
        <w:ind w:left="1588"/>
        <w:rPr>
          <w:color w:val="000000"/>
          <w:sz w:val="23"/>
          <w:szCs w:val="23"/>
        </w:rPr>
      </w:pPr>
      <w:r>
        <w:rPr>
          <w:rStyle w:val="CharDefText"/>
          <w:bCs/>
          <w:sz w:val="23"/>
        </w:rPr>
        <w:t>user or consumer association</w:t>
      </w:r>
      <w:r>
        <w:rPr>
          <w:bCs/>
          <w:i/>
          <w:iCs/>
          <w:color w:val="000000"/>
          <w:sz w:val="23"/>
          <w:szCs w:val="23"/>
        </w:rPr>
        <w:t xml:space="preserve"> </w:t>
      </w:r>
      <w:r>
        <w:rPr>
          <w:color w:val="000000"/>
          <w:sz w:val="23"/>
          <w:szCs w:val="23"/>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members of which include more than 1 user, prospective user or end user;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represents and promotes the interests of those members in relation to the provision of natural gas services;</w:t>
      </w:r>
    </w:p>
    <w:p>
      <w:pPr>
        <w:keepNext/>
        <w:keepLines/>
        <w:autoSpaceDE w:val="0"/>
        <w:autoSpaceDN w:val="0"/>
        <w:adjustRightInd w:val="0"/>
        <w:spacing w:before="120"/>
        <w:ind w:left="1588"/>
        <w:rPr>
          <w:color w:val="000000"/>
          <w:sz w:val="23"/>
          <w:szCs w:val="23"/>
        </w:rPr>
      </w:pPr>
      <w:r>
        <w:rPr>
          <w:rStyle w:val="CharDefText"/>
          <w:bCs/>
          <w:sz w:val="23"/>
        </w:rPr>
        <w:t>user or consumer interest group</w:t>
      </w:r>
      <w:r>
        <w:rPr>
          <w:bCs/>
          <w:i/>
          <w:iCs/>
          <w:color w:val="000000"/>
          <w:sz w:val="23"/>
          <w:szCs w:val="23"/>
        </w:rPr>
        <w:t xml:space="preserve"> </w:t>
      </w:r>
      <w:r>
        <w:rPr>
          <w:color w:val="000000"/>
          <w:sz w:val="23"/>
          <w:szCs w:val="23"/>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has, as an object or purpose, the object or purpose of representing and promoting the interests of users or prospective users or end users of natural gas services;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members of which need not include a user, prospective user or end user;</w:t>
      </w:r>
    </w:p>
    <w:p>
      <w:pPr>
        <w:keepNext/>
        <w:keepLines/>
        <w:autoSpaceDE w:val="0"/>
        <w:autoSpaceDN w:val="0"/>
        <w:adjustRightInd w:val="0"/>
        <w:spacing w:before="120"/>
        <w:ind w:left="1588"/>
        <w:rPr>
          <w:color w:val="000000"/>
          <w:sz w:val="23"/>
          <w:szCs w:val="23"/>
        </w:rPr>
      </w:pPr>
      <w:r>
        <w:rPr>
          <w:rStyle w:val="CharDefText"/>
          <w:bCs/>
          <w:sz w:val="23"/>
        </w:rPr>
        <w:t xml:space="preserve">user or consumer intervener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user or consumer association;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user or consumer interest group,</w:t>
      </w:r>
    </w:p>
    <w:p>
      <w:pPr>
        <w:keepLines/>
        <w:autoSpaceDE w:val="0"/>
        <w:autoSpaceDN w:val="0"/>
        <w:adjustRightInd w:val="0"/>
        <w:spacing w:before="120"/>
        <w:ind w:left="1588"/>
        <w:rPr>
          <w:color w:val="000000"/>
          <w:sz w:val="23"/>
          <w:szCs w:val="23"/>
        </w:rPr>
      </w:pPr>
      <w:r>
        <w:rPr>
          <w:color w:val="000000"/>
          <w:sz w:val="23"/>
          <w:szCs w:val="23"/>
        </w:rPr>
        <w:t>that has made a submission or comment in relation to the making of a reviewable regulatory decision following an invitation to do so under this Law or the Rules.</w:t>
      </w:r>
    </w:p>
    <w:p>
      <w:pPr>
        <w:pStyle w:val="Footnotesection"/>
        <w:rPr>
          <w:szCs w:val="23"/>
        </w:rPr>
      </w:pPr>
      <w:r>
        <w:tab/>
        <w:t>[Section 244 amended see SA Act No. 79 of 2013 s. 22 and WA Gazette 14 Mar 2014 p. 632.]</w:t>
      </w:r>
    </w:p>
    <w:p>
      <w:pPr>
        <w:pStyle w:val="Heading4"/>
      </w:pPr>
      <w:bookmarkStart w:id="811" w:name="_Toc156819417"/>
      <w:bookmarkStart w:id="812" w:name="_Toc156990836"/>
      <w:bookmarkStart w:id="813" w:name="_Toc158375056"/>
      <w:r>
        <w:lastRenderedPageBreak/>
        <w:t>Division 2 — Merits review for reviewable regulatory decisions</w:t>
      </w:r>
      <w:bookmarkEnd w:id="811"/>
      <w:bookmarkEnd w:id="812"/>
      <w:bookmarkEnd w:id="813"/>
    </w:p>
    <w:p>
      <w:pPr>
        <w:pStyle w:val="Heading5"/>
      </w:pPr>
      <w:bookmarkStart w:id="814" w:name="_Toc158375057"/>
      <w:r>
        <w:rPr>
          <w:rStyle w:val="CharSectno"/>
        </w:rPr>
        <w:t>245</w:t>
      </w:r>
      <w:r>
        <w:t>.</w:t>
      </w:r>
      <w:r>
        <w:tab/>
        <w:t>Applications for review</w:t>
      </w:r>
      <w:bookmarkEnd w:id="81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an affected or interested person or body, with the leave of the Tribunal, may apply to the Tribunal for a review of a reviewable regulatory decision.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the form and manner determined by the Tribunal;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grounds for review being relied on.</w:t>
      </w:r>
    </w:p>
    <w:p>
      <w:pPr>
        <w:pStyle w:val="Heading5"/>
      </w:pPr>
      <w:bookmarkStart w:id="815" w:name="_Toc158375058"/>
      <w:r>
        <w:rPr>
          <w:rStyle w:val="CharSectno"/>
        </w:rPr>
        <w:t>246</w:t>
      </w:r>
      <w:r>
        <w:t>.</w:t>
      </w:r>
      <w:r>
        <w:tab/>
        <w:t>Grounds for review</w:t>
      </w:r>
      <w:bookmarkEnd w:id="81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application under section 245(1) may be made only on 1 or more of the following grounds: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original decision maker made an error of fact in the decision maker’s findings of facts, and that error of fact was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original decision maker made more than 1 error of fact in the decision maker’s findings of facts, and those errors of fact, in combination, were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exercise of the original decision maker’s discretion was incorrect, having regard to all the circumstances;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original decision maker’s decision was unreasonable, having regard to all the circumstances.</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 xml:space="preserve">An application under section 245(1) that relates to a designated reviewable regulatory decision must also specify the manner in which a determination made by the Tribunal varying the designated reviewable regulatory decision, or setting aside the designated reviewable regulatory decision and a fresh decision being made by the </w:t>
      </w:r>
      <w:r>
        <w:rPr>
          <w:color w:val="000000"/>
          <w:sz w:val="23"/>
          <w:szCs w:val="23"/>
        </w:rPr>
        <w:lastRenderedPageBreak/>
        <w:t>AER following remission of the matter to the AER by the Tribunal, on the basis of 1 or more grounds raised in the application, either separately or collectively, would, or would be likely to, result in a materially preferable designated NGO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for the applicant to establish a ground listed in subsection (1) and the matter referred to in subsection (1a).</w:t>
      </w:r>
    </w:p>
    <w:p>
      <w:pPr>
        <w:pStyle w:val="Footnotesection"/>
        <w:rPr>
          <w:szCs w:val="23"/>
        </w:rPr>
      </w:pPr>
      <w:r>
        <w:tab/>
        <w:t>[Section 246 amended see SA Act No. 79 of 2013 s. 23 and WA Gazette 14 Mar 2014 p. 632.]</w:t>
      </w:r>
    </w:p>
    <w:p>
      <w:pPr>
        <w:pStyle w:val="Heading5"/>
      </w:pPr>
      <w:bookmarkStart w:id="816" w:name="_Toc158375059"/>
      <w:r>
        <w:rPr>
          <w:rStyle w:val="CharSectno"/>
        </w:rPr>
        <w:t>247</w:t>
      </w:r>
      <w:r>
        <w:t>.</w:t>
      </w:r>
      <w:r>
        <w:tab/>
        <w:t>By when an application must be made</w:t>
      </w:r>
      <w:bookmarkEnd w:id="81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application under section 245(1) in respect of a reviewable regulatory decision (other than a coverage related light regulation decision) must be made no later than 15 business days after the reviewable regulatory decision is published in accordance with this Law or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under section 245(1) in respect of a coverage related light regulation decision must be made—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decision of the NCC under section 110(1), no later than 15 business days after the making of the coverage determination relating to the coverage recommendation to which the decision under section 110(1) is attached;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decision of the NCC under section 119(3), no later than 15 business days after the making of the coverage revocation determination relating to the coverage revocation recommendation to which the decision under section 119(3) is attached.</w:t>
      </w:r>
    </w:p>
    <w:p>
      <w:pPr>
        <w:pStyle w:val="Heading5"/>
      </w:pPr>
      <w:bookmarkStart w:id="817" w:name="_Toc158375060"/>
      <w:r>
        <w:rPr>
          <w:rStyle w:val="CharSectno"/>
        </w:rPr>
        <w:lastRenderedPageBreak/>
        <w:t>248</w:t>
      </w:r>
      <w:r>
        <w:t>.</w:t>
      </w:r>
      <w:r>
        <w:tab/>
        <w:t>Tribunal must not grant leave unless serious issue to be heard and determined</w:t>
      </w:r>
      <w:bookmarkEnd w:id="817"/>
    </w:p>
    <w:p>
      <w:pPr>
        <w:keepLines/>
        <w:autoSpaceDE w:val="0"/>
        <w:autoSpaceDN w:val="0"/>
        <w:adjustRightInd w:val="0"/>
        <w:spacing w:before="120"/>
        <w:ind w:left="1588"/>
        <w:rPr>
          <w:color w:val="000000"/>
          <w:sz w:val="23"/>
          <w:szCs w:val="23"/>
        </w:rPr>
      </w:pPr>
      <w:r>
        <w:rPr>
          <w:color w:val="000000"/>
          <w:sz w:val="23"/>
          <w:szCs w:val="23"/>
        </w:rPr>
        <w:t xml:space="preserve">Subject to this Division, the Tribunal must not grant leave to apply under section 245(1) unless it appears to the Tribunal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there is a serious issue to be heard and determined as to whether a ground for review set out in section 246(1) exists;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designated reviewable regulatory decision—that the applicant has established a prima facie case that a determination made by the Tribunal varying the designated reviewable regulatory decision, or setting aside the designated reviewable regulatory decision and a fresh decision being made by the AER following remission of the matter to the AER by the Tribunal, on the basis of 1 or more grounds raised in the application, either separately or collectively, would, or would be likely to, result in a materially preferable designated NGO decision.</w:t>
      </w:r>
    </w:p>
    <w:p>
      <w:pPr>
        <w:pStyle w:val="Footnotesection"/>
        <w:rPr>
          <w:szCs w:val="23"/>
        </w:rPr>
      </w:pPr>
      <w:r>
        <w:tab/>
        <w:t>[Section 248 amended see SA Act No. 79 of 2013 s. 24 and WA Gazette 14 Mar 2014 p. 632.]</w:t>
      </w:r>
    </w:p>
    <w:p>
      <w:pPr>
        <w:pStyle w:val="Heading5"/>
      </w:pPr>
      <w:bookmarkStart w:id="818" w:name="_Toc158375061"/>
      <w:r>
        <w:rPr>
          <w:rStyle w:val="CharSectno"/>
        </w:rPr>
        <w:t>249</w:t>
      </w:r>
      <w:r>
        <w:t>.</w:t>
      </w:r>
      <w:r>
        <w:tab/>
        <w:t>Leave must be refused if application is about an error relating to revenue amounts below specified threshold</w:t>
      </w:r>
      <w:bookmarkEnd w:id="81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leave to apply under section 245(1) is about an error in a designated reviewable regulatory decision that is a full access arrangement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ground for review relied on by the applicant relates to the amount of revenue that may be earned by a covered pipeline service provider that is specified in or derived from that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(2)</w:t>
      </w:r>
      <w:r>
        <w:rPr>
          <w:color w:val="000000"/>
          <w:sz w:val="23"/>
          <w:szCs w:val="23"/>
        </w:rPr>
        <w:tab/>
        <w:t>Despite section 248, the Tribunal must not grant leave to apply under section 245(1) even if there is a serious issue to be heard and determined as to whether a ground for review set out in section 246(1) exists unless the amount that is specified in or derived from the decision exceeds the lesser of $5 000 000 or 2% of the average annual regulated revenue of the covered pipeline service provider.</w:t>
      </w:r>
    </w:p>
    <w:p>
      <w:pPr>
        <w:pStyle w:val="Footnotesection"/>
        <w:rPr>
          <w:szCs w:val="23"/>
        </w:rPr>
      </w:pPr>
      <w:r>
        <w:tab/>
        <w:t>[Section 249 amended see SA Act No. 79 of 2013 s. 25 and WA Gazette 14 Mar 2014 p. 632.]</w:t>
      </w:r>
    </w:p>
    <w:p>
      <w:pPr>
        <w:pStyle w:val="Heading5"/>
        <w:keepNext w:val="0"/>
        <w:keepLines w:val="0"/>
        <w:spacing w:before="120"/>
      </w:pPr>
      <w:bookmarkStart w:id="819" w:name="_Toc158375062"/>
      <w:r>
        <w:rPr>
          <w:rStyle w:val="CharSectno"/>
        </w:rPr>
        <w:t>250</w:t>
      </w:r>
      <w:r>
        <w:t>.</w:t>
      </w:r>
      <w:r>
        <w:tab/>
        <w:t>Tribunal must refuse to grant leave if submission not made or is made late</w:t>
      </w:r>
      <w:bookmarkEnd w:id="819"/>
    </w:p>
    <w:p>
      <w:pPr>
        <w:autoSpaceDE w:val="0"/>
        <w:autoSpaceDN w:val="0"/>
        <w:adjustRightInd w:val="0"/>
        <w:spacing w:before="120"/>
        <w:ind w:left="1588"/>
        <w:rPr>
          <w:color w:val="000000"/>
          <w:sz w:val="23"/>
          <w:szCs w:val="23"/>
        </w:rPr>
      </w:pPr>
      <w:r>
        <w:rPr>
          <w:color w:val="000000"/>
          <w:sz w:val="23"/>
          <w:szCs w:val="23"/>
        </w:rPr>
        <w:t xml:space="preserve">The Tribunal must not grant leave to apply under section 245(1) to a person or body referred to in paragraph (b), (c) or (d) of the definition of </w:t>
      </w:r>
      <w:r>
        <w:rPr>
          <w:rStyle w:val="CharDefText"/>
          <w:bCs/>
          <w:sz w:val="23"/>
        </w:rPr>
        <w:t>affected or interested person or body</w:t>
      </w:r>
      <w:r>
        <w:rPr>
          <w:bCs/>
          <w:i/>
          <w:iCs/>
          <w:color w:val="000000"/>
          <w:sz w:val="23"/>
          <w:szCs w:val="23"/>
        </w:rPr>
        <w:t xml:space="preserve"> </w:t>
      </w:r>
      <w:r>
        <w:rPr>
          <w:color w:val="000000"/>
          <w:sz w:val="23"/>
          <w:szCs w:val="23"/>
        </w:rPr>
        <w:t>in section 244 if that person or body—</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did not make a submission or comment in relation to the making of the reviewable regulatory decision under review following an invitation to do so under this Law or the Rules;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did make a submission or comment in relation to the making of the reviewable regulatory decision under review following an invitation to do so under this Law or the Rules but that submission—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was not made within the time required under this Law or the Rules following that invitation;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was not taken into account in the making of the decision.</w:t>
      </w:r>
    </w:p>
    <w:p>
      <w:pPr>
        <w:pStyle w:val="Heading5"/>
      </w:pPr>
      <w:bookmarkStart w:id="820" w:name="_Toc158375063"/>
      <w:r>
        <w:rPr>
          <w:rStyle w:val="CharSectno"/>
        </w:rPr>
        <w:lastRenderedPageBreak/>
        <w:t>251</w:t>
      </w:r>
      <w:r>
        <w:t>.</w:t>
      </w:r>
      <w:r>
        <w:tab/>
        <w:t>Tribunal may refuse to grant leave to service provider in certain cases</w:t>
      </w:r>
      <w:bookmarkEnd w:id="82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an application under section 245(1) by a service provider for a review of a reviewable regulatory decision that applies to the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Tribunal is satisfied of the matters set out in section 248 or 249 to grant leave to apply under section 245(1).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being satisfied of the matters set out in section 248 or 249 to grant leave to apply under section 245(1), the Tribunal may refuse to grant leave to the service provider if the Tribunal is satisfied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without reasonable excuse—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failed to comply with a request (including a request for relevant information), or a direction made under this Law or the Rules for the purpose of making the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conducted itself in a manner that resulted in the making of the decision being delayed;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misled, or attempted to mislead—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all cases, the original decision maker on a matter relevant to the original decision maker’s decision;</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reviewable regulatory decision that is a Ministerial coverage decision, the NCC on a matter relevant to the making of an NCC recommendation relating to the decision.</w:t>
      </w:r>
    </w:p>
    <w:p>
      <w:pPr>
        <w:pStyle w:val="Heading5"/>
      </w:pPr>
      <w:bookmarkStart w:id="821" w:name="_Toc158375064"/>
      <w:r>
        <w:rPr>
          <w:rStyle w:val="CharSectno"/>
        </w:rPr>
        <w:lastRenderedPageBreak/>
        <w:t>252</w:t>
      </w:r>
      <w:r>
        <w:t>.</w:t>
      </w:r>
      <w:r>
        <w:tab/>
        <w:t>Effect of application on operation of reviewable regulatory decisions</w:t>
      </w:r>
      <w:bookmarkEnd w:id="821"/>
    </w:p>
    <w:p>
      <w:pPr>
        <w:keepNext/>
        <w:keepLines/>
        <w:autoSpaceDE w:val="0"/>
        <w:autoSpaceDN w:val="0"/>
        <w:adjustRightInd w:val="0"/>
        <w:spacing w:before="120"/>
        <w:ind w:left="1588"/>
        <w:rPr>
          <w:color w:val="000000"/>
          <w:sz w:val="23"/>
          <w:szCs w:val="23"/>
        </w:rPr>
      </w:pPr>
      <w:r>
        <w:rPr>
          <w:color w:val="000000"/>
          <w:sz w:val="23"/>
          <w:szCs w:val="23"/>
        </w:rPr>
        <w:t>An application under section 245(1)—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does not the stay the operation of the following reviewable regulatory decisions: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applicable access arrangement decision approving or making an applicable access arrangement;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associate contract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stays the operation of any other reviewable regulatory decision on the granting of leave to apply by the Tribunal, unless the Tribunal otherwise orders.</w:t>
      </w:r>
    </w:p>
    <w:p>
      <w:pPr>
        <w:pStyle w:val="Heading5"/>
      </w:pPr>
      <w:bookmarkStart w:id="822" w:name="_Toc158375065"/>
      <w:r>
        <w:rPr>
          <w:rStyle w:val="CharSectno"/>
        </w:rPr>
        <w:t>253</w:t>
      </w:r>
      <w:r>
        <w:t>.</w:t>
      </w:r>
      <w:r>
        <w:tab/>
        <w:t>Intervention by others in a review without leave</w:t>
      </w:r>
      <w:bookmarkEnd w:id="822"/>
    </w:p>
    <w:p>
      <w:pPr>
        <w:keepNext/>
        <w:keepLines/>
        <w:autoSpaceDE w:val="0"/>
        <w:autoSpaceDN w:val="0"/>
        <w:adjustRightInd w:val="0"/>
        <w:spacing w:before="120"/>
        <w:ind w:left="1588"/>
        <w:rPr>
          <w:color w:val="000000"/>
          <w:sz w:val="23"/>
          <w:szCs w:val="23"/>
        </w:rPr>
      </w:pPr>
      <w:r>
        <w:rPr>
          <w:color w:val="000000"/>
          <w:sz w:val="23"/>
          <w:szCs w:val="23"/>
        </w:rPr>
        <w:t>Only the following persons may intervene in a review under this Division without leave of the Tribunal: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whom the reviewable regulatory decision being reviewed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Minister of a participating jurisdiction.</w:t>
      </w:r>
    </w:p>
    <w:p>
      <w:pPr>
        <w:pStyle w:val="Heading5"/>
      </w:pPr>
      <w:bookmarkStart w:id="823" w:name="_Toc158375066"/>
      <w:r>
        <w:rPr>
          <w:rStyle w:val="CharSectno"/>
        </w:rPr>
        <w:t>254</w:t>
      </w:r>
      <w:r>
        <w:t>.</w:t>
      </w:r>
      <w:r>
        <w:tab/>
        <w:t>Leave for reviewable regulatory decision process participants</w:t>
      </w:r>
      <w:bookmarkEnd w:id="82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must grant leave to a person or body to intervene in a review under this Division if that person or body is a reviewable regulatory decision process participant (other than a user or consumer intervener).</w:t>
      </w:r>
    </w:p>
    <w:p>
      <w:pPr>
        <w:tabs>
          <w:tab w:val="center" w:pos="1191"/>
          <w:tab w:val="left" w:pos="1588"/>
        </w:tabs>
        <w:autoSpaceDE w:val="0"/>
        <w:autoSpaceDN w:val="0"/>
        <w:adjustRightInd w:val="0"/>
        <w:spacing w:before="120"/>
        <w:ind w:left="1588" w:hanging="794"/>
        <w:rPr>
          <w:i/>
          <w:color w:val="000000"/>
          <w:sz w:val="23"/>
          <w:szCs w:val="23"/>
        </w:rPr>
      </w:pPr>
      <w:r>
        <w:rPr>
          <w:color w:val="000000"/>
          <w:sz w:val="23"/>
          <w:szCs w:val="23"/>
        </w:rPr>
        <w:tab/>
      </w:r>
      <w:r>
        <w:rPr>
          <w:i/>
          <w:color w:val="000000"/>
          <w:sz w:val="23"/>
          <w:szCs w:val="23"/>
        </w:rPr>
        <w:t>[(2)</w:t>
      </w:r>
      <w:r>
        <w:rPr>
          <w:i/>
          <w:color w:val="000000"/>
          <w:sz w:val="23"/>
          <w:szCs w:val="23"/>
        </w:rPr>
        <w:tab/>
        <w:t>deleted]</w:t>
      </w:r>
    </w:p>
    <w:p>
      <w:pPr>
        <w:pStyle w:val="Footnotesection"/>
        <w:rPr>
          <w:szCs w:val="23"/>
        </w:rPr>
      </w:pPr>
      <w:r>
        <w:tab/>
        <w:t>[Section 254 amended see SA Act No. 79 of 2013 s. 26 and WA Gazette 14 Mar 2014 p. 632.]</w:t>
      </w:r>
    </w:p>
    <w:p>
      <w:pPr>
        <w:pStyle w:val="Heading5"/>
      </w:pPr>
      <w:bookmarkStart w:id="824" w:name="_Toc158375067"/>
      <w:r>
        <w:rPr>
          <w:rStyle w:val="CharSectno"/>
        </w:rPr>
        <w:lastRenderedPageBreak/>
        <w:t>255</w:t>
      </w:r>
      <w:r>
        <w:t>.</w:t>
      </w:r>
      <w:r>
        <w:tab/>
        <w:t>Leave for user or consumer intervener</w:t>
      </w:r>
      <w:bookmarkEnd w:id="82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user or consumer intervener may apply to the Tribunal for leave to intervene in a review of a reviewable regulatory decision under this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may grant leave to a user or consumer intervener to intervene in a review under this Division.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subsection (2), the Tribunal may grant leave to a user or consumer intervener to intervene in a review under this Division if the Tribunal is satisfied—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user or consumer intervener, in its application for leave to intervene, raises a matter that will not be raised by the original decision maker or the applicant;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or material the user or consumer intervener wishes to present, or the submissions the user or consumer intervener wishes to make, in the review are likely to be better presented or made by the user or consumer intervener rather than another party to the review;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interests of the user or consumer intervener or its members are affected by the decision being reviewed.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For the purposes of subsection (3)(c)—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interests of a user or consumer intervener are to be taken to be affected if the reviewable regulatory decision being reviewed relates to an object or purpose of the user or consumer intervener;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interests of a user or consumer intervener are not to be taken to not be affected only because those interests do not coincide with the interests of the applicant.</w:t>
      </w:r>
    </w:p>
    <w:p>
      <w:pPr>
        <w:pStyle w:val="Heading5"/>
      </w:pPr>
      <w:bookmarkStart w:id="825" w:name="_Toc158375068"/>
      <w:r>
        <w:rPr>
          <w:rStyle w:val="CharSectno"/>
        </w:rPr>
        <w:lastRenderedPageBreak/>
        <w:t>256</w:t>
      </w:r>
      <w:r>
        <w:t>.</w:t>
      </w:r>
      <w:r>
        <w:tab/>
        <w:t>Interveners may raise new grounds for review</w:t>
      </w:r>
      <w:bookmarkEnd w:id="82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intervener may raise in a review under this Division any of the grounds specified in section 246 even if the ground that is raised by the intervener is not raised by the applicant.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If an intervener raises a new ground for review under subsection (1) in relation to a designated reviewable regulatory decision, the intervener must also specify the manner in which a determination made by the Tribunal varying the designated reviewable regulatory decision, or setting aside the designated reviewable regulatory decision and a fresh decision being made by the AER following remission of the matter to the AER by the Tribunal, on the basis of 1 or more grounds raised in the notice of intervention or in the application for review, either separately or collectively, would, or would be likely to, result in a materially preferable designated NGO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it is for the intervener to establish the ground referred to in subsection (1)</w:t>
      </w:r>
      <w:r>
        <w:t xml:space="preserve"> </w:t>
      </w:r>
      <w:r>
        <w:rPr>
          <w:color w:val="000000"/>
          <w:sz w:val="23"/>
          <w:szCs w:val="23"/>
        </w:rPr>
        <w:t>and the matter referred to in subsection (1a).</w:t>
      </w:r>
    </w:p>
    <w:p>
      <w:pPr>
        <w:pStyle w:val="Footnotesection"/>
        <w:rPr>
          <w:szCs w:val="23"/>
        </w:rPr>
      </w:pPr>
      <w:r>
        <w:tab/>
        <w:t>[Section 256 amended see SA Act No. 79 of 2013 s. 27 and WA Gazette 14 Mar 2014 p. 632.]</w:t>
      </w:r>
    </w:p>
    <w:p>
      <w:pPr>
        <w:pStyle w:val="Heading5"/>
      </w:pPr>
      <w:bookmarkStart w:id="826" w:name="_Toc158375069"/>
      <w:r>
        <w:rPr>
          <w:rStyle w:val="CharSectno"/>
        </w:rPr>
        <w:t>257</w:t>
      </w:r>
      <w:r>
        <w:t>.</w:t>
      </w:r>
      <w:r>
        <w:tab/>
        <w:t>Parties to a review under this Division</w:t>
      </w:r>
      <w:bookmarkEnd w:id="826"/>
    </w:p>
    <w:p>
      <w:pPr>
        <w:keepNext/>
        <w:keepLines/>
        <w:autoSpaceDE w:val="0"/>
        <w:autoSpaceDN w:val="0"/>
        <w:adjustRightInd w:val="0"/>
        <w:spacing w:before="120"/>
        <w:ind w:left="1588"/>
        <w:rPr>
          <w:color w:val="000000"/>
          <w:sz w:val="23"/>
          <w:szCs w:val="23"/>
        </w:rPr>
      </w:pPr>
      <w:r>
        <w:rPr>
          <w:color w:val="000000"/>
          <w:sz w:val="23"/>
          <w:szCs w:val="23"/>
        </w:rPr>
        <w:t>The parties to a review under this Division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original decision maker whose decision is the reviewable regulatory decision being reviewed under this Division;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intervener.</w:t>
      </w:r>
    </w:p>
    <w:p>
      <w:pPr>
        <w:pStyle w:val="Heading5"/>
        <w:keepLines w:val="0"/>
      </w:pPr>
      <w:bookmarkStart w:id="827" w:name="_Toc158375070"/>
      <w:r>
        <w:rPr>
          <w:rStyle w:val="CharSectno"/>
        </w:rPr>
        <w:lastRenderedPageBreak/>
        <w:t>258</w:t>
      </w:r>
      <w:r>
        <w:t>.</w:t>
      </w:r>
      <w:r>
        <w:tab/>
        <w:t>Matters that parties to a review may and may not raise in a review</w:t>
      </w:r>
      <w:bookmarkEnd w:id="827"/>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(a1)</w:t>
      </w:r>
      <w:r>
        <w:rPr>
          <w:color w:val="000000"/>
          <w:sz w:val="23"/>
          <w:szCs w:val="23"/>
        </w:rPr>
        <w:tab/>
        <w:t>This section does not apply to a designated reviewable regulatory decision (see section 258A).</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original decision maker whose decision is the reviewable regulatory decision being reviewed under this Division may, in the review, raise—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matter not raised by the applicant or an intervener that relates to a ground for review, or a matter raised in support of a ground for review, raised by the applicant or an intervener;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possible outcome or effect on the reviewable regulatory decision being reviewed that the original decision maker considers may occur as a consequence of the Tribunal making a determination setting aside or varying the reviewable regulatory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party (other than the original decision maker) to a review under this Division may not raise any matter that was not raised in submissions in relation to the reviewable regulatory decision before that decision was made.</w:t>
      </w:r>
    </w:p>
    <w:p>
      <w:pPr>
        <w:pStyle w:val="Footnotesection"/>
      </w:pPr>
      <w:r>
        <w:tab/>
        <w:t>[Section 258 amended see SA Act No. 79 of 2013 s. 28 and WA Gazette 14 Mar 2014 p. 632.]</w:t>
      </w:r>
    </w:p>
    <w:p>
      <w:pPr>
        <w:pStyle w:val="Heading5"/>
        <w:keepLines w:val="0"/>
      </w:pPr>
      <w:bookmarkStart w:id="828" w:name="_Toc158375071"/>
      <w:r>
        <w:rPr>
          <w:rStyle w:val="CharSectno"/>
        </w:rPr>
        <w:t>258A</w:t>
      </w:r>
      <w:r>
        <w:t>.</w:t>
      </w:r>
      <w:r>
        <w:tab/>
        <w:t>Matters that may and may not be raised in a review (designated reviewable regulatory decisions)</w:t>
      </w:r>
      <w:bookmarkEnd w:id="828"/>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to a designated reviewable regulatory decision.</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The AER, in a review of a decision to which this section applies, may — </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respond to any matter raised by the applicant or an intervener; and</w:t>
      </w:r>
    </w:p>
    <w:p>
      <w:pPr>
        <w:keepNext/>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 xml:space="preserve">raise any other matter that relates to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ground for review;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matter raised in support of a ground for review;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matter relevant to the issues to be considered under section 259(4a) and (4b).</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a review of a decision to which this section applies, the following provisions apply in relation to a person or body, other than the AER (and so apply at all stages of the proceedings before the Tribunal):</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that provides the pipeline services to which the decision being reviewed applies may not raise in relation to the issue of whether a ground for review exists or has been made out any matter that was not raised and maintained by the provider in submissions to the AER before the decision was made;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service provider whose commercial interests are materially affected by the decision being reviewed may not raise in relation to the issue of whether a ground for review exists or has been made out any matter that was not raised and maintained by the provider in submissions to the AER before the decision was made;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affected or interested person or body (other than a provider under paragraph (a) or (b)) may not raise in relation to the issue of whether a ground for review exists or has been made out any matter that was not raised by the person or body in a submission to the AER before the decision was made;</w:t>
      </w:r>
    </w:p>
    <w:p>
      <w:pPr>
        <w:keepNext/>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(d)</w:t>
      </w:r>
      <w:r>
        <w:rPr>
          <w:color w:val="000000"/>
          <w:sz w:val="23"/>
          <w:szCs w:val="23"/>
        </w:rPr>
        <w:tab/>
        <w:t xml:space="preserve">subject to paragraphs (a), (b) and (c)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applicant, or an intervener who has raised a new ground for review under section 256, may raise any matter relevant to the issues to be considered under section 259(4a) and (4b);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any person or body, other than the applicant or an intervener who has raised a new ground for review under section 256, may not raise any matter relevant to the issues to be considered under section 259(4a) and (4b) unless it is in response to a matter raised by — </w:t>
      </w:r>
    </w:p>
    <w:p>
      <w:pPr>
        <w:keepLines/>
        <w:tabs>
          <w:tab w:val="center" w:pos="3402"/>
          <w:tab w:val="left" w:pos="3828"/>
        </w:tabs>
        <w:autoSpaceDE w:val="0"/>
        <w:autoSpaceDN w:val="0"/>
        <w:adjustRightInd w:val="0"/>
        <w:spacing w:before="120"/>
        <w:ind w:left="3828" w:hanging="1446"/>
        <w:rPr>
          <w:color w:val="000000"/>
          <w:sz w:val="23"/>
          <w:szCs w:val="23"/>
        </w:rPr>
      </w:pPr>
      <w:r>
        <w:rPr>
          <w:color w:val="000000"/>
          <w:sz w:val="23"/>
          <w:szCs w:val="23"/>
        </w:rPr>
        <w:tab/>
        <w:t>(A)</w:t>
      </w:r>
      <w:r>
        <w:rPr>
          <w:color w:val="000000"/>
          <w:sz w:val="23"/>
          <w:szCs w:val="23"/>
        </w:rPr>
        <w:tab/>
        <w:t>the AER under subsection (2)(b)(iii); or</w:t>
      </w:r>
    </w:p>
    <w:p>
      <w:pPr>
        <w:keepLines/>
        <w:tabs>
          <w:tab w:val="center" w:pos="3402"/>
          <w:tab w:val="left" w:pos="3828"/>
        </w:tabs>
        <w:autoSpaceDE w:val="0"/>
        <w:autoSpaceDN w:val="0"/>
        <w:adjustRightInd w:val="0"/>
        <w:spacing w:before="120"/>
        <w:ind w:left="3828" w:hanging="1446"/>
        <w:rPr>
          <w:color w:val="000000"/>
          <w:sz w:val="23"/>
          <w:szCs w:val="23"/>
        </w:rPr>
      </w:pPr>
      <w:r>
        <w:rPr>
          <w:color w:val="000000"/>
          <w:sz w:val="23"/>
          <w:szCs w:val="23"/>
        </w:rPr>
        <w:tab/>
        <w:t>(B)</w:t>
      </w:r>
      <w:r>
        <w:rPr>
          <w:color w:val="000000"/>
          <w:sz w:val="23"/>
          <w:szCs w:val="23"/>
        </w:rPr>
        <w:tab/>
        <w:t>the applicant under subparagraph (i); or</w:t>
      </w:r>
    </w:p>
    <w:p>
      <w:pPr>
        <w:keepLines/>
        <w:tabs>
          <w:tab w:val="center" w:pos="3402"/>
          <w:tab w:val="left" w:pos="3828"/>
        </w:tabs>
        <w:autoSpaceDE w:val="0"/>
        <w:autoSpaceDN w:val="0"/>
        <w:adjustRightInd w:val="0"/>
        <w:spacing w:before="120"/>
        <w:ind w:left="3828" w:hanging="1446"/>
        <w:rPr>
          <w:color w:val="000000"/>
          <w:sz w:val="23"/>
          <w:szCs w:val="23"/>
        </w:rPr>
      </w:pPr>
      <w:r>
        <w:rPr>
          <w:color w:val="000000"/>
          <w:sz w:val="23"/>
          <w:szCs w:val="23"/>
        </w:rPr>
        <w:tab/>
        <w:t>(C)</w:t>
      </w:r>
      <w:r>
        <w:rPr>
          <w:color w:val="000000"/>
          <w:sz w:val="23"/>
          <w:szCs w:val="23"/>
        </w:rPr>
        <w:tab/>
        <w:t>an intervener under subparagraph (i).</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For the purposes of subsection (3)(d) — </w:t>
      </w:r>
    </w:p>
    <w:p>
      <w:pPr>
        <w:tabs>
          <w:tab w:val="center" w:pos="1985"/>
          <w:tab w:val="left" w:pos="2382"/>
        </w:tabs>
        <w:autoSpaceDE w:val="0"/>
        <w:autoSpaceDN w:val="0"/>
        <w:adjustRightInd w:val="0"/>
        <w:spacing w:before="120"/>
        <w:ind w:left="2382" w:hanging="794"/>
        <w:rPr>
          <w:b/>
          <w:color w:val="000000"/>
          <w:sz w:val="23"/>
          <w:szCs w:val="23"/>
        </w:rPr>
      </w:pPr>
      <w:r>
        <w:rPr>
          <w:color w:val="000000"/>
          <w:sz w:val="23"/>
          <w:szCs w:val="23"/>
        </w:rPr>
        <w:tab/>
        <w:t>(a)</w:t>
      </w:r>
      <w:r>
        <w:rPr>
          <w:color w:val="000000"/>
          <w:sz w:val="23"/>
          <w:szCs w:val="23"/>
        </w:rPr>
        <w:tab/>
        <w:t>a reference to an applicant includes a reference to a person or body who has applied to the Tribunal for leave to apply for a review under this Division; and</w:t>
      </w:r>
    </w:p>
    <w:p>
      <w:pPr>
        <w:tabs>
          <w:tab w:val="center" w:pos="1985"/>
          <w:tab w:val="left" w:pos="2382"/>
        </w:tabs>
        <w:autoSpaceDE w:val="0"/>
        <w:autoSpaceDN w:val="0"/>
        <w:adjustRightInd w:val="0"/>
        <w:spacing w:before="120"/>
        <w:ind w:left="2382" w:hanging="794"/>
        <w:rPr>
          <w:b/>
          <w:color w:val="000000"/>
          <w:sz w:val="23"/>
          <w:szCs w:val="23"/>
        </w:rPr>
      </w:pPr>
      <w:r>
        <w:rPr>
          <w:color w:val="000000"/>
          <w:sz w:val="23"/>
          <w:szCs w:val="23"/>
        </w:rPr>
        <w:tab/>
        <w:t>(b)</w:t>
      </w:r>
      <w:r>
        <w:rPr>
          <w:color w:val="000000"/>
          <w:sz w:val="23"/>
          <w:szCs w:val="23"/>
        </w:rPr>
        <w:tab/>
        <w:t>a reference to an intervener includes a reference to a person or body who has applied to the Tribunal for leave to intervene in a review under this Division.</w:t>
      </w:r>
    </w:p>
    <w:p>
      <w:pPr>
        <w:pStyle w:val="Footnotesection"/>
      </w:pPr>
      <w:r>
        <w:tab/>
        <w:t>[Section 258A inserted see SA Act No. 79 of 2013 s. 29 and WA Gazette 14 Mar 2014 p. 632.]</w:t>
      </w:r>
    </w:p>
    <w:p>
      <w:pPr>
        <w:pStyle w:val="Heading5"/>
      </w:pPr>
      <w:bookmarkStart w:id="829" w:name="_Toc158375072"/>
      <w:r>
        <w:rPr>
          <w:rStyle w:val="CharSectno"/>
        </w:rPr>
        <w:lastRenderedPageBreak/>
        <w:t>259</w:t>
      </w:r>
      <w:r>
        <w:t>.</w:t>
      </w:r>
      <w:r>
        <w:tab/>
        <w:t>Tribunal must make determination</w:t>
      </w:r>
      <w:bookmarkEnd w:id="82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following an application, the Tribunal grants leave in accordance with section 245, the Tribunal must make a determination in respect of the application.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section 260 for the time limit within which the Tribunal must make its determination.</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 xml:space="preserve">Subject to subsections (4) and (4a), a determination under this section may — </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affirm the reviewable regulatory decision;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the reviewable regulatory decision;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set aside the reviewable regulatory decision and remit the matter back to the original decision maker to make the decision again in accordance with any direction or recommendation of the Tribunal.</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For the purposes of making a determination of the kind in subsection (2)(a)</w:t>
      </w:r>
      <w:r>
        <w:t xml:space="preserve"> </w:t>
      </w:r>
      <w:r>
        <w:rPr>
          <w:color w:val="000000"/>
          <w:sz w:val="23"/>
          <w:szCs w:val="23"/>
        </w:rPr>
        <w:t>or (b), the Tribunal may perform all the functions and exercise all the powers of the original decision maker under this Law or the Rules.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deciding whether to remit a matter back to the original decision maker to make the decision again, other than in a case where the decision is a designated reviewable regulatory decision, the Tribunal must have regard to the nature and relative complexities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reviewable regulatory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matter the subject of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(4a)</w:t>
      </w:r>
      <w:r>
        <w:rPr>
          <w:color w:val="000000"/>
          <w:sz w:val="23"/>
          <w:szCs w:val="23"/>
        </w:rPr>
        <w:tab/>
        <w:t xml:space="preserve">In a case where the decision is a designated reviewable regulatory decision, the Tribunal may only make a determination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vary the designated reviewable regulatory decision under subsection (2)(b);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to set aside the designated reviewable regulatory decision and remit the matter back to the AER under subsection (2)(c),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 xml:space="preserve">if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Tribunal is satisfied that to do so will, or is likely to, result in a decision that is materially preferable to the designated reviewable regulatory decision in making a contribution to the achievement of the national gas objective (a </w:t>
      </w:r>
      <w:r>
        <w:rPr>
          <w:rStyle w:val="CharDefText"/>
          <w:sz w:val="23"/>
          <w:szCs w:val="23"/>
        </w:rPr>
        <w:t>materially preferable designated NGO decision</w:t>
      </w:r>
      <w:r>
        <w:rPr>
          <w:color w:val="000000"/>
          <w:sz w:val="23"/>
          <w:szCs w:val="23"/>
        </w:rPr>
        <w:t>) (and if the Tribunal is not so satisfied the Tribunal must affirm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the case of a determination to vary the designated reviewable regulatory decision—the Tribunal is satisfied that to do so will not require the Tribunal to undertake an assessment of such complexity that the preferable course of action would be to set aside the decision and remit the matter to the AER to make the decision again.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(4b)</w:t>
      </w:r>
      <w:r>
        <w:rPr>
          <w:color w:val="000000"/>
          <w:sz w:val="23"/>
          <w:szCs w:val="23"/>
        </w:rPr>
        <w:tab/>
        <w:t xml:space="preserve">In connection with the operation of subsection (4a) (and without limiting any other matter that may be relevant under this Law)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Tribunal must consider how the constituent components of the designated reviewable regulatory decision interrelate with each other and with the matters raised as a ground for review;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without limiting paragraph (a), the Tribunal must take into account the revenue and pricing principles (in the same manner in which the AER is to take into account these principles under section 28);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(c)</w:t>
      </w:r>
      <w:r>
        <w:rPr>
          <w:color w:val="000000"/>
          <w:sz w:val="23"/>
          <w:szCs w:val="23"/>
        </w:rPr>
        <w:tab/>
        <w:t>the Tribunal must, in assessing the extent of contribution to the achievement of the national gas objective, consider the designated reviewable regulatory decision as a whole; and (d) the following matters must not, in themselves, determine the question about whether a materially preferable designated NGO decision exists: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establishment of a ground for review under section 246(1);</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consequences for, or impacts on, the average annual regulated revenue of a covered pipeline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amount that is specified in or derived from the designated reviewable regulatory decision exceeds the amount specified in section 249(2).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(4c)</w:t>
      </w:r>
      <w:r>
        <w:rPr>
          <w:color w:val="000000"/>
          <w:sz w:val="23"/>
          <w:szCs w:val="23"/>
        </w:rPr>
        <w:tab/>
        <w:t xml:space="preserve">If the Tribunal makes a determination under subsection (2)(b) or (c), the Tribunal must specify in its determination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manner in which it has taken into account the interrelationship between the constituent components of the designated reviewable regulatory decision and how they relate to the matters raised as a ground for review as contemplated by subsection (4b)(a);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determination to vary the designated reviewable regulatory decision—the reasons why it is proceeding to make the variation in view of the requirements of subsection (4a)(d).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determination by the Tribunal affirming, varying or setting aside the reviewable regulatory decision is, for the purposes of this Law (other than this Part), to be taken to be a decision of the original decision maker.</w:t>
      </w:r>
    </w:p>
    <w:p>
      <w:pPr>
        <w:pStyle w:val="Footnotesection"/>
      </w:pPr>
      <w:r>
        <w:tab/>
        <w:t>[Section 259 amended see SA Act No. 79 of 2013 s. 30 and WA Gazette 14 Mar 2014 p. 632.]</w:t>
      </w:r>
    </w:p>
    <w:p>
      <w:pPr>
        <w:pStyle w:val="Heading5"/>
      </w:pPr>
      <w:bookmarkStart w:id="830" w:name="_Toc158375073"/>
      <w:r>
        <w:rPr>
          <w:rStyle w:val="CharSectno"/>
        </w:rPr>
        <w:lastRenderedPageBreak/>
        <w:t>260</w:t>
      </w:r>
      <w:r>
        <w:t>.</w:t>
      </w:r>
      <w:r>
        <w:tab/>
        <w:t>Target time limit for Tribunal for making a determination under this Division</w:t>
      </w:r>
      <w:bookmarkEnd w:id="83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must use its best endeavours to make a determination in respect of the application for review under this Division—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within 3 months after the Tribunal grants leave in accordance with section 245 (the </w:t>
      </w:r>
      <w:r>
        <w:rPr>
          <w:rStyle w:val="CharDefText"/>
          <w:bCs/>
          <w:sz w:val="23"/>
        </w:rPr>
        <w:t>standard period</w:t>
      </w:r>
      <w:r>
        <w:rPr>
          <w:color w:val="000000"/>
          <w:sz w:val="23"/>
          <w:szCs w:val="23"/>
        </w:rPr>
        <w: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standard period is extended under this section—that period as extended.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Tribunal is unable to make a determination in respect of the application within the standard period, or that period as extended, the Tribunal must, by notice in writing, extend the standard period or that period by a specified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Tribunal must give a copy of the notice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every other party to the application.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Tribunal may extend the standard period, or that period as extended, more than once.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Tribunal extends a period, it must publish a notice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stating that it has done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specifying a date by which it must now use its best endeavours to make the determination.</w:t>
      </w:r>
    </w:p>
    <w:p>
      <w:pPr>
        <w:pStyle w:val="Heading5"/>
      </w:pPr>
      <w:bookmarkStart w:id="831" w:name="_Toc158375074"/>
      <w:r>
        <w:rPr>
          <w:rStyle w:val="CharSectno"/>
        </w:rPr>
        <w:t>261</w:t>
      </w:r>
      <w:r>
        <w:t>.</w:t>
      </w:r>
      <w:r>
        <w:tab/>
        <w:t>Matters to be considered by Tribunal in making determination</w:t>
      </w:r>
      <w:bookmarkEnd w:id="83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section, the Tribunal, in acting under this Division in relation to a reviewable regulatory decision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not consider any matter other than review related matter (and any matter arising as a result of consultation under paragraph (b));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 xml:space="preserve">must, before making a determination that relates to a designated reviewable regulatory decision, take reasonable steps to consult with (in such manner as the Tribunal thinks appropriate)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users and prospective users of the pipeline services;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user or consumer associations or user or consumer interest groups,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r>
      <w:r>
        <w:rPr>
          <w:color w:val="000000"/>
          <w:sz w:val="23"/>
          <w:szCs w:val="23"/>
        </w:rPr>
        <w:tab/>
        <w:t>that the Tribunal considers have an interest in the determination, other than a user or consumer association or a user or consumer interest group that is a party to the review.</w:t>
      </w:r>
    </w:p>
    <w:p>
      <w:pPr>
        <w:keepNext/>
        <w:keepLines/>
        <w:tabs>
          <w:tab w:val="center" w:pos="1191"/>
          <w:tab w:val="left" w:pos="1588"/>
        </w:tabs>
        <w:autoSpaceDE w:val="0"/>
        <w:autoSpaceDN w:val="0"/>
        <w:adjustRightInd w:val="0"/>
        <w:spacing w:before="120"/>
        <w:ind w:left="1588" w:hanging="794"/>
        <w:rPr>
          <w:i/>
          <w:color w:val="000000"/>
          <w:sz w:val="23"/>
          <w:szCs w:val="23"/>
        </w:rPr>
      </w:pPr>
      <w:r>
        <w:rPr>
          <w:i/>
          <w:color w:val="000000"/>
          <w:sz w:val="23"/>
          <w:szCs w:val="23"/>
        </w:rPr>
        <w:tab/>
        <w:t>[(2)</w:t>
      </w:r>
      <w:r>
        <w:rPr>
          <w:i/>
          <w:color w:val="000000"/>
          <w:sz w:val="23"/>
          <w:szCs w:val="23"/>
        </w:rPr>
        <w:tab/>
        <w:t>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in a review, other than a review that relates to a designated reviewable regulatory decision, the Tribunal is of the view that a ground of review has been made out, the Tribunal may allow new information or material to be submitted if the new information or material—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would assist it on any aspect of the determination to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was not unreasonably withheld from—</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all cases, the original decision maker when the decision maker was making the reviewable regulatory decision;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reviewable regulatory decision that is a Ministerial coverage decision, the NCC when it was it making the NCC recommendation related to Ministerial coverage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(3a)</w:t>
      </w:r>
      <w:r>
        <w:rPr>
          <w:color w:val="000000"/>
          <w:sz w:val="23"/>
          <w:szCs w:val="23"/>
        </w:rPr>
        <w:tab/>
        <w:t xml:space="preserve">If in a review that relates to a designated reviewable regulatory decision the Tribunal is of the view that a ground for review has been made out, the Tribunal may, on application by a party to the review, allow new information or material to be submitted if the party can establish to the satisfaction of the Tribunal that the information or material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was publicly available or known to be publicly available to the AER when it was making the designated reviewable regulatory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would assist the Tribunal on any aspect of the determination to be made and was not unreasonably withheld from the AER when it was making the designated reviewable regulatory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and was (in the opinion of the Tribunal) information or material that the AER would reasonably have been expected to have considered when it was making the designated reviewable regulatory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(3b)</w:t>
      </w:r>
      <w:r>
        <w:rPr>
          <w:color w:val="000000"/>
          <w:sz w:val="23"/>
          <w:szCs w:val="23"/>
        </w:rPr>
        <w:tab/>
        <w:t xml:space="preserve">In addition, if in a review of a designated reviewable regulatory decision the Tribunal is of the view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a ground for review has been made out;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it would assist the Tribunal to obtain information or material under this subsection in order to determine whether a materially preferable designated NGO decision exists,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Tribunal may, on its own initiative, take steps to obtain that information or material (including by seeking evidence from such persons as it thinks fit).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(3c)</w:t>
      </w:r>
      <w:r>
        <w:rPr>
          <w:color w:val="000000"/>
          <w:sz w:val="23"/>
          <w:szCs w:val="23"/>
        </w:rPr>
        <w:tab/>
        <w:t>The action taken by a person acting in response to steps taken by the Tribunal under subsection (3b) must be limited to considering decision related matter under section 68C.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(3d)</w:t>
      </w:r>
      <w:r>
        <w:rPr>
          <w:color w:val="000000"/>
          <w:sz w:val="23"/>
          <w:szCs w:val="23"/>
        </w:rPr>
        <w:tab/>
        <w:t>In addition, in the case of a review of a designated reviewable regulatory decision that is a decision to make a full access arrangement decision in place of an access arrangement that the AER did not approve, the Tribunal may consider the reasons of the AER for its decision not to approve the access arrangement or proposed revisions to the applicable access arrangement (as the case may be).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Subject to this Law, for the purpose of subsection (3)(b)</w:t>
      </w:r>
      <w:r>
        <w:t xml:space="preserve"> </w:t>
      </w:r>
      <w:r>
        <w:rPr>
          <w:color w:val="000000"/>
          <w:sz w:val="23"/>
          <w:szCs w:val="23"/>
        </w:rPr>
        <w:t>and (3a)(b), information or material not provided to the original decision maker, the NCC or the AER (as the case requires) following a request for that information or material by the original decision maker, the NCC or the AER under this Law or the Rules is to be taken to have been unreasonably withheld.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Subsection (4) does not limit what may constitute an unreasonable withholding of information or material.</w:t>
      </w:r>
    </w:p>
    <w:p>
      <w:pPr>
        <w:tabs>
          <w:tab w:val="center" w:pos="1191"/>
          <w:tab w:val="left" w:pos="1588"/>
        </w:tabs>
        <w:autoSpaceDE w:val="0"/>
        <w:autoSpaceDN w:val="0"/>
        <w:adjustRightInd w:val="0"/>
        <w:spacing w:before="120"/>
        <w:ind w:left="1588" w:hanging="794"/>
        <w:rPr>
          <w:i/>
          <w:color w:val="000000"/>
          <w:sz w:val="23"/>
          <w:szCs w:val="23"/>
        </w:rPr>
      </w:pPr>
      <w:r>
        <w:rPr>
          <w:i/>
          <w:color w:val="000000"/>
          <w:sz w:val="23"/>
          <w:szCs w:val="23"/>
        </w:rPr>
        <w:tab/>
        <w:t>[(6)</w:t>
      </w:r>
      <w:r>
        <w:rPr>
          <w:i/>
          <w:color w:val="000000"/>
          <w:sz w:val="23"/>
          <w:szCs w:val="23"/>
        </w:rPr>
        <w:tab/>
        <w:t>deleted]</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In this section—</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r>
      <w:r>
        <w:rPr>
          <w:rStyle w:val="CharDefText"/>
          <w:sz w:val="23"/>
          <w:szCs w:val="23"/>
        </w:rPr>
        <w:t>review related matter</w:t>
      </w:r>
      <w:r>
        <w:rPr>
          <w:color w:val="000000"/>
          <w:sz w:val="23"/>
          <w:szCs w:val="23"/>
        </w:rPr>
        <w:t xml:space="preserve"> means — </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(a)</w:t>
      </w:r>
      <w:r>
        <w:rPr>
          <w:color w:val="000000"/>
          <w:sz w:val="23"/>
          <w:szCs w:val="23"/>
        </w:rPr>
        <w:tab/>
        <w:t>the application for review; and</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(b)</w:t>
      </w:r>
      <w:r>
        <w:rPr>
          <w:color w:val="000000"/>
          <w:sz w:val="23"/>
          <w:szCs w:val="23"/>
        </w:rPr>
        <w:tab/>
        <w:t>a notice raising new grounds for review filed by an intervener; and</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(c)</w:t>
      </w:r>
      <w:r>
        <w:rPr>
          <w:color w:val="000000"/>
          <w:sz w:val="23"/>
          <w:szCs w:val="23"/>
        </w:rPr>
        <w:tab/>
        <w:t>the submissions made to the Tribunal by the parties to the review; and</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(d)</w:t>
      </w:r>
      <w:r>
        <w:rPr>
          <w:color w:val="000000"/>
          <w:sz w:val="23"/>
          <w:szCs w:val="23"/>
        </w:rPr>
        <w:tab/>
        <w:t xml:space="preserve"> — </w:t>
      </w:r>
    </w:p>
    <w:p>
      <w:pPr>
        <w:tabs>
          <w:tab w:val="center" w:pos="2338"/>
          <w:tab w:val="left" w:pos="2694"/>
        </w:tabs>
        <w:autoSpaceDE w:val="0"/>
        <w:autoSpaceDN w:val="0"/>
        <w:adjustRightInd w:val="0"/>
        <w:spacing w:before="120"/>
        <w:ind w:left="2694" w:hanging="1900"/>
        <w:rPr>
          <w:color w:val="000000"/>
          <w:sz w:val="23"/>
          <w:szCs w:val="23"/>
        </w:rPr>
      </w:pPr>
      <w:r>
        <w:rPr>
          <w:color w:val="000000"/>
          <w:sz w:val="23"/>
          <w:szCs w:val="23"/>
        </w:rPr>
        <w:tab/>
        <w:t>(i)</w:t>
      </w:r>
      <w:r>
        <w:rPr>
          <w:color w:val="000000"/>
          <w:sz w:val="23"/>
          <w:szCs w:val="23"/>
        </w:rPr>
        <w:tab/>
        <w:t>in the case of a designated reviewable regulatory decision — decision related matter under section 68C; or</w:t>
      </w:r>
    </w:p>
    <w:p>
      <w:pPr>
        <w:tabs>
          <w:tab w:val="center" w:pos="2338"/>
          <w:tab w:val="left" w:pos="2694"/>
        </w:tabs>
        <w:autoSpaceDE w:val="0"/>
        <w:autoSpaceDN w:val="0"/>
        <w:adjustRightInd w:val="0"/>
        <w:spacing w:before="120"/>
        <w:ind w:left="2694" w:hanging="1900"/>
        <w:rPr>
          <w:color w:val="000000"/>
          <w:sz w:val="23"/>
          <w:szCs w:val="23"/>
        </w:rPr>
      </w:pPr>
      <w:r>
        <w:rPr>
          <w:color w:val="000000"/>
          <w:sz w:val="23"/>
          <w:szCs w:val="23"/>
        </w:rPr>
        <w:tab/>
        <w:t>(ii)</w:t>
      </w:r>
      <w:r>
        <w:rPr>
          <w:color w:val="000000"/>
          <w:sz w:val="23"/>
          <w:szCs w:val="23"/>
        </w:rPr>
        <w:tab/>
        <w:t xml:space="preserve">in any other case — </w:t>
      </w:r>
    </w:p>
    <w:p>
      <w:pPr>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(A)</w:t>
      </w:r>
      <w:r>
        <w:rPr>
          <w:color w:val="000000"/>
          <w:sz w:val="23"/>
          <w:szCs w:val="23"/>
        </w:rPr>
        <w:tab/>
        <w:t>the reviewable regulatory decision and the written record of it and any written reasons for it; and</w:t>
      </w:r>
    </w:p>
    <w:p>
      <w:pPr>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lastRenderedPageBreak/>
        <w:tab/>
        <w:t>(B)</w:t>
      </w:r>
      <w:r>
        <w:rPr>
          <w:color w:val="000000"/>
          <w:sz w:val="23"/>
          <w:szCs w:val="23"/>
        </w:rPr>
        <w:tab/>
        <w:t>any written submissions made to the original decision maker before the reviewable regulatory decision was made or the NCC before the making of an NCC recommendation; and</w:t>
      </w:r>
    </w:p>
    <w:p>
      <w:pPr>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(C)</w:t>
      </w:r>
      <w:r>
        <w:rPr>
          <w:color w:val="000000"/>
          <w:sz w:val="23"/>
          <w:szCs w:val="23"/>
        </w:rPr>
        <w:tab/>
        <w:t>any reports and materials relied on by the original decision maker in making the reviewable regulatory decision or the NCC in making an NCC recommendation; and</w:t>
      </w:r>
    </w:p>
    <w:p>
      <w:pPr>
        <w:keepLines/>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(D)</w:t>
      </w:r>
      <w:r>
        <w:rPr>
          <w:color w:val="000000"/>
          <w:sz w:val="23"/>
          <w:szCs w:val="23"/>
        </w:rPr>
        <w:tab/>
        <w:t>any draft of the reviewable regulatory decision or NCC recommendation; and</w:t>
      </w:r>
    </w:p>
    <w:p>
      <w:pPr>
        <w:keepLines/>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(E)</w:t>
      </w:r>
      <w:r>
        <w:rPr>
          <w:color w:val="000000"/>
          <w:sz w:val="23"/>
          <w:szCs w:val="23"/>
        </w:rPr>
        <w:tab/>
        <w:t xml:space="preserve">any submissions on — </w:t>
      </w:r>
    </w:p>
    <w:p>
      <w:pPr>
        <w:keepLines/>
        <w:tabs>
          <w:tab w:val="center" w:pos="3430"/>
          <w:tab w:val="left" w:pos="3878"/>
        </w:tabs>
        <w:autoSpaceDE w:val="0"/>
        <w:autoSpaceDN w:val="0"/>
        <w:adjustRightInd w:val="0"/>
        <w:spacing w:before="120"/>
        <w:ind w:left="3878" w:hanging="3084"/>
        <w:rPr>
          <w:color w:val="000000"/>
          <w:sz w:val="23"/>
          <w:szCs w:val="23"/>
        </w:rPr>
      </w:pPr>
      <w:r>
        <w:rPr>
          <w:color w:val="000000"/>
          <w:sz w:val="23"/>
          <w:szCs w:val="23"/>
        </w:rPr>
        <w:tab/>
        <w:t>•</w:t>
      </w:r>
      <w:r>
        <w:rPr>
          <w:color w:val="000000"/>
          <w:sz w:val="23"/>
          <w:szCs w:val="23"/>
        </w:rPr>
        <w:tab/>
        <w:t>the draft of the reviewable regulatory decision or the reviewable regulatory decision itself considered by the original decision maker; or</w:t>
      </w:r>
    </w:p>
    <w:p>
      <w:pPr>
        <w:keepLines/>
        <w:tabs>
          <w:tab w:val="center" w:pos="3430"/>
          <w:tab w:val="left" w:pos="3878"/>
        </w:tabs>
        <w:autoSpaceDE w:val="0"/>
        <w:autoSpaceDN w:val="0"/>
        <w:adjustRightInd w:val="0"/>
        <w:spacing w:before="120"/>
        <w:ind w:left="3878" w:hanging="3084"/>
        <w:rPr>
          <w:color w:val="000000"/>
          <w:sz w:val="23"/>
          <w:szCs w:val="23"/>
        </w:rPr>
      </w:pPr>
      <w:r>
        <w:rPr>
          <w:color w:val="000000"/>
          <w:sz w:val="23"/>
          <w:szCs w:val="23"/>
        </w:rPr>
        <w:tab/>
        <w:t>•</w:t>
      </w:r>
      <w:r>
        <w:rPr>
          <w:color w:val="000000"/>
          <w:sz w:val="23"/>
          <w:szCs w:val="23"/>
        </w:rPr>
        <w:tab/>
        <w:t>the draft of an NCC recommendation or the NCC recommendation itself considered by the NCC; and</w:t>
      </w:r>
    </w:p>
    <w:p>
      <w:pPr>
        <w:keepLines/>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(F)</w:t>
      </w:r>
      <w:r>
        <w:rPr>
          <w:color w:val="000000"/>
          <w:sz w:val="23"/>
          <w:szCs w:val="23"/>
        </w:rPr>
        <w:tab/>
        <w:t>the transcript of any hearing (if any) conducted by the original decision maker for the purpose of making the reviewable regulatory decision; and</w:t>
      </w:r>
    </w:p>
    <w:p>
      <w:pPr>
        <w:keepLines/>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(e)</w:t>
      </w:r>
      <w:r>
        <w:rPr>
          <w:color w:val="000000"/>
          <w:sz w:val="23"/>
          <w:szCs w:val="23"/>
        </w:rPr>
        <w:tab/>
        <w:t>any other matter properly before the Tribunal in connection with the relevant proceedings.</w:t>
      </w:r>
    </w:p>
    <w:p>
      <w:pPr>
        <w:pStyle w:val="Footnotesection"/>
        <w:rPr>
          <w:sz w:val="23"/>
          <w:szCs w:val="23"/>
        </w:rPr>
      </w:pPr>
      <w:r>
        <w:tab/>
      </w:r>
      <w:r>
        <w:rPr>
          <w:sz w:val="23"/>
          <w:szCs w:val="23"/>
        </w:rPr>
        <w:t>[Section 261 amended see SA Act No. 79 of 2013 s. 31</w:t>
      </w:r>
      <w:r>
        <w:t xml:space="preserve"> and WA Gazette 14 Mar 2014 p. 632</w:t>
      </w:r>
      <w:r>
        <w:rPr>
          <w:sz w:val="23"/>
          <w:szCs w:val="23"/>
        </w:rPr>
        <w:t>.]</w:t>
      </w:r>
    </w:p>
    <w:p>
      <w:pPr>
        <w:pStyle w:val="Heading5"/>
      </w:pPr>
      <w:bookmarkStart w:id="832" w:name="_Toc158375075"/>
      <w:r>
        <w:rPr>
          <w:rStyle w:val="CharSectno"/>
        </w:rPr>
        <w:lastRenderedPageBreak/>
        <w:t>262</w:t>
      </w:r>
      <w:r>
        <w:t>.</w:t>
      </w:r>
      <w:r>
        <w:tab/>
        <w:t>Assistance from NCC in certain cases</w:t>
      </w:r>
      <w:bookmarkEnd w:id="83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reviewable regulatory decision being reviewed under this Division is a Ministerial coverage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member of the Tribunal presiding in the review may require the NCC to give information and other assistance and to make reports, as specified, by the member for the purposes of the review.</w:t>
      </w:r>
    </w:p>
    <w:p>
      <w:pPr>
        <w:pStyle w:val="Heading4"/>
      </w:pPr>
      <w:bookmarkStart w:id="833" w:name="_Toc156819437"/>
      <w:bookmarkStart w:id="834" w:name="_Toc156990856"/>
      <w:bookmarkStart w:id="835" w:name="_Toc158375076"/>
      <w:r>
        <w:t>Division 3 — Tribunal review of AER information disclosure decisions under section 329</w:t>
      </w:r>
      <w:bookmarkEnd w:id="833"/>
      <w:bookmarkEnd w:id="834"/>
      <w:bookmarkEnd w:id="835"/>
    </w:p>
    <w:p>
      <w:pPr>
        <w:pStyle w:val="Heading5"/>
      </w:pPr>
      <w:bookmarkStart w:id="836" w:name="_Toc158375077"/>
      <w:r>
        <w:rPr>
          <w:rStyle w:val="CharSectno"/>
        </w:rPr>
        <w:t>263</w:t>
      </w:r>
      <w:r>
        <w:t>.</w:t>
      </w:r>
      <w:r>
        <w:tab/>
        <w:t>Application for review</w:t>
      </w:r>
      <w:bookmarkEnd w:id="83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whose interests are adversely affected by an AER information disclosure decision may apply to the Tribunal for a review of the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 be made in the form and manner determined by the Tribunal.</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may only be made on the ground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was not made in accordance with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decision is unreasonable having regard to all relevant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person must lodge the application with the Tribunal no later than 5 business days after the date of the notice given under section 329(2), (3) or (6) to which the AER information disclosure decision relates (whichever is the later).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An application under this section stays the operation of the decision until the earlier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20 business days;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making of a determination by the Tribunal in respect of the application.</w:t>
      </w:r>
    </w:p>
    <w:p>
      <w:pPr>
        <w:pStyle w:val="Heading5"/>
      </w:pPr>
      <w:bookmarkStart w:id="837" w:name="_Toc158375078"/>
      <w:r>
        <w:rPr>
          <w:rStyle w:val="CharSectno"/>
        </w:rPr>
        <w:lastRenderedPageBreak/>
        <w:t>264</w:t>
      </w:r>
      <w:r>
        <w:t>.</w:t>
      </w:r>
      <w:r>
        <w:tab/>
        <w:t>Exclusion of public in certain cases</w:t>
      </w:r>
      <w:bookmarkEnd w:id="837"/>
    </w:p>
    <w:p>
      <w:pPr>
        <w:keepLines/>
        <w:autoSpaceDE w:val="0"/>
        <w:autoSpaceDN w:val="0"/>
        <w:adjustRightInd w:val="0"/>
        <w:spacing w:before="120"/>
        <w:ind w:left="1588"/>
        <w:rPr>
          <w:color w:val="000000"/>
          <w:sz w:val="23"/>
          <w:szCs w:val="23"/>
        </w:rPr>
      </w:pPr>
      <w:r>
        <w:rPr>
          <w:color w:val="000000"/>
          <w:sz w:val="23"/>
          <w:szCs w:val="23"/>
        </w:rPr>
        <w:t>On the application of a party to a review under this Division, the Tribunal may conduct the review in the absence of the public.</w:t>
      </w:r>
    </w:p>
    <w:p>
      <w:pPr>
        <w:pStyle w:val="Heading5"/>
      </w:pPr>
      <w:bookmarkStart w:id="838" w:name="_Toc158375079"/>
      <w:r>
        <w:rPr>
          <w:rStyle w:val="CharSectno"/>
        </w:rPr>
        <w:t>265</w:t>
      </w:r>
      <w:r>
        <w:t>.</w:t>
      </w:r>
      <w:r>
        <w:tab/>
        <w:t>Determination in the review</w:t>
      </w:r>
      <w:bookmarkEnd w:id="83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Part, on receipt of an application under section 263, the Tribunal must make a determination in respect of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determination under this section must only—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affirm the AER information disclosure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forbid disclosure by the AER of the information or document to which the AER information disclosure decision the subject of the review relates;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restrict, as specified in the determination, the intended disclosure by the AER of the information or document to which the AER information disclosure decision the subject of the review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making a determination of the kind in subsection (2)(a), the Tribunal may perform all the functions and exercise all the powers of the AER under this Law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determination by the Tribunal affirming, forbidding or restricting the AER information disclosure decision is, for the purposes of this Law (other than this Part), to be taken to be a decision of the AER.</w:t>
      </w:r>
    </w:p>
    <w:p>
      <w:pPr>
        <w:pStyle w:val="Heading5"/>
      </w:pPr>
      <w:bookmarkStart w:id="839" w:name="_Toc158375080"/>
      <w:r>
        <w:rPr>
          <w:rStyle w:val="CharSectno"/>
        </w:rPr>
        <w:t>266</w:t>
      </w:r>
      <w:r>
        <w:t>.</w:t>
      </w:r>
      <w:r>
        <w:tab/>
        <w:t>Tribunal must be taken to have affirmed decision if decision not made within time</w:t>
      </w:r>
      <w:bookmarkEnd w:id="83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Tribunal does not make a determination under section 265 within 20 business days after an application is lodged under section 263.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(2)</w:t>
      </w:r>
      <w:r>
        <w:rPr>
          <w:color w:val="000000"/>
          <w:sz w:val="23"/>
          <w:szCs w:val="23"/>
        </w:rPr>
        <w:tab/>
        <w:t>The Tribunal must be taken to have made a determination under section 265 affirming the AER information disclosure decision to which the application relates.</w:t>
      </w:r>
    </w:p>
    <w:p>
      <w:pPr>
        <w:pStyle w:val="Heading5"/>
      </w:pPr>
      <w:bookmarkStart w:id="840" w:name="_Toc158375081"/>
      <w:r>
        <w:rPr>
          <w:rStyle w:val="CharSectno"/>
        </w:rPr>
        <w:t>267</w:t>
      </w:r>
      <w:r>
        <w:t>.</w:t>
      </w:r>
      <w:r>
        <w:tab/>
        <w:t>Assistance from the AER in certain cases</w:t>
      </w:r>
      <w:bookmarkEnd w:id="840"/>
    </w:p>
    <w:p>
      <w:pPr>
        <w:keepLines/>
        <w:autoSpaceDE w:val="0"/>
        <w:autoSpaceDN w:val="0"/>
        <w:adjustRightInd w:val="0"/>
        <w:spacing w:before="120"/>
        <w:ind w:left="1588"/>
        <w:rPr>
          <w:color w:val="000000"/>
          <w:sz w:val="23"/>
          <w:szCs w:val="23"/>
        </w:rPr>
      </w:pPr>
      <w:r>
        <w:rPr>
          <w:color w:val="000000"/>
          <w:sz w:val="23"/>
          <w:szCs w:val="23"/>
        </w:rPr>
        <w:t>The member of the Tribunal presiding in the review may require the AER to give information and other assistance and to make reports, as specified, by the member for the purposes of the review.</w:t>
      </w:r>
    </w:p>
    <w:p>
      <w:pPr>
        <w:pStyle w:val="Heading4"/>
      </w:pPr>
      <w:bookmarkStart w:id="841" w:name="_Toc156819443"/>
      <w:bookmarkStart w:id="842" w:name="_Toc156990862"/>
      <w:bookmarkStart w:id="843" w:name="_Toc158375082"/>
      <w:r>
        <w:t>Division 4 — General</w:t>
      </w:r>
      <w:bookmarkEnd w:id="841"/>
      <w:bookmarkEnd w:id="842"/>
      <w:bookmarkEnd w:id="843"/>
    </w:p>
    <w:p>
      <w:pPr>
        <w:pStyle w:val="Heading5"/>
      </w:pPr>
      <w:bookmarkStart w:id="844" w:name="_Toc158375083"/>
      <w:r>
        <w:rPr>
          <w:rStyle w:val="CharSectno"/>
        </w:rPr>
        <w:t>268</w:t>
      </w:r>
      <w:r>
        <w:t>.</w:t>
      </w:r>
      <w:r>
        <w:tab/>
        <w:t>Costs in a review</w:t>
      </w:r>
      <w:bookmarkEnd w:id="84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Tribunal may order that a party to a review under this Part pay all or a specified part of the costs of another party to the review.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must not make an order requiring an original decision maker or small/medium user or consumer intervener to pay the costs of another party to the review unless the Tribunal considers that the original decision maker or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required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of the AER in a review of a designated reviewable regulatory decision — the submissions or arguments made to the Tribunal by another party.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(3)</w:t>
      </w:r>
      <w:r>
        <w:rPr>
          <w:color w:val="000000"/>
          <w:sz w:val="23"/>
          <w:szCs w:val="23"/>
        </w:rPr>
        <w:tab/>
        <w:t>The Tribunal may make an order requiring a user or consumer intervener (that is not a small/medium user or consumer intervener) that has intervened in the review to pay all or part of the costs of another party to the review if the Tribunal considers that the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required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submissions or arguments made to the Tribunal by another party.</w:t>
      </w:r>
    </w:p>
    <w:p>
      <w:pPr>
        <w:pStyle w:val="Footnotesection"/>
      </w:pPr>
      <w:r>
        <w:tab/>
        <w:t>[Section 268 amended see SA Act No. 79 of 2013 s. 32 and WA Gazette 14 Mar 2014 p. 632.]</w:t>
      </w:r>
    </w:p>
    <w:p>
      <w:pPr>
        <w:pStyle w:val="Heading5"/>
      </w:pPr>
      <w:bookmarkStart w:id="845" w:name="_Toc158375084"/>
      <w:r>
        <w:rPr>
          <w:rStyle w:val="CharSectno"/>
        </w:rPr>
        <w:t>269</w:t>
      </w:r>
      <w:r>
        <w:t>.</w:t>
      </w:r>
      <w:r>
        <w:tab/>
        <w:t>Amount of costs</w:t>
      </w:r>
      <w:bookmarkEnd w:id="84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Tribunal makes an order for costs in a review under this Part, the Tribunal may in that order fix the amount of costs payable by a party to the review 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party and party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solicitor and client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indemnity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other basis as the Tribunal may decide.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However, in the case of a review that relates to a designated reviewable regulatory decision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subsection (1) does not apply in relation to an order for costs against a small/medium user or consumer intervener;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if the Tribunal makes an order for costs against a small/medium user or consumer intervener in favour of another party, the costs must be limited to the payment of reasonable administrative costs (as determined by the Tribunal) of that other party.</w:t>
      </w:r>
    </w:p>
    <w:p>
      <w:pPr>
        <w:pStyle w:val="Footnotesection"/>
      </w:pPr>
      <w:r>
        <w:tab/>
        <w:t>[Section 269 amended see SA Act No. 79 of 2013 s. 33 and WA Gazette 14 Mar 2014 p. 632.]</w:t>
      </w:r>
    </w:p>
    <w:p>
      <w:pPr>
        <w:pStyle w:val="Heading5"/>
      </w:pPr>
      <w:bookmarkStart w:id="846" w:name="_Toc158375085"/>
      <w:r>
        <w:rPr>
          <w:rStyle w:val="CharSectno"/>
        </w:rPr>
        <w:t>269A</w:t>
      </w:r>
      <w:r>
        <w:t>.</w:t>
      </w:r>
      <w:r>
        <w:tab/>
        <w:t>Costs not to be passed on</w:t>
      </w:r>
      <w:bookmarkEnd w:id="84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to any expenditure or cost that a service provider incurs, or is forecast to incur, as a result of or incidental to a review that relates to a designated reviewable regulatory decision under this Part, including costs awarded under section 268.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A service provider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not, for the purposes of an applicable access arrangement decision, include as part of its capital expenditure or operating expenditure any expenditure or cost to which this section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not recover from end users or seek a pass through of any expenditure or cost to which this section applies.</w:t>
      </w:r>
    </w:p>
    <w:p>
      <w:pPr>
        <w:keepLines/>
        <w:tabs>
          <w:tab w:val="center" w:pos="1191"/>
          <w:tab w:val="left" w:pos="1588"/>
        </w:tabs>
        <w:autoSpaceDE w:val="0"/>
        <w:autoSpaceDN w:val="0"/>
        <w:adjustRightInd w:val="0"/>
        <w:spacing w:before="120"/>
        <w:ind w:left="1588" w:hanging="794"/>
        <w:rPr>
          <w:b/>
          <w:color w:val="000000"/>
          <w:sz w:val="23"/>
          <w:szCs w:val="23"/>
        </w:rPr>
      </w:pPr>
      <w:r>
        <w:rPr>
          <w:color w:val="000000"/>
          <w:sz w:val="23"/>
          <w:szCs w:val="23"/>
        </w:rPr>
        <w:tab/>
        <w:t>(3)</w:t>
      </w:r>
      <w:r>
        <w:rPr>
          <w:color w:val="000000"/>
          <w:sz w:val="23"/>
          <w:szCs w:val="23"/>
        </w:rPr>
        <w:tab/>
        <w:t>This section applies despite any provision to the contrary in this Law, the Rules, an applicable access arrangement or an applicable access arrangement decision (and this section prevails to the extent of any inconsistency between such a provision and this section).</w:t>
      </w:r>
    </w:p>
    <w:p>
      <w:pPr>
        <w:pStyle w:val="Footnotesection"/>
      </w:pPr>
      <w:r>
        <w:tab/>
        <w:t>[Section 269A inserted see SA Act No. 79 of 2013 s. 34 and WA Gazette 14 Mar 2014 p. 632.]</w:t>
      </w:r>
    </w:p>
    <w:p>
      <w:pPr>
        <w:pStyle w:val="Heading5"/>
        <w:spacing w:before="120"/>
      </w:pPr>
      <w:bookmarkStart w:id="847" w:name="_Toc158375086"/>
      <w:r>
        <w:rPr>
          <w:rStyle w:val="CharSectno"/>
        </w:rPr>
        <w:t>270</w:t>
      </w:r>
      <w:r>
        <w:t>.</w:t>
      </w:r>
      <w:r>
        <w:tab/>
        <w:t>Review of Part</w:t>
      </w:r>
      <w:bookmarkEnd w:id="84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must initiate a review of the Tribunal's role under this Part by 1 December 2016.</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(1a)</w:t>
      </w:r>
      <w:r>
        <w:rPr>
          <w:color w:val="000000"/>
          <w:sz w:val="23"/>
          <w:szCs w:val="23"/>
        </w:rPr>
        <w:tab/>
        <w:t>The review will be undertaken by a person nominated by the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MCE must specify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person undertaking the review must, during the review, invite public comment and submissions about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person undertaking the review must report, in writing, to the MCE on the outcome of the review by the date specified by the MCE.</w:t>
      </w:r>
    </w:p>
    <w:p>
      <w:pPr>
        <w:pStyle w:val="Footnotesection"/>
      </w:pPr>
      <w:r>
        <w:tab/>
        <w:t>[Section 270 amended see SA Act No. 79 of 2013 s. 35 and WA Gazette 14 Mar 2014 p. 632.]</w:t>
      </w:r>
    </w:p>
    <w:p>
      <w:pPr>
        <w:pStyle w:val="Heading3"/>
        <w:spacing w:before="120"/>
      </w:pPr>
      <w:bookmarkStart w:id="848" w:name="_Toc156819448"/>
      <w:bookmarkStart w:id="849" w:name="_Toc156990867"/>
      <w:bookmarkStart w:id="850" w:name="_Toc158375087"/>
      <w:r>
        <w:rPr>
          <w:rStyle w:val="CharDivNo"/>
        </w:rPr>
        <w:t>Part 6</w:t>
      </w:r>
      <w:r>
        <w:t xml:space="preserve"> — </w:t>
      </w:r>
      <w:r>
        <w:rPr>
          <w:rStyle w:val="CharDivText"/>
        </w:rPr>
        <w:t>Enforcement of access determinations</w:t>
      </w:r>
      <w:bookmarkEnd w:id="848"/>
      <w:bookmarkEnd w:id="849"/>
      <w:bookmarkEnd w:id="850"/>
    </w:p>
    <w:p>
      <w:pPr>
        <w:pStyle w:val="Heading5"/>
        <w:spacing w:before="120"/>
      </w:pPr>
      <w:bookmarkStart w:id="851" w:name="_Toc158375088"/>
      <w:r>
        <w:rPr>
          <w:rStyle w:val="CharSectno"/>
        </w:rPr>
        <w:t>271</w:t>
      </w:r>
      <w:r>
        <w:t>.</w:t>
      </w:r>
      <w:r>
        <w:tab/>
        <w:t>Enforcement of access determinations</w:t>
      </w:r>
      <w:bookmarkEnd w:id="85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Court is satisfied, on the application of a party to an access determination, that another party to the determination has engaged, is engaging, or is proposing to engage in conduct that constitutes a contravention of the determination, the Court may make all or any of the following orders: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granting an injunction on such terms as the Court thinks appropriate—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restraining the other party from engaging in the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if the conduct involves refusing or failing to do something—requiring the other party to do that thing;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directing the other party to compensate the applicant for loss or damage suffered as a result of the contravention;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order that the Court thinks appropriate.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(2)</w:t>
      </w:r>
      <w:r>
        <w:rPr>
          <w:color w:val="000000"/>
          <w:sz w:val="23"/>
          <w:szCs w:val="23"/>
        </w:rPr>
        <w:tab/>
        <w:t>The revocation of an access determination does not affect any remedy under subsection (1) in respect of a contravention of the determination that occurred when the determination was in force.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Court has power under subsection (1) to grant an injunction restraining a person from engaging in particular conduct, or requiring a person to do anything, the Court may make any other orders (including granting an injunction) that it thinks appropriate against any other person who was involved in the contravention concerned.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reference in this section to a person involved in the contravention is a reference to a person who has—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aided, abetted, counselled or procured the contravention;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induced the contravention, whether through threats or promises or otherwise;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been in any way (directly or indirectly) knowingly concerned in or a party to the contravention;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conspired with others to effect the contravention.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reference in this section to an access determination includes a reference to an access determination under Chapter 6A.</w:t>
      </w:r>
    </w:p>
    <w:p>
      <w:pPr>
        <w:pStyle w:val="Footnotesection"/>
      </w:pPr>
      <w:r>
        <w:tab/>
        <w:t>[Section 271 amended: see SA Act No. 23 of 2017 s. 7 and WA Gazette 22 Dec 2017 p. 5984.]</w:t>
      </w:r>
    </w:p>
    <w:p>
      <w:pPr>
        <w:pStyle w:val="Heading5"/>
      </w:pPr>
      <w:bookmarkStart w:id="852" w:name="_Toc158375089"/>
      <w:r>
        <w:rPr>
          <w:rStyle w:val="CharSectno"/>
        </w:rPr>
        <w:t>272</w:t>
      </w:r>
      <w:r>
        <w:t>.</w:t>
      </w:r>
      <w:r>
        <w:tab/>
        <w:t>Consent injunctions</w:t>
      </w:r>
      <w:bookmarkEnd w:id="852"/>
    </w:p>
    <w:p>
      <w:pPr>
        <w:keepLines/>
        <w:autoSpaceDE w:val="0"/>
        <w:autoSpaceDN w:val="0"/>
        <w:adjustRightInd w:val="0"/>
        <w:spacing w:before="120"/>
        <w:ind w:left="1588"/>
        <w:rPr>
          <w:color w:val="000000"/>
          <w:sz w:val="23"/>
          <w:szCs w:val="23"/>
        </w:rPr>
      </w:pPr>
      <w:r>
        <w:rPr>
          <w:color w:val="000000"/>
          <w:sz w:val="23"/>
          <w:szCs w:val="23"/>
        </w:rPr>
        <w:t>On an application for an injunction under section 271, the Court may grant an injunction by consent of all of the parties to the proceedings, whether or not the Court is satisfied that the section applies.</w:t>
      </w:r>
    </w:p>
    <w:p>
      <w:pPr>
        <w:pStyle w:val="Heading5"/>
      </w:pPr>
      <w:bookmarkStart w:id="853" w:name="_Toc158375090"/>
      <w:r>
        <w:rPr>
          <w:rStyle w:val="CharSectno"/>
        </w:rPr>
        <w:t>273</w:t>
      </w:r>
      <w:r>
        <w:t>.</w:t>
      </w:r>
      <w:r>
        <w:tab/>
        <w:t>Interim injunctions</w:t>
      </w:r>
      <w:bookmarkEnd w:id="853"/>
    </w:p>
    <w:p>
      <w:pPr>
        <w:keepLines/>
        <w:autoSpaceDE w:val="0"/>
        <w:autoSpaceDN w:val="0"/>
        <w:adjustRightInd w:val="0"/>
        <w:spacing w:before="120"/>
        <w:ind w:left="1588"/>
        <w:rPr>
          <w:color w:val="000000"/>
          <w:sz w:val="23"/>
          <w:szCs w:val="23"/>
        </w:rPr>
      </w:pPr>
      <w:r>
        <w:rPr>
          <w:color w:val="000000"/>
          <w:sz w:val="23"/>
          <w:szCs w:val="23"/>
        </w:rPr>
        <w:t>The Court may grant an interim injunction pending determination of an application under section 271.</w:t>
      </w:r>
    </w:p>
    <w:p>
      <w:pPr>
        <w:pStyle w:val="Heading5"/>
      </w:pPr>
      <w:bookmarkStart w:id="854" w:name="_Toc158375091"/>
      <w:r>
        <w:rPr>
          <w:rStyle w:val="CharSectno"/>
        </w:rPr>
        <w:lastRenderedPageBreak/>
        <w:t>274</w:t>
      </w:r>
      <w:r>
        <w:t>.</w:t>
      </w:r>
      <w:r>
        <w:tab/>
        <w:t>Factors relevant to granting a restraining injunction</w:t>
      </w:r>
      <w:bookmarkEnd w:id="854"/>
    </w:p>
    <w:p>
      <w:pPr>
        <w:keepNext/>
        <w:keepLines/>
        <w:autoSpaceDE w:val="0"/>
        <w:autoSpaceDN w:val="0"/>
        <w:adjustRightInd w:val="0"/>
        <w:spacing w:before="120"/>
        <w:ind w:left="1588"/>
        <w:rPr>
          <w:color w:val="000000"/>
          <w:sz w:val="23"/>
          <w:szCs w:val="23"/>
        </w:rPr>
      </w:pPr>
      <w:r>
        <w:rPr>
          <w:color w:val="000000"/>
          <w:sz w:val="23"/>
          <w:szCs w:val="23"/>
        </w:rPr>
        <w:t>The power of the Court to grant an injunction under section 271 restraining a person from engaging in conduct may be exercised whether or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has previously engaged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there is an imminent danger of substantial damage to any person if the first mentioned person engages in conduct of that kind.</w:t>
      </w:r>
    </w:p>
    <w:p>
      <w:pPr>
        <w:pStyle w:val="Heading5"/>
      </w:pPr>
      <w:bookmarkStart w:id="855" w:name="_Toc158375092"/>
      <w:r>
        <w:rPr>
          <w:rStyle w:val="CharSectno"/>
        </w:rPr>
        <w:t>275</w:t>
      </w:r>
      <w:r>
        <w:t>.</w:t>
      </w:r>
      <w:r>
        <w:tab/>
        <w:t>Factors relevant to granting a mandatory injunction</w:t>
      </w:r>
      <w:bookmarkEnd w:id="855"/>
    </w:p>
    <w:p>
      <w:pPr>
        <w:keepNext/>
        <w:keepLines/>
        <w:autoSpaceDE w:val="0"/>
        <w:autoSpaceDN w:val="0"/>
        <w:adjustRightInd w:val="0"/>
        <w:spacing w:before="120"/>
        <w:ind w:left="1588"/>
        <w:rPr>
          <w:color w:val="000000"/>
          <w:sz w:val="23"/>
          <w:szCs w:val="23"/>
        </w:rPr>
      </w:pPr>
      <w:r>
        <w:rPr>
          <w:color w:val="000000"/>
          <w:sz w:val="23"/>
          <w:szCs w:val="23"/>
        </w:rPr>
        <w:t>The power of the Court to grant an injunction under section 271 requiring a person to do a thing may be exercised whether or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appears to the Court that the person intends to refuse or fail again, or to continue to refuse or fail, to do that thing;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has previously refused or failed to do that thing;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there is an imminent danger of substantial damage to any person if the first mentioned person refuses or fails to do that thing.</w:t>
      </w:r>
    </w:p>
    <w:p>
      <w:pPr>
        <w:pStyle w:val="Heading5"/>
      </w:pPr>
      <w:bookmarkStart w:id="856" w:name="_Toc158375093"/>
      <w:r>
        <w:rPr>
          <w:rStyle w:val="CharSectno"/>
        </w:rPr>
        <w:t>276</w:t>
      </w:r>
      <w:r>
        <w:t>.</w:t>
      </w:r>
      <w:r>
        <w:tab/>
        <w:t>Discharge or variation of injunction or other order</w:t>
      </w:r>
      <w:bookmarkEnd w:id="856"/>
    </w:p>
    <w:p>
      <w:pPr>
        <w:keepLines/>
        <w:autoSpaceDE w:val="0"/>
        <w:autoSpaceDN w:val="0"/>
        <w:adjustRightInd w:val="0"/>
        <w:spacing w:before="120"/>
        <w:ind w:left="1588"/>
        <w:rPr>
          <w:color w:val="000000"/>
          <w:sz w:val="23"/>
          <w:szCs w:val="23"/>
        </w:rPr>
      </w:pPr>
      <w:r>
        <w:rPr>
          <w:color w:val="000000"/>
          <w:sz w:val="23"/>
          <w:szCs w:val="23"/>
        </w:rPr>
        <w:t>The Court may discharge or vary an injunction or order granted under this Part.</w:t>
      </w:r>
    </w:p>
    <w:p>
      <w:pPr>
        <w:pStyle w:val="Heading3"/>
      </w:pPr>
      <w:bookmarkStart w:id="857" w:name="_Toc156819455"/>
      <w:bookmarkStart w:id="858" w:name="_Toc156990874"/>
      <w:bookmarkStart w:id="859" w:name="_Toc158375094"/>
      <w:r>
        <w:rPr>
          <w:rStyle w:val="CharDivNo"/>
        </w:rPr>
        <w:lastRenderedPageBreak/>
        <w:t>Part 7</w:t>
      </w:r>
      <w:r>
        <w:t xml:space="preserve"> — </w:t>
      </w:r>
      <w:r>
        <w:rPr>
          <w:rStyle w:val="CharDivText"/>
        </w:rPr>
        <w:t>Infringement notices</w:t>
      </w:r>
      <w:bookmarkEnd w:id="857"/>
      <w:bookmarkEnd w:id="858"/>
      <w:bookmarkEnd w:id="859"/>
    </w:p>
    <w:p>
      <w:pPr>
        <w:pStyle w:val="Heading5"/>
        <w:spacing w:before="120"/>
      </w:pPr>
      <w:bookmarkStart w:id="860" w:name="_Toc158375095"/>
      <w:r>
        <w:rPr>
          <w:rStyle w:val="CharSectno"/>
        </w:rPr>
        <w:t>277</w:t>
      </w:r>
      <w:r>
        <w:t>.</w:t>
      </w:r>
      <w:r>
        <w:tab/>
        <w:t>Power to serve notice</w:t>
      </w:r>
      <w:bookmarkEnd w:id="86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serve an infringement notice on a person that the AER has reason to believe has breached a civil penalty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however, serve an infringement notice not later than 12 months after the date on which the AER forms a belief that there has been a breach of a civil penalty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infringement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person to their usual or last known place of residence or business.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infringement notice may be served on a person that is a body corporate—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body corporate to its registered office or usual or last known place of business.</w:t>
      </w:r>
    </w:p>
    <w:p>
      <w:pPr>
        <w:pStyle w:val="Heading5"/>
        <w:spacing w:before="120"/>
      </w:pPr>
      <w:bookmarkStart w:id="861" w:name="_Toc158375096"/>
      <w:r>
        <w:rPr>
          <w:rStyle w:val="CharSectno"/>
        </w:rPr>
        <w:t>278</w:t>
      </w:r>
      <w:r>
        <w:t>.</w:t>
      </w:r>
      <w:r>
        <w:tab/>
        <w:t>Form of notice</w:t>
      </w:r>
      <w:bookmarkEnd w:id="861"/>
    </w:p>
    <w:p>
      <w:pPr>
        <w:keepNext/>
        <w:keepLines/>
        <w:autoSpaceDE w:val="0"/>
        <w:autoSpaceDN w:val="0"/>
        <w:adjustRightInd w:val="0"/>
        <w:spacing w:before="120"/>
        <w:ind w:left="1588"/>
        <w:rPr>
          <w:color w:val="000000"/>
          <w:sz w:val="23"/>
          <w:szCs w:val="23"/>
        </w:rPr>
      </w:pPr>
      <w:r>
        <w:rPr>
          <w:color w:val="000000"/>
          <w:sz w:val="23"/>
          <w:szCs w:val="23"/>
        </w:rPr>
        <w:t>An infringement notice must state—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date of the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the alleged breach is a breach of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and a brief description, of the alleged breach;</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(d)</w:t>
      </w:r>
      <w:r>
        <w:rPr>
          <w:color w:val="000000"/>
          <w:sz w:val="23"/>
          <w:szCs w:val="23"/>
        </w:rPr>
        <w:tab/>
        <w:t>the date, time and place of the alleged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infringement penalty for the alleged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manner in which the infringement penalty may be paid;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time (being not less than 28 days after the date on which the notice is served) within which the infringement penalty must be paid;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that, if the amount of the infringement penalty is paid before the end of the time specified in the notice, proceedings will not be instituted in respect of the alleged breach by the AER unless the notice is withdrawn before the end of that time in accordance with section 282;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that the person is entitled to disregard the notice and defend any proceedings in respect of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(j)</w:t>
      </w:r>
      <w:r>
        <w:rPr>
          <w:color w:val="000000"/>
          <w:sz w:val="23"/>
          <w:szCs w:val="23"/>
        </w:rPr>
        <w:tab/>
        <w:t>any other particulars prescribed by the Regulations.</w:t>
      </w:r>
    </w:p>
    <w:p>
      <w:pPr>
        <w:pStyle w:val="Heading5"/>
      </w:pPr>
      <w:bookmarkStart w:id="862" w:name="_Toc158375097"/>
      <w:r>
        <w:rPr>
          <w:rStyle w:val="CharSectno"/>
        </w:rPr>
        <w:t>279</w:t>
      </w:r>
      <w:r>
        <w:t>.</w:t>
      </w:r>
      <w:r>
        <w:tab/>
        <w:t>Infringement penalty</w:t>
      </w:r>
      <w:bookmarkEnd w:id="862"/>
    </w:p>
    <w:p>
      <w:pPr>
        <w:keepNext/>
        <w:keepLines/>
        <w:autoSpaceDE w:val="0"/>
        <w:autoSpaceDN w:val="0"/>
        <w:adjustRightInd w:val="0"/>
        <w:spacing w:before="120"/>
        <w:ind w:left="1588"/>
        <w:rPr>
          <w:color w:val="000000"/>
          <w:sz w:val="23"/>
          <w:szCs w:val="23"/>
        </w:rPr>
      </w:pPr>
      <w:r>
        <w:rPr>
          <w:color w:val="000000"/>
          <w:sz w:val="23"/>
          <w:szCs w:val="23"/>
        </w:rPr>
        <w:t>The infringement penalty for a breach of a civil penalty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breach is alleged to have been committed by a natural person—$4 000 or any lesser amount that is prescribed by the Regulations in relation to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breach is alleged to have been committed by a body corporate—$20 000 or any lesser amount that is prescribed by the Regulations in relation to the civil penalty provision.</w:t>
      </w:r>
    </w:p>
    <w:p>
      <w:pPr>
        <w:pStyle w:val="Heading5"/>
        <w:keepLines w:val="0"/>
      </w:pPr>
      <w:bookmarkStart w:id="863" w:name="_Toc158375098"/>
      <w:r>
        <w:rPr>
          <w:rStyle w:val="CharSectno"/>
        </w:rPr>
        <w:lastRenderedPageBreak/>
        <w:t>280</w:t>
      </w:r>
      <w:r>
        <w:t>.</w:t>
      </w:r>
      <w:r>
        <w:tab/>
        <w:t>AER cannot institute proceedings while infringement notice on foot</w:t>
      </w:r>
      <w:bookmarkEnd w:id="863"/>
    </w:p>
    <w:p>
      <w:pPr>
        <w:keepLines/>
        <w:autoSpaceDE w:val="0"/>
        <w:autoSpaceDN w:val="0"/>
        <w:adjustRightInd w:val="0"/>
        <w:spacing w:before="160"/>
        <w:ind w:left="1588"/>
        <w:rPr>
          <w:color w:val="000000"/>
          <w:sz w:val="23"/>
          <w:szCs w:val="23"/>
        </w:rPr>
      </w:pPr>
      <w:r>
        <w:rPr>
          <w:color w:val="000000"/>
          <w:sz w:val="23"/>
          <w:szCs w:val="23"/>
        </w:rPr>
        <w:t>On serving an infringement notice under this Part, the AER must not institute a proceeding in respect of the breach for which the infringement notice was served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time for payment stated in the infringement notice has not expired;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notice has not been withdrawn by the AER in accordance with section 282.</w:t>
      </w:r>
    </w:p>
    <w:p>
      <w:pPr>
        <w:pStyle w:val="Heading5"/>
      </w:pPr>
      <w:bookmarkStart w:id="864" w:name="_Toc158375099"/>
      <w:r>
        <w:rPr>
          <w:rStyle w:val="CharSectno"/>
        </w:rPr>
        <w:t>281</w:t>
      </w:r>
      <w:r>
        <w:t>.</w:t>
      </w:r>
      <w:r>
        <w:tab/>
        <w:t>Late payment of penalty</w:t>
      </w:r>
      <w:bookmarkEnd w:id="864"/>
    </w:p>
    <w:p>
      <w:pPr>
        <w:keepNext/>
        <w:keepLines/>
        <w:autoSpaceDE w:val="0"/>
        <w:autoSpaceDN w:val="0"/>
        <w:adjustRightInd w:val="0"/>
        <w:spacing w:before="160"/>
        <w:ind w:left="1588"/>
        <w:rPr>
          <w:color w:val="000000"/>
          <w:sz w:val="23"/>
          <w:szCs w:val="23"/>
        </w:rPr>
      </w:pPr>
      <w:r>
        <w:rPr>
          <w:color w:val="000000"/>
          <w:sz w:val="23"/>
          <w:szCs w:val="23"/>
        </w:rPr>
        <w:t>The AER may accept payment of the infringement penalty even after the expiration of the time for payment stated in the infringement notice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proceeding has not been instituted in respect of the breach to which the infringement penalty relates;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notice has not been withdrawn by the AER in accordance with section 282.</w:t>
      </w:r>
    </w:p>
    <w:p>
      <w:pPr>
        <w:pStyle w:val="Heading5"/>
      </w:pPr>
      <w:bookmarkStart w:id="865" w:name="_Toc158375100"/>
      <w:r>
        <w:rPr>
          <w:rStyle w:val="CharSectno"/>
        </w:rPr>
        <w:t>282</w:t>
      </w:r>
      <w:r>
        <w:t>.</w:t>
      </w:r>
      <w:r>
        <w:tab/>
        <w:t>Withdrawal of notice</w:t>
      </w:r>
      <w:bookmarkEnd w:id="865"/>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The AER may withdraw an infringement notice at any time before the end of the time for payment specified in the notice by serving a withdrawal notice on the person served with the infringement notice.</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A withdrawal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person to their usual or last known place of residence or business.</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(3)</w:t>
      </w:r>
      <w:r>
        <w:rPr>
          <w:color w:val="000000"/>
          <w:sz w:val="23"/>
          <w:szCs w:val="23"/>
        </w:rPr>
        <w:tab/>
        <w:t>A withdrawal notice may be served on a person that is a body corporate—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body corporate to its registered office or usual or last known place of business.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infringement notice may be withdrawn even if the infringement penalty has been paid.</w:t>
      </w:r>
    </w:p>
    <w:p>
      <w:pPr>
        <w:pStyle w:val="Heading5"/>
      </w:pPr>
      <w:bookmarkStart w:id="866" w:name="_Toc158375101"/>
      <w:r>
        <w:rPr>
          <w:rStyle w:val="CharSectno"/>
        </w:rPr>
        <w:t>283</w:t>
      </w:r>
      <w:r>
        <w:t>.</w:t>
      </w:r>
      <w:r>
        <w:tab/>
        <w:t>Refund of infringement penalty</w:t>
      </w:r>
      <w:bookmarkEnd w:id="866"/>
    </w:p>
    <w:p>
      <w:pPr>
        <w:keepLines/>
        <w:autoSpaceDE w:val="0"/>
        <w:autoSpaceDN w:val="0"/>
        <w:adjustRightInd w:val="0"/>
        <w:spacing w:before="120"/>
        <w:ind w:left="1588"/>
        <w:rPr>
          <w:color w:val="000000"/>
          <w:sz w:val="23"/>
          <w:szCs w:val="23"/>
        </w:rPr>
      </w:pPr>
      <w:r>
        <w:rPr>
          <w:color w:val="000000"/>
          <w:sz w:val="23"/>
          <w:szCs w:val="23"/>
        </w:rPr>
        <w:t>If an infringement notice is withdrawn in accordance with section 282, the amount of any infringement penalty paid must be refunded by the AER.</w:t>
      </w:r>
    </w:p>
    <w:p>
      <w:pPr>
        <w:pStyle w:val="Heading5"/>
      </w:pPr>
      <w:bookmarkStart w:id="867" w:name="_Toc158375102"/>
      <w:r>
        <w:rPr>
          <w:rStyle w:val="CharSectno"/>
        </w:rPr>
        <w:t>284</w:t>
      </w:r>
      <w:r>
        <w:t>.</w:t>
      </w:r>
      <w:r>
        <w:tab/>
        <w:t>Payment expiates breach of civil penalty provision</w:t>
      </w:r>
      <w:bookmarkEnd w:id="867"/>
    </w:p>
    <w:p>
      <w:pPr>
        <w:keepNext/>
        <w:keepLines/>
        <w:autoSpaceDE w:val="0"/>
        <w:autoSpaceDN w:val="0"/>
        <w:adjustRightInd w:val="0"/>
        <w:spacing w:before="120"/>
        <w:ind w:left="1588"/>
        <w:rPr>
          <w:color w:val="000000"/>
          <w:sz w:val="23"/>
          <w:szCs w:val="23"/>
        </w:rPr>
      </w:pPr>
      <w:r>
        <w:rPr>
          <w:color w:val="000000"/>
          <w:sz w:val="23"/>
          <w:szCs w:val="23"/>
        </w:rPr>
        <w:t>No proceedings may be taken by the AER against a person on whom an infringement notice was served in respect of an alleged breach of a civil penalty provision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infringement penalty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paid within the time for payment stated in the notice;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not withdrawn by the AER within the time for payment stated in the notice in accordance with section 282;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penalty is accepted in accordance with section 281.</w:t>
      </w:r>
    </w:p>
    <w:p>
      <w:pPr>
        <w:pStyle w:val="Heading5"/>
      </w:pPr>
      <w:bookmarkStart w:id="868" w:name="_Toc158375103"/>
      <w:r>
        <w:rPr>
          <w:rStyle w:val="CharSectno"/>
        </w:rPr>
        <w:lastRenderedPageBreak/>
        <w:t>285</w:t>
      </w:r>
      <w:r>
        <w:t>.</w:t>
      </w:r>
      <w:r>
        <w:tab/>
        <w:t>Payment not to have certain consequences</w:t>
      </w:r>
      <w:bookmarkEnd w:id="868"/>
    </w:p>
    <w:p>
      <w:pPr>
        <w:keepNext/>
        <w:keepLines/>
        <w:autoSpaceDE w:val="0"/>
        <w:autoSpaceDN w:val="0"/>
        <w:adjustRightInd w:val="0"/>
        <w:spacing w:before="120"/>
        <w:ind w:left="1588"/>
        <w:rPr>
          <w:color w:val="000000"/>
          <w:sz w:val="23"/>
          <w:szCs w:val="23"/>
        </w:rPr>
      </w:pPr>
      <w:r>
        <w:rPr>
          <w:color w:val="000000"/>
          <w:sz w:val="23"/>
          <w:szCs w:val="23"/>
        </w:rPr>
        <w:t>The payment of an infringement penalty under this Part is not and must not be taken to be an admission of a breach of a civil penalty provision or an admission of liability for the purpose of any proceeding instituted in respect of the breach.</w:t>
      </w:r>
    </w:p>
    <w:p>
      <w:pPr>
        <w:pStyle w:val="Heading5"/>
      </w:pPr>
      <w:bookmarkStart w:id="869" w:name="_Toc158375104"/>
      <w:r>
        <w:rPr>
          <w:rStyle w:val="CharSectno"/>
        </w:rPr>
        <w:t>286</w:t>
      </w:r>
      <w:r>
        <w:t>.</w:t>
      </w:r>
      <w:r>
        <w:tab/>
        <w:t>Conduct in breach of more than 1 civil penalty provision</w:t>
      </w:r>
      <w:bookmarkEnd w:id="86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conduct of a person constitutes a breach of 2 or more civil penalty provisions, an infringement notice may be served on the person under this Part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person is not liable to pay more than 1 infringement penalty in respect of the same conduct.</w:t>
      </w:r>
    </w:p>
    <w:p>
      <w:pPr>
        <w:pStyle w:val="Heading3"/>
        <w:rPr>
          <w:szCs w:val="32"/>
        </w:rPr>
      </w:pPr>
      <w:bookmarkStart w:id="870" w:name="_Toc156819466"/>
      <w:bookmarkStart w:id="871" w:name="_Toc156990885"/>
      <w:bookmarkStart w:id="872" w:name="_Toc158375105"/>
      <w:r>
        <w:rPr>
          <w:rStyle w:val="CharDivNo"/>
        </w:rPr>
        <w:t>Part 8</w:t>
      </w:r>
      <w:r>
        <w:t xml:space="preserve"> </w:t>
      </w:r>
      <w:r>
        <w:rPr>
          <w:szCs w:val="32"/>
        </w:rPr>
        <w:t>—</w:t>
      </w:r>
      <w:r>
        <w:t xml:space="preserve"> </w:t>
      </w:r>
      <w:r>
        <w:rPr>
          <w:rStyle w:val="CharDivText"/>
        </w:rPr>
        <w:t>Further provision for corporate liability for breaches of this Law etc</w:t>
      </w:r>
      <w:bookmarkEnd w:id="870"/>
      <w:bookmarkEnd w:id="871"/>
      <w:bookmarkEnd w:id="872"/>
    </w:p>
    <w:p>
      <w:pPr>
        <w:pStyle w:val="Heading5"/>
      </w:pPr>
      <w:bookmarkStart w:id="873" w:name="_Toc158375106"/>
      <w:r>
        <w:rPr>
          <w:rStyle w:val="CharSectno"/>
        </w:rPr>
        <w:t>287</w:t>
      </w:r>
      <w:r>
        <w:t>.</w:t>
      </w:r>
      <w:r>
        <w:tab/>
        <w:t>Definition</w:t>
      </w:r>
      <w:bookmarkEnd w:id="873"/>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breach provision</w:t>
      </w:r>
      <w:r>
        <w:rPr>
          <w:bCs/>
          <w:i/>
          <w:iCs/>
          <w:color w:val="000000"/>
          <w:sz w:val="23"/>
          <w:szCs w:val="23"/>
        </w:rPr>
        <w:t xml:space="preserve"> </w:t>
      </w:r>
      <w:r>
        <w:rPr>
          <w:color w:val="000000"/>
          <w:sz w:val="23"/>
          <w:szCs w:val="23"/>
        </w:rPr>
        <w:t>means an offence provision, a civil penalty provision or a conduct provision.</w:t>
      </w:r>
    </w:p>
    <w:p>
      <w:pPr>
        <w:pStyle w:val="Heading5"/>
      </w:pPr>
      <w:bookmarkStart w:id="874" w:name="_Toc158375107"/>
      <w:r>
        <w:rPr>
          <w:rStyle w:val="CharSectno"/>
        </w:rPr>
        <w:t>288</w:t>
      </w:r>
      <w:r>
        <w:t>.</w:t>
      </w:r>
      <w:r>
        <w:tab/>
        <w:t>Offences and breaches by corporations</w:t>
      </w:r>
      <w:bookmarkEnd w:id="87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corporation contravenes a breach provision, each officer of the corporation is to be taken to have contravened the breach provision if the officer knowingly authorised or permitted the contravention or breach.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officer of a corporation may be proceeded against under a breach provision pursuant to this section whether or not the corporation has been proceeded against under the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Nothing in this section affects the liability of a corporation for a contravention of a breach provision.</w:t>
      </w:r>
    </w:p>
    <w:p>
      <w:pPr>
        <w:pStyle w:val="Heading5"/>
        <w:keepNext w:val="0"/>
        <w:keepLines w:val="0"/>
      </w:pPr>
      <w:bookmarkStart w:id="875" w:name="_Toc158375108"/>
      <w:r>
        <w:rPr>
          <w:rStyle w:val="CharSectno"/>
        </w:rPr>
        <w:lastRenderedPageBreak/>
        <w:t>289</w:t>
      </w:r>
      <w:r>
        <w:t>.</w:t>
      </w:r>
      <w:r>
        <w:tab/>
        <w:t>Corporations also in breach if officers and employees are in breach</w:t>
      </w:r>
      <w:bookmarkEnd w:id="875"/>
    </w:p>
    <w:p>
      <w:pPr>
        <w:autoSpaceDE w:val="0"/>
        <w:autoSpaceDN w:val="0"/>
        <w:adjustRightInd w:val="0"/>
        <w:spacing w:before="120"/>
        <w:ind w:left="1588"/>
        <w:rPr>
          <w:color w:val="000000"/>
          <w:sz w:val="23"/>
          <w:szCs w:val="23"/>
        </w:rPr>
      </w:pPr>
      <w:r>
        <w:rPr>
          <w:color w:val="000000"/>
          <w:sz w:val="23"/>
          <w:szCs w:val="23"/>
        </w:rPr>
        <w:t>If an officer or employee of a corporation commits an act in their capacity as officer or employee of the corporation that would, if that act were committed by the corporation, constitute a breach of a provision of this Law, the Regulations or the Rules, that corporation is to be taken to have contravened that provision.</w:t>
      </w:r>
    </w:p>
    <w:p>
      <w:pPr>
        <w:pStyle w:val="Heading2"/>
      </w:pPr>
      <w:bookmarkStart w:id="876" w:name="_Toc156819470"/>
      <w:bookmarkStart w:id="877" w:name="_Toc156990889"/>
      <w:bookmarkStart w:id="878" w:name="_Toc158375109"/>
      <w:r>
        <w:rPr>
          <w:rStyle w:val="CharPartNo"/>
        </w:rPr>
        <w:lastRenderedPageBreak/>
        <w:t>Chapter 9</w:t>
      </w:r>
      <w:r>
        <w:t xml:space="preserve"> — </w:t>
      </w:r>
      <w:r>
        <w:rPr>
          <w:rStyle w:val="CharPartText"/>
        </w:rPr>
        <w:t>The making of the National Gas Rules</w:t>
      </w:r>
      <w:bookmarkEnd w:id="876"/>
      <w:bookmarkEnd w:id="877"/>
      <w:bookmarkEnd w:id="878"/>
    </w:p>
    <w:p>
      <w:pPr>
        <w:pStyle w:val="Heading3"/>
      </w:pPr>
      <w:bookmarkStart w:id="879" w:name="_Toc156819471"/>
      <w:bookmarkStart w:id="880" w:name="_Toc156990890"/>
      <w:bookmarkStart w:id="881" w:name="_Toc158375110"/>
      <w:r>
        <w:rPr>
          <w:rStyle w:val="CharDivNo"/>
        </w:rPr>
        <w:t>Part 1</w:t>
      </w:r>
      <w:r>
        <w:t xml:space="preserve"> — </w:t>
      </w:r>
      <w:r>
        <w:rPr>
          <w:rStyle w:val="CharDivText"/>
        </w:rPr>
        <w:t>General</w:t>
      </w:r>
      <w:bookmarkEnd w:id="879"/>
      <w:bookmarkEnd w:id="880"/>
      <w:bookmarkEnd w:id="881"/>
    </w:p>
    <w:p>
      <w:pPr>
        <w:pStyle w:val="Heading4"/>
      </w:pPr>
      <w:bookmarkStart w:id="882" w:name="_Toc156819472"/>
      <w:bookmarkStart w:id="883" w:name="_Toc156990891"/>
      <w:bookmarkStart w:id="884" w:name="_Toc158375111"/>
      <w:r>
        <w:t>Division 1 — Interpretation</w:t>
      </w:r>
      <w:bookmarkEnd w:id="882"/>
      <w:bookmarkEnd w:id="883"/>
      <w:bookmarkEnd w:id="884"/>
    </w:p>
    <w:p>
      <w:pPr>
        <w:pStyle w:val="Heading5"/>
      </w:pPr>
      <w:bookmarkStart w:id="885" w:name="_Toc158375112"/>
      <w:r>
        <w:rPr>
          <w:rStyle w:val="CharSectno"/>
        </w:rPr>
        <w:t>290</w:t>
      </w:r>
      <w:r>
        <w:t>.</w:t>
      </w:r>
      <w:r>
        <w:tab/>
        <w:t>Definitions</w:t>
      </w:r>
      <w:bookmarkEnd w:id="885"/>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AEMC initiated Rule</w:t>
      </w:r>
      <w:r>
        <w:rPr>
          <w:bCs/>
          <w:i/>
          <w:iCs/>
          <w:color w:val="000000"/>
          <w:sz w:val="23"/>
          <w:szCs w:val="23"/>
        </w:rPr>
        <w:t xml:space="preserve"> </w:t>
      </w:r>
      <w:r>
        <w:rPr>
          <w:color w:val="000000"/>
          <w:sz w:val="23"/>
          <w:szCs w:val="23"/>
        </w:rPr>
        <w:t>means a Rule of the kind referred to in section 295(2);</w:t>
      </w:r>
    </w:p>
    <w:p>
      <w:pPr>
        <w:keepLines/>
        <w:autoSpaceDE w:val="0"/>
        <w:autoSpaceDN w:val="0"/>
        <w:adjustRightInd w:val="0"/>
        <w:spacing w:before="120"/>
        <w:ind w:left="1588"/>
        <w:rPr>
          <w:color w:val="000000"/>
          <w:sz w:val="23"/>
          <w:szCs w:val="23"/>
        </w:rPr>
      </w:pPr>
      <w:r>
        <w:rPr>
          <w:rStyle w:val="CharDefText"/>
          <w:bCs/>
          <w:sz w:val="23"/>
        </w:rPr>
        <w:t>AEMC Rule review</w:t>
      </w:r>
      <w:r>
        <w:rPr>
          <w:bCs/>
          <w:i/>
          <w:iCs/>
          <w:color w:val="000000"/>
          <w:sz w:val="23"/>
          <w:szCs w:val="23"/>
        </w:rPr>
        <w:t xml:space="preserve"> </w:t>
      </w:r>
      <w:r>
        <w:rPr>
          <w:color w:val="000000"/>
          <w:sz w:val="23"/>
          <w:szCs w:val="23"/>
        </w:rPr>
        <w:t>means a review conducted by the AEMC under Chapter 2 Part 2 Division 5;</w:t>
      </w:r>
    </w:p>
    <w:p>
      <w:pPr>
        <w:keepNext/>
        <w:keepLines/>
        <w:autoSpaceDE w:val="0"/>
        <w:autoSpaceDN w:val="0"/>
        <w:adjustRightInd w:val="0"/>
        <w:spacing w:before="120"/>
        <w:ind w:left="1588"/>
        <w:rPr>
          <w:color w:val="000000"/>
          <w:sz w:val="23"/>
          <w:szCs w:val="23"/>
        </w:rPr>
      </w:pPr>
      <w:r>
        <w:rPr>
          <w:rStyle w:val="CharDefText"/>
          <w:bCs/>
          <w:sz w:val="23"/>
        </w:rPr>
        <w:t>gas market regulatory body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ERA;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VENCorp;</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GMCo;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REMCo;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person or body prescribed by Regulation to be a gas market regulatory body;</w:t>
      </w:r>
    </w:p>
    <w:p>
      <w:pPr>
        <w:keepLines/>
        <w:autoSpaceDE w:val="0"/>
        <w:autoSpaceDN w:val="0"/>
        <w:adjustRightInd w:val="0"/>
        <w:spacing w:before="120"/>
        <w:ind w:left="1588"/>
        <w:rPr>
          <w:color w:val="000000"/>
          <w:sz w:val="23"/>
          <w:szCs w:val="23"/>
        </w:rPr>
      </w:pPr>
      <w:r>
        <w:rPr>
          <w:rStyle w:val="CharDefText"/>
          <w:bCs/>
          <w:sz w:val="23"/>
        </w:rPr>
        <w:t>GMCo</w:t>
      </w:r>
      <w:r>
        <w:rPr>
          <w:color w:val="000000"/>
          <w:sz w:val="23"/>
          <w:szCs w:val="23"/>
        </w:rPr>
        <w:t xml:space="preserve"> means the Gas Market Company Ltd (ACN 095 400 258);</w:t>
      </w:r>
    </w:p>
    <w:p>
      <w:pPr>
        <w:keepLines/>
        <w:autoSpaceDE w:val="0"/>
        <w:autoSpaceDN w:val="0"/>
        <w:adjustRightInd w:val="0"/>
        <w:spacing w:before="120"/>
        <w:ind w:left="1588"/>
        <w:rPr>
          <w:color w:val="000000"/>
          <w:sz w:val="23"/>
          <w:szCs w:val="23"/>
        </w:rPr>
      </w:pPr>
      <w:r>
        <w:rPr>
          <w:rStyle w:val="CharDefText"/>
          <w:bCs/>
          <w:sz w:val="23"/>
        </w:rPr>
        <w:t>market initiated proposed Rule</w:t>
      </w:r>
      <w:r>
        <w:rPr>
          <w:bCs/>
          <w:i/>
          <w:iCs/>
          <w:color w:val="000000"/>
          <w:sz w:val="23"/>
          <w:szCs w:val="23"/>
        </w:rPr>
        <w:t xml:space="preserve"> </w:t>
      </w:r>
      <w:r>
        <w:rPr>
          <w:color w:val="000000"/>
          <w:sz w:val="23"/>
          <w:szCs w:val="23"/>
        </w:rPr>
        <w:t>means a request for a Rule made under section 295(1) in respect of which the AEMC publishes a notice under section 303;</w:t>
      </w:r>
    </w:p>
    <w:p>
      <w:pPr>
        <w:keepLines/>
        <w:autoSpaceDE w:val="0"/>
        <w:autoSpaceDN w:val="0"/>
        <w:adjustRightInd w:val="0"/>
        <w:spacing w:before="120"/>
        <w:ind w:left="1588"/>
        <w:rPr>
          <w:color w:val="000000"/>
          <w:sz w:val="23"/>
          <w:szCs w:val="23"/>
        </w:rPr>
      </w:pPr>
      <w:r>
        <w:rPr>
          <w:rStyle w:val="CharDefText"/>
          <w:bCs/>
          <w:sz w:val="23"/>
        </w:rPr>
        <w:t>more preferable Rule</w:t>
      </w:r>
      <w:r>
        <w:rPr>
          <w:bCs/>
          <w:i/>
          <w:iCs/>
          <w:color w:val="000000"/>
          <w:sz w:val="23"/>
          <w:szCs w:val="23"/>
        </w:rPr>
        <w:t xml:space="preserve"> </w:t>
      </w:r>
      <w:r>
        <w:rPr>
          <w:color w:val="000000"/>
          <w:sz w:val="23"/>
          <w:szCs w:val="23"/>
        </w:rPr>
        <w:t>has the meaning given by section 296;</w:t>
      </w:r>
    </w:p>
    <w:p>
      <w:pPr>
        <w:keepLines/>
        <w:autoSpaceDE w:val="0"/>
        <w:autoSpaceDN w:val="0"/>
        <w:adjustRightInd w:val="0"/>
        <w:spacing w:before="120"/>
        <w:ind w:left="1588"/>
        <w:rPr>
          <w:color w:val="000000"/>
          <w:sz w:val="23"/>
          <w:szCs w:val="23"/>
        </w:rPr>
      </w:pPr>
      <w:r>
        <w:rPr>
          <w:rStyle w:val="CharDefText"/>
          <w:sz w:val="23"/>
        </w:rPr>
        <w:t>non</w:t>
      </w:r>
      <w:r>
        <w:rPr>
          <w:rStyle w:val="CharDefText"/>
          <w:sz w:val="23"/>
        </w:rPr>
        <w:noBreakHyphen/>
        <w:t>controversial Rule</w:t>
      </w:r>
      <w:r>
        <w:rPr>
          <w:color w:val="000000"/>
          <w:sz w:val="23"/>
          <w:szCs w:val="23"/>
        </w:rPr>
        <w:t xml:space="preserve"> means a Rule that is unlikely to have a significant effect on a market for gas or the regulation of pipeline services;</w:t>
      </w:r>
    </w:p>
    <w:p>
      <w:pPr>
        <w:keepNext/>
        <w:keepLines/>
        <w:autoSpaceDE w:val="0"/>
        <w:autoSpaceDN w:val="0"/>
        <w:adjustRightInd w:val="0"/>
        <w:spacing w:before="120"/>
        <w:ind w:left="1588"/>
        <w:rPr>
          <w:color w:val="000000"/>
          <w:sz w:val="23"/>
          <w:szCs w:val="23"/>
        </w:rPr>
      </w:pPr>
      <w:r>
        <w:rPr>
          <w:rStyle w:val="CharDefText"/>
          <w:bCs/>
          <w:sz w:val="23"/>
        </w:rPr>
        <w:lastRenderedPageBreak/>
        <w:t>proposed Rule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market initiated proposed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proposal for an AEMC initiated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proposed more preferable Rule;</w:t>
      </w:r>
    </w:p>
    <w:p>
      <w:pPr>
        <w:keepNext/>
        <w:keepLines/>
        <w:autoSpaceDE w:val="0"/>
        <w:autoSpaceDN w:val="0"/>
        <w:adjustRightInd w:val="0"/>
        <w:spacing w:before="120"/>
        <w:ind w:left="1588"/>
        <w:rPr>
          <w:color w:val="000000"/>
          <w:sz w:val="23"/>
          <w:szCs w:val="23"/>
        </w:rPr>
      </w:pPr>
      <w:r>
        <w:rPr>
          <w:rStyle w:val="CharDefText"/>
          <w:bCs/>
          <w:sz w:val="23"/>
        </w:rPr>
        <w:t>publish</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 notice required to be published under this Chapter (except section 315)—publish in the South Australian Government Gazette, on the AEMC’s website and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a decision under section 301(2)—publish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relation to a proposed Rule referred to in section 303 and any other documents prescribed by the Regulations in relation to a proposed Rule referred to in section 303—publish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relation to a draft Rule determination or final Rule determination—publish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in relation to any submissions or comments received by the AEMC under this Chapter—subject to section 319, 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in relation to a report prepared under section 320—publish on the AEMC’s website and make available at the offices of the AEMC;</w:t>
      </w:r>
    </w:p>
    <w:p>
      <w:pPr>
        <w:keepLines/>
        <w:autoSpaceDE w:val="0"/>
        <w:autoSpaceDN w:val="0"/>
        <w:adjustRightInd w:val="0"/>
        <w:spacing w:before="120"/>
        <w:ind w:left="1588"/>
        <w:rPr>
          <w:color w:val="000000"/>
          <w:sz w:val="23"/>
          <w:szCs w:val="23"/>
        </w:rPr>
      </w:pPr>
      <w:r>
        <w:rPr>
          <w:rStyle w:val="CharDefText"/>
          <w:bCs/>
          <w:sz w:val="23"/>
        </w:rPr>
        <w:t>REMCo</w:t>
      </w:r>
      <w:r>
        <w:rPr>
          <w:color w:val="000000"/>
          <w:sz w:val="23"/>
          <w:szCs w:val="23"/>
        </w:rPr>
        <w:t xml:space="preserve"> means the Retail Energy Market Company Ltd (ACN 103 318 556);</w:t>
      </w:r>
    </w:p>
    <w:p>
      <w:pPr>
        <w:keepLines/>
        <w:autoSpaceDE w:val="0"/>
        <w:autoSpaceDN w:val="0"/>
        <w:adjustRightInd w:val="0"/>
        <w:spacing w:before="120"/>
        <w:ind w:left="1588"/>
        <w:rPr>
          <w:color w:val="000000"/>
          <w:sz w:val="23"/>
          <w:szCs w:val="23"/>
        </w:rPr>
      </w:pPr>
      <w:r>
        <w:rPr>
          <w:rStyle w:val="CharDefText"/>
          <w:bCs/>
          <w:sz w:val="23"/>
        </w:rPr>
        <w:lastRenderedPageBreak/>
        <w:t>urgent Rule</w:t>
      </w:r>
      <w:r>
        <w:rPr>
          <w:bCs/>
          <w:color w:val="000000"/>
          <w:sz w:val="23"/>
          <w:szCs w:val="23"/>
        </w:rPr>
        <w:t xml:space="preserve"> </w:t>
      </w:r>
      <w:r>
        <w:rPr>
          <w:color w:val="000000"/>
          <w:sz w:val="23"/>
          <w:szCs w:val="23"/>
        </w:rPr>
        <w:t>means a Rule relating to any matter or thing that, if not made as a matter of urgency, will result in that matter or thing imminently prejudicing or threatening the supply of gas.</w:t>
      </w:r>
    </w:p>
    <w:p>
      <w:pPr>
        <w:pStyle w:val="Footnotesection"/>
      </w:pPr>
      <w:r>
        <w:tab/>
        <w:t>[Section 290 modified: WA Act Sch. 1 cl. 12.]</w:t>
      </w:r>
    </w:p>
    <w:p>
      <w:pPr>
        <w:pStyle w:val="Heading4"/>
      </w:pPr>
      <w:bookmarkStart w:id="886" w:name="_Toc156819474"/>
      <w:bookmarkStart w:id="887" w:name="_Toc156990893"/>
      <w:bookmarkStart w:id="888" w:name="_Toc158375113"/>
      <w:r>
        <w:t>Division 2 — Rule making tests</w:t>
      </w:r>
      <w:bookmarkEnd w:id="886"/>
      <w:bookmarkEnd w:id="887"/>
      <w:bookmarkEnd w:id="888"/>
    </w:p>
    <w:p>
      <w:pPr>
        <w:pStyle w:val="Heading5"/>
        <w:spacing w:before="120"/>
      </w:pPr>
      <w:bookmarkStart w:id="889" w:name="_Toc158375114"/>
      <w:r>
        <w:rPr>
          <w:rStyle w:val="CharSectno"/>
        </w:rPr>
        <w:t>291</w:t>
      </w:r>
      <w:r>
        <w:t>.</w:t>
      </w:r>
      <w:r>
        <w:tab/>
        <w:t>Application of national gas objective</w:t>
      </w:r>
      <w:bookmarkEnd w:id="88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only make a Rule if it is satisfied that the Rule will or is likely to contribute to the achievement of the national gas objective.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AEMC may give such weight to any aspect of the national gas objective as it considers appropriate in all the circumstances, having regard to any relevant MCE statement of policy principles.</w:t>
      </w:r>
    </w:p>
    <w:p>
      <w:pPr>
        <w:pStyle w:val="Heading5"/>
      </w:pPr>
      <w:bookmarkStart w:id="890" w:name="_Toc158375115"/>
      <w:r>
        <w:t>292.</w:t>
      </w:r>
      <w:r>
        <w:tab/>
        <w:t>AEMC must take into account form of regulation factors in certain cases</w:t>
      </w:r>
      <w:bookmarkEnd w:id="890"/>
    </w:p>
    <w:p>
      <w:pPr>
        <w:keepNext/>
        <w:keepLines/>
        <w:autoSpaceDE w:val="0"/>
        <w:autoSpaceDN w:val="0"/>
        <w:adjustRightInd w:val="0"/>
        <w:spacing w:before="120"/>
        <w:ind w:left="1588"/>
        <w:rPr>
          <w:color w:val="000000"/>
          <w:sz w:val="23"/>
          <w:szCs w:val="23"/>
        </w:rPr>
      </w:pPr>
      <w:r>
        <w:rPr>
          <w:color w:val="000000"/>
          <w:sz w:val="23"/>
          <w:szCs w:val="23"/>
        </w:rPr>
        <w:t>In addition to complying with sections 291 and 293, the AEMC must take into account the form of regulation factors and any other matter the AEMC considers relevant—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making a Rule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confers a function or power on the AER to specify under a full access arrangement decision approving or making an access arrangement a pipeline service (to which the relevant applicable access arrangement applies) as a reference service;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in revoking a Rule that has been made or is in force that—</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confers a function or power on the AER to specify under a full access arrangement decision approving or making an access arrangement a pipeline service (to which the relevant applicable access arrangement applies) as a reference service.</w:t>
      </w:r>
    </w:p>
    <w:p>
      <w:pPr>
        <w:pStyle w:val="Heading5"/>
      </w:pPr>
      <w:bookmarkStart w:id="891" w:name="_Toc158375116"/>
      <w:r>
        <w:rPr>
          <w:rStyle w:val="CharSectno"/>
        </w:rPr>
        <w:t>293</w:t>
      </w:r>
      <w:r>
        <w:t>.</w:t>
      </w:r>
      <w:r>
        <w:tab/>
        <w:t>AEMC must take into account revenue and pricing principles in certain cases</w:t>
      </w:r>
      <w:bookmarkEnd w:id="891"/>
    </w:p>
    <w:p>
      <w:pPr>
        <w:keepLines/>
        <w:autoSpaceDE w:val="0"/>
        <w:autoSpaceDN w:val="0"/>
        <w:adjustRightInd w:val="0"/>
        <w:spacing w:before="120"/>
        <w:ind w:left="1588"/>
        <w:rPr>
          <w:color w:val="000000"/>
          <w:sz w:val="23"/>
          <w:szCs w:val="23"/>
        </w:rPr>
      </w:pPr>
      <w:r>
        <w:rPr>
          <w:color w:val="000000"/>
          <w:sz w:val="23"/>
          <w:szCs w:val="23"/>
        </w:rPr>
        <w:t>In addition to complying with sections 291 and 292, the AEMC must take into account the revenue and pricing principles in making a Rule for or with respect to any matter or thing specified in items 40 to 48 of Schedule 1 to this Law.</w:t>
      </w:r>
    </w:p>
    <w:p>
      <w:pPr>
        <w:pStyle w:val="Heading3"/>
      </w:pPr>
      <w:bookmarkStart w:id="892" w:name="_Toc156819478"/>
      <w:bookmarkStart w:id="893" w:name="_Toc156990897"/>
      <w:bookmarkStart w:id="894" w:name="_Toc158375117"/>
      <w:r>
        <w:rPr>
          <w:rStyle w:val="CharDivNo"/>
        </w:rPr>
        <w:t>Part 2</w:t>
      </w:r>
      <w:r>
        <w:t xml:space="preserve"> — </w:t>
      </w:r>
      <w:r>
        <w:rPr>
          <w:rStyle w:val="CharDivText"/>
        </w:rPr>
        <w:t>Initial National Gas Rules</w:t>
      </w:r>
      <w:bookmarkEnd w:id="892"/>
      <w:bookmarkEnd w:id="893"/>
      <w:bookmarkEnd w:id="894"/>
    </w:p>
    <w:p>
      <w:pPr>
        <w:pStyle w:val="Heading5"/>
        <w:keepNext w:val="0"/>
      </w:pPr>
      <w:bookmarkStart w:id="895" w:name="_Toc158375118"/>
      <w:r>
        <w:rPr>
          <w:rStyle w:val="CharSectno"/>
        </w:rPr>
        <w:t>294</w:t>
      </w:r>
      <w:r>
        <w:t>.</w:t>
      </w:r>
      <w:r>
        <w:tab/>
        <w:t>Initial National Gas Rules for WA</w:t>
      </w:r>
      <w:bookmarkEnd w:id="89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National Gas Rules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rPr>
        <w:t>Minister for Energy of South Australia, as affected, if applicable, by any amendments made by the AEMC under national gas legislation before the coming into operation of that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prevent the AEMC from making Rules under this Chapter that amend or revoke the rules referred to in it.</w:t>
      </w:r>
    </w:p>
    <w:p>
      <w:pPr>
        <w:pStyle w:val="Footnotesection"/>
      </w:pPr>
      <w:r>
        <w:tab/>
        <w:t>[Section 294 inserted and modified: WA Act Sch. 1 cl. 13.]</w:t>
      </w:r>
    </w:p>
    <w:p>
      <w:pPr>
        <w:pStyle w:val="Heading5"/>
        <w:rPr>
          <w:b w:val="0"/>
        </w:rPr>
      </w:pPr>
      <w:bookmarkStart w:id="896" w:name="_Toc158375119"/>
      <w:r>
        <w:rPr>
          <w:rStyle w:val="CharSectno"/>
        </w:rPr>
        <w:lastRenderedPageBreak/>
        <w:t>294CA</w:t>
      </w:r>
      <w:r>
        <w:t>.</w:t>
      </w:r>
      <w:r>
        <w:tab/>
        <w:t>South Australian Minister may make consequential Rules relating to rate of return instrument</w:t>
      </w:r>
      <w:bookmarkEnd w:id="896"/>
    </w:p>
    <w:p>
      <w:pPr>
        <w:tabs>
          <w:tab w:val="center" w:pos="1191"/>
          <w:tab w:val="left" w:pos="1588"/>
        </w:tabs>
        <w:autoSpaceDE w:val="0"/>
        <w:autoSpaceDN w:val="0"/>
        <w:adjustRightInd w:val="0"/>
        <w:spacing w:before="120"/>
        <w:ind w:left="1588" w:hanging="794"/>
        <w:rPr>
          <w:color w:val="000000"/>
          <w:sz w:val="23"/>
          <w:szCs w:val="23"/>
        </w:rPr>
      </w:pPr>
      <w:bookmarkStart w:id="897" w:name="id19134fd8_2b55_4fcc_b292_40888d6508"/>
      <w:r>
        <w:rPr>
          <w:color w:val="000000"/>
          <w:sz w:val="23"/>
          <w:szCs w:val="23"/>
        </w:rPr>
        <w:tab/>
        <w:t>(1)</w:t>
      </w:r>
      <w:r>
        <w:rPr>
          <w:color w:val="000000"/>
          <w:sz w:val="23"/>
          <w:szCs w:val="23"/>
        </w:rPr>
        <w:tab/>
        <w:t xml:space="preserve">The South Australian Minister may make Rules that revoke or amend a Rule if the revocation or amendment is consequential on the enactment of the </w:t>
      </w:r>
      <w:r>
        <w:rPr>
          <w:i/>
          <w:iCs/>
          <w:color w:val="000000"/>
          <w:sz w:val="23"/>
          <w:szCs w:val="23"/>
        </w:rPr>
        <w:t>Statutes Amendment (National Energy Laws) (Binding Rate of Return Instrument) Act 2018</w:t>
      </w:r>
      <w:r>
        <w:rPr>
          <w:color w:val="000000"/>
          <w:sz w:val="23"/>
          <w:szCs w:val="23"/>
        </w:rPr>
        <w:t>.</w:t>
      </w:r>
      <w:bookmarkEnd w:id="897"/>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Without limiting </w:t>
      </w:r>
      <w:hyperlink w:anchor="id19134fd8_2b55_4fcc_b292_40888d6508" w:history="1">
        <w:r>
          <w:rPr>
            <w:color w:val="000000"/>
            <w:sz w:val="23"/>
            <w:szCs w:val="23"/>
          </w:rPr>
          <w:t>subsection (1)</w:t>
        </w:r>
      </w:hyperlink>
      <w:r>
        <w:rPr>
          <w:color w:val="000000"/>
          <w:sz w:val="23"/>
          <w:szCs w:val="23"/>
        </w:rPr>
        <w:t>, the South Australian Minister may make a rule providing that the rate of return on capital under a rate of return instrument in force at the start of a regulatory period applies throughout the period.</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Section 74(3) applies to Rules made under this section in the same way it applies to Rules made by the AEMC.</w:t>
      </w:r>
    </w:p>
    <w:p>
      <w:pPr>
        <w:tabs>
          <w:tab w:val="center" w:pos="1191"/>
          <w:tab w:val="left" w:pos="1588"/>
        </w:tabs>
        <w:autoSpaceDE w:val="0"/>
        <w:autoSpaceDN w:val="0"/>
        <w:adjustRightInd w:val="0"/>
        <w:spacing w:before="120"/>
        <w:ind w:left="1588" w:hanging="794"/>
        <w:rPr>
          <w:color w:val="000000"/>
          <w:sz w:val="23"/>
          <w:szCs w:val="23"/>
        </w:rPr>
      </w:pPr>
      <w:bookmarkStart w:id="898" w:name="idc8067be0_a852_404f_8a44_0d575f5fed"/>
      <w:r>
        <w:rPr>
          <w:color w:val="000000"/>
          <w:sz w:val="23"/>
          <w:szCs w:val="23"/>
        </w:rPr>
        <w:tab/>
        <w:t>(4)</w:t>
      </w:r>
      <w:r>
        <w:rPr>
          <w:color w:val="000000"/>
          <w:sz w:val="23"/>
          <w:szCs w:val="23"/>
        </w:rPr>
        <w:tab/>
        <w:t>As soon as practicable after making Rules under this section, the South Australian Minister must—</w:t>
      </w:r>
      <w:bookmarkEnd w:id="898"/>
    </w:p>
    <w:p>
      <w:pPr>
        <w:tabs>
          <w:tab w:val="center" w:pos="1985"/>
          <w:tab w:val="left" w:pos="2382"/>
        </w:tabs>
        <w:autoSpaceDE w:val="0"/>
        <w:autoSpaceDN w:val="0"/>
        <w:adjustRightInd w:val="0"/>
        <w:spacing w:before="120"/>
        <w:ind w:left="2382" w:hanging="794"/>
        <w:rPr>
          <w:color w:val="000000"/>
          <w:sz w:val="23"/>
          <w:szCs w:val="23"/>
        </w:rPr>
      </w:pPr>
      <w:bookmarkStart w:id="899" w:name="idaef1949e_641b_49ba_a619_1b6db51246"/>
      <w:r>
        <w:rPr>
          <w:color w:val="000000"/>
          <w:sz w:val="23"/>
          <w:szCs w:val="23"/>
        </w:rPr>
        <w:tab/>
        <w:t>(a)</w:t>
      </w:r>
      <w:r>
        <w:rPr>
          <w:color w:val="000000"/>
          <w:sz w:val="23"/>
          <w:szCs w:val="23"/>
        </w:rPr>
        <w:tab/>
        <w:t>publish notice of the making of the Rules in the South Australian Government Gazette; and</w:t>
      </w:r>
      <w:bookmarkEnd w:id="899"/>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the Rules publicly available.</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 xml:space="preserve">The notice referred to in </w:t>
      </w:r>
      <w:hyperlink w:anchor="idaef1949e_641b_49ba_a619_1b6db51246" w:history="1">
        <w:r>
          <w:rPr>
            <w:color w:val="000000"/>
            <w:sz w:val="23"/>
            <w:szCs w:val="23"/>
          </w:rPr>
          <w:t>subsection (4)(a)</w:t>
        </w:r>
      </w:hyperlink>
      <w:r>
        <w:rPr>
          <w:color w:val="000000"/>
          <w:sz w:val="23"/>
          <w:szCs w:val="23"/>
        </w:rPr>
        <w:t xml:space="preserve"> must state—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date on which the Rules commence operation;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different Rules will commence operation on different dates, those dates.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Rules may only be made under this section on the recommendation of the MCE.</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 xml:space="preserve">Once the first Rules have been made under </w:t>
      </w:r>
      <w:hyperlink w:anchor="id19134fd8_2b55_4fcc_b292_40888d6508" w:history="1">
        <w:r>
          <w:rPr>
            <w:color w:val="000000"/>
            <w:sz w:val="23"/>
            <w:szCs w:val="23"/>
          </w:rPr>
          <w:t>subsection (1)</w:t>
        </w:r>
      </w:hyperlink>
      <w:r>
        <w:rPr>
          <w:color w:val="000000"/>
          <w:sz w:val="23"/>
          <w:szCs w:val="23"/>
        </w:rPr>
        <w:t>, no further Rules can be made under that subsection.</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this section—</w:t>
      </w:r>
    </w:p>
    <w:p>
      <w:pPr>
        <w:autoSpaceDE w:val="0"/>
        <w:autoSpaceDN w:val="0"/>
        <w:adjustRightInd w:val="0"/>
        <w:spacing w:before="120"/>
        <w:ind w:left="1588"/>
        <w:rPr>
          <w:color w:val="000000"/>
          <w:sz w:val="23"/>
          <w:szCs w:val="23"/>
        </w:rPr>
      </w:pPr>
      <w:r>
        <w:rPr>
          <w:rStyle w:val="CharDefText"/>
          <w:sz w:val="23"/>
          <w:szCs w:val="23"/>
        </w:rPr>
        <w:t>regulatory period</w:t>
      </w:r>
      <w:r>
        <w:rPr>
          <w:color w:val="000000"/>
          <w:sz w:val="23"/>
          <w:szCs w:val="23"/>
        </w:rPr>
        <w:t xml:space="preserve"> means the period specified in an applicable access arrangement to be the regulatory period;</w:t>
      </w:r>
    </w:p>
    <w:p>
      <w:pPr>
        <w:keepLines/>
        <w:autoSpaceDE w:val="0"/>
        <w:autoSpaceDN w:val="0"/>
        <w:adjustRightInd w:val="0"/>
        <w:spacing w:before="120"/>
        <w:ind w:left="1588"/>
        <w:rPr>
          <w:color w:val="000000"/>
          <w:sz w:val="23"/>
          <w:szCs w:val="23"/>
        </w:rPr>
      </w:pPr>
      <w:r>
        <w:rPr>
          <w:rStyle w:val="CharDefText"/>
          <w:sz w:val="23"/>
          <w:szCs w:val="23"/>
        </w:rPr>
        <w:lastRenderedPageBreak/>
        <w:t>South Australian Minister</w:t>
      </w:r>
      <w:r>
        <w:rPr>
          <w:color w:val="000000"/>
          <w:sz w:val="23"/>
          <w:szCs w:val="23"/>
        </w:rPr>
        <w:t xml:space="preserve"> means the Minister in right of the Crown of South Australia administering Part 2 of the </w:t>
      </w:r>
      <w:hyperlink r:id="rId32" w:history="1">
        <w:r>
          <w:rPr>
            <w:i/>
            <w:iCs/>
            <w:color w:val="000000"/>
            <w:sz w:val="23"/>
            <w:szCs w:val="23"/>
          </w:rPr>
          <w:t>National Gas (South Australia) Act 2008</w:t>
        </w:r>
      </w:hyperlink>
      <w:r>
        <w:rPr>
          <w:color w:val="000000"/>
          <w:sz w:val="23"/>
          <w:szCs w:val="23"/>
        </w:rPr>
        <w:t xml:space="preserve"> of South Australia.</w:t>
      </w:r>
    </w:p>
    <w:p>
      <w:pPr>
        <w:pStyle w:val="Footnotesection"/>
        <w:keepLines w:val="0"/>
      </w:pPr>
      <w:r>
        <w:tab/>
        <w:t>[Section 294CA inserted: see SA Act No. 33 of 2018 s. 18 and WA Gazette 5 Apr 2019 p. 1007</w:t>
      </w:r>
      <w:r>
        <w:noBreakHyphen/>
        <w:t>8.]</w:t>
      </w:r>
    </w:p>
    <w:p>
      <w:pPr>
        <w:pStyle w:val="Heading5"/>
        <w:keepLines w:val="0"/>
      </w:pPr>
      <w:bookmarkStart w:id="900" w:name="_Toc158375120"/>
      <w:r>
        <w:rPr>
          <w:rStyle w:val="CharSectno"/>
        </w:rPr>
        <w:t>294F</w:t>
      </w:r>
      <w:r>
        <w:t>.</w:t>
      </w:r>
      <w:r>
        <w:tab/>
        <w:t>South Australian Minister to make initial Rules relating to access to non</w:t>
      </w:r>
      <w:r>
        <w:noBreakHyphen/>
        <w:t>scheme pipelines</w:t>
      </w:r>
      <w:bookmarkEnd w:id="900"/>
    </w:p>
    <w:p>
      <w:pPr>
        <w:tabs>
          <w:tab w:val="center" w:pos="1191"/>
          <w:tab w:val="left" w:pos="1588"/>
        </w:tabs>
        <w:autoSpaceDE w:val="0"/>
        <w:autoSpaceDN w:val="0"/>
        <w:adjustRightInd w:val="0"/>
        <w:spacing w:before="120"/>
        <w:ind w:left="1588" w:hanging="794"/>
        <w:rPr>
          <w:color w:val="000000"/>
          <w:sz w:val="23"/>
          <w:szCs w:val="23"/>
        </w:rPr>
      </w:pPr>
      <w:bookmarkStart w:id="901" w:name="id2a8d962a_bad0_42dd_9386_54821ec565"/>
      <w:r>
        <w:rPr>
          <w:color w:val="000000"/>
          <w:sz w:val="23"/>
          <w:szCs w:val="23"/>
        </w:rPr>
        <w:tab/>
        <w:t>(1)</w:t>
      </w:r>
      <w:r>
        <w:rPr>
          <w:color w:val="000000"/>
          <w:sz w:val="23"/>
          <w:szCs w:val="23"/>
        </w:rPr>
        <w:tab/>
        <w:t xml:space="preserve">The Minister in right of the Crown of South Australia administering Part 2 of the </w:t>
      </w:r>
      <w:hyperlink r:id="rId33" w:history="1">
        <w:r>
          <w:rPr>
            <w:i/>
            <w:iCs/>
            <w:color w:val="000000"/>
            <w:sz w:val="23"/>
            <w:szCs w:val="23"/>
          </w:rPr>
          <w:t>National Gas (South Australia) Act 2008</w:t>
        </w:r>
      </w:hyperlink>
      <w:r>
        <w:rPr>
          <w:color w:val="000000"/>
          <w:sz w:val="23"/>
          <w:szCs w:val="23"/>
        </w:rPr>
        <w:t xml:space="preserve"> of South Australia (the </w:t>
      </w:r>
      <w:r>
        <w:rPr>
          <w:b/>
          <w:bCs/>
          <w:i/>
          <w:iCs/>
          <w:color w:val="000000"/>
          <w:sz w:val="23"/>
          <w:szCs w:val="23"/>
        </w:rPr>
        <w:t>South Australian Minister</w:t>
      </w:r>
      <w:r>
        <w:rPr>
          <w:color w:val="000000"/>
          <w:sz w:val="23"/>
          <w:szCs w:val="23"/>
        </w:rPr>
        <w:t>) may make Rules on any 1 or more of the following subjects:</w:t>
      </w:r>
      <w:bookmarkEnd w:id="901"/>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access proposals, access disputes and arbitrations under Chapter 6A;</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a new head power added to Schedule 1 by the Pipelines Access/Arbitration amendments;</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subject contemplated by, or consequential on, the Pipelines Access/Arbitration amendments.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Rules may only be made under </w:t>
      </w:r>
      <w:hyperlink w:anchor="id2a8d962a_bad0_42dd_9386_54821ec565" w:history="1">
        <w:r>
          <w:rPr>
            <w:color w:val="000000"/>
            <w:sz w:val="23"/>
            <w:szCs w:val="23"/>
          </w:rPr>
          <w:t>subsection (1)</w:t>
        </w:r>
      </w:hyperlink>
      <w:r>
        <w:rPr>
          <w:color w:val="000000"/>
          <w:sz w:val="23"/>
          <w:szCs w:val="23"/>
        </w:rPr>
        <w:t xml:space="preserve"> on the recommendation of the MCE.</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 xml:space="preserve">Section 74(3) applies to Rules made under </w:t>
      </w:r>
      <w:hyperlink w:anchor="id2a8d962a_bad0_42dd_9386_54821ec565" w:history="1">
        <w:r>
          <w:rPr>
            <w:color w:val="000000"/>
            <w:sz w:val="23"/>
            <w:szCs w:val="23"/>
          </w:rPr>
          <w:t>subsection (1)</w:t>
        </w:r>
      </w:hyperlink>
      <w:r>
        <w:rPr>
          <w:color w:val="000000"/>
          <w:sz w:val="23"/>
          <w:szCs w:val="23"/>
        </w:rPr>
        <w:t xml:space="preserve"> in the same way as it applies to Rules made by the AEMC.</w:t>
      </w:r>
    </w:p>
    <w:p>
      <w:pPr>
        <w:tabs>
          <w:tab w:val="center" w:pos="1191"/>
          <w:tab w:val="left" w:pos="1588"/>
        </w:tabs>
        <w:autoSpaceDE w:val="0"/>
        <w:autoSpaceDN w:val="0"/>
        <w:adjustRightInd w:val="0"/>
        <w:spacing w:before="120"/>
        <w:ind w:left="1588" w:hanging="794"/>
        <w:rPr>
          <w:color w:val="000000"/>
          <w:sz w:val="23"/>
          <w:szCs w:val="23"/>
        </w:rPr>
      </w:pPr>
      <w:bookmarkStart w:id="902" w:name="idb626c5e9_5e85_4a57_9b3c_bc5fd5331d"/>
      <w:r>
        <w:rPr>
          <w:color w:val="000000"/>
          <w:sz w:val="23"/>
          <w:szCs w:val="23"/>
        </w:rPr>
        <w:tab/>
        <w:t>(4)</w:t>
      </w:r>
      <w:r>
        <w:rPr>
          <w:color w:val="000000"/>
          <w:sz w:val="23"/>
          <w:szCs w:val="23"/>
        </w:rPr>
        <w:tab/>
        <w:t xml:space="preserve">As soon as practicable after making Rules under </w:t>
      </w:r>
      <w:hyperlink w:anchor="id2a8d962a_bad0_42dd_9386_54821ec565" w:history="1">
        <w:r>
          <w:rPr>
            <w:color w:val="000000"/>
            <w:sz w:val="23"/>
            <w:szCs w:val="23"/>
          </w:rPr>
          <w:t>subsection (1)</w:t>
        </w:r>
      </w:hyperlink>
      <w:r>
        <w:rPr>
          <w:color w:val="000000"/>
          <w:sz w:val="23"/>
          <w:szCs w:val="23"/>
        </w:rPr>
        <w:t>, the South Australian Minister must—</w:t>
      </w:r>
      <w:bookmarkEnd w:id="902"/>
    </w:p>
    <w:p>
      <w:pPr>
        <w:tabs>
          <w:tab w:val="center" w:pos="1985"/>
          <w:tab w:val="left" w:pos="2382"/>
        </w:tabs>
        <w:autoSpaceDE w:val="0"/>
        <w:autoSpaceDN w:val="0"/>
        <w:adjustRightInd w:val="0"/>
        <w:spacing w:before="120"/>
        <w:ind w:left="2382" w:hanging="794"/>
        <w:rPr>
          <w:color w:val="000000"/>
          <w:sz w:val="23"/>
          <w:szCs w:val="23"/>
        </w:rPr>
      </w:pPr>
      <w:bookmarkStart w:id="903" w:name="id0a8503f4_0144_4ab9_bb7b_b3c8df7780"/>
      <w:r>
        <w:rPr>
          <w:color w:val="000000"/>
          <w:sz w:val="23"/>
          <w:szCs w:val="23"/>
        </w:rPr>
        <w:tab/>
        <w:t>(a)</w:t>
      </w:r>
      <w:r>
        <w:rPr>
          <w:color w:val="000000"/>
          <w:sz w:val="23"/>
          <w:szCs w:val="23"/>
        </w:rPr>
        <w:tab/>
        <w:t>publish notice of the making of the Rules in the South Australian Government Gazette stating the date of commencement or, if they commence at different times, various dates of commencement; and</w:t>
      </w:r>
      <w:bookmarkEnd w:id="903"/>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making the Rules publicly available.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(5)</w:t>
      </w:r>
      <w:r>
        <w:rPr>
          <w:color w:val="000000"/>
          <w:sz w:val="23"/>
          <w:szCs w:val="23"/>
        </w:rPr>
        <w:tab/>
        <w:t xml:space="preserve">The South Australian Minister may, by a later notice published in the South Australian Government Gazette, vary a commencement date fixed under </w:t>
      </w:r>
      <w:hyperlink w:anchor="id0a8503f4_0144_4ab9_bb7b_b3c8df7780" w:history="1">
        <w:r>
          <w:rPr>
            <w:color w:val="000000"/>
            <w:sz w:val="23"/>
            <w:szCs w:val="23"/>
          </w:rPr>
          <w:t>subsection (4)(a)</w:t>
        </w:r>
      </w:hyperlink>
      <w:r>
        <w:rPr>
          <w:color w:val="000000"/>
          <w:sz w:val="23"/>
          <w:szCs w:val="23"/>
        </w:rPr>
        <w:t xml:space="preserve"> or this subsection.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 xml:space="preserve">Once the first Rules have been made under </w:t>
      </w:r>
      <w:hyperlink w:anchor="id2a8d962a_bad0_42dd_9386_54821ec565" w:history="1">
        <w:r>
          <w:rPr>
            <w:color w:val="000000"/>
            <w:sz w:val="23"/>
            <w:szCs w:val="23"/>
          </w:rPr>
          <w:t>subsection (1)</w:t>
        </w:r>
      </w:hyperlink>
      <w:r>
        <w:rPr>
          <w:color w:val="000000"/>
          <w:sz w:val="23"/>
          <w:szCs w:val="23"/>
        </w:rPr>
        <w:t>, no further Rules can be made under that subsection.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Rules in the nature of a derogation may be made under this section even though no request has been made for the derogation.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iCs/>
          <w:sz w:val="23"/>
        </w:rPr>
        <w:t>Pipelines Access/Arbitration amendments</w:t>
      </w:r>
      <w:r>
        <w:rPr>
          <w:color w:val="000000"/>
          <w:sz w:val="23"/>
          <w:szCs w:val="23"/>
        </w:rPr>
        <w:t xml:space="preserve"> means the amendments made to this Law by the </w:t>
      </w:r>
      <w:r>
        <w:rPr>
          <w:i/>
          <w:iCs/>
          <w:color w:val="000000"/>
          <w:sz w:val="23"/>
          <w:szCs w:val="23"/>
        </w:rPr>
        <w:t>National Gas (South Australia) (Pipelines Access—Arbitration) Amendment Act 2017</w:t>
      </w:r>
      <w:r>
        <w:rPr>
          <w:color w:val="000000"/>
          <w:sz w:val="23"/>
          <w:szCs w:val="23"/>
        </w:rPr>
        <w:t>.</w:t>
      </w:r>
    </w:p>
    <w:p>
      <w:pPr>
        <w:pStyle w:val="Footnotesection"/>
      </w:pPr>
      <w:r>
        <w:tab/>
        <w:t>[Section 294F inserted: see SA Act No. 23 of 2017 s. 8 and WA Gazette 22 Dec 2017 p. 5984.]</w:t>
      </w:r>
    </w:p>
    <w:p>
      <w:pPr>
        <w:pStyle w:val="Heading5"/>
        <w:rPr>
          <w:b w:val="0"/>
        </w:rPr>
      </w:pPr>
      <w:bookmarkStart w:id="904" w:name="_Toc158375121"/>
      <w:bookmarkStart w:id="905" w:name="_Toc156819482"/>
      <w:r>
        <w:rPr>
          <w:rStyle w:val="CharSectno"/>
        </w:rPr>
        <w:t>294FC</w:t>
      </w:r>
      <w:r>
        <w:t>.</w:t>
      </w:r>
      <w:r>
        <w:tab/>
        <w:t>South Australian Minister to make initial Rules relating to national gas objective</w:t>
      </w:r>
      <w:bookmarkEnd w:id="904"/>
    </w:p>
    <w:p>
      <w:pPr>
        <w:keepLines/>
        <w:tabs>
          <w:tab w:val="center" w:pos="1191"/>
          <w:tab w:val="left" w:pos="1588"/>
        </w:tabs>
        <w:autoSpaceDE w:val="0"/>
        <w:autoSpaceDN w:val="0"/>
        <w:adjustRightInd w:val="0"/>
        <w:spacing w:before="120"/>
        <w:ind w:left="1588" w:hanging="794"/>
        <w:rPr>
          <w:color w:val="000000"/>
          <w:sz w:val="23"/>
          <w:szCs w:val="23"/>
        </w:rPr>
      </w:pPr>
      <w:bookmarkStart w:id="906" w:name="id035df1fc_5626_4033_a47a_9188fe4a071c_7"/>
      <w:r>
        <w:rPr>
          <w:color w:val="000000"/>
          <w:sz w:val="23"/>
          <w:szCs w:val="23"/>
        </w:rPr>
        <w:tab/>
        <w:t>(1)</w:t>
      </w:r>
      <w:r>
        <w:rPr>
          <w:color w:val="000000"/>
          <w:sz w:val="23"/>
          <w:szCs w:val="23"/>
        </w:rPr>
        <w:tab/>
        <w:t xml:space="preserve">The South Australian Minister may, within 9 months after the commencement of </w:t>
      </w:r>
      <w:r>
        <w:t xml:space="preserve">the </w:t>
      </w:r>
      <w:r>
        <w:rPr>
          <w:i/>
        </w:rPr>
        <w:t>National Gas (South Australia) Law</w:t>
      </w:r>
      <w:r>
        <w:t xml:space="preserve"> (South Australia) section 294FC —</w:t>
      </w:r>
      <w:bookmarkEnd w:id="906"/>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make Rules for or with respect to any matter or thing necessary or expedient to implement the amended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Rules for or with respect to any other subject contemplated by, or necessary or expedient for implementing, the amended objective; and</w:t>
      </w:r>
    </w:p>
    <w:p>
      <w:pPr>
        <w:keepLines/>
        <w:tabs>
          <w:tab w:val="center" w:pos="1985"/>
          <w:tab w:val="left" w:pos="2382"/>
        </w:tabs>
        <w:autoSpaceDE w:val="0"/>
        <w:autoSpaceDN w:val="0"/>
        <w:adjustRightInd w:val="0"/>
        <w:spacing w:before="120"/>
        <w:ind w:left="2382" w:hanging="794"/>
        <w:rPr>
          <w:sz w:val="23"/>
          <w:szCs w:val="23"/>
        </w:rPr>
      </w:pPr>
      <w:r>
        <w:rPr>
          <w:color w:val="000000"/>
          <w:sz w:val="23"/>
          <w:szCs w:val="23"/>
        </w:rPr>
        <w:tab/>
        <w:t>(c)</w:t>
      </w:r>
      <w:r>
        <w:rPr>
          <w:color w:val="000000"/>
          <w:sz w:val="23"/>
          <w:szCs w:val="23"/>
        </w:rPr>
        <w:tab/>
        <w:t xml:space="preserve">make Rules that revoke or amend a Rule as a consequence </w:t>
      </w:r>
      <w:r>
        <w:rPr>
          <w:sz w:val="23"/>
          <w:szCs w:val="23"/>
        </w:rPr>
        <w:t xml:space="preserve">of — </w:t>
      </w:r>
    </w:p>
    <w:p>
      <w:pPr>
        <w:tabs>
          <w:tab w:val="center" w:pos="2779"/>
          <w:tab w:val="left" w:pos="3176"/>
        </w:tabs>
        <w:autoSpaceDE w:val="0"/>
        <w:autoSpaceDN w:val="0"/>
        <w:adjustRightInd w:val="0"/>
        <w:spacing w:before="120"/>
        <w:ind w:left="3175" w:hanging="794"/>
        <w:rPr>
          <w:color w:val="000000"/>
          <w:sz w:val="23"/>
          <w:szCs w:val="23"/>
        </w:rPr>
      </w:pPr>
      <w:r>
        <w:rPr>
          <w:color w:val="000000"/>
          <w:sz w:val="23"/>
          <w:szCs w:val="23"/>
        </w:rPr>
        <w:tab/>
        <w:t>(i)</w:t>
      </w:r>
      <w:r>
        <w:rPr>
          <w:color w:val="000000"/>
          <w:sz w:val="23"/>
          <w:szCs w:val="23"/>
        </w:rPr>
        <w:tab/>
        <w:t xml:space="preserve">the enactment of the </w:t>
      </w:r>
      <w:r>
        <w:rPr>
          <w:i/>
          <w:iCs/>
          <w:color w:val="000000"/>
          <w:sz w:val="23"/>
          <w:szCs w:val="23"/>
        </w:rPr>
        <w:t xml:space="preserve">Statutes Amendment (National Energy Laws) (Emissions Reduction Objectives) Act 2023 </w:t>
      </w:r>
      <w:r>
        <w:rPr>
          <w:color w:val="000000"/>
          <w:sz w:val="23"/>
          <w:szCs w:val="23"/>
        </w:rPr>
        <w:t>(South Australia); or</w:t>
      </w:r>
    </w:p>
    <w:p>
      <w:pPr>
        <w:tabs>
          <w:tab w:val="center" w:pos="2779"/>
          <w:tab w:val="left" w:pos="3176"/>
        </w:tabs>
        <w:autoSpaceDE w:val="0"/>
        <w:autoSpaceDN w:val="0"/>
        <w:adjustRightInd w:val="0"/>
        <w:spacing w:before="120"/>
        <w:ind w:left="3175" w:hanging="794"/>
        <w:rPr>
          <w:color w:val="000000"/>
          <w:sz w:val="23"/>
          <w:szCs w:val="23"/>
        </w:rPr>
      </w:pPr>
      <w:r>
        <w:rPr>
          <w:color w:val="000000"/>
          <w:sz w:val="23"/>
          <w:szCs w:val="23"/>
        </w:rPr>
        <w:lastRenderedPageBreak/>
        <w:tab/>
        <w:t>(ii)</w:t>
      </w:r>
      <w:r>
        <w:rPr>
          <w:color w:val="000000"/>
          <w:sz w:val="23"/>
          <w:szCs w:val="23"/>
        </w:rPr>
        <w:tab/>
        <w:t xml:space="preserve">the amendment of this Law by virtue of the </w:t>
      </w:r>
      <w:r>
        <w:rPr>
          <w:i/>
          <w:iCs/>
          <w:color w:val="000000"/>
          <w:sz w:val="23"/>
          <w:szCs w:val="23"/>
        </w:rPr>
        <w:t>National Gas Access (WA) Adoption of Amendments Order (No. 2) 2024</w:t>
      </w:r>
      <w:r>
        <w:rPr>
          <w:color w:val="000000"/>
          <w:sz w:val="23"/>
          <w:szCs w:val="23"/>
        </w:rPr>
        <w:t xml:space="preserve"> clause 3 (the </w:t>
      </w:r>
      <w:r>
        <w:rPr>
          <w:rStyle w:val="CharDefText"/>
        </w:rPr>
        <w:t>adopting clause</w:t>
      </w:r>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Rules in the nature of a derogation may be made under </w:t>
      </w:r>
      <w:hyperlink w:anchor="id035df1fc_5626_4033_a47a_9188fe4a071c_7" w:history="1">
        <w:r>
          <w:rPr>
            <w:color w:val="000000"/>
            <w:sz w:val="23"/>
            <w:szCs w:val="23"/>
          </w:rPr>
          <w:t>subsection (1)</w:t>
        </w:r>
      </w:hyperlink>
      <w:r>
        <w:rPr>
          <w:color w:val="000000"/>
          <w:sz w:val="23"/>
          <w:szCs w:val="23"/>
        </w:rPr>
        <w:t xml:space="preserve"> even though there may not have been a request for a derogation.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 xml:space="preserve">Section 74(3) applies to the making of Rules under </w:t>
      </w:r>
      <w:hyperlink w:anchor="id035df1fc_5626_4033_a47a_9188fe4a071c_7" w:history="1">
        <w:r>
          <w:rPr>
            <w:color w:val="000000"/>
            <w:sz w:val="23"/>
            <w:szCs w:val="23"/>
          </w:rPr>
          <w:t>subsection (1)</w:t>
        </w:r>
      </w:hyperlink>
      <w:r>
        <w:rPr>
          <w:color w:val="000000"/>
          <w:sz w:val="23"/>
          <w:szCs w:val="23"/>
        </w:rPr>
        <w:t xml:space="preserve"> as if the Rules being made under </w:t>
      </w:r>
      <w:hyperlink w:anchor="id035df1fc_5626_4033_a47a_9188fe4a071c_7" w:history="1">
        <w:r>
          <w:rPr>
            <w:color w:val="000000"/>
            <w:sz w:val="23"/>
            <w:szCs w:val="23"/>
          </w:rPr>
          <w:t>subsection (1)</w:t>
        </w:r>
      </w:hyperlink>
      <w:r>
        <w:rPr>
          <w:color w:val="000000"/>
          <w:sz w:val="23"/>
          <w:szCs w:val="23"/>
        </w:rPr>
        <w:t xml:space="preserve"> were Rules being made by the AEMC.</w:t>
      </w:r>
    </w:p>
    <w:p>
      <w:pPr>
        <w:keepLines/>
        <w:tabs>
          <w:tab w:val="center" w:pos="1191"/>
          <w:tab w:val="left" w:pos="1588"/>
        </w:tabs>
        <w:autoSpaceDE w:val="0"/>
        <w:autoSpaceDN w:val="0"/>
        <w:adjustRightInd w:val="0"/>
        <w:spacing w:before="120"/>
        <w:ind w:left="1588" w:hanging="794"/>
        <w:rPr>
          <w:color w:val="000000"/>
          <w:sz w:val="23"/>
          <w:szCs w:val="23"/>
        </w:rPr>
      </w:pPr>
      <w:bookmarkStart w:id="907" w:name="idc55c0848_8355_411d_9e5c_cf407ae7c3d5_9"/>
      <w:r>
        <w:rPr>
          <w:color w:val="000000"/>
          <w:sz w:val="23"/>
          <w:szCs w:val="23"/>
        </w:rPr>
        <w:tab/>
        <w:t>(4)</w:t>
      </w:r>
      <w:r>
        <w:rPr>
          <w:color w:val="000000"/>
          <w:sz w:val="23"/>
          <w:szCs w:val="23"/>
        </w:rPr>
        <w:tab/>
        <w:t xml:space="preserve">As soon as practicable after making Rules under </w:t>
      </w:r>
      <w:hyperlink w:anchor="id035df1fc_5626_4033_a47a_9188fe4a071c_7" w:history="1">
        <w:r>
          <w:rPr>
            <w:color w:val="000000"/>
            <w:sz w:val="23"/>
            <w:szCs w:val="23"/>
          </w:rPr>
          <w:t>subsection (1)</w:t>
        </w:r>
      </w:hyperlink>
      <w:r>
        <w:rPr>
          <w:color w:val="000000"/>
          <w:sz w:val="23"/>
          <w:szCs w:val="23"/>
        </w:rPr>
        <w:t>, the South Australian Minister must—</w:t>
      </w:r>
      <w:bookmarkEnd w:id="907"/>
    </w:p>
    <w:p>
      <w:pPr>
        <w:keepLines/>
        <w:tabs>
          <w:tab w:val="center" w:pos="1985"/>
          <w:tab w:val="left" w:pos="2382"/>
        </w:tabs>
        <w:autoSpaceDE w:val="0"/>
        <w:autoSpaceDN w:val="0"/>
        <w:adjustRightInd w:val="0"/>
        <w:spacing w:before="120"/>
        <w:ind w:left="2382" w:hanging="794"/>
        <w:rPr>
          <w:color w:val="000000"/>
          <w:sz w:val="23"/>
          <w:szCs w:val="23"/>
        </w:rPr>
      </w:pPr>
      <w:bookmarkStart w:id="908" w:name="ide0ec507e_85f4_4eb0_9f6e_3e4b6d8f0e59_7"/>
      <w:r>
        <w:rPr>
          <w:color w:val="000000"/>
          <w:sz w:val="23"/>
          <w:szCs w:val="23"/>
        </w:rPr>
        <w:tab/>
        <w:t>(a)</w:t>
      </w:r>
      <w:r>
        <w:rPr>
          <w:color w:val="000000"/>
          <w:sz w:val="23"/>
          <w:szCs w:val="23"/>
        </w:rPr>
        <w:tab/>
        <w:t>publish notice of the making of the Rules in the South Australian Government Gazette; and</w:t>
      </w:r>
      <w:bookmarkEnd w:id="908"/>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the Rules publicly available.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 xml:space="preserve">The notice referred to in </w:t>
      </w:r>
      <w:hyperlink w:anchor="ide0ec507e_85f4_4eb0_9f6e_3e4b6d8f0e59_7" w:history="1">
        <w:r>
          <w:rPr>
            <w:color w:val="000000"/>
            <w:sz w:val="23"/>
            <w:szCs w:val="23"/>
          </w:rPr>
          <w:t>subsection (4)(a)</w:t>
        </w:r>
      </w:hyperlink>
      <w:r>
        <w:rPr>
          <w:color w:val="000000"/>
          <w:sz w:val="23"/>
          <w:szCs w:val="23"/>
        </w:rPr>
        <w:t xml:space="preserve"> must state—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date on which the Rules commence operation;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different Rules will commence operation on different dates, those dates.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 xml:space="preserve">The Rules made under </w:t>
      </w:r>
      <w:hyperlink w:anchor="id035df1fc_5626_4033_a47a_9188fe4a071c_7" w:history="1">
        <w:r>
          <w:rPr>
            <w:color w:val="000000"/>
            <w:sz w:val="23"/>
            <w:szCs w:val="23"/>
          </w:rPr>
          <w:t>subsection (1)</w:t>
        </w:r>
      </w:hyperlink>
      <w:r>
        <w:rPr>
          <w:color w:val="000000"/>
          <w:sz w:val="23"/>
          <w:szCs w:val="23"/>
        </w:rPr>
        <w:t xml:space="preserve"> may only be made on the recommendation of the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 xml:space="preserve">If the South Australian Minister makes Rules under </w:t>
      </w:r>
      <w:hyperlink w:anchor="id035df1fc_5626_4033_a47a_9188fe4a071c_7" w:history="1">
        <w:r>
          <w:rPr>
            <w:color w:val="000000"/>
            <w:sz w:val="23"/>
            <w:szCs w:val="23"/>
          </w:rPr>
          <w:t>subsection (1)</w:t>
        </w:r>
      </w:hyperlink>
      <w:r>
        <w:rPr>
          <w:color w:val="000000"/>
          <w:sz w:val="23"/>
          <w:szCs w:val="23"/>
        </w:rPr>
        <w:t>, the Minister cannot make another Rule under that subsection.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this section—</w:t>
      </w:r>
    </w:p>
    <w:p>
      <w:pPr>
        <w:keepLines/>
        <w:autoSpaceDE w:val="0"/>
        <w:autoSpaceDN w:val="0"/>
        <w:adjustRightInd w:val="0"/>
        <w:spacing w:before="120"/>
        <w:ind w:left="1588"/>
        <w:rPr>
          <w:color w:val="000000"/>
          <w:sz w:val="23"/>
          <w:szCs w:val="23"/>
        </w:rPr>
      </w:pPr>
      <w:r>
        <w:rPr>
          <w:b/>
          <w:bCs/>
          <w:i/>
          <w:iCs/>
          <w:color w:val="000000"/>
          <w:sz w:val="23"/>
          <w:szCs w:val="23"/>
        </w:rPr>
        <w:t>amended objective</w:t>
      </w:r>
      <w:r>
        <w:rPr>
          <w:color w:val="000000"/>
          <w:sz w:val="23"/>
          <w:szCs w:val="23"/>
        </w:rPr>
        <w:t xml:space="preserve"> means the national gas objective as in force on the </w:t>
      </w:r>
      <w:r>
        <w:t>coming into operation of the adopting clause;</w:t>
      </w:r>
    </w:p>
    <w:p>
      <w:pPr>
        <w:keepLines/>
        <w:autoSpaceDE w:val="0"/>
        <w:autoSpaceDN w:val="0"/>
        <w:adjustRightInd w:val="0"/>
        <w:spacing w:before="120"/>
        <w:ind w:left="1588"/>
        <w:rPr>
          <w:color w:val="000000"/>
          <w:sz w:val="23"/>
          <w:szCs w:val="23"/>
        </w:rPr>
      </w:pPr>
      <w:r>
        <w:rPr>
          <w:rStyle w:val="CharDefText"/>
          <w:sz w:val="23"/>
          <w:szCs w:val="23"/>
        </w:rPr>
        <w:t xml:space="preserve">South Australian </w:t>
      </w:r>
      <w:r>
        <w:rPr>
          <w:b/>
          <w:i/>
          <w:sz w:val="23"/>
          <w:szCs w:val="23"/>
        </w:rPr>
        <w:t>Minister</w:t>
      </w:r>
      <w:r>
        <w:rPr>
          <w:sz w:val="23"/>
          <w:szCs w:val="23"/>
        </w:rPr>
        <w:t xml:space="preserve"> means the Minister in right of the Crown of South Australia administering the </w:t>
      </w:r>
      <w:r>
        <w:rPr>
          <w:i/>
          <w:iCs/>
          <w:sz w:val="23"/>
          <w:szCs w:val="23"/>
        </w:rPr>
        <w:t>National Gas (South Australia) Act 2008</w:t>
      </w:r>
      <w:r>
        <w:rPr>
          <w:sz w:val="23"/>
          <w:szCs w:val="23"/>
        </w:rPr>
        <w:t xml:space="preserve"> (South Australia) Part 2.</w:t>
      </w:r>
    </w:p>
    <w:p>
      <w:pPr>
        <w:pStyle w:val="Footnotesection"/>
      </w:pPr>
      <w:r>
        <w:lastRenderedPageBreak/>
        <w:tab/>
        <w:t>[Section 294FC inserted: see SA Act 26 of 2023 s. 17 and WA Gazette 24 Jan 2024 p. 91-2; WA Act Sch. 1 cl. 13A.]</w:t>
      </w:r>
    </w:p>
    <w:p>
      <w:pPr>
        <w:pStyle w:val="Heading3"/>
      </w:pPr>
      <w:bookmarkStart w:id="909" w:name="_Toc156990902"/>
      <w:bookmarkStart w:id="910" w:name="_Toc158375122"/>
      <w:r>
        <w:rPr>
          <w:rStyle w:val="CharDivNo"/>
        </w:rPr>
        <w:t>Part 3</w:t>
      </w:r>
      <w:r>
        <w:t> — </w:t>
      </w:r>
      <w:r>
        <w:rPr>
          <w:rStyle w:val="CharDivText"/>
        </w:rPr>
        <w:t>Procedure for the making of a Rule by the AEMC</w:t>
      </w:r>
      <w:bookmarkEnd w:id="905"/>
      <w:bookmarkEnd w:id="909"/>
      <w:bookmarkEnd w:id="910"/>
    </w:p>
    <w:p>
      <w:pPr>
        <w:pStyle w:val="Heading5"/>
      </w:pPr>
      <w:bookmarkStart w:id="911" w:name="_Toc158375123"/>
      <w:r>
        <w:rPr>
          <w:rStyle w:val="CharSectno"/>
        </w:rPr>
        <w:t>295</w:t>
      </w:r>
      <w:r>
        <w:t>.</w:t>
      </w:r>
      <w:r>
        <w:tab/>
        <w:t>Initiation of making of a Rule</w:t>
      </w:r>
      <w:bookmarkEnd w:id="91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make a Rule at the request of any person or the MCE.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Section 74 and Schedule 1 to this Law specify the subject matter for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not make a Rule without a request under subsection (1)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considers the Rule corrects a minor error in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it considers the Rule involves a non</w:t>
      </w:r>
      <w:r>
        <w:rPr>
          <w:color w:val="000000"/>
          <w:sz w:val="23"/>
          <w:szCs w:val="23"/>
        </w:rPr>
        <w:noBreakHyphen/>
        <w:t>material change to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Rule is in respect of any matter that is prescribed by the Regulations as a matter on which it may make a Rule on its own initiative.</w:t>
      </w:r>
    </w:p>
    <w:p>
      <w:pPr>
        <w:pStyle w:val="Heading5"/>
      </w:pPr>
      <w:bookmarkStart w:id="912" w:name="_Toc158375124"/>
      <w:r>
        <w:rPr>
          <w:rStyle w:val="CharSectno"/>
        </w:rPr>
        <w:t>296</w:t>
      </w:r>
      <w:r>
        <w:t>.</w:t>
      </w:r>
      <w:r>
        <w:tab/>
        <w:t>AEMC may make more preferable Rule in certain cases</w:t>
      </w:r>
      <w:bookmarkEnd w:id="912"/>
    </w:p>
    <w:p>
      <w:pPr>
        <w:keepLines/>
        <w:autoSpaceDE w:val="0"/>
        <w:autoSpaceDN w:val="0"/>
        <w:adjustRightInd w:val="0"/>
        <w:spacing w:before="120"/>
        <w:ind w:left="1588"/>
        <w:rPr>
          <w:color w:val="000000"/>
          <w:sz w:val="23"/>
          <w:szCs w:val="23"/>
        </w:rPr>
      </w:pPr>
      <w:r>
        <w:rPr>
          <w:color w:val="000000"/>
          <w:sz w:val="23"/>
          <w:szCs w:val="23"/>
        </w:rPr>
        <w:t xml:space="preserve">The AEMC may make a Rule that is different (including materially different) from a market initiated proposed Rule (a </w:t>
      </w:r>
      <w:r>
        <w:rPr>
          <w:rStyle w:val="CharDefText"/>
          <w:bCs/>
          <w:sz w:val="23"/>
        </w:rPr>
        <w:t>more preferable Rule</w:t>
      </w:r>
      <w:r>
        <w:rPr>
          <w:color w:val="000000"/>
          <w:sz w:val="23"/>
          <w:szCs w:val="23"/>
        </w:rPr>
        <w:t>) if the AEMC is satisfied that, having regard to the issue or issues that were raised by the market initiated proposed Rule (to which the more preferable Rule relates), the more preferable Rule will or is likely to better contribute to the achievement of the national gas objective.</w:t>
      </w:r>
    </w:p>
    <w:p>
      <w:pPr>
        <w:pStyle w:val="Heading5"/>
      </w:pPr>
      <w:bookmarkStart w:id="913" w:name="_Toc158375125"/>
      <w:r>
        <w:rPr>
          <w:rStyle w:val="CharSectno"/>
        </w:rPr>
        <w:lastRenderedPageBreak/>
        <w:t>297</w:t>
      </w:r>
      <w:r>
        <w:t>.</w:t>
      </w:r>
      <w:r>
        <w:tab/>
        <w:t>AEMC may make Rules that are consequential to a Rule request</w:t>
      </w:r>
      <w:bookmarkEnd w:id="91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section 295(2), the AEMC may, having regard to a request to make a Rule under section 295(1), make a Rule that is necessary or consequential to the Rule that is to be made on that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this Chapter, the AEMC must treat a Rule it may make under subsection (1) as if it were part of the Rule to be made on that request.</w:t>
      </w:r>
    </w:p>
    <w:p>
      <w:pPr>
        <w:pStyle w:val="Heading5"/>
      </w:pPr>
      <w:bookmarkStart w:id="914" w:name="_Toc158375126"/>
      <w:r>
        <w:rPr>
          <w:rStyle w:val="CharSectno"/>
        </w:rPr>
        <w:t>298</w:t>
      </w:r>
      <w:r>
        <w:t>.</w:t>
      </w:r>
      <w:r>
        <w:tab/>
        <w:t>Content of requests for a Rule</w:t>
      </w:r>
      <w:bookmarkEnd w:id="914"/>
    </w:p>
    <w:p>
      <w:pPr>
        <w:keepNext/>
        <w:keepLines/>
        <w:autoSpaceDE w:val="0"/>
        <w:autoSpaceDN w:val="0"/>
        <w:adjustRightInd w:val="0"/>
        <w:spacing w:before="120"/>
        <w:ind w:left="1588"/>
        <w:rPr>
          <w:color w:val="000000"/>
          <w:sz w:val="23"/>
          <w:szCs w:val="23"/>
        </w:rPr>
      </w:pPr>
      <w:r>
        <w:rPr>
          <w:color w:val="000000"/>
          <w:sz w:val="23"/>
          <w:szCs w:val="23"/>
        </w:rPr>
        <w:t>A request for the making of a Rule—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contain the information prescribed by the Regulations;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subject to section 299, be accompanied by the fee prescribed by the Regulations (if any);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be accompanied by a draft of the Rule to be made.</w:t>
      </w:r>
    </w:p>
    <w:p>
      <w:pPr>
        <w:pStyle w:val="Heading5"/>
      </w:pPr>
      <w:bookmarkStart w:id="915" w:name="_Toc158375127"/>
      <w:r>
        <w:rPr>
          <w:rStyle w:val="CharSectno"/>
        </w:rPr>
        <w:t>299</w:t>
      </w:r>
      <w:r>
        <w:t>.</w:t>
      </w:r>
      <w:r>
        <w:tab/>
        <w:t>Waiver of fee for Rule requests</w:t>
      </w:r>
      <w:bookmarkEnd w:id="915"/>
    </w:p>
    <w:p>
      <w:pPr>
        <w:keepLines/>
        <w:autoSpaceDE w:val="0"/>
        <w:autoSpaceDN w:val="0"/>
        <w:adjustRightInd w:val="0"/>
        <w:spacing w:before="120"/>
        <w:ind w:left="1588"/>
        <w:rPr>
          <w:color w:val="000000"/>
          <w:sz w:val="23"/>
          <w:szCs w:val="23"/>
        </w:rPr>
      </w:pPr>
      <w:r>
        <w:rPr>
          <w:color w:val="000000"/>
          <w:sz w:val="23"/>
          <w:szCs w:val="23"/>
        </w:rPr>
        <w:t>The AEMC may waive the payment of any fee prescribed by the Regulations for the purposes of section 298.</w:t>
      </w:r>
    </w:p>
    <w:p>
      <w:pPr>
        <w:pStyle w:val="Heading5"/>
      </w:pPr>
      <w:bookmarkStart w:id="916" w:name="_Toc158375128"/>
      <w:r>
        <w:rPr>
          <w:rStyle w:val="CharSectno"/>
        </w:rPr>
        <w:t>300</w:t>
      </w:r>
      <w:r>
        <w:t>.</w:t>
      </w:r>
      <w:r>
        <w:tab/>
        <w:t>Consolidation of 2 or more Rule requests</w:t>
      </w:r>
      <w:bookmarkEnd w:id="91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AEMC considers it necessary or desirable that 2 or more requests for the making of a Rule should be dealt with together, the AEMC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treat those requests as 1 request for the purposes of this Chapter (a </w:t>
      </w:r>
      <w:r>
        <w:rPr>
          <w:rStyle w:val="CharDefText"/>
          <w:bCs/>
          <w:sz w:val="23"/>
        </w:rPr>
        <w:t>consolidated Rule request</w:t>
      </w:r>
      <w:r>
        <w:rPr>
          <w:color w:val="000000"/>
          <w:sz w:val="23"/>
          <w:szCs w:val="23"/>
        </w:rPr>
        <w: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treat any later request as a submission in relation to the earliest Rule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(2)</w:t>
      </w:r>
      <w:r>
        <w:rPr>
          <w:color w:val="000000"/>
          <w:sz w:val="23"/>
          <w:szCs w:val="23"/>
        </w:rPr>
        <w:tab/>
        <w:t>For the purposes of this Chapter, the AEMC may treat a consolidated Rule request as being received by it on the day it receives either the first or last of the Rule requests forming part of the consolidated Rule request.</w:t>
      </w:r>
    </w:p>
    <w:p>
      <w:pPr>
        <w:pStyle w:val="Heading5"/>
      </w:pPr>
      <w:bookmarkStart w:id="917" w:name="_Toc158375129"/>
      <w:r>
        <w:rPr>
          <w:rStyle w:val="CharSectno"/>
        </w:rPr>
        <w:t>301</w:t>
      </w:r>
      <w:r>
        <w:t>.</w:t>
      </w:r>
      <w:r>
        <w:tab/>
        <w:t>Initial consideration of request for Rule</w:t>
      </w:r>
      <w:bookmarkEnd w:id="91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Chapter, as soon as practicable after receiving a request for the making of a Rule (an </w:t>
      </w:r>
      <w:r>
        <w:rPr>
          <w:rStyle w:val="CharDefText"/>
          <w:bCs/>
          <w:sz w:val="23"/>
        </w:rPr>
        <w:t>active request</w:t>
      </w:r>
      <w:r>
        <w:rPr>
          <w:color w:val="000000"/>
          <w:sz w:val="23"/>
          <w:szCs w:val="23"/>
        </w:rPr>
        <w:t>), the AEMC must consider whether—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active request appears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contain the information prescribed by the Regulations;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not be misconceived or lacking in substance;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the active request appears to be for or with respect to a matter in respect of which the AEMC may make a Rule under this Law;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Section 74 and Schedule 1 to this Law specify the subject matter for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subject matter of the active request appears to relate to the subject matter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Rule made, or a request for the making of a Rule under section 295(1) not proceeded with, in the 12 months immediately before the date of receipt of the active request;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request for the making of a Rule under section 295(1) in respect of which the AEMC is taking action under this Part.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(2)</w:t>
      </w:r>
      <w:r>
        <w:rPr>
          <w:color w:val="000000"/>
          <w:sz w:val="23"/>
          <w:szCs w:val="23"/>
        </w:rPr>
        <w:tab/>
        <w:t>If the AEMC considers that, having regard to the matters set out in subsection (1), it should not take any action under this Part in respect of the active request, the AEMC must make a decision to that effect and inform the person or body, in writing, that requested the Rule of that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subsection (1) or (2), the AEMC may make a decision to the effect that it should not take any action under this Part in respect of the active request if the person or body that made the active request has not complied with a notice in accordance with section 302.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making a decision under subsection (3), the AEMC must have regard to any representation it receives under section 302(4).</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decision under subsection (2) or (3)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set out the reasons for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given to the person or body that made the active request without delay;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where the decision was made only because of the matters set out in subsection (1)(c)—be published.</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Subject to this Chapter, if the AEMC considers that, having regard to the matters set out in subsection (1), it should take action under this Part in respect of an active request the AEMC must publish notice of that active request in accordance with section 303.</w:t>
      </w:r>
    </w:p>
    <w:p>
      <w:pPr>
        <w:pStyle w:val="Heading5"/>
      </w:pPr>
      <w:bookmarkStart w:id="918" w:name="_Toc158375130"/>
      <w:r>
        <w:rPr>
          <w:rStyle w:val="CharSectno"/>
        </w:rPr>
        <w:t>302</w:t>
      </w:r>
      <w:r>
        <w:t>.</w:t>
      </w:r>
      <w:r>
        <w:tab/>
        <w:t>AEMC may request further information from Rule proponent in certain cases</w:t>
      </w:r>
      <w:bookmarkEnd w:id="91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receives a request for the making of a Rule under section 295(1);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considers, having regard to the nature and content of the request, that further information is required from the person or body that has made the request to assist it to understand the request’s purpose or content.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may, by notice in writing, request the person or body that made the request under section 295(1) to provide the AEMC further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(2) must specify—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kind of information the AEMC requires from the person or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within which that information must be provided to the AEMC.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or body given a notice under this section may make a written representation to the AEMC as to why it cannot provide the information specified in the notice within the time specified in the notice.</w:t>
      </w:r>
    </w:p>
    <w:p>
      <w:pPr>
        <w:pStyle w:val="Heading5"/>
      </w:pPr>
      <w:bookmarkStart w:id="919" w:name="_Toc158375131"/>
      <w:r>
        <w:rPr>
          <w:rStyle w:val="CharSectno"/>
        </w:rPr>
        <w:t>303</w:t>
      </w:r>
      <w:r>
        <w:t>.</w:t>
      </w:r>
      <w:r>
        <w:tab/>
        <w:t>Notice of proposed Rule</w:t>
      </w:r>
      <w:bookmarkEnd w:id="91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forms an intention to make an AEMC initiated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notice of the request or intention (as the case requires);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draft of the proposed Rule;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document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(3)</w:t>
      </w:r>
      <w:r>
        <w:rPr>
          <w:color w:val="000000"/>
          <w:sz w:val="23"/>
          <w:szCs w:val="23"/>
        </w:rPr>
        <w:tab/>
        <w:t>A notice published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written submissions and comments from any person or body in relation to the proposed Rule by the date specified in the notice by the AEMC, being a date that is not less than 4 weeks from the date the notice is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any other information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Nothing in this Part is to be taken as requiring the AEMC to publish notices under this section in the same order as it—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forms an intention to make an AEMC initiated Rule.</w:t>
      </w:r>
    </w:p>
    <w:p>
      <w:pPr>
        <w:pStyle w:val="Heading5"/>
      </w:pPr>
      <w:bookmarkStart w:id="920" w:name="_Toc158375132"/>
      <w:r>
        <w:rPr>
          <w:rStyle w:val="CharSectno"/>
        </w:rPr>
        <w:t>304</w:t>
      </w:r>
      <w:r>
        <w:t>.</w:t>
      </w:r>
      <w:r>
        <w:tab/>
        <w:t>Publication of non</w:t>
      </w:r>
      <w:r>
        <w:noBreakHyphen/>
        <w:t>controversial or urgent final Rule determination</w:t>
      </w:r>
      <w:bookmarkEnd w:id="92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the AEMC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AEMC initiated Rule is a non</w:t>
      </w:r>
      <w:r>
        <w:rPr>
          <w:color w:val="000000"/>
          <w:sz w:val="23"/>
          <w:szCs w:val="23"/>
        </w:rPr>
        <w:noBreakHyphen/>
        <w:t xml:space="preserve">controversial Rule; or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request for a Rule is a request for a non</w:t>
      </w:r>
      <w:r>
        <w:rPr>
          <w:color w:val="000000"/>
          <w:sz w:val="23"/>
          <w:szCs w:val="23"/>
        </w:rPr>
        <w:noBreakHyphen/>
        <w:t>controversial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request for a Rule is a request for an urgent Rule,</w:t>
      </w:r>
    </w:p>
    <w:p>
      <w:pPr>
        <w:autoSpaceDE w:val="0"/>
        <w:autoSpaceDN w:val="0"/>
        <w:adjustRightInd w:val="0"/>
        <w:spacing w:before="120"/>
        <w:ind w:left="1588"/>
        <w:rPr>
          <w:color w:val="000000"/>
          <w:sz w:val="23"/>
          <w:szCs w:val="23"/>
        </w:rPr>
      </w:pPr>
      <w:r>
        <w:rPr>
          <w:color w:val="000000"/>
          <w:sz w:val="23"/>
          <w:szCs w:val="23"/>
        </w:rPr>
        <w:t>the AEMC may make the relevant Rule in accordance with this Part (except sections 307 to 310) and as if the period of time within which the final Rule determination in respect of the relevant Rule must be published were 8 weeks from the date of publication of the notice under section 303.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(2)</w:t>
      </w:r>
      <w:r>
        <w:rPr>
          <w:color w:val="000000"/>
          <w:sz w:val="23"/>
          <w:szCs w:val="23"/>
        </w:rPr>
        <w:tab/>
        <w:t>Before making a Rule as set out in subsection (1), the AEMC must include in a notice under section 303 a statement to the effect that the AEMC may make the relevant Rule if the AEMC does not receive a written request, and reasons, not to do so from any person or body within 2 weeks of publication of that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AEMC must not make a Rule in accordance with this section if, following publication of a notice under section 303 containing a statement to the effect set out in subsection (2)—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AEMC receives a written request not to do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reasons set out in that request are not, in its opinion, misconceived or lacking in substance.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AEMC is of the opinion that the reasons given by a person or body in a written request for it not to make the non</w:t>
      </w:r>
      <w:r>
        <w:rPr>
          <w:color w:val="000000"/>
          <w:sz w:val="23"/>
          <w:szCs w:val="23"/>
        </w:rPr>
        <w:noBreakHyphen/>
        <w:t>controversial Rule or urgent Rule are misconceived or lacking in substance,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make a decision to that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person or body its reasons, in writing, for that decision without delay.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AEMC is of the opinion that the reasons given by a person or body in a written request for it not to make the non</w:t>
      </w:r>
      <w:r>
        <w:rPr>
          <w:color w:val="000000"/>
          <w:sz w:val="23"/>
          <w:szCs w:val="23"/>
        </w:rPr>
        <w:noBreakHyphen/>
        <w:t>controversial Rule or urgent Rule, are not misconceived or lacking in substance, the AEMC must publish a notice to the effect that it will make the relevant Rule in accordance with this Part (other than this section).</w:t>
      </w:r>
    </w:p>
    <w:p>
      <w:pPr>
        <w:pStyle w:val="Footnotesection"/>
      </w:pPr>
      <w:r>
        <w:tab/>
        <w:t>[Section 304 amended: see SA Act No. 12 of 2018 s. 26 and WA SL 2020/195 cl. 3.]</w:t>
      </w:r>
    </w:p>
    <w:p>
      <w:pPr>
        <w:pStyle w:val="Heading5"/>
      </w:pPr>
      <w:bookmarkStart w:id="921" w:name="_Toc158375133"/>
      <w:r>
        <w:rPr>
          <w:rStyle w:val="CharSectno"/>
        </w:rPr>
        <w:lastRenderedPageBreak/>
        <w:t>305</w:t>
      </w:r>
      <w:r>
        <w:t>.</w:t>
      </w:r>
      <w:r>
        <w:tab/>
        <w:t>“Fast track” Rules where previous public consultation by gas market regulatory body or an AEMC review</w:t>
      </w:r>
      <w:bookmarkEnd w:id="92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gas market regulatory body has—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made a request for the making of a Rule under section 295(1);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consulted with the public on the nature and content of the request before making that request;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or the MCE has made a request for the making of a Rule under section 295(1) on the basis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recommendation for the making of a Rule contained in a MCE directed review;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conclusion for the making of a Rule contained in an AEMC Rule review.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may take action under this Part in respect of the request without complying with section 303(3)(a) or 307 if it is of the opinion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where the request has been made by a gas market regulatory body in the circumstances described in subsection (1)(a)—the consultation conducted by the gas market regulatory body was adequate, having regard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nature and content of that request;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kind of consultation conducted by the gas market regulatory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where a request has been made by a person or the MCE in the circumstances described in subsection (1)(b)—</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lastRenderedPageBreak/>
        <w:tab/>
        <w:t>(i)</w:t>
      </w:r>
      <w:r>
        <w:rPr>
          <w:color w:val="000000"/>
          <w:sz w:val="23"/>
          <w:szCs w:val="23"/>
        </w:rPr>
        <w:tab/>
        <w:t>the request reflects, or is consistent with, the relevant recommendation contained in the MCE directed review or relevant conclusion in the AEMC Rule review (as the case requires);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was adequate consultation with the public by it on the content of the relevant recommendation or relevant conclusion during the MCE directed review or AEMC Rule review (as the case requires).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To avoid doubt—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section 301 applies to a request for the making of a Rule to which this section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section 306 does not apply to a request for the making of a Rule to which this section applies.</w:t>
      </w:r>
    </w:p>
    <w:p>
      <w:pPr>
        <w:pStyle w:val="Heading5"/>
      </w:pPr>
      <w:bookmarkStart w:id="922" w:name="_Toc158375134"/>
      <w:r>
        <w:rPr>
          <w:rStyle w:val="CharSectno"/>
        </w:rPr>
        <w:t>306</w:t>
      </w:r>
      <w:r>
        <w:t>.</w:t>
      </w:r>
      <w:r>
        <w:tab/>
        <w:t>Right to make written submissions and comments</w:t>
      </w:r>
      <w:bookmarkEnd w:id="922"/>
    </w:p>
    <w:p>
      <w:pPr>
        <w:keepLines/>
        <w:autoSpaceDE w:val="0"/>
        <w:autoSpaceDN w:val="0"/>
        <w:adjustRightInd w:val="0"/>
        <w:spacing w:before="120"/>
        <w:ind w:left="1588"/>
        <w:rPr>
          <w:color w:val="000000"/>
          <w:sz w:val="23"/>
          <w:szCs w:val="23"/>
        </w:rPr>
      </w:pPr>
      <w:r>
        <w:rPr>
          <w:color w:val="000000"/>
          <w:sz w:val="23"/>
          <w:szCs w:val="23"/>
        </w:rPr>
        <w:t>Any person or body, within the period specified in a notice under section 303, may make a written submission or comment in relation to the proposed Rule to which the notice relates.</w:t>
      </w:r>
    </w:p>
    <w:p>
      <w:pPr>
        <w:pStyle w:val="Heading5"/>
      </w:pPr>
      <w:bookmarkStart w:id="923" w:name="_Toc158375135"/>
      <w:r>
        <w:rPr>
          <w:rStyle w:val="CharSectno"/>
        </w:rPr>
        <w:t>307</w:t>
      </w:r>
      <w:r>
        <w:t>.</w:t>
      </w:r>
      <w:r>
        <w:tab/>
        <w:t>AEMC may hold public hearings before draft Rule determination</w:t>
      </w:r>
      <w:bookmarkEnd w:id="92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(but need not), at any time after publication of a notice under section 303 and before making a draft Rule determination, hold a hearing in relation to any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Notice of a hearing held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prescribed by the Regulations (if any).</w:t>
      </w:r>
    </w:p>
    <w:p>
      <w:pPr>
        <w:pStyle w:val="Heading5"/>
      </w:pPr>
      <w:bookmarkStart w:id="924" w:name="_Toc158375136"/>
      <w:r>
        <w:rPr>
          <w:rStyle w:val="CharSectno"/>
        </w:rPr>
        <w:lastRenderedPageBreak/>
        <w:t>308</w:t>
      </w:r>
      <w:r>
        <w:t>.</w:t>
      </w:r>
      <w:r>
        <w:tab/>
        <w:t>Draft Rule determination</w:t>
      </w:r>
      <w:bookmarkEnd w:id="92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must make a draft Rule determination before making a final Rule determination in relation to the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Chapter, the AEMC must, within 10 weeks after the date specified in a notice under section 303,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draft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of the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a proposed Rule to which section 305 applies, the AEMC must publish the draft Rule determination and notice of the making of the draft Rule determination within 5 weeks after the date notice under section 303(2) is published.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draft Rule determination must contain—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reasons of the AEMC as to whether or not it should make the proposed Rule,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where the proposed Rule is not a proposed more preferable Rule, the reasons of the AEMC as to whether it is satisfied the proposed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proposed more preferable Rule, the reasons of the AEMC as to whether it is satisfied the proposed more preferable Rule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lastRenderedPageBreak/>
        <w:tab/>
        <w:t>(iii)</w:t>
      </w:r>
      <w:r>
        <w:rPr>
          <w:color w:val="000000"/>
          <w:sz w:val="23"/>
          <w:szCs w:val="23"/>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AEMC determines to make a Rule, a draft of the Rule to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matters that are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notice referred to in subsection (2)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written submissions and comments from any person or body in relation to the determination within a period specified by the AEMC, being a period not less than 6 weeks from the date of publication of the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include a statement to the effect that any person or body may request, in writing within 1 week after the publication of the notice, the AEMC to hold a hearing in accordance with section 310;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any other information prescribed by the Regulations.</w:t>
      </w:r>
    </w:p>
    <w:p>
      <w:pPr>
        <w:pStyle w:val="Heading5"/>
      </w:pPr>
      <w:bookmarkStart w:id="925" w:name="_Toc158375137"/>
      <w:r>
        <w:rPr>
          <w:rStyle w:val="CharSectno"/>
        </w:rPr>
        <w:lastRenderedPageBreak/>
        <w:t>309</w:t>
      </w:r>
      <w:r>
        <w:t>.</w:t>
      </w:r>
      <w:r>
        <w:tab/>
        <w:t>Right to make written submissions and comments in relation to draft Rule determination</w:t>
      </w:r>
      <w:bookmarkEnd w:id="925"/>
    </w:p>
    <w:p>
      <w:pPr>
        <w:keepLines/>
        <w:autoSpaceDE w:val="0"/>
        <w:autoSpaceDN w:val="0"/>
        <w:adjustRightInd w:val="0"/>
        <w:spacing w:before="120"/>
        <w:ind w:left="1588"/>
        <w:rPr>
          <w:color w:val="000000"/>
          <w:sz w:val="23"/>
          <w:szCs w:val="23"/>
        </w:rPr>
      </w:pPr>
      <w:r>
        <w:rPr>
          <w:color w:val="000000"/>
          <w:sz w:val="23"/>
          <w:szCs w:val="23"/>
        </w:rPr>
        <w:t>Any person or body, within the period specified in a notice under section 308(1), may make a written submission or comment in relation to a draft Rule determination to which the notice relates.</w:t>
      </w:r>
    </w:p>
    <w:p>
      <w:pPr>
        <w:pStyle w:val="Heading5"/>
      </w:pPr>
      <w:bookmarkStart w:id="926" w:name="_Toc158375138"/>
      <w:r>
        <w:rPr>
          <w:rStyle w:val="CharSectno"/>
        </w:rPr>
        <w:t>310</w:t>
      </w:r>
      <w:r>
        <w:t>.</w:t>
      </w:r>
      <w:r>
        <w:tab/>
        <w:t>Pre</w:t>
      </w:r>
      <w:r>
        <w:noBreakHyphen/>
        <w:t>final Rule determination hearing may be held</w:t>
      </w:r>
      <w:bookmarkEnd w:id="92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(but need not), at any time after publication of a notice under section 308(2) and before making a final Rule determination,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any person or body may request, in writing, within 1 week after the publication of a notice under section 308(2), the AEMC to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subsection (2), the AEMC may decide not to a hold a hearing in relation to a draft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Without limiting the reasons why the AEMC may decide not to a hold a hearing following a request under subsection (2) in relation to a draft Rule determination, the AEMC may decide not to hold a hearing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or body that requests the AEMC to hold a hearing does not make a written submission or comment in accordance with section 309;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 other person or body requests the AEMC to hold a hearing.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AEMC decides not to hold a hearing after a request under subsection (2), it must give the person or body that requested the hearing its reasons, in writing, for declining that person’s or body’s request.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(6)</w:t>
      </w:r>
      <w:r>
        <w:rPr>
          <w:color w:val="000000"/>
          <w:sz w:val="23"/>
          <w:szCs w:val="23"/>
        </w:rPr>
        <w:tab/>
        <w:t>If the AEMC decides to hold a hearing, or agrees to hold a hearing after a request under subsection (2),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appoint a date (being not later than 3 weeks after the date of publication of the notice under section 308), time and place for the holding of the hearing;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a notice of that date, time and place.</w:t>
      </w:r>
    </w:p>
    <w:p>
      <w:pPr>
        <w:pStyle w:val="Heading5"/>
      </w:pPr>
      <w:bookmarkStart w:id="927" w:name="_Toc158375139"/>
      <w:r>
        <w:rPr>
          <w:rStyle w:val="CharSectno"/>
        </w:rPr>
        <w:t>311</w:t>
      </w:r>
      <w:r>
        <w:t>.</w:t>
      </w:r>
      <w:r>
        <w:tab/>
        <w:t>Final Rule determination</w:t>
      </w:r>
      <w:bookmarkEnd w:id="92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 312, the AEMC must make a final Rule determination as to whether to make a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Chapter, the AEMC must, within 6 weeks after the period for written submissions or comments in relation to the draft Rule determination ends,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final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of the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final Rule determination must contain—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reasons of the AEMC as to whether or not it should make a Rule,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where the Rule to be made is not a more preferable Rule, the reasons of the AEMC as to whether it is satisfied the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lastRenderedPageBreak/>
        <w:tab/>
        <w:t>(ii)</w:t>
      </w:r>
      <w:r>
        <w:rPr>
          <w:color w:val="000000"/>
          <w:sz w:val="23"/>
          <w:szCs w:val="23"/>
        </w:rPr>
        <w:tab/>
        <w:t>in the case where the Rule to be made is a more preferable Rule, the reasons of the AEMC as to whether it is satisfied the more preferable Rule to be made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other matters that are prescribed by the Regulations.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notice referred to in subsection (2) must contain the information prescribed by the Regulations.</w:t>
      </w:r>
    </w:p>
    <w:p>
      <w:pPr>
        <w:pStyle w:val="Heading5"/>
      </w:pPr>
      <w:bookmarkStart w:id="928" w:name="_Toc158375140"/>
      <w:r>
        <w:rPr>
          <w:rStyle w:val="CharSectno"/>
        </w:rPr>
        <w:t>312</w:t>
      </w:r>
      <w:r>
        <w:t>.</w:t>
      </w:r>
      <w:r>
        <w:tab/>
        <w:t>Further draft Rule determination may be made where proposed Rule is a proposed more preferable Rule</w:t>
      </w:r>
      <w:bookmarkEnd w:id="92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 proposes to make a more preferable Rule.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this Chapter, the AEMC may take action again under sections 308 to 310 in respect of the proposed more preferable Rule before making a final Rule determination in respect of that Rule.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(3)</w:t>
      </w:r>
      <w:r>
        <w:rPr>
          <w:color w:val="000000"/>
          <w:sz w:val="23"/>
          <w:szCs w:val="23"/>
        </w:rPr>
        <w:tab/>
        <w:t>Sections 308 to 310 apply as if, in section 308(2), for “the date specified in a notice under section 303” there were substituted “the date of the previous draft Rule determination”.</w:t>
      </w:r>
    </w:p>
    <w:p>
      <w:pPr>
        <w:pStyle w:val="Heading5"/>
      </w:pPr>
      <w:bookmarkStart w:id="929" w:name="_Toc158375141"/>
      <w:r>
        <w:rPr>
          <w:rStyle w:val="CharSectno"/>
        </w:rPr>
        <w:t>313</w:t>
      </w:r>
      <w:r>
        <w:t>.</w:t>
      </w:r>
      <w:r>
        <w:tab/>
        <w:t>Making of Rule</w:t>
      </w:r>
      <w:bookmarkEnd w:id="92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the AEMC, in its final Rule determination, determines to make a Rule, the AEMC must make the relevant Rule as soon as practicable after the publication of the final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Notice of the making of the Rule must be published in the South Australian Government Gazette as soon as practicable after the making of the Rule.</w:t>
      </w:r>
    </w:p>
    <w:p>
      <w:pPr>
        <w:pStyle w:val="Heading5"/>
      </w:pPr>
      <w:bookmarkStart w:id="930" w:name="_Toc158375142"/>
      <w:r>
        <w:rPr>
          <w:rStyle w:val="CharSectno"/>
        </w:rPr>
        <w:t>314</w:t>
      </w:r>
      <w:r>
        <w:t>.</w:t>
      </w:r>
      <w:r>
        <w:tab/>
        <w:t>Operation and commencement of Rule</w:t>
      </w:r>
      <w:bookmarkEnd w:id="930"/>
    </w:p>
    <w:p>
      <w:pPr>
        <w:keepLines/>
        <w:autoSpaceDE w:val="0"/>
        <w:autoSpaceDN w:val="0"/>
        <w:adjustRightInd w:val="0"/>
        <w:spacing w:before="120"/>
        <w:ind w:left="1588"/>
        <w:rPr>
          <w:color w:val="000000"/>
          <w:sz w:val="23"/>
          <w:szCs w:val="23"/>
        </w:rPr>
      </w:pPr>
      <w:r>
        <w:rPr>
          <w:color w:val="000000"/>
          <w:sz w:val="23"/>
          <w:szCs w:val="23"/>
        </w:rPr>
        <w:t>A Rule made under section 313 commences operation on the day the relevant notice is published in the South Australian Government Gazette or on any day after that day that is provided for in the relevant notice or the Rule.</w:t>
      </w:r>
    </w:p>
    <w:p>
      <w:pPr>
        <w:pStyle w:val="Heading5"/>
      </w:pPr>
      <w:bookmarkStart w:id="931" w:name="_Toc158375143"/>
      <w:r>
        <w:rPr>
          <w:rStyle w:val="CharSectno"/>
        </w:rPr>
        <w:t>315</w:t>
      </w:r>
      <w:r>
        <w:t>.</w:t>
      </w:r>
      <w:r>
        <w:tab/>
        <w:t>Rule that is made to be published on website and made available to the public</w:t>
      </w:r>
      <w:bookmarkEnd w:id="931"/>
    </w:p>
    <w:p>
      <w:pPr>
        <w:keepNext/>
        <w:keepLines/>
        <w:autoSpaceDE w:val="0"/>
        <w:autoSpaceDN w:val="0"/>
        <w:adjustRightInd w:val="0"/>
        <w:spacing w:before="120"/>
        <w:ind w:left="1588"/>
        <w:rPr>
          <w:color w:val="000000"/>
          <w:sz w:val="23"/>
          <w:szCs w:val="23"/>
        </w:rPr>
      </w:pPr>
      <w:r>
        <w:rPr>
          <w:color w:val="000000"/>
          <w:sz w:val="23"/>
          <w:szCs w:val="23"/>
        </w:rPr>
        <w:t>On publication of a notice in accordance with section 313(2), the AEMC must, without delay—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 the Rule on its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copies of the Rule available to the public at its offices.</w:t>
      </w:r>
    </w:p>
    <w:p>
      <w:pPr>
        <w:pStyle w:val="Heading5"/>
      </w:pPr>
      <w:bookmarkStart w:id="932" w:name="_Toc158375144"/>
      <w:r>
        <w:rPr>
          <w:rStyle w:val="CharSectno"/>
        </w:rPr>
        <w:t>316</w:t>
      </w:r>
      <w:r>
        <w:t>.</w:t>
      </w:r>
      <w:r>
        <w:tab/>
        <w:t>Evidence of the National Gas Rules</w:t>
      </w:r>
      <w:bookmarkEnd w:id="932"/>
    </w:p>
    <w:p>
      <w:pPr>
        <w:keepNext/>
        <w:keepLines/>
        <w:autoSpaceDE w:val="0"/>
        <w:autoSpaceDN w:val="0"/>
        <w:adjustRightInd w:val="0"/>
        <w:spacing w:before="120"/>
        <w:ind w:left="1588"/>
        <w:rPr>
          <w:color w:val="000000"/>
          <w:sz w:val="23"/>
          <w:szCs w:val="23"/>
        </w:rPr>
      </w:pPr>
      <w:r>
        <w:rPr>
          <w:color w:val="000000"/>
          <w:sz w:val="23"/>
          <w:szCs w:val="23"/>
        </w:rPr>
        <w:t>A document purporting to be a copy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National Gas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initial National Gas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amendment to the initial National Gas Rules or the National Gas Rules,</w:t>
      </w:r>
    </w:p>
    <w:p>
      <w:pPr>
        <w:keepLines/>
        <w:autoSpaceDE w:val="0"/>
        <w:autoSpaceDN w:val="0"/>
        <w:adjustRightInd w:val="0"/>
        <w:spacing w:before="120"/>
        <w:ind w:left="1588"/>
        <w:rPr>
          <w:color w:val="000000"/>
          <w:sz w:val="23"/>
          <w:szCs w:val="23"/>
        </w:rPr>
      </w:pPr>
      <w:r>
        <w:rPr>
          <w:color w:val="000000"/>
          <w:sz w:val="23"/>
          <w:szCs w:val="23"/>
        </w:rPr>
        <w:lastRenderedPageBreak/>
        <w:t>endorsed with a certificate to which the seal of the AEMC has been duly affixed certifying the document is such a copy, is evidence that the document is such a copy.</w:t>
      </w:r>
    </w:p>
    <w:p>
      <w:pPr>
        <w:pStyle w:val="Heading3"/>
      </w:pPr>
      <w:bookmarkStart w:id="933" w:name="_Toc156819505"/>
      <w:bookmarkStart w:id="934" w:name="_Toc156990925"/>
      <w:bookmarkStart w:id="935" w:name="_Toc158375145"/>
      <w:r>
        <w:rPr>
          <w:rStyle w:val="CharDivNo"/>
        </w:rPr>
        <w:t>Part 4</w:t>
      </w:r>
      <w:r>
        <w:t> — </w:t>
      </w:r>
      <w:r>
        <w:rPr>
          <w:rStyle w:val="CharDivText"/>
        </w:rPr>
        <w:t>Miscellaneous provisions relating to rule making by the AEMC</w:t>
      </w:r>
      <w:bookmarkEnd w:id="933"/>
      <w:bookmarkEnd w:id="934"/>
      <w:bookmarkEnd w:id="935"/>
    </w:p>
    <w:p>
      <w:pPr>
        <w:pStyle w:val="Heading5"/>
      </w:pPr>
      <w:bookmarkStart w:id="936" w:name="_Toc158375146"/>
      <w:r>
        <w:rPr>
          <w:rStyle w:val="CharSectno"/>
        </w:rPr>
        <w:t>317</w:t>
      </w:r>
      <w:r>
        <w:t>.</w:t>
      </w:r>
      <w:r>
        <w:tab/>
        <w:t>Extension of periods of time in Rule making procedure</w:t>
      </w:r>
      <w:bookmarkEnd w:id="93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Chapter and without limiting section 318, the AEMC may, by notice, extend a period of time specified in Chapter 9 Part 3 if the AEMC considers that a request for a Rule raises issues of sufficient complexity or difficulty or there is a material change in circumstances such that it is necessary that the relevant period of time specified in Chapter 9 Part 3 be extended.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notice under subsection (1)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set out the period of time specified in Chapter 9 Part 3 to be extended;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a new period of time to apply in the place of the period of time specified in Chapter 9 Part 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(1) may be published at the same time as a notice under section 303.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may only extend a period of time under this section before the expiry of that time.</w:t>
      </w:r>
    </w:p>
    <w:p>
      <w:pPr>
        <w:pStyle w:val="Heading5"/>
      </w:pPr>
      <w:bookmarkStart w:id="937" w:name="_Toc158375147"/>
      <w:r>
        <w:rPr>
          <w:rStyle w:val="CharSectno"/>
        </w:rPr>
        <w:t>318</w:t>
      </w:r>
      <w:r>
        <w:t>.</w:t>
      </w:r>
      <w:r>
        <w:tab/>
        <w:t>AEMC may extend period of time for making of final Rule determination for further consultation</w:t>
      </w:r>
      <w:bookmarkEnd w:id="93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or body raises an issue in—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submission or comment in relation to a draft Rule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lastRenderedPageBreak/>
        <w:tab/>
        <w:t>(ii)</w:t>
      </w:r>
      <w:r>
        <w:rPr>
          <w:color w:val="000000"/>
          <w:sz w:val="23"/>
          <w:szCs w:val="23"/>
        </w:rPr>
        <w:tab/>
        <w:t>a hearing held under section 307 or 310;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AEMC considers the issue raised by the person or body requires further public consultation in relation to the proposed Rule or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anything to the contrary in this Chapter and without limiting section 317, the AEMC may, by notice, extend the period of time specified in section 311 within which it must make a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(2)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a new period of time to apply in the place of the period of time specified in section 311;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the issue on which the AEMC requires further public submissions and comments;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invite written submissions and comments from any person or body by the date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new period of time must not have the effect of extending the relevant period of the time specified in section 311 by more than 4 weeks.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AEMC may only extend the period of time under this section before the expiry of time specified in section 311.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Any person or body, within the period specified in a notice under subsection (2), may make a written submission or comment in relation to the issue specified in the notice.</w:t>
      </w:r>
    </w:p>
    <w:p>
      <w:pPr>
        <w:pStyle w:val="Heading5"/>
      </w:pPr>
      <w:bookmarkStart w:id="938" w:name="_Toc158375148"/>
      <w:r>
        <w:rPr>
          <w:rStyle w:val="CharSectno"/>
        </w:rPr>
        <w:lastRenderedPageBreak/>
        <w:t>319</w:t>
      </w:r>
      <w:r>
        <w:t>.</w:t>
      </w:r>
      <w:r>
        <w:tab/>
        <w:t>AEMC may publish written submissions and comments unless confidential</w:t>
      </w:r>
      <w:bookmarkEnd w:id="93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AEMC may publish any information in any written submission or comment given to it under this Chapter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or body who gave the information, claims, when giving it to the AEMC, that it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AEMC decides that the written submission or comment contains confidential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written submission or comment given to the AEMC under this Chapter that has been claimed under this section to contain confidential information, and that the AEMC has decided contains confidential information, may be published if that information is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information is omitted from a published written submission or comment given to the AEMC under this Chapter as being confidential information, a note to that effect must be included in the submission or comment at the place in the submission or comment from which the information is omitted.</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See also section 71 of this Law and section 24 of the </w:t>
      </w:r>
      <w:r>
        <w:rPr>
          <w:i/>
          <w:iCs/>
          <w:color w:val="000000"/>
          <w:sz w:val="20"/>
        </w:rPr>
        <w:t>Australian Energy Market Commission Establishment Act 2004</w:t>
      </w:r>
      <w:r>
        <w:rPr>
          <w:color w:val="000000"/>
          <w:sz w:val="20"/>
        </w:rPr>
        <w:t xml:space="preserve"> of South Australia.</w:t>
      </w:r>
    </w:p>
    <w:p>
      <w:pPr>
        <w:pStyle w:val="Heading5"/>
      </w:pPr>
      <w:bookmarkStart w:id="939" w:name="_Toc158375149"/>
      <w:r>
        <w:rPr>
          <w:rStyle w:val="CharSectno"/>
        </w:rPr>
        <w:t>320</w:t>
      </w:r>
      <w:r>
        <w:t>.</w:t>
      </w:r>
      <w:r>
        <w:tab/>
        <w:t>AEMC must publicly report on Rules not made within 12 months of public notification of requests</w:t>
      </w:r>
      <w:bookmarkEnd w:id="93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publishes a notice under section 303 in respect of a request for the making of a Rule;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does not make a final Rule determination in respect of that request within 12 months after the publication of that notice (the </w:t>
      </w:r>
      <w:r>
        <w:rPr>
          <w:rStyle w:val="CharDefText"/>
          <w:bCs/>
          <w:sz w:val="23"/>
        </w:rPr>
        <w:t>report trigger date</w:t>
      </w:r>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(2)</w:t>
      </w:r>
      <w:r>
        <w:rPr>
          <w:color w:val="000000"/>
          <w:sz w:val="23"/>
          <w:szCs w:val="23"/>
        </w:rPr>
        <w:tab/>
        <w:t>The AEMC must prepare a report on the request as soon as practicable after the report trigger date.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report prepared under this section—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contain the reasons why the final Rule determination has not been made within 12 months after the publication of the notice under section 303;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specify when the AEMC considers it will make the final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published.</w:t>
      </w:r>
    </w:p>
    <w:p>
      <w:pPr>
        <w:pStyle w:val="Heading2"/>
      </w:pPr>
      <w:bookmarkStart w:id="940" w:name="_Toc156819510"/>
      <w:bookmarkStart w:id="941" w:name="_Toc156990930"/>
      <w:bookmarkStart w:id="942" w:name="_Toc158375150"/>
      <w:r>
        <w:rPr>
          <w:rStyle w:val="CharPartNo"/>
        </w:rPr>
        <w:lastRenderedPageBreak/>
        <w:t>Chapter 10</w:t>
      </w:r>
      <w:r>
        <w:t xml:space="preserve"> — </w:t>
      </w:r>
      <w:r>
        <w:rPr>
          <w:rStyle w:val="CharPartText"/>
        </w:rPr>
        <w:t>General</w:t>
      </w:r>
      <w:bookmarkEnd w:id="940"/>
      <w:bookmarkEnd w:id="941"/>
      <w:bookmarkEnd w:id="942"/>
    </w:p>
    <w:p>
      <w:pPr>
        <w:pStyle w:val="Heading3"/>
      </w:pPr>
      <w:bookmarkStart w:id="943" w:name="_Toc156819511"/>
      <w:bookmarkStart w:id="944" w:name="_Toc156990931"/>
      <w:bookmarkStart w:id="945" w:name="_Toc158375151"/>
      <w:r>
        <w:rPr>
          <w:rStyle w:val="CharDivNo"/>
        </w:rPr>
        <w:t>Part 1</w:t>
      </w:r>
      <w:r>
        <w:t xml:space="preserve"> — </w:t>
      </w:r>
      <w:r>
        <w:rPr>
          <w:rStyle w:val="CharDivText"/>
        </w:rPr>
        <w:t>Provisions relating to applicable access arrangements</w:t>
      </w:r>
      <w:bookmarkEnd w:id="943"/>
      <w:bookmarkEnd w:id="944"/>
      <w:bookmarkEnd w:id="945"/>
    </w:p>
    <w:p>
      <w:pPr>
        <w:pStyle w:val="Heading5"/>
      </w:pPr>
      <w:bookmarkStart w:id="946" w:name="_Toc158375152"/>
      <w:r>
        <w:rPr>
          <w:rStyle w:val="CharSectno"/>
        </w:rPr>
        <w:t>321</w:t>
      </w:r>
      <w:r>
        <w:t>.</w:t>
      </w:r>
      <w:r>
        <w:tab/>
        <w:t>Protection of certain pre</w:t>
      </w:r>
      <w:r>
        <w:noBreakHyphen/>
        <w:t>existing contractual rights</w:t>
      </w:r>
      <w:bookmarkEnd w:id="94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applicable access arrangement must not have the effect of 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relevant exclusivity right</w:t>
      </w:r>
      <w:r>
        <w:rPr>
          <w:bCs/>
          <w:i/>
          <w:iCs/>
          <w:color w:val="000000"/>
          <w:sz w:val="23"/>
          <w:szCs w:val="23"/>
        </w:rPr>
        <w:t xml:space="preserve"> </w:t>
      </w:r>
      <w:r>
        <w:rPr>
          <w:color w:val="000000"/>
          <w:sz w:val="23"/>
          <w:szCs w:val="23"/>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rPr>
      </w:pPr>
      <w:r>
        <w:rPr>
          <w:color w:val="000000"/>
          <w:sz w:val="23"/>
          <w:szCs w:val="23"/>
        </w:rPr>
        <w:t>but does not include a user’s contractual right to obtain a certain amount of pipeline services;</w:t>
      </w:r>
    </w:p>
    <w:p>
      <w:pPr>
        <w:keepNext/>
        <w:keepLines/>
        <w:autoSpaceDE w:val="0"/>
        <w:autoSpaceDN w:val="0"/>
        <w:adjustRightInd w:val="0"/>
        <w:spacing w:before="120"/>
        <w:ind w:left="1588"/>
        <w:rPr>
          <w:color w:val="000000"/>
          <w:sz w:val="23"/>
          <w:szCs w:val="23"/>
        </w:rPr>
      </w:pPr>
      <w:r>
        <w:rPr>
          <w:rStyle w:val="CharDefText"/>
          <w:bCs/>
          <w:sz w:val="23"/>
        </w:rPr>
        <w:t>relevant protected contractual right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applicable access arrangement approved under an applicable arrangement decision—a right under a contract (other than a relevant exclusivity right) in force immediately before that access arrangement was submitted for approval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applicable access arrangement made under an applicable arrangement decision because—</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 xml:space="preserve">a full access arrangement was not submitted for approval as required under section 132—a right under a contract (other than a relevant exclusivity right) in </w:t>
      </w:r>
      <w:r>
        <w:rPr>
          <w:color w:val="000000"/>
          <w:sz w:val="23"/>
          <w:szCs w:val="23"/>
        </w:rPr>
        <w:lastRenderedPageBreak/>
        <w:t>force immediately before the date on which an access arrangement was required to be submitted for approval;</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access arrangement was not approved under an applicable arrangement decision—a right under a contract (other than a relevant exclusivity right) in force immediately before the date on which that access arrangement was submitted for approval.</w:t>
      </w:r>
    </w:p>
    <w:p>
      <w:pPr>
        <w:pStyle w:val="Heading5"/>
      </w:pPr>
      <w:bookmarkStart w:id="947" w:name="_Toc158375153"/>
      <w:r>
        <w:rPr>
          <w:rStyle w:val="CharSectno"/>
        </w:rPr>
        <w:t>322</w:t>
      </w:r>
      <w:r>
        <w:t>.</w:t>
      </w:r>
      <w:r>
        <w:tab/>
        <w:t>Service provider may enter into agreement for access different from applicable access arrangement</w:t>
      </w:r>
      <w:bookmarkEnd w:id="947"/>
    </w:p>
    <w:p>
      <w:pPr>
        <w:keepLines/>
        <w:autoSpaceDE w:val="0"/>
        <w:autoSpaceDN w:val="0"/>
        <w:adjustRightInd w:val="0"/>
        <w:spacing w:before="120"/>
        <w:ind w:left="1588"/>
        <w:rPr>
          <w:color w:val="000000"/>
          <w:sz w:val="23"/>
          <w:szCs w:val="23"/>
        </w:rPr>
      </w:pPr>
      <w:r>
        <w:rPr>
          <w:color w:val="000000"/>
          <w:sz w:val="23"/>
          <w:szCs w:val="23"/>
        </w:rPr>
        <w:t>Subject to section 135, nothing in this Law is to be taken as preventing a service provider from entering into an agreement with a user or a prospective user about access to a pipeline service provided by means of a scheme pipeline that is different from an applicable access arrangement that applies to that pipeline service.</w:t>
      </w:r>
    </w:p>
    <w:p>
      <w:pPr>
        <w:pStyle w:val="Heading5"/>
      </w:pPr>
      <w:bookmarkStart w:id="948" w:name="_Toc158375154"/>
      <w:r>
        <w:rPr>
          <w:rStyle w:val="CharSectno"/>
        </w:rPr>
        <w:t>323</w:t>
      </w:r>
      <w:r>
        <w:t>.</w:t>
      </w:r>
      <w:r>
        <w:tab/>
        <w:t>Applicable access arrangements continue to apply regardless of who provides pipeline service</w:t>
      </w:r>
      <w:bookmarkEnd w:id="948"/>
    </w:p>
    <w:p>
      <w:pPr>
        <w:keepLines/>
        <w:autoSpaceDE w:val="0"/>
        <w:autoSpaceDN w:val="0"/>
        <w:adjustRightInd w:val="0"/>
        <w:spacing w:before="120"/>
        <w:ind w:left="1588"/>
        <w:rPr>
          <w:color w:val="000000"/>
          <w:sz w:val="23"/>
          <w:szCs w:val="23"/>
        </w:rPr>
      </w:pPr>
      <w:r>
        <w:rPr>
          <w:color w:val="000000"/>
          <w:sz w:val="23"/>
          <w:szCs w:val="23"/>
        </w:rPr>
        <w:t>An applicable access arrangement applies to a pipeline service provided, or to be provided, by means of a pipeline regardless of who provides that pipeline service.</w:t>
      </w:r>
    </w:p>
    <w:p>
      <w:pPr>
        <w:pStyle w:val="Heading3"/>
      </w:pPr>
      <w:bookmarkStart w:id="949" w:name="_Toc156819515"/>
      <w:bookmarkStart w:id="950" w:name="_Toc156990935"/>
      <w:bookmarkStart w:id="951" w:name="_Toc158375155"/>
      <w:r>
        <w:rPr>
          <w:rStyle w:val="CharDivNo"/>
        </w:rPr>
        <w:lastRenderedPageBreak/>
        <w:t>Part 2</w:t>
      </w:r>
      <w:r>
        <w:t xml:space="preserve"> — </w:t>
      </w:r>
      <w:r>
        <w:rPr>
          <w:rStyle w:val="CharDivText"/>
        </w:rPr>
        <w:t>Handling of confidential information</w:t>
      </w:r>
      <w:bookmarkEnd w:id="949"/>
      <w:bookmarkEnd w:id="950"/>
      <w:bookmarkEnd w:id="951"/>
    </w:p>
    <w:p>
      <w:pPr>
        <w:pStyle w:val="Heading4"/>
      </w:pPr>
      <w:bookmarkStart w:id="952" w:name="_Toc156819516"/>
      <w:bookmarkStart w:id="953" w:name="_Toc156990936"/>
      <w:bookmarkStart w:id="954" w:name="_Toc158375156"/>
      <w:r>
        <w:t>Division 1 — Disclosure of confidential information held by AER</w:t>
      </w:r>
      <w:bookmarkEnd w:id="952"/>
      <w:bookmarkEnd w:id="953"/>
      <w:bookmarkEnd w:id="954"/>
    </w:p>
    <w:p>
      <w:pPr>
        <w:pStyle w:val="Heading5"/>
      </w:pPr>
      <w:bookmarkStart w:id="955" w:name="_Toc158375157"/>
      <w:r>
        <w:rPr>
          <w:rStyle w:val="CharSectno"/>
        </w:rPr>
        <w:t>324</w:t>
      </w:r>
      <w:r>
        <w:t>.</w:t>
      </w:r>
      <w:r>
        <w:tab/>
        <w:t>Authorised disclosure of information given to the AER in confidence</w:t>
      </w:r>
      <w:bookmarkEnd w:id="955"/>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in, or in connection with, the performance or exercise of its functions or powers under this Law or the Rules subject to and in accordance with—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this Division;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section 205.</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See also section 30 of this Law and section 44AAF of the </w:t>
      </w:r>
      <w:r>
        <w:rPr>
          <w:i/>
          <w:iCs/>
          <w:color w:val="000000"/>
          <w:sz w:val="20"/>
        </w:rPr>
        <w:t>Trade Practices Act 1974</w:t>
      </w:r>
      <w:r>
        <w:rPr>
          <w:color w:val="000000"/>
          <w:sz w:val="20"/>
        </w:rPr>
        <w:t xml:space="preserve"> of the Commonwealth.</w:t>
      </w:r>
    </w:p>
    <w:p>
      <w:pPr>
        <w:pStyle w:val="Heading5"/>
      </w:pPr>
      <w:bookmarkStart w:id="956" w:name="_Toc158375158"/>
      <w:r>
        <w:rPr>
          <w:rStyle w:val="CharSectno"/>
        </w:rPr>
        <w:t>325</w:t>
      </w:r>
      <w:r>
        <w:t>.</w:t>
      </w:r>
      <w:r>
        <w:tab/>
        <w:t>Disclosure with prior written consent is authorised</w:t>
      </w:r>
      <w:bookmarkEnd w:id="956"/>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if the AER has the written consent to do so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who gave the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from whom the person referred to in paragraph (a) received that information.</w:t>
      </w:r>
    </w:p>
    <w:p>
      <w:pPr>
        <w:pStyle w:val="Heading5"/>
      </w:pPr>
      <w:bookmarkStart w:id="957" w:name="_Toc158375159"/>
      <w:r>
        <w:rPr>
          <w:rStyle w:val="CharSectno"/>
        </w:rPr>
        <w:t>326</w:t>
      </w:r>
      <w:r>
        <w:t>.</w:t>
      </w:r>
      <w:r>
        <w:tab/>
        <w:t>Disclosure for purposes of court and tribunal proceedings and to accord natural justice</w:t>
      </w:r>
      <w:bookmarkEnd w:id="957"/>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the purposes of civil or criminal proceedings;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 the purposes of a proceeding before the Tribunal or a tribunal established by or under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(c)</w:t>
      </w:r>
      <w:r>
        <w:rPr>
          <w:color w:val="000000"/>
          <w:sz w:val="23"/>
          <w:szCs w:val="23"/>
        </w:rPr>
        <w:tab/>
        <w:t>for the purposes of according natural justice to a person affected by a decision (however described) of the AER under this Law or the Rules.</w:t>
      </w:r>
    </w:p>
    <w:p>
      <w:pPr>
        <w:pStyle w:val="Heading5"/>
      </w:pPr>
      <w:bookmarkStart w:id="958" w:name="_Toc158375160"/>
      <w:r>
        <w:rPr>
          <w:rStyle w:val="CharSectno"/>
        </w:rPr>
        <w:t>327</w:t>
      </w:r>
      <w:r>
        <w:t>.</w:t>
      </w:r>
      <w:r>
        <w:tab/>
        <w:t>Disclosure of information given to the AER with confidential information omitted</w:t>
      </w:r>
      <w:bookmarkEnd w:id="95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compliance with this Law or the Rules or voluntarily, a person gives the AER information in confidence;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information is contained in a document with other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disclose the document with the information given in confidence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 include a note at the place in the document from which the information given in confidence is omitted to the effect that that information has been omitted from the document.</w:t>
      </w:r>
    </w:p>
    <w:p>
      <w:pPr>
        <w:pStyle w:val="Heading5"/>
      </w:pPr>
      <w:bookmarkStart w:id="959" w:name="_Toc158375161"/>
      <w:r>
        <w:rPr>
          <w:rStyle w:val="CharSectno"/>
        </w:rPr>
        <w:t>328</w:t>
      </w:r>
      <w:r>
        <w:t>.</w:t>
      </w:r>
      <w:r>
        <w:tab/>
        <w:t>Disclosure of information given in confidence does not identify anyone</w:t>
      </w:r>
      <w:bookmarkEnd w:id="959"/>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in compliance with this Law or the Rules or voluntarily,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does not disclose any elements of the information that could lead to the identification of the person to whom that information relates;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manner in which it discloses the information does not identify the person to whom that information relates.</w:t>
      </w:r>
    </w:p>
    <w:p>
      <w:pPr>
        <w:keepNext/>
        <w:keepLines/>
        <w:autoSpaceDE w:val="0"/>
        <w:autoSpaceDN w:val="0"/>
        <w:adjustRightInd w:val="0"/>
        <w:spacing w:before="120"/>
        <w:ind w:left="1588" w:hanging="567"/>
        <w:rPr>
          <w:b/>
          <w:bCs/>
          <w:color w:val="000000"/>
          <w:sz w:val="20"/>
        </w:rPr>
      </w:pPr>
      <w:r>
        <w:rPr>
          <w:b/>
          <w:bCs/>
          <w:color w:val="000000"/>
          <w:sz w:val="20"/>
        </w:rPr>
        <w:lastRenderedPageBreak/>
        <w:t>Example—</w:t>
      </w:r>
    </w:p>
    <w:p>
      <w:pPr>
        <w:keepLines/>
        <w:autoSpaceDE w:val="0"/>
        <w:autoSpaceDN w:val="0"/>
        <w:adjustRightInd w:val="0"/>
        <w:spacing w:before="120"/>
        <w:ind w:left="1588"/>
        <w:rPr>
          <w:color w:val="000000"/>
          <w:sz w:val="20"/>
        </w:rPr>
      </w:pPr>
      <w:r>
        <w:rPr>
          <w:color w:val="000000"/>
          <w:sz w:val="20"/>
        </w:rPr>
        <w:t>Information disclosed under this section may be combined or arranged with other information provided that the manner in which that information is combined or arranged will not lead to the identification of the person to whom the information relates.</w:t>
      </w:r>
    </w:p>
    <w:p>
      <w:pPr>
        <w:pStyle w:val="Heading5"/>
      </w:pPr>
      <w:bookmarkStart w:id="960" w:name="_Toc158375162"/>
      <w:r>
        <w:rPr>
          <w:rStyle w:val="CharSectno"/>
        </w:rPr>
        <w:t>329</w:t>
      </w:r>
      <w:r>
        <w:t>.</w:t>
      </w:r>
      <w:r>
        <w:tab/>
        <w:t>Disclosure of confidential information authorised if detriment does not outweigh public benefit</w:t>
      </w:r>
      <w:bookmarkEnd w:id="96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section 327 or 328 but subject to this section, the AER is authorised to disclose information given to it in confidence after the restricted period if the AER is of the opinion—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the disclosure of the information would not cause detriment to the person who has given it or to the person from whom that person received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although the disclosure of the information would cause detriment to such a person, the public benefit in disclosing it outweighs that detriment.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disclosing the information, the AER must give the person who gave the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(an </w:t>
      </w:r>
      <w:r>
        <w:rPr>
          <w:rStyle w:val="CharDefText"/>
          <w:bCs/>
          <w:sz w:val="23"/>
        </w:rPr>
        <w:t>initial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person, within the period specified in the notice, may make representations to the AER not to disclose the information; and</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AER is aware that the person who gave the information in turn received the information from another person and is aware of that other person’s identity and address, the AER must, before disclosing the information give that other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(an </w:t>
      </w:r>
      <w:r>
        <w:rPr>
          <w:rStyle w:val="CharDefText"/>
          <w:sz w:val="23"/>
        </w:rPr>
        <w:t>initial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person, within the period specified in the notice, may make representations to the AER not to disclose the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AER must consider every representation made to it by a person given an initial disclosure notice under this section within the time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period of time specified in an initial disclosure notice must not be less than 5 business days after the date the initial disclosure notice is given to the person.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(6)</w:t>
      </w:r>
      <w:r>
        <w:rPr>
          <w:color w:val="000000"/>
          <w:sz w:val="23"/>
          <w:szCs w:val="23"/>
        </w:rPr>
        <w:tab/>
        <w:t>If after considering the representations, the AER wishes to disclose the information, the AER must give the person given the initial disclosure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 </w:t>
      </w:r>
      <w:r>
        <w:rPr>
          <w:rStyle w:val="CharDefText"/>
          <w:bCs/>
          <w:sz w:val="23"/>
        </w:rPr>
        <w:t>further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For the purposes of this section, the disclosure of anything that is already in the public domain at the time the AER wishes to disclose it cannot cause detriment to any person referred to in subsection (2) or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restricted period</w:t>
      </w:r>
      <w:r>
        <w:rPr>
          <w:bCs/>
          <w:i/>
          <w:iCs/>
          <w:color w:val="000000"/>
          <w:sz w:val="23"/>
          <w:szCs w:val="23"/>
        </w:rPr>
        <w:t xml:space="preserve"> </w:t>
      </w:r>
      <w:r>
        <w:rPr>
          <w:color w:val="000000"/>
          <w:sz w:val="23"/>
          <w:szCs w:val="23"/>
        </w:rPr>
        <w:t>means a period of 5 business days after—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initial disclosure notice has been given under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further disclosure notice has been given under this section,</w:t>
      </w:r>
    </w:p>
    <w:p>
      <w:pPr>
        <w:keepLines/>
        <w:autoSpaceDE w:val="0"/>
        <w:autoSpaceDN w:val="0"/>
        <w:adjustRightInd w:val="0"/>
        <w:spacing w:before="120"/>
        <w:ind w:left="1588"/>
        <w:rPr>
          <w:color w:val="000000"/>
          <w:sz w:val="23"/>
          <w:szCs w:val="23"/>
        </w:rPr>
      </w:pPr>
      <w:r>
        <w:rPr>
          <w:color w:val="000000"/>
          <w:sz w:val="23"/>
          <w:szCs w:val="23"/>
        </w:rPr>
        <w:t>whichever is the later.</w:t>
      </w:r>
    </w:p>
    <w:p>
      <w:pPr>
        <w:pStyle w:val="Heading4"/>
      </w:pPr>
      <w:bookmarkStart w:id="961" w:name="_Toc156819523"/>
      <w:bookmarkStart w:id="962" w:name="_Toc156990943"/>
      <w:bookmarkStart w:id="963" w:name="_Toc158375163"/>
      <w:r>
        <w:lastRenderedPageBreak/>
        <w:t>Division 2 — Disclosure of confidential information held by relevant Ministers, NCC and AEMC</w:t>
      </w:r>
      <w:bookmarkEnd w:id="961"/>
      <w:bookmarkEnd w:id="962"/>
      <w:bookmarkEnd w:id="963"/>
    </w:p>
    <w:p>
      <w:pPr>
        <w:pStyle w:val="Heading5"/>
      </w:pPr>
      <w:bookmarkStart w:id="964" w:name="_Toc158375164"/>
      <w:r>
        <w:rPr>
          <w:rStyle w:val="CharSectno"/>
        </w:rPr>
        <w:t>330</w:t>
      </w:r>
      <w:r>
        <w:t>.</w:t>
      </w:r>
      <w:r>
        <w:tab/>
        <w:t>Definitions</w:t>
      </w:r>
      <w:bookmarkEnd w:id="964"/>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Next/>
        <w:keepLines/>
        <w:autoSpaceDE w:val="0"/>
        <w:autoSpaceDN w:val="0"/>
        <w:adjustRightInd w:val="0"/>
        <w:spacing w:before="120"/>
        <w:ind w:left="1588"/>
        <w:rPr>
          <w:color w:val="000000"/>
          <w:sz w:val="23"/>
          <w:szCs w:val="23"/>
        </w:rPr>
      </w:pPr>
      <w:r>
        <w:rPr>
          <w:rStyle w:val="CharDefText"/>
          <w:bCs/>
          <w:sz w:val="23"/>
        </w:rPr>
        <w:t>relevant decision maker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in the case of decisions relating to applications for price regulation exemptions;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AEMC;</w:t>
      </w:r>
    </w:p>
    <w:p>
      <w:pPr>
        <w:keepNext/>
        <w:keepLines/>
        <w:autoSpaceDE w:val="0"/>
        <w:autoSpaceDN w:val="0"/>
        <w:adjustRightInd w:val="0"/>
        <w:spacing w:before="120"/>
        <w:ind w:left="1588"/>
        <w:rPr>
          <w:color w:val="000000"/>
          <w:sz w:val="23"/>
          <w:szCs w:val="23"/>
        </w:rPr>
      </w:pPr>
      <w:r>
        <w:rPr>
          <w:rStyle w:val="CharDefText"/>
          <w:bCs/>
          <w:sz w:val="23"/>
        </w:rPr>
        <w:t>scheme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 relevant Minister or the Commonwealth Minister, a Ministerial coverage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the NCC, an NCC recommendation or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relation to the AEMC, a report published under Division 4 or Division 5 of Chapter 2 Part 2;</w:t>
      </w:r>
    </w:p>
    <w:p>
      <w:pPr>
        <w:keepNext/>
        <w:keepLines/>
        <w:autoSpaceDE w:val="0"/>
        <w:autoSpaceDN w:val="0"/>
        <w:adjustRightInd w:val="0"/>
        <w:spacing w:before="120"/>
        <w:ind w:left="1588"/>
        <w:rPr>
          <w:color w:val="000000"/>
          <w:sz w:val="23"/>
          <w:szCs w:val="23"/>
        </w:rPr>
      </w:pPr>
      <w:r>
        <w:rPr>
          <w:rStyle w:val="CharDefText"/>
          <w:bCs/>
          <w:sz w:val="23"/>
        </w:rPr>
        <w:t>scheme procedure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relevant Minister or the Commonwealth Minister, the procedure to be followed by the relevant Minister or Commonwealth Minister under this Law for the purpose of making a Ministerial coverage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the NCC, the procedure to be followed by the NCC under this Law and the Rules for the purpose of making an NCC recommendation or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(c)</w:t>
      </w:r>
      <w:r>
        <w:rPr>
          <w:color w:val="000000"/>
          <w:sz w:val="23"/>
          <w:szCs w:val="23"/>
        </w:rPr>
        <w:tab/>
        <w:t>in the case of the AEMC, an MCE directed review or a review conducted by the AEMC under section 83.</w:t>
      </w:r>
    </w:p>
    <w:p>
      <w:pPr>
        <w:pStyle w:val="Heading5"/>
      </w:pPr>
      <w:bookmarkStart w:id="965" w:name="_Toc158375165"/>
      <w:r>
        <w:rPr>
          <w:rStyle w:val="CharSectno"/>
        </w:rPr>
        <w:t>331</w:t>
      </w:r>
      <w:r>
        <w:t>.</w:t>
      </w:r>
      <w:r>
        <w:tab/>
        <w:t>Confidentiality of information received for scheme procedure purpose and for making of scheme decision</w:t>
      </w:r>
      <w:bookmarkEnd w:id="96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Information provided to a relevant decision maker for the purposes of a scheme procedure is confidential information for the purposes of that procedure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who provides it claims, when providing it to the relevant decision maker, that it is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decision maker decides that the information is confidential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However, subject to this section, nothing prevents the disclosure of confidential information by the relevant decision maker (the </w:t>
      </w:r>
      <w:r>
        <w:rPr>
          <w:rStyle w:val="CharDefText"/>
          <w:sz w:val="23"/>
        </w:rPr>
        <w:t>principal decision maker</w:t>
      </w:r>
      <w:r>
        <w:rPr>
          <w:color w:val="000000"/>
          <w:sz w:val="23"/>
          <w:szCs w:val="23"/>
        </w:rPr>
        <w:t>) in a scheme decision or to another relevant decision maker or the MCE, but the principal decision maker must ensure that the information is identified as such—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scheme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the principal decision maker discloses that information to another relevant decision maker or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where the AEMC publishes a report under Division 4 or Division 5 of Chapter 2 Part 2, nothing prevents the disclosure of confidential information in a report to the MCE or a Minister of a participating jurisdiction, but the AEMC must ensure that the information is identified as such in the report.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(4)</w:t>
      </w:r>
      <w:r>
        <w:rPr>
          <w:color w:val="000000"/>
          <w:sz w:val="23"/>
          <w:szCs w:val="23"/>
        </w:rPr>
        <w:tab/>
        <w:t>If the AEMC decides that information provided to it for the purposes of a MCE directed review or a review conducted by the AEMC under section 83, is confidential information, the AEMC, the MCE or a Minister of a participating jurisdiction may only publish a version of the report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NCC decides that information provided to it for the purposes of an NCC recommendation or decision is confidential information, the NCC and the relevant Minister may only publish a version of (as the case requires) an NCC recommendation or decision or Ministerial coverage decision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information is omitted from a published version of a scheme decision as being confidential information, a note to that effect must be included in the decision at the place in the decision from which the information is omitted.</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In relation to the AEMC, see section 71 of this Law and section 24 of the </w:t>
      </w:r>
      <w:r>
        <w:rPr>
          <w:i/>
          <w:iCs/>
          <w:color w:val="000000"/>
          <w:sz w:val="20"/>
        </w:rPr>
        <w:t>Australian Energy Market Commission Establishment Act 2004</w:t>
      </w:r>
      <w:r>
        <w:rPr>
          <w:color w:val="000000"/>
          <w:sz w:val="20"/>
        </w:rPr>
        <w:t xml:space="preserve"> of South Australia.</w:t>
      </w:r>
    </w:p>
    <w:p>
      <w:pPr>
        <w:pStyle w:val="Heading3"/>
      </w:pPr>
      <w:bookmarkStart w:id="966" w:name="_Toc156819526"/>
      <w:bookmarkStart w:id="967" w:name="_Toc156990946"/>
      <w:bookmarkStart w:id="968" w:name="_Toc158375166"/>
      <w:r>
        <w:rPr>
          <w:rStyle w:val="CharDivNo"/>
        </w:rPr>
        <w:t>Part 3</w:t>
      </w:r>
      <w:r>
        <w:t xml:space="preserve"> — </w:t>
      </w:r>
      <w:r>
        <w:rPr>
          <w:rStyle w:val="CharDivText"/>
        </w:rPr>
        <w:t>Miscellaneous</w:t>
      </w:r>
      <w:bookmarkEnd w:id="966"/>
      <w:bookmarkEnd w:id="967"/>
      <w:bookmarkEnd w:id="968"/>
    </w:p>
    <w:p>
      <w:pPr>
        <w:pStyle w:val="Heading5"/>
      </w:pPr>
      <w:bookmarkStart w:id="969" w:name="_Toc158375167"/>
      <w:r>
        <w:rPr>
          <w:rStyle w:val="CharSectno"/>
        </w:rPr>
        <w:t>332</w:t>
      </w:r>
      <w:r>
        <w:t>.</w:t>
      </w:r>
      <w:r>
        <w:tab/>
        <w:t>Failure to make a decision under this Law or the Rules within time does not invalidate the decision</w:t>
      </w:r>
      <w:bookmarkEnd w:id="96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decision (however described) made under this Law or the Rules by a regulatory scheme decision maker after the expiry of the period of time specified by this Law or Rules for the making of that decision is not to be taken to be an invalid decision only because the decision is not made within the specified period of time.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decision to which subsection (1) applies takes effect on and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day it is made;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if it specifies a date for operation or effect that is after the day it is made, that specified date.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regulatory scheme decision maker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in the case of decisions relating to price regulation exemptions;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Bulletin Board operator.</w:t>
      </w:r>
    </w:p>
    <w:p>
      <w:pPr>
        <w:pStyle w:val="Heading5"/>
      </w:pPr>
      <w:bookmarkStart w:id="970" w:name="_Toc158375168"/>
      <w:r>
        <w:rPr>
          <w:rStyle w:val="CharSectno"/>
        </w:rPr>
        <w:t>333</w:t>
      </w:r>
      <w:r>
        <w:t>.</w:t>
      </w:r>
      <w:r>
        <w:tab/>
        <w:t>Withdrawal of applications relating to coverage or reclassification</w:t>
      </w:r>
      <w:bookmarkEnd w:id="97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has made an application for a Ministerial or NCC scheme decision may withdraw the application at any time before the Ministerial or NCC scheme decision is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withdrawal of an application in accordance with this section must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writing;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given to, as the case requires, the relevant Minister, Commonwealth Minister or the NCC.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Ministerial or NCC scheme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Commonwealth Minister under section 164;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(d)</w:t>
      </w:r>
      <w:r>
        <w:rPr>
          <w:color w:val="000000"/>
          <w:sz w:val="23"/>
          <w:szCs w:val="23"/>
        </w:rPr>
        <w:tab/>
        <w:t>a decision of the NCC relating to the making or revoking of a light regulation determination under Chapter 3 Part 2.</w:t>
      </w:r>
    </w:p>
    <w:p>
      <w:pPr>
        <w:pStyle w:val="Heading5"/>
      </w:pPr>
      <w:bookmarkStart w:id="971" w:name="_Toc158375169"/>
      <w:r>
        <w:rPr>
          <w:rStyle w:val="CharSectno"/>
        </w:rPr>
        <w:t>334</w:t>
      </w:r>
      <w:r>
        <w:t>.</w:t>
      </w:r>
      <w:r>
        <w:tab/>
        <w:t>Notification of Ministers of participating jurisdictions of receipt of application</w:t>
      </w:r>
      <w:bookmarkEnd w:id="971"/>
    </w:p>
    <w:p>
      <w:pPr>
        <w:keepLines/>
        <w:autoSpaceDE w:val="0"/>
        <w:autoSpaceDN w:val="0"/>
        <w:adjustRightInd w:val="0"/>
        <w:spacing w:before="120"/>
        <w:ind w:left="1588"/>
        <w:rPr>
          <w:color w:val="000000"/>
          <w:sz w:val="23"/>
          <w:szCs w:val="23"/>
        </w:rPr>
      </w:pPr>
      <w:r>
        <w:rPr>
          <w:color w:val="000000"/>
          <w:sz w:val="23"/>
          <w:szCs w:val="23"/>
        </w:rPr>
        <w:t>If the NCC receives an application for a coverage determination, a 15</w:t>
      </w:r>
      <w:r>
        <w:rPr>
          <w:color w:val="000000"/>
          <w:sz w:val="23"/>
          <w:szCs w:val="23"/>
        </w:rPr>
        <w:noBreakHyphen/>
        <w:t>year no</w:t>
      </w:r>
      <w:r>
        <w:rPr>
          <w:color w:val="000000"/>
          <w:sz w:val="23"/>
          <w:szCs w:val="23"/>
        </w:rPr>
        <w:noBreakHyphen/>
        <w:t>coverage determination, a coverage revocation determination or a reclassification decision, it must, without delay, notify the Ministers of the participating jurisdictions of receipt of the application.</w:t>
      </w:r>
    </w:p>
    <w:p>
      <w:pPr>
        <w:pStyle w:val="Heading5"/>
      </w:pPr>
      <w:bookmarkStart w:id="972" w:name="_Toc158375170"/>
      <w:r>
        <w:rPr>
          <w:rStyle w:val="CharSectno"/>
        </w:rPr>
        <w:t>335</w:t>
      </w:r>
      <w:r>
        <w:t>.</w:t>
      </w:r>
      <w:r>
        <w:tab/>
        <w:t>Relevant Minister may request NCC to give information or assistance</w:t>
      </w:r>
      <w:bookmarkEnd w:id="97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relevant Minister may request the NCC, in writing, to give to him or her information or assistance that the Minister may require for the purpose of making—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coverage revocation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comply with a request.</w:t>
      </w:r>
    </w:p>
    <w:p>
      <w:pPr>
        <w:pStyle w:val="Heading5"/>
      </w:pPr>
      <w:bookmarkStart w:id="973" w:name="_Toc158375171"/>
      <w:r>
        <w:rPr>
          <w:rStyle w:val="CharSectno"/>
        </w:rPr>
        <w:t>336</w:t>
      </w:r>
      <w:r>
        <w:t>.</w:t>
      </w:r>
      <w:r>
        <w:tab/>
        <w:t>Savings and transitionals</w:t>
      </w:r>
      <w:bookmarkEnd w:id="973"/>
    </w:p>
    <w:p>
      <w:pPr>
        <w:keepLines/>
        <w:autoSpaceDE w:val="0"/>
        <w:autoSpaceDN w:val="0"/>
        <w:adjustRightInd w:val="0"/>
        <w:spacing w:before="120"/>
        <w:ind w:left="1588"/>
        <w:rPr>
          <w:color w:val="000000"/>
          <w:sz w:val="23"/>
          <w:szCs w:val="23"/>
        </w:rPr>
      </w:pPr>
      <w:r>
        <w:rPr>
          <w:color w:val="000000"/>
          <w:sz w:val="23"/>
          <w:szCs w:val="23"/>
        </w:rPr>
        <w:t>Schedule 3 to this Law has effect.</w:t>
      </w:r>
    </w:p>
    <w:p>
      <w:pPr>
        <w:sectPr>
          <w:headerReference w:type="even" r:id="rId34"/>
          <w:headerReference w:type="default" r:id="rId35"/>
          <w:headerReference w:type="first" r:id="rId36"/>
          <w:endnotePr>
            <w:numFmt w:val="decimal"/>
          </w:endnotePr>
          <w:pgSz w:w="11907" w:h="16840" w:code="9"/>
          <w:pgMar w:top="2381" w:right="2410" w:bottom="3544" w:left="2410" w:header="720" w:footer="3544" w:gutter="0"/>
          <w:cols w:space="720"/>
          <w:docGrid w:linePitch="326"/>
        </w:sectPr>
      </w:pPr>
    </w:p>
    <w:p>
      <w:pPr>
        <w:pStyle w:val="Heading2"/>
      </w:pPr>
      <w:bookmarkStart w:id="974" w:name="_Toc156819532"/>
      <w:bookmarkStart w:id="975" w:name="_Toc156990952"/>
      <w:bookmarkStart w:id="976" w:name="_Toc158375172"/>
      <w:r>
        <w:rPr>
          <w:rStyle w:val="CharPartNo"/>
        </w:rPr>
        <w:lastRenderedPageBreak/>
        <w:t>Schedule 1</w:t>
      </w:r>
      <w:r>
        <w:rPr>
          <w:rStyle w:val="CharDivNo"/>
        </w:rPr>
        <w:t> </w:t>
      </w:r>
      <w:r>
        <w:t>—</w:t>
      </w:r>
      <w:r>
        <w:rPr>
          <w:rStyle w:val="CharDivText"/>
        </w:rPr>
        <w:t> </w:t>
      </w:r>
      <w:r>
        <w:rPr>
          <w:rStyle w:val="CharPartText"/>
        </w:rPr>
        <w:t>Subject matter for the National Gas Rules</w:t>
      </w:r>
      <w:bookmarkEnd w:id="974"/>
      <w:bookmarkEnd w:id="975"/>
      <w:bookmarkEnd w:id="976"/>
    </w:p>
    <w:p>
      <w:pPr>
        <w:keepNext/>
        <w:keepLines/>
        <w:autoSpaceDE w:val="0"/>
        <w:autoSpaceDN w:val="0"/>
        <w:adjustRightInd w:val="0"/>
        <w:spacing w:before="120"/>
        <w:ind w:left="794"/>
        <w:rPr>
          <w:color w:val="000000"/>
          <w:sz w:val="23"/>
          <w:szCs w:val="23"/>
        </w:rPr>
      </w:pPr>
      <w:r>
        <w:rPr>
          <w:color w:val="000000"/>
          <w:sz w:val="23"/>
          <w:szCs w:val="23"/>
        </w:rPr>
        <w:t>Section 74</w:t>
      </w:r>
    </w:p>
    <w:p>
      <w:pPr>
        <w:keepNext/>
        <w:keepLines/>
        <w:autoSpaceDE w:val="0"/>
        <w:autoSpaceDN w:val="0"/>
        <w:adjustRightInd w:val="0"/>
        <w:spacing w:before="120"/>
        <w:ind w:left="794"/>
        <w:rPr>
          <w:color w:val="000000"/>
          <w:sz w:val="2"/>
          <w:szCs w:val="2"/>
        </w:rPr>
      </w:pPr>
    </w:p>
    <w:tbl>
      <w:tblPr>
        <w:tblW w:w="7284" w:type="dxa"/>
        <w:tblInd w:w="-24" w:type="dxa"/>
        <w:tblLayout w:type="fixed"/>
        <w:tblCellMar>
          <w:left w:w="60" w:type="dxa"/>
          <w:right w:w="60" w:type="dxa"/>
        </w:tblCellMar>
        <w:tblLook w:val="0000" w:firstRow="0" w:lastRow="0" w:firstColumn="0" w:lastColumn="0" w:noHBand="0" w:noVBand="0"/>
      </w:tblPr>
      <w:tblGrid>
        <w:gridCol w:w="924"/>
        <w:gridCol w:w="6360"/>
      </w:tblGrid>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Classification and coverage of pipelines</w:t>
            </w:r>
          </w:p>
        </w:tc>
      </w:tr>
      <w:tr>
        <w:trPr>
          <w:cantSplit/>
        </w:trPr>
        <w:tc>
          <w:tcPr>
            <w:tcW w:w="924" w:type="dxa"/>
          </w:tcPr>
          <w:p>
            <w:pPr>
              <w:keepLines/>
              <w:autoSpaceDE w:val="0"/>
              <w:autoSpaceDN w:val="0"/>
              <w:adjustRightInd w:val="0"/>
              <w:spacing w:before="120"/>
              <w:rPr>
                <w:color w:val="000000"/>
                <w:sz w:val="20"/>
              </w:rPr>
            </w:pPr>
            <w:r>
              <w:rPr>
                <w:color w:val="000000"/>
                <w:sz w:val="20"/>
              </w:rPr>
              <w:t>1</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coverage determinations, coverage revocation determinations and 15</w:t>
            </w:r>
            <w:r>
              <w:rPr>
                <w:color w:val="000000"/>
                <w:sz w:val="20"/>
              </w:rPr>
              <w:noBreakHyphen/>
              <w:t>year no</w:t>
            </w:r>
            <w:r>
              <w:rPr>
                <w:color w:val="000000"/>
                <w:sz w:val="20"/>
              </w:rPr>
              <w:noBreakHyphen/>
              <w:t>coverage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2</w:t>
            </w:r>
          </w:p>
        </w:tc>
        <w:tc>
          <w:tcPr>
            <w:tcW w:w="6360" w:type="dxa"/>
            <w:vAlign w:val="center"/>
          </w:tcPr>
          <w:p>
            <w:pPr>
              <w:keepLines/>
              <w:autoSpaceDE w:val="0"/>
              <w:autoSpaceDN w:val="0"/>
              <w:adjustRightInd w:val="0"/>
              <w:spacing w:before="120"/>
              <w:rPr>
                <w:color w:val="000000"/>
                <w:sz w:val="20"/>
              </w:rPr>
            </w:pPr>
            <w:r>
              <w:rPr>
                <w:color w:val="000000"/>
                <w:sz w:val="20"/>
              </w:rPr>
              <w:t>The content of coverage recommendations, coverage revocation recommendations and no</w:t>
            </w:r>
            <w:r>
              <w:rPr>
                <w:color w:val="000000"/>
                <w:sz w:val="20"/>
              </w:rPr>
              <w:noBreakHyphen/>
              <w:t>coverage recommendations.</w:t>
            </w:r>
          </w:p>
        </w:tc>
      </w:tr>
      <w:tr>
        <w:trPr>
          <w:cantSplit/>
        </w:trPr>
        <w:tc>
          <w:tcPr>
            <w:tcW w:w="924" w:type="dxa"/>
          </w:tcPr>
          <w:p>
            <w:pPr>
              <w:keepLines/>
              <w:autoSpaceDE w:val="0"/>
              <w:autoSpaceDN w:val="0"/>
              <w:adjustRightInd w:val="0"/>
              <w:spacing w:before="120"/>
              <w:rPr>
                <w:color w:val="000000"/>
                <w:sz w:val="20"/>
              </w:rPr>
            </w:pPr>
            <w:r>
              <w:rPr>
                <w:color w:val="000000"/>
                <w:sz w:val="20"/>
              </w:rPr>
              <w:t>3</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coverage determinations, coverage revocation determinations and 15</w:t>
            </w:r>
            <w:r>
              <w:rPr>
                <w:color w:val="000000"/>
                <w:sz w:val="20"/>
              </w:rPr>
              <w:noBreakHyphen/>
              <w:t>year no</w:t>
            </w:r>
            <w:r>
              <w:rPr>
                <w:color w:val="000000"/>
                <w:sz w:val="20"/>
              </w:rPr>
              <w:noBreakHyphen/>
              <w:t>coverage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4</w:t>
            </w:r>
          </w:p>
        </w:tc>
        <w:tc>
          <w:tcPr>
            <w:tcW w:w="6360" w:type="dxa"/>
            <w:vAlign w:val="center"/>
          </w:tcPr>
          <w:p>
            <w:pPr>
              <w:keepLines/>
              <w:autoSpaceDE w:val="0"/>
              <w:autoSpaceDN w:val="0"/>
              <w:adjustRightInd w:val="0"/>
              <w:spacing w:before="120"/>
              <w:rPr>
                <w:color w:val="000000"/>
                <w:sz w:val="20"/>
              </w:rPr>
            </w:pPr>
            <w:r>
              <w:rPr>
                <w:color w:val="000000"/>
                <w:sz w:val="20"/>
              </w:rPr>
              <w:t>The classification of pipelines by the NCC—</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after a tender approval decision becomes irrevocable;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during the process the approval of a voluntarily submitted access arrangement.</w:t>
            </w:r>
          </w:p>
        </w:tc>
      </w:tr>
      <w:tr>
        <w:trPr>
          <w:cantSplit/>
        </w:trPr>
        <w:tc>
          <w:tcPr>
            <w:tcW w:w="924" w:type="dxa"/>
          </w:tcPr>
          <w:p>
            <w:pPr>
              <w:keepLines/>
              <w:autoSpaceDE w:val="0"/>
              <w:autoSpaceDN w:val="0"/>
              <w:adjustRightInd w:val="0"/>
              <w:spacing w:before="120"/>
              <w:rPr>
                <w:color w:val="000000"/>
                <w:sz w:val="20"/>
              </w:rPr>
            </w:pPr>
            <w:r>
              <w:rPr>
                <w:color w:val="000000"/>
                <w:sz w:val="20"/>
              </w:rPr>
              <w:t>5</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the reclassification of pipelines and reclassification decisions.</w:t>
            </w:r>
          </w:p>
        </w:tc>
      </w:tr>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6</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7</w:t>
            </w:r>
          </w:p>
        </w:tc>
        <w:tc>
          <w:tcPr>
            <w:tcW w:w="6360" w:type="dxa"/>
            <w:vAlign w:val="center"/>
          </w:tcPr>
          <w:p>
            <w:pPr>
              <w:keepLines/>
              <w:autoSpaceDE w:val="0"/>
              <w:autoSpaceDN w:val="0"/>
              <w:adjustRightInd w:val="0"/>
              <w:spacing w:before="120"/>
              <w:rPr>
                <w:color w:val="000000"/>
                <w:sz w:val="20"/>
              </w:rPr>
            </w:pPr>
            <w:r>
              <w:rPr>
                <w:color w:val="000000"/>
                <w:sz w:val="20"/>
              </w:rPr>
              <w:t>The content of recommendations by the NCC in relation to 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8</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price regulation exemptions.</w:t>
            </w:r>
          </w:p>
        </w:tc>
      </w:tr>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9</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10</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11</w:t>
            </w:r>
          </w:p>
        </w:tc>
        <w:tc>
          <w:tcPr>
            <w:tcW w:w="6360" w:type="dxa"/>
            <w:vAlign w:val="center"/>
          </w:tcPr>
          <w:p>
            <w:pPr>
              <w:keepLines/>
              <w:autoSpaceDE w:val="0"/>
              <w:autoSpaceDN w:val="0"/>
              <w:adjustRightInd w:val="0"/>
              <w:spacing w:before="120"/>
              <w:rPr>
                <w:color w:val="000000"/>
                <w:sz w:val="20"/>
              </w:rPr>
            </w:pPr>
            <w:r>
              <w:rPr>
                <w:color w:val="000000"/>
                <w:sz w:val="20"/>
              </w:rPr>
              <w:t>The matters to be addressed by the NCC in making decisions about light regulation determinations or the revocation of light regulation determinations.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Tender approvals for the construction of pipelines</w:t>
            </w:r>
          </w:p>
        </w:tc>
      </w:tr>
      <w:tr>
        <w:trPr>
          <w:cantSplit/>
        </w:trPr>
        <w:tc>
          <w:tcPr>
            <w:tcW w:w="924" w:type="dxa"/>
          </w:tcPr>
          <w:p>
            <w:pPr>
              <w:keepLines/>
              <w:autoSpaceDE w:val="0"/>
              <w:autoSpaceDN w:val="0"/>
              <w:adjustRightInd w:val="0"/>
              <w:spacing w:before="120"/>
              <w:rPr>
                <w:color w:val="000000"/>
                <w:sz w:val="20"/>
              </w:rPr>
            </w:pPr>
            <w:r>
              <w:rPr>
                <w:color w:val="000000"/>
                <w:sz w:val="20"/>
              </w:rPr>
              <w:t>12</w:t>
            </w:r>
          </w:p>
        </w:tc>
        <w:tc>
          <w:tcPr>
            <w:tcW w:w="6360" w:type="dxa"/>
            <w:vAlign w:val="center"/>
          </w:tcPr>
          <w:p>
            <w:pPr>
              <w:keepLines/>
              <w:autoSpaceDE w:val="0"/>
              <w:autoSpaceDN w:val="0"/>
              <w:adjustRightInd w:val="0"/>
              <w:spacing w:before="120"/>
              <w:rPr>
                <w:color w:val="000000"/>
                <w:sz w:val="20"/>
              </w:rPr>
            </w:pPr>
            <w:r>
              <w:rPr>
                <w:color w:val="000000"/>
                <w:sz w:val="20"/>
              </w:rPr>
              <w:t>Applications for and the approval by the AER of a tender for the construction of a pipeline (by means of which pipeline services are intended to be provided) as a competitive tender process.</w:t>
            </w:r>
          </w:p>
        </w:tc>
      </w:tr>
      <w:tr>
        <w:trPr>
          <w:cantSplit/>
        </w:trPr>
        <w:tc>
          <w:tcPr>
            <w:tcW w:w="924" w:type="dxa"/>
          </w:tcPr>
          <w:p>
            <w:pPr>
              <w:keepLines/>
              <w:autoSpaceDE w:val="0"/>
              <w:autoSpaceDN w:val="0"/>
              <w:adjustRightInd w:val="0"/>
              <w:spacing w:before="120"/>
              <w:rPr>
                <w:color w:val="000000"/>
                <w:sz w:val="20"/>
              </w:rPr>
            </w:pPr>
            <w:r>
              <w:rPr>
                <w:color w:val="000000"/>
                <w:sz w:val="20"/>
              </w:rPr>
              <w:lastRenderedPageBreak/>
              <w:t>13</w:t>
            </w:r>
          </w:p>
        </w:tc>
        <w:tc>
          <w:tcPr>
            <w:tcW w:w="6360" w:type="dxa"/>
            <w:vAlign w:val="center"/>
          </w:tcPr>
          <w:p>
            <w:pPr>
              <w:keepLines/>
              <w:autoSpaceDE w:val="0"/>
              <w:autoSpaceDN w:val="0"/>
              <w:adjustRightInd w:val="0"/>
              <w:spacing w:before="120"/>
              <w:rPr>
                <w:color w:val="000000"/>
                <w:sz w:val="20"/>
              </w:rPr>
            </w:pPr>
            <w:r>
              <w:rPr>
                <w:color w:val="000000"/>
                <w:sz w:val="20"/>
              </w:rPr>
              <w:t>The content of tender approval decisions.</w:t>
            </w:r>
          </w:p>
        </w:tc>
      </w:tr>
      <w:tr>
        <w:trPr>
          <w:cantSplit/>
        </w:trPr>
        <w:tc>
          <w:tcPr>
            <w:tcW w:w="924" w:type="dxa"/>
          </w:tcPr>
          <w:p>
            <w:pPr>
              <w:keepLines/>
              <w:autoSpaceDE w:val="0"/>
              <w:autoSpaceDN w:val="0"/>
              <w:adjustRightInd w:val="0"/>
              <w:spacing w:before="120"/>
              <w:rPr>
                <w:color w:val="000000"/>
                <w:sz w:val="20"/>
              </w:rPr>
            </w:pPr>
            <w:r>
              <w:rPr>
                <w:color w:val="000000"/>
                <w:sz w:val="20"/>
              </w:rPr>
              <w:t>14</w:t>
            </w:r>
          </w:p>
        </w:tc>
        <w:tc>
          <w:tcPr>
            <w:tcW w:w="6360" w:type="dxa"/>
            <w:vAlign w:val="center"/>
          </w:tcPr>
          <w:p>
            <w:pPr>
              <w:keepLines/>
              <w:autoSpaceDE w:val="0"/>
              <w:autoSpaceDN w:val="0"/>
              <w:adjustRightInd w:val="0"/>
              <w:spacing w:before="120"/>
              <w:rPr>
                <w:color w:val="000000"/>
                <w:sz w:val="20"/>
              </w:rPr>
            </w:pPr>
            <w:r>
              <w:rPr>
                <w:color w:val="000000"/>
                <w:sz w:val="20"/>
              </w:rPr>
              <w:t>The procedure for the making and the publication of a tender approval decision.</w:t>
            </w:r>
          </w:p>
        </w:tc>
      </w:tr>
      <w:tr>
        <w:trPr>
          <w:cantSplit/>
        </w:trPr>
        <w:tc>
          <w:tcPr>
            <w:tcW w:w="924" w:type="dxa"/>
          </w:tcPr>
          <w:p>
            <w:pPr>
              <w:keepLines/>
              <w:autoSpaceDE w:val="0"/>
              <w:autoSpaceDN w:val="0"/>
              <w:adjustRightInd w:val="0"/>
              <w:spacing w:before="120"/>
              <w:rPr>
                <w:color w:val="000000"/>
                <w:sz w:val="20"/>
              </w:rPr>
            </w:pPr>
            <w:r>
              <w:rPr>
                <w:color w:val="000000"/>
                <w:sz w:val="20"/>
              </w:rPr>
              <w:t>15</w:t>
            </w:r>
          </w:p>
        </w:tc>
        <w:tc>
          <w:tcPr>
            <w:tcW w:w="6360" w:type="dxa"/>
            <w:vAlign w:val="center"/>
          </w:tcPr>
          <w:p>
            <w:pPr>
              <w:keepLines/>
              <w:autoSpaceDE w:val="0"/>
              <w:autoSpaceDN w:val="0"/>
              <w:adjustRightInd w:val="0"/>
              <w:spacing w:before="120"/>
              <w:rPr>
                <w:color w:val="000000"/>
                <w:sz w:val="20"/>
              </w:rPr>
            </w:pPr>
            <w:r>
              <w:rPr>
                <w:color w:val="000000"/>
                <w:sz w:val="20"/>
              </w:rPr>
              <w:t>Reports on the conduct of tender processes approved under tender approval decisions.</w:t>
            </w:r>
          </w:p>
        </w:tc>
      </w:tr>
      <w:tr>
        <w:trPr>
          <w:cantSplit/>
        </w:trPr>
        <w:tc>
          <w:tcPr>
            <w:tcW w:w="924" w:type="dxa"/>
          </w:tcPr>
          <w:p>
            <w:pPr>
              <w:keepLines/>
              <w:autoSpaceDE w:val="0"/>
              <w:autoSpaceDN w:val="0"/>
              <w:adjustRightInd w:val="0"/>
              <w:spacing w:before="120"/>
              <w:rPr>
                <w:color w:val="000000"/>
                <w:sz w:val="20"/>
              </w:rPr>
            </w:pPr>
            <w:r>
              <w:rPr>
                <w:color w:val="000000"/>
                <w:sz w:val="20"/>
              </w:rPr>
              <w:t>16</w:t>
            </w:r>
          </w:p>
        </w:tc>
        <w:tc>
          <w:tcPr>
            <w:tcW w:w="6360" w:type="dxa"/>
            <w:vAlign w:val="center"/>
          </w:tcPr>
          <w:p>
            <w:pPr>
              <w:keepLines/>
              <w:autoSpaceDE w:val="0"/>
              <w:autoSpaceDN w:val="0"/>
              <w:adjustRightInd w:val="0"/>
              <w:spacing w:before="120"/>
              <w:rPr>
                <w:color w:val="000000"/>
                <w:sz w:val="20"/>
              </w:rPr>
            </w:pPr>
            <w:r>
              <w:rPr>
                <w:color w:val="000000"/>
                <w:sz w:val="20"/>
              </w:rPr>
              <w:t>The lapsing or revocation of tender approval decisions.</w:t>
            </w:r>
          </w:p>
        </w:tc>
      </w:tr>
      <w:tr>
        <w:trPr>
          <w:cantSplit/>
        </w:trPr>
        <w:tc>
          <w:tcPr>
            <w:tcW w:w="7284" w:type="dxa"/>
            <w:gridSpan w:val="2"/>
            <w:vAlign w:val="center"/>
          </w:tcPr>
          <w:p>
            <w:pPr>
              <w:keepNext/>
              <w:keepLines/>
              <w:autoSpaceDE w:val="0"/>
              <w:autoSpaceDN w:val="0"/>
              <w:adjustRightInd w:val="0"/>
              <w:spacing w:before="120"/>
              <w:rPr>
                <w:color w:val="000000"/>
                <w:sz w:val="20"/>
              </w:rPr>
            </w:pPr>
            <w:r>
              <w:rPr>
                <w:b/>
                <w:bCs/>
                <w:color w:val="000000"/>
                <w:sz w:val="20"/>
              </w:rPr>
              <w:t>Access to pipeline services</w:t>
            </w:r>
          </w:p>
        </w:tc>
      </w:tr>
      <w:tr>
        <w:trPr>
          <w:cantSplit/>
        </w:trPr>
        <w:tc>
          <w:tcPr>
            <w:tcW w:w="924" w:type="dxa"/>
          </w:tcPr>
          <w:p>
            <w:pPr>
              <w:keepLines/>
              <w:autoSpaceDE w:val="0"/>
              <w:autoSpaceDN w:val="0"/>
              <w:adjustRightInd w:val="0"/>
              <w:spacing w:before="120"/>
              <w:rPr>
                <w:color w:val="000000"/>
                <w:sz w:val="20"/>
              </w:rPr>
            </w:pPr>
            <w:r>
              <w:rPr>
                <w:color w:val="000000"/>
                <w:sz w:val="20"/>
              </w:rPr>
              <w:t>17</w:t>
            </w:r>
          </w:p>
        </w:tc>
        <w:tc>
          <w:tcPr>
            <w:tcW w:w="6360" w:type="dxa"/>
            <w:vAlign w:val="center"/>
          </w:tcPr>
          <w:p>
            <w:pPr>
              <w:keepLines/>
              <w:autoSpaceDE w:val="0"/>
              <w:autoSpaceDN w:val="0"/>
              <w:adjustRightInd w:val="0"/>
              <w:spacing w:before="120"/>
              <w:rPr>
                <w:color w:val="000000"/>
                <w:sz w:val="20"/>
              </w:rPr>
            </w:pPr>
            <w:r>
              <w:rPr>
                <w:color w:val="000000"/>
                <w:sz w:val="20"/>
              </w:rPr>
              <w:t>Access to pipeline services provided or that may be provided by means of a scheme pipeline.</w:t>
            </w:r>
          </w:p>
        </w:tc>
      </w:tr>
      <w:tr>
        <w:trPr>
          <w:cantSplit/>
        </w:trPr>
        <w:tc>
          <w:tcPr>
            <w:tcW w:w="924" w:type="dxa"/>
          </w:tcPr>
          <w:p>
            <w:pPr>
              <w:keepLines/>
              <w:autoSpaceDE w:val="0"/>
              <w:autoSpaceDN w:val="0"/>
              <w:adjustRightInd w:val="0"/>
              <w:spacing w:before="120"/>
              <w:rPr>
                <w:color w:val="000000"/>
                <w:sz w:val="20"/>
              </w:rPr>
            </w:pPr>
            <w:r>
              <w:rPr>
                <w:color w:val="000000"/>
                <w:sz w:val="20"/>
              </w:rPr>
              <w:t>18</w:t>
            </w:r>
          </w:p>
        </w:tc>
        <w:tc>
          <w:tcPr>
            <w:tcW w:w="6360" w:type="dxa"/>
            <w:vAlign w:val="center"/>
          </w:tcPr>
          <w:p>
            <w:pPr>
              <w:keepLines/>
              <w:autoSpaceDE w:val="0"/>
              <w:autoSpaceDN w:val="0"/>
              <w:adjustRightInd w:val="0"/>
              <w:spacing w:before="120"/>
              <w:rPr>
                <w:color w:val="000000"/>
                <w:sz w:val="20"/>
              </w:rPr>
            </w:pPr>
            <w:r>
              <w:rPr>
                <w:color w:val="000000"/>
                <w:sz w:val="20"/>
              </w:rPr>
              <w:t>The facilitation of requests for access to pipeline services provided by means of a scheme pipeline.</w:t>
            </w:r>
          </w:p>
        </w:tc>
      </w:tr>
      <w:tr>
        <w:trPr>
          <w:cantSplit/>
        </w:trPr>
        <w:tc>
          <w:tcPr>
            <w:tcW w:w="924" w:type="dxa"/>
          </w:tcPr>
          <w:p>
            <w:pPr>
              <w:keepLines/>
              <w:autoSpaceDE w:val="0"/>
              <w:autoSpaceDN w:val="0"/>
              <w:adjustRightInd w:val="0"/>
              <w:spacing w:before="120"/>
              <w:rPr>
                <w:color w:val="000000"/>
                <w:sz w:val="20"/>
              </w:rPr>
            </w:pPr>
            <w:r>
              <w:rPr>
                <w:color w:val="000000"/>
                <w:sz w:val="20"/>
              </w:rPr>
              <w:t>19</w:t>
            </w:r>
          </w:p>
        </w:tc>
        <w:tc>
          <w:tcPr>
            <w:tcW w:w="6360" w:type="dxa"/>
            <w:vAlign w:val="center"/>
          </w:tcPr>
          <w:p>
            <w:pPr>
              <w:keepLines/>
              <w:autoSpaceDE w:val="0"/>
              <w:autoSpaceDN w:val="0"/>
              <w:adjustRightInd w:val="0"/>
              <w:spacing w:before="120"/>
              <w:rPr>
                <w:color w:val="000000"/>
                <w:sz w:val="20"/>
              </w:rPr>
            </w:pPr>
            <w:r>
              <w:rPr>
                <w:color w:val="000000"/>
                <w:sz w:val="20"/>
              </w:rPr>
              <w:t>The transfer of capacity of a pipeline to deliver pipeline services, including—</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circumstances when and how it is to happen;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legal consequences of a transfer of that capacity.</w:t>
            </w:r>
          </w:p>
        </w:tc>
      </w:tr>
      <w:tr>
        <w:trPr>
          <w:cantSplit/>
        </w:trPr>
        <w:tc>
          <w:tcPr>
            <w:tcW w:w="924" w:type="dxa"/>
          </w:tcPr>
          <w:p>
            <w:pPr>
              <w:keepLines/>
              <w:autoSpaceDE w:val="0"/>
              <w:autoSpaceDN w:val="0"/>
              <w:adjustRightInd w:val="0"/>
              <w:spacing w:before="120"/>
              <w:rPr>
                <w:color w:val="000000"/>
                <w:sz w:val="20"/>
              </w:rPr>
            </w:pPr>
            <w:r>
              <w:rPr>
                <w:color w:val="000000"/>
                <w:sz w:val="20"/>
              </w:rPr>
              <w:t>20</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registers of unutilised capacity of pipelines to deliver pipeline services, including the information to be included in such registers.</w:t>
            </w:r>
          </w:p>
        </w:tc>
      </w:tr>
      <w:tr>
        <w:trPr>
          <w:cantSplit/>
        </w:trPr>
        <w:tc>
          <w:tcPr>
            <w:tcW w:w="924" w:type="dxa"/>
          </w:tcPr>
          <w:p>
            <w:pPr>
              <w:keepLines/>
              <w:autoSpaceDE w:val="0"/>
              <w:autoSpaceDN w:val="0"/>
              <w:adjustRightInd w:val="0"/>
              <w:spacing w:before="120"/>
              <w:rPr>
                <w:color w:val="000000"/>
                <w:sz w:val="20"/>
              </w:rPr>
            </w:pPr>
            <w:r>
              <w:rPr>
                <w:color w:val="000000"/>
                <w:sz w:val="20"/>
              </w:rPr>
              <w:t>21</w:t>
            </w:r>
          </w:p>
        </w:tc>
        <w:tc>
          <w:tcPr>
            <w:tcW w:w="6360" w:type="dxa"/>
            <w:vAlign w:val="center"/>
          </w:tcPr>
          <w:p>
            <w:pPr>
              <w:keepLines/>
              <w:autoSpaceDE w:val="0"/>
              <w:autoSpaceDN w:val="0"/>
              <w:adjustRightInd w:val="0"/>
              <w:spacing w:before="120"/>
              <w:rPr>
                <w:color w:val="000000"/>
                <w:sz w:val="20"/>
              </w:rPr>
            </w:pPr>
            <w:r>
              <w:rPr>
                <w:color w:val="000000"/>
                <w:sz w:val="20"/>
              </w:rPr>
              <w:t>The public availability of information on registers referred to in item 20.</w:t>
            </w:r>
          </w:p>
        </w:tc>
      </w:tr>
      <w:tr>
        <w:trPr>
          <w:cantSplit/>
        </w:trPr>
        <w:tc>
          <w:tcPr>
            <w:tcW w:w="924" w:type="dxa"/>
          </w:tcPr>
          <w:p>
            <w:pPr>
              <w:keepLines/>
              <w:autoSpaceDE w:val="0"/>
              <w:autoSpaceDN w:val="0"/>
              <w:adjustRightInd w:val="0"/>
              <w:spacing w:before="120"/>
              <w:rPr>
                <w:color w:val="000000"/>
                <w:sz w:val="20"/>
              </w:rPr>
            </w:pPr>
            <w:r>
              <w:rPr>
                <w:color w:val="000000"/>
                <w:sz w:val="20"/>
              </w:rPr>
              <w:t>22</w:t>
            </w:r>
          </w:p>
        </w:tc>
        <w:tc>
          <w:tcPr>
            <w:tcW w:w="6360" w:type="dxa"/>
            <w:vAlign w:val="center"/>
          </w:tcPr>
          <w:p>
            <w:pPr>
              <w:keepLines/>
              <w:autoSpaceDE w:val="0"/>
              <w:autoSpaceDN w:val="0"/>
              <w:adjustRightInd w:val="0"/>
              <w:spacing w:before="120"/>
              <w:rPr>
                <w:color w:val="000000"/>
                <w:sz w:val="20"/>
              </w:rPr>
            </w:pPr>
            <w:r>
              <w:rPr>
                <w:color w:val="000000"/>
                <w:sz w:val="20"/>
              </w:rPr>
              <w:t>The provision of information to users of information about unutilised capacity of pipelines to deliver pipeline services.</w:t>
            </w:r>
          </w:p>
        </w:tc>
      </w:tr>
      <w:tr>
        <w:trPr>
          <w:cantSplit/>
        </w:trPr>
        <w:tc>
          <w:tcPr>
            <w:tcW w:w="924" w:type="dxa"/>
          </w:tcPr>
          <w:p>
            <w:pPr>
              <w:keepLines/>
              <w:autoSpaceDE w:val="0"/>
              <w:autoSpaceDN w:val="0"/>
              <w:adjustRightInd w:val="0"/>
              <w:spacing w:before="120"/>
              <w:rPr>
                <w:color w:val="000000"/>
                <w:sz w:val="20"/>
              </w:rPr>
            </w:pPr>
            <w:r>
              <w:rPr>
                <w:color w:val="000000"/>
                <w:sz w:val="20"/>
              </w:rPr>
              <w:t>23</w:t>
            </w:r>
          </w:p>
        </w:tc>
        <w:tc>
          <w:tcPr>
            <w:tcW w:w="6360" w:type="dxa"/>
            <w:vAlign w:val="center"/>
          </w:tcPr>
          <w:p>
            <w:pPr>
              <w:keepLines/>
              <w:autoSpaceDE w:val="0"/>
              <w:autoSpaceDN w:val="0"/>
              <w:adjustRightInd w:val="0"/>
              <w:spacing w:before="120"/>
              <w:rPr>
                <w:color w:val="000000"/>
                <w:sz w:val="20"/>
              </w:rPr>
            </w:pPr>
            <w:r>
              <w:rPr>
                <w:color w:val="000000"/>
                <w:sz w:val="20"/>
              </w:rPr>
              <w:t>The disclosure to the AER of information relating to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24</w:t>
            </w:r>
          </w:p>
        </w:tc>
        <w:tc>
          <w:tcPr>
            <w:tcW w:w="6360" w:type="dxa"/>
            <w:vAlign w:val="center"/>
          </w:tcPr>
          <w:p>
            <w:pPr>
              <w:keepLines/>
              <w:autoSpaceDE w:val="0"/>
              <w:autoSpaceDN w:val="0"/>
              <w:adjustRightInd w:val="0"/>
              <w:spacing w:before="120"/>
              <w:rPr>
                <w:color w:val="000000"/>
                <w:sz w:val="20"/>
              </w:rPr>
            </w:pPr>
            <w:r>
              <w:rPr>
                <w:color w:val="000000"/>
                <w:sz w:val="20"/>
              </w:rPr>
              <w:t>Reports on negotiations relating to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25</w:t>
            </w:r>
          </w:p>
        </w:tc>
        <w:tc>
          <w:tcPr>
            <w:tcW w:w="6360" w:type="dxa"/>
            <w:vAlign w:val="center"/>
          </w:tcPr>
          <w:p>
            <w:pPr>
              <w:keepLines/>
              <w:autoSpaceDE w:val="0"/>
              <w:autoSpaceDN w:val="0"/>
              <w:adjustRightInd w:val="0"/>
              <w:spacing w:before="120"/>
              <w:rPr>
                <w:color w:val="000000"/>
                <w:sz w:val="20"/>
              </w:rPr>
            </w:pPr>
            <w:r>
              <w:rPr>
                <w:color w:val="000000"/>
                <w:sz w:val="20"/>
              </w:rPr>
              <w:t>The publication of prices and other terms and conditions of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26</w:t>
            </w:r>
          </w:p>
        </w:tc>
        <w:tc>
          <w:tcPr>
            <w:tcW w:w="6360" w:type="dxa"/>
            <w:vAlign w:val="center"/>
          </w:tcPr>
          <w:p>
            <w:pPr>
              <w:keepLines/>
              <w:autoSpaceDE w:val="0"/>
              <w:autoSpaceDN w:val="0"/>
              <w:adjustRightInd w:val="0"/>
              <w:spacing w:before="120"/>
              <w:rPr>
                <w:color w:val="000000"/>
                <w:sz w:val="20"/>
              </w:rPr>
            </w:pPr>
            <w:r>
              <w:rPr>
                <w:color w:val="000000"/>
                <w:sz w:val="20"/>
              </w:rPr>
              <w:t>The conditions a service provider may impose for the provision of pipeline services.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27</w:t>
            </w:r>
          </w:p>
        </w:tc>
        <w:tc>
          <w:tcPr>
            <w:tcW w:w="6360" w:type="dxa"/>
            <w:vAlign w:val="center"/>
          </w:tcPr>
          <w:p>
            <w:pPr>
              <w:keepLines/>
              <w:autoSpaceDE w:val="0"/>
              <w:autoSpaceDN w:val="0"/>
              <w:adjustRightInd w:val="0"/>
              <w:spacing w:before="120"/>
              <w:rPr>
                <w:color w:val="000000"/>
                <w:sz w:val="20"/>
              </w:rPr>
            </w:pPr>
            <w:r>
              <w:rPr>
                <w:color w:val="000000"/>
                <w:sz w:val="20"/>
              </w:rPr>
              <w:t>The submission to the AER, by service providers, of access arrangements or revisions to applicable access arrangements for approval by the AER including requiring service providers to—</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submit full access arrangements for pipeline services (that are not light regulation services) provided by means of covered pipelines;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submit limited access arrangements for pipeline services provided by means of international pipelines to which price regulation exemptions apply;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submit more than 1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to consolidate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28</w:t>
            </w:r>
          </w:p>
        </w:tc>
        <w:tc>
          <w:tcPr>
            <w:tcW w:w="6360" w:type="dxa"/>
            <w:vAlign w:val="center"/>
          </w:tcPr>
          <w:p>
            <w:pPr>
              <w:keepLines/>
              <w:autoSpaceDE w:val="0"/>
              <w:autoSpaceDN w:val="0"/>
              <w:adjustRightInd w:val="0"/>
              <w:spacing w:before="120"/>
              <w:rPr>
                <w:color w:val="000000"/>
                <w:sz w:val="20"/>
              </w:rPr>
            </w:pPr>
            <w:r>
              <w:rPr>
                <w:color w:val="000000"/>
                <w:sz w:val="20"/>
              </w:rPr>
              <w:t>The content of access arrangements and applicable access arrangements including—</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 description of pipeline services provided or that may be provided by means of scheme pipelines, including reference services;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content of expansion and extension requirements;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content of queuing requirements;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review submission dates, expiry dates and dates when revisions to access arrangements and applicable access arrangements are to take effect.</w:t>
            </w:r>
          </w:p>
        </w:tc>
      </w:tr>
      <w:tr>
        <w:trPr>
          <w:cantSplit/>
        </w:trPr>
        <w:tc>
          <w:tcPr>
            <w:tcW w:w="924" w:type="dxa"/>
          </w:tcPr>
          <w:p>
            <w:pPr>
              <w:keepLines/>
              <w:autoSpaceDE w:val="0"/>
              <w:autoSpaceDN w:val="0"/>
              <w:adjustRightInd w:val="0"/>
              <w:spacing w:before="120"/>
              <w:rPr>
                <w:color w:val="000000"/>
                <w:sz w:val="20"/>
              </w:rPr>
            </w:pPr>
            <w:r>
              <w:rPr>
                <w:color w:val="000000"/>
                <w:sz w:val="20"/>
              </w:rPr>
              <w:t>29</w:t>
            </w:r>
          </w:p>
        </w:tc>
        <w:tc>
          <w:tcPr>
            <w:tcW w:w="6360" w:type="dxa"/>
            <w:vAlign w:val="center"/>
          </w:tcPr>
          <w:p>
            <w:pPr>
              <w:keepLines/>
              <w:autoSpaceDE w:val="0"/>
              <w:autoSpaceDN w:val="0"/>
              <w:adjustRightInd w:val="0"/>
              <w:spacing w:before="120"/>
              <w:rPr>
                <w:color w:val="000000"/>
                <w:sz w:val="20"/>
              </w:rPr>
            </w:pPr>
            <w:r>
              <w:rPr>
                <w:color w:val="000000"/>
                <w:sz w:val="20"/>
              </w:rPr>
              <w:t>Variations to applicable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30</w:t>
            </w:r>
          </w:p>
        </w:tc>
        <w:tc>
          <w:tcPr>
            <w:tcW w:w="6360" w:type="dxa"/>
            <w:vAlign w:val="center"/>
          </w:tcPr>
          <w:p>
            <w:pPr>
              <w:keepLines/>
              <w:autoSpaceDE w:val="0"/>
              <w:autoSpaceDN w:val="0"/>
              <w:adjustRightInd w:val="0"/>
              <w:spacing w:before="120"/>
              <w:rPr>
                <w:color w:val="000000"/>
                <w:sz w:val="20"/>
              </w:rPr>
            </w:pPr>
            <w:r>
              <w:rPr>
                <w:color w:val="000000"/>
                <w:sz w:val="20"/>
              </w:rPr>
              <w:t>Information to accompany access arrangements submitted for approval, or proposals for revisions or variations to access arrangements, including information to enable a person to understand the background or basis or derivation of the access arrangement or proposal.</w:t>
            </w:r>
          </w:p>
        </w:tc>
      </w:tr>
      <w:tr>
        <w:trPr>
          <w:cantSplit/>
        </w:trPr>
        <w:tc>
          <w:tcPr>
            <w:tcW w:w="924" w:type="dxa"/>
          </w:tcPr>
          <w:p>
            <w:pPr>
              <w:keepLines/>
              <w:autoSpaceDE w:val="0"/>
              <w:autoSpaceDN w:val="0"/>
              <w:adjustRightInd w:val="0"/>
              <w:spacing w:before="120"/>
              <w:rPr>
                <w:color w:val="000000"/>
                <w:sz w:val="20"/>
              </w:rPr>
            </w:pPr>
            <w:r>
              <w:rPr>
                <w:color w:val="000000"/>
                <w:sz w:val="20"/>
              </w:rPr>
              <w:t>31</w:t>
            </w:r>
          </w:p>
        </w:tc>
        <w:tc>
          <w:tcPr>
            <w:tcW w:w="6360" w:type="dxa"/>
            <w:vAlign w:val="center"/>
          </w:tcPr>
          <w:p>
            <w:pPr>
              <w:keepLines/>
              <w:autoSpaceDE w:val="0"/>
              <w:autoSpaceDN w:val="0"/>
              <w:adjustRightInd w:val="0"/>
              <w:spacing w:before="120"/>
              <w:rPr>
                <w:color w:val="000000"/>
                <w:sz w:val="20"/>
              </w:rPr>
            </w:pPr>
            <w:r>
              <w:rPr>
                <w:color w:val="000000"/>
                <w:sz w:val="20"/>
              </w:rPr>
              <w:t>The provision and publication of information referred to in item 30.</w:t>
            </w:r>
          </w:p>
        </w:tc>
      </w:tr>
      <w:tr>
        <w:trPr>
          <w:cantSplit/>
        </w:trPr>
        <w:tc>
          <w:tcPr>
            <w:tcW w:w="924" w:type="dxa"/>
          </w:tcPr>
          <w:p>
            <w:pPr>
              <w:keepLines/>
              <w:autoSpaceDE w:val="0"/>
              <w:autoSpaceDN w:val="0"/>
              <w:adjustRightInd w:val="0"/>
              <w:spacing w:before="120"/>
              <w:rPr>
                <w:color w:val="000000"/>
                <w:sz w:val="20"/>
              </w:rPr>
            </w:pPr>
            <w:r>
              <w:rPr>
                <w:color w:val="000000"/>
                <w:sz w:val="20"/>
              </w:rPr>
              <w:t>32</w:t>
            </w:r>
          </w:p>
        </w:tc>
        <w:tc>
          <w:tcPr>
            <w:tcW w:w="6360" w:type="dxa"/>
            <w:vAlign w:val="center"/>
          </w:tcPr>
          <w:p>
            <w:pPr>
              <w:keepLines/>
              <w:autoSpaceDE w:val="0"/>
              <w:autoSpaceDN w:val="0"/>
              <w:adjustRightInd w:val="0"/>
              <w:spacing w:before="120"/>
              <w:rPr>
                <w:color w:val="000000"/>
                <w:sz w:val="20"/>
              </w:rPr>
            </w:pPr>
            <w:r>
              <w:rPr>
                <w:color w:val="000000"/>
                <w:sz w:val="20"/>
              </w:rPr>
              <w:t>Decisions of the AER that approve (with or without revisions or modifications) or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33</w:t>
            </w:r>
          </w:p>
        </w:tc>
        <w:tc>
          <w:tcPr>
            <w:tcW w:w="6360" w:type="dxa"/>
            <w:vAlign w:val="center"/>
          </w:tcPr>
          <w:p>
            <w:pPr>
              <w:keepLines/>
              <w:autoSpaceDE w:val="0"/>
              <w:autoSpaceDN w:val="0"/>
              <w:adjustRightInd w:val="0"/>
              <w:spacing w:before="120"/>
              <w:rPr>
                <w:color w:val="000000"/>
                <w:sz w:val="20"/>
              </w:rPr>
            </w:pPr>
            <w:r>
              <w:rPr>
                <w:color w:val="000000"/>
                <w:sz w:val="20"/>
              </w:rPr>
              <w:t>The making of access arrangements by the AER when it does not approve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34</w:t>
            </w:r>
          </w:p>
        </w:tc>
        <w:tc>
          <w:tcPr>
            <w:tcW w:w="6360" w:type="dxa"/>
            <w:vAlign w:val="center"/>
          </w:tcPr>
          <w:p>
            <w:pPr>
              <w:keepLines/>
              <w:autoSpaceDE w:val="0"/>
              <w:autoSpaceDN w:val="0"/>
              <w:adjustRightInd w:val="0"/>
              <w:spacing w:before="120"/>
              <w:rPr>
                <w:color w:val="000000"/>
                <w:sz w:val="20"/>
              </w:rPr>
            </w:pPr>
            <w:r>
              <w:rPr>
                <w:color w:val="000000"/>
                <w:sz w:val="20"/>
              </w:rPr>
              <w:t>The contents of decisions of the AER that—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approve or do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make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35</w:t>
            </w:r>
          </w:p>
        </w:tc>
        <w:tc>
          <w:tcPr>
            <w:tcW w:w="6360" w:type="dxa"/>
            <w:vAlign w:val="center"/>
          </w:tcPr>
          <w:p>
            <w:pPr>
              <w:keepLines/>
              <w:autoSpaceDE w:val="0"/>
              <w:autoSpaceDN w:val="0"/>
              <w:adjustRightInd w:val="0"/>
              <w:spacing w:before="120"/>
              <w:rPr>
                <w:color w:val="000000"/>
                <w:sz w:val="20"/>
              </w:rPr>
            </w:pPr>
            <w:r>
              <w:rPr>
                <w:color w:val="000000"/>
                <w:sz w:val="20"/>
              </w:rPr>
              <w:t>The procedure for the approval or making by the AER of access arrangements, or approval by the AER of proposals for revisions or variations to applicable access arrangements, including the publication and giving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access arrangements and proposals;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decisions of the AER;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applicable access arrangements;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drafts of decisions of access arrangements and proposals and decisions of the AER.</w:t>
            </w:r>
          </w:p>
        </w:tc>
      </w:tr>
      <w:tr>
        <w:trPr>
          <w:cantSplit/>
        </w:trPr>
        <w:tc>
          <w:tcPr>
            <w:tcW w:w="924" w:type="dxa"/>
          </w:tcPr>
          <w:p>
            <w:pPr>
              <w:keepLines/>
              <w:autoSpaceDE w:val="0"/>
              <w:autoSpaceDN w:val="0"/>
              <w:adjustRightInd w:val="0"/>
              <w:spacing w:before="120"/>
              <w:rPr>
                <w:color w:val="000000"/>
                <w:sz w:val="20"/>
              </w:rPr>
            </w:pPr>
            <w:r>
              <w:rPr>
                <w:color w:val="000000"/>
                <w:sz w:val="20"/>
              </w:rPr>
              <w:t>36</w:t>
            </w:r>
          </w:p>
        </w:tc>
        <w:tc>
          <w:tcPr>
            <w:tcW w:w="6360" w:type="dxa"/>
            <w:vAlign w:val="center"/>
          </w:tcPr>
          <w:p>
            <w:pPr>
              <w:keepLines/>
              <w:autoSpaceDE w:val="0"/>
              <w:autoSpaceDN w:val="0"/>
              <w:adjustRightInd w:val="0"/>
              <w:spacing w:before="120"/>
              <w:rPr>
                <w:color w:val="000000"/>
                <w:sz w:val="20"/>
              </w:rPr>
            </w:pPr>
            <w:r>
              <w:rPr>
                <w:color w:val="000000"/>
                <w:sz w:val="20"/>
              </w:rPr>
              <w:t>Matters to be addressed by the AER in approving or not approving an access arrangement, or making an access arrangement, or approving or not approving revisions or variations to an applicable access arrangement.</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Access disputes</w:t>
            </w:r>
          </w:p>
        </w:tc>
      </w:tr>
      <w:tr>
        <w:trPr>
          <w:cantSplit/>
        </w:trPr>
        <w:tc>
          <w:tcPr>
            <w:tcW w:w="924" w:type="dxa"/>
          </w:tcPr>
          <w:p>
            <w:pPr>
              <w:keepLines/>
              <w:autoSpaceDE w:val="0"/>
              <w:autoSpaceDN w:val="0"/>
              <w:adjustRightInd w:val="0"/>
              <w:spacing w:before="120"/>
              <w:rPr>
                <w:color w:val="000000"/>
                <w:sz w:val="20"/>
              </w:rPr>
            </w:pPr>
            <w:r>
              <w:rPr>
                <w:color w:val="000000"/>
                <w:sz w:val="20"/>
              </w:rPr>
              <w:t>37</w:t>
            </w:r>
          </w:p>
        </w:tc>
        <w:tc>
          <w:tcPr>
            <w:tcW w:w="6360" w:type="dxa"/>
            <w:vAlign w:val="center"/>
          </w:tcPr>
          <w:p>
            <w:pPr>
              <w:keepLines/>
              <w:autoSpaceDE w:val="0"/>
              <w:autoSpaceDN w:val="0"/>
              <w:adjustRightInd w:val="0"/>
              <w:spacing w:before="120"/>
              <w:rPr>
                <w:color w:val="000000"/>
                <w:sz w:val="20"/>
              </w:rPr>
            </w:pPr>
            <w:r>
              <w:rPr>
                <w:color w:val="000000"/>
                <w:sz w:val="20"/>
              </w:rPr>
              <w:t>The procedure and time limits for the making of access determinations under Chapter 6 or 6A.</w:t>
            </w:r>
          </w:p>
        </w:tc>
      </w:tr>
      <w:tr>
        <w:trPr>
          <w:cantSplit/>
        </w:trPr>
        <w:tc>
          <w:tcPr>
            <w:tcW w:w="924" w:type="dxa"/>
          </w:tcPr>
          <w:p>
            <w:pPr>
              <w:keepLines/>
              <w:autoSpaceDE w:val="0"/>
              <w:autoSpaceDN w:val="0"/>
              <w:adjustRightInd w:val="0"/>
              <w:spacing w:before="120"/>
              <w:rPr>
                <w:color w:val="000000"/>
                <w:sz w:val="20"/>
              </w:rPr>
            </w:pPr>
            <w:r>
              <w:rPr>
                <w:color w:val="000000"/>
                <w:sz w:val="20"/>
              </w:rPr>
              <w:t>38</w:t>
            </w:r>
          </w:p>
        </w:tc>
        <w:tc>
          <w:tcPr>
            <w:tcW w:w="6360" w:type="dxa"/>
            <w:vAlign w:val="center"/>
          </w:tcPr>
          <w:p>
            <w:pPr>
              <w:keepLines/>
              <w:autoSpaceDE w:val="0"/>
              <w:autoSpaceDN w:val="0"/>
              <w:adjustRightInd w:val="0"/>
              <w:spacing w:before="120"/>
              <w:rPr>
                <w:color w:val="000000"/>
                <w:sz w:val="20"/>
              </w:rPr>
            </w:pPr>
            <w:r>
              <w:rPr>
                <w:color w:val="000000"/>
                <w:sz w:val="20"/>
              </w:rPr>
              <w:t>The appointment of persons to inquire into and report on the safe operation of pipelines for the purpose of enabling the dispute resolution body to make an access determination under Chapter 6 or an arbitrator to make an access determination under Chapter 6A.</w:t>
            </w:r>
          </w:p>
        </w:tc>
      </w:tr>
      <w:tr>
        <w:trPr>
          <w:cantSplit/>
        </w:trPr>
        <w:tc>
          <w:tcPr>
            <w:tcW w:w="924" w:type="dxa"/>
          </w:tcPr>
          <w:p>
            <w:pPr>
              <w:keepLines/>
              <w:autoSpaceDE w:val="0"/>
              <w:autoSpaceDN w:val="0"/>
              <w:adjustRightInd w:val="0"/>
              <w:spacing w:before="120"/>
              <w:rPr>
                <w:color w:val="000000"/>
                <w:sz w:val="20"/>
              </w:rPr>
            </w:pPr>
            <w:r>
              <w:rPr>
                <w:color w:val="000000"/>
                <w:sz w:val="20"/>
              </w:rPr>
              <w:t>39</w:t>
            </w:r>
          </w:p>
        </w:tc>
        <w:tc>
          <w:tcPr>
            <w:tcW w:w="6360" w:type="dxa"/>
            <w:vAlign w:val="center"/>
          </w:tcPr>
          <w:p>
            <w:pPr>
              <w:keepLines/>
              <w:autoSpaceDE w:val="0"/>
              <w:autoSpaceDN w:val="0"/>
              <w:adjustRightInd w:val="0"/>
              <w:spacing w:before="120"/>
              <w:rPr>
                <w:color w:val="000000"/>
                <w:sz w:val="20"/>
              </w:rPr>
            </w:pPr>
            <w:r>
              <w:rPr>
                <w:color w:val="000000"/>
                <w:sz w:val="20"/>
              </w:rPr>
              <w:t>The kinds of access determinations that may be made under Chapter 6 or 6A including determinations—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requiring prospective users or users to make capital contributions towards a service provider’s capital expenditure for the installation or construction of new facilities for the expansion of the capacity of pipelines;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that enable service providers to charge prospective users or users surcharges to recover capital expenditure for the installation or construction of new facilities for the expansion of the capacity of pipelines.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Regulatory economic methodologies</w:t>
            </w:r>
          </w:p>
        </w:tc>
      </w:tr>
      <w:tr>
        <w:trPr>
          <w:cantSplit/>
        </w:trPr>
        <w:tc>
          <w:tcPr>
            <w:tcW w:w="924" w:type="dxa"/>
          </w:tcPr>
          <w:p>
            <w:pPr>
              <w:keepLines/>
              <w:autoSpaceDE w:val="0"/>
              <w:autoSpaceDN w:val="0"/>
              <w:adjustRightInd w:val="0"/>
              <w:spacing w:before="120"/>
              <w:rPr>
                <w:color w:val="000000"/>
                <w:sz w:val="20"/>
              </w:rPr>
            </w:pPr>
            <w:r>
              <w:rPr>
                <w:color w:val="000000"/>
                <w:sz w:val="20"/>
              </w:rPr>
              <w:t>40</w:t>
            </w:r>
          </w:p>
        </w:tc>
        <w:tc>
          <w:tcPr>
            <w:tcW w:w="6360" w:type="dxa"/>
            <w:vAlign w:val="center"/>
          </w:tcPr>
          <w:p>
            <w:pPr>
              <w:keepLines/>
              <w:autoSpaceDE w:val="0"/>
              <w:autoSpaceDN w:val="0"/>
              <w:adjustRightInd w:val="0"/>
              <w:spacing w:before="120"/>
              <w:rPr>
                <w:color w:val="000000"/>
                <w:sz w:val="20"/>
              </w:rPr>
            </w:pPr>
            <w:r>
              <w:rPr>
                <w:color w:val="000000"/>
                <w:sz w:val="20"/>
              </w:rPr>
              <w:t>The regulatory economic methodologies (including the use of the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in approving or making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in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in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41</w:t>
            </w:r>
          </w:p>
        </w:tc>
        <w:tc>
          <w:tcPr>
            <w:tcW w:w="6360" w:type="dxa"/>
            <w:vAlign w:val="center"/>
          </w:tcPr>
          <w:p>
            <w:pPr>
              <w:keepLines/>
              <w:autoSpaceDE w:val="0"/>
              <w:autoSpaceDN w:val="0"/>
              <w:adjustRightInd w:val="0"/>
              <w:spacing w:before="120"/>
              <w:rPr>
                <w:color w:val="000000"/>
                <w:sz w:val="20"/>
              </w:rPr>
            </w:pPr>
            <w:r>
              <w:rPr>
                <w:color w:val="000000"/>
                <w:sz w:val="20"/>
              </w:rPr>
              <w:t>If the Rules provide for the regulatory economic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for the purpose of approving or making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for the purpose of 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for the purpose of making an access determination,</w:t>
            </w:r>
          </w:p>
          <w:p>
            <w:pPr>
              <w:keepLines/>
              <w:autoSpaceDE w:val="0"/>
              <w:autoSpaceDN w:val="0"/>
              <w:adjustRightInd w:val="0"/>
              <w:spacing w:before="120"/>
              <w:rPr>
                <w:color w:val="000000"/>
                <w:sz w:val="20"/>
              </w:rPr>
            </w:pPr>
            <w:r>
              <w:rPr>
                <w:color w:val="000000"/>
                <w:sz w:val="20"/>
              </w:rPr>
              <w:t>the determination by the AER or the dispute resolution body (as the case requires) of allowances for—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depreciation;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the operating costs of a service provider;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if the service provider is a corporation, the income tax payable by corporations;</w:t>
            </w:r>
          </w:p>
        </w:tc>
      </w:tr>
      <w:tr>
        <w:trPr>
          <w:cantSplit/>
        </w:trPr>
        <w:tc>
          <w:tcPr>
            <w:tcW w:w="924" w:type="dxa"/>
          </w:tcPr>
          <w:p>
            <w:pPr>
              <w:keepLines/>
              <w:autoSpaceDE w:val="0"/>
              <w:autoSpaceDN w:val="0"/>
              <w:adjustRightInd w:val="0"/>
              <w:spacing w:before="120"/>
              <w:rPr>
                <w:i/>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i/>
                <w:color w:val="000000"/>
                <w:sz w:val="20"/>
              </w:rPr>
            </w:pPr>
            <w:r>
              <w:rPr>
                <w:i/>
                <w:color w:val="000000"/>
                <w:sz w:val="20"/>
              </w:rPr>
              <w:t>[</w:t>
            </w:r>
            <w:r>
              <w:rPr>
                <w:i/>
                <w:color w:val="000000"/>
                <w:sz w:val="20"/>
              </w:rPr>
              <w:tab/>
              <w:t>(g)</w:t>
            </w:r>
            <w:r>
              <w:rPr>
                <w:i/>
                <w:color w:val="000000"/>
                <w:sz w:val="20"/>
              </w:rPr>
              <w:tab/>
              <w:t>deleted]</w:t>
            </w:r>
          </w:p>
        </w:tc>
      </w:tr>
      <w:tr>
        <w:trPr>
          <w:cantSplit/>
        </w:trPr>
        <w:tc>
          <w:tcPr>
            <w:tcW w:w="924" w:type="dxa"/>
          </w:tcPr>
          <w:p>
            <w:pPr>
              <w:keepLines/>
              <w:autoSpaceDE w:val="0"/>
              <w:autoSpaceDN w:val="0"/>
              <w:adjustRightInd w:val="0"/>
              <w:spacing w:before="120"/>
              <w:rPr>
                <w:color w:val="000000"/>
                <w:sz w:val="20"/>
              </w:rPr>
            </w:pPr>
            <w:r>
              <w:rPr>
                <w:color w:val="000000"/>
                <w:sz w:val="20"/>
              </w:rPr>
              <w:t>42</w:t>
            </w:r>
          </w:p>
        </w:tc>
        <w:tc>
          <w:tcPr>
            <w:tcW w:w="6360" w:type="dxa"/>
            <w:vAlign w:val="center"/>
          </w:tcPr>
          <w:p>
            <w:pPr>
              <w:keepLines/>
              <w:autoSpaceDE w:val="0"/>
              <w:autoSpaceDN w:val="0"/>
              <w:adjustRightInd w:val="0"/>
              <w:spacing w:before="120"/>
              <w:rPr>
                <w:color w:val="000000"/>
                <w:sz w:val="20"/>
              </w:rPr>
            </w:pPr>
            <w:r>
              <w:rPr>
                <w:color w:val="000000"/>
                <w:sz w:val="20"/>
              </w:rPr>
              <w:t>The methodology known as “total factor productivity”—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as a regulatory economic methodology to be applied by—</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w:t>
            </w:r>
            <w:r>
              <w:rPr>
                <w:color w:val="000000"/>
                <w:sz w:val="20"/>
              </w:rPr>
              <w:tab/>
              <w:t>the AER for the purpose of approving or making a full access arrangement;</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w:t>
            </w:r>
            <w:r>
              <w:rPr>
                <w:color w:val="000000"/>
                <w:sz w:val="20"/>
              </w:rPr>
              <w:tab/>
              <w:t>the AER for the purpose of approving revisions or a variation to an applicable access arrangement that is a full access arrangement;</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(iii)</w:t>
            </w:r>
            <w:r>
              <w:rPr>
                <w:color w:val="000000"/>
                <w:sz w:val="20"/>
              </w:rPr>
              <w:tab/>
              <w:t>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as an economic regulatory tool to inform and assist the AER in applying, or analysing the application of, the regulatory economic methodology known as the “building block approach” by the AER for the purpose of—</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w:t>
            </w:r>
            <w:r>
              <w:rPr>
                <w:color w:val="000000"/>
                <w:sz w:val="20"/>
              </w:rPr>
              <w:tab/>
              <w:t>approving or making a full access arrangement; or</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w:t>
            </w:r>
            <w:r>
              <w:rPr>
                <w:color w:val="000000"/>
                <w:sz w:val="20"/>
              </w:rPr>
              <w:tab/>
              <w:t>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as an economic regulatory tool to inform and assist the dispute resolution body in applying, or analysing the application of, the regulatory economic methodology known as the “building block approach” by 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43</w:t>
            </w:r>
          </w:p>
        </w:tc>
        <w:tc>
          <w:tcPr>
            <w:tcW w:w="6360" w:type="dxa"/>
            <w:vAlign w:val="center"/>
          </w:tcPr>
          <w:p>
            <w:pPr>
              <w:keepLines/>
              <w:autoSpaceDE w:val="0"/>
              <w:autoSpaceDN w:val="0"/>
              <w:adjustRightInd w:val="0"/>
              <w:spacing w:before="120"/>
              <w:rPr>
                <w:color w:val="000000"/>
                <w:sz w:val="20"/>
              </w:rPr>
            </w:pPr>
            <w:r>
              <w:rPr>
                <w:color w:val="000000"/>
                <w:sz w:val="20"/>
              </w:rPr>
              <w:t>The capital base with respect to a covered pipeline, and of a new facility for the purposes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approving or making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44</w:t>
            </w:r>
          </w:p>
        </w:tc>
        <w:tc>
          <w:tcPr>
            <w:tcW w:w="6360" w:type="dxa"/>
            <w:vAlign w:val="center"/>
          </w:tcPr>
          <w:p>
            <w:pPr>
              <w:keepLines/>
              <w:autoSpaceDE w:val="0"/>
              <w:autoSpaceDN w:val="0"/>
              <w:adjustRightInd w:val="0"/>
              <w:spacing w:before="120"/>
              <w:rPr>
                <w:color w:val="000000"/>
                <w:sz w:val="20"/>
              </w:rPr>
            </w:pPr>
            <w:r>
              <w:rPr>
                <w:color w:val="000000"/>
                <w:sz w:val="20"/>
              </w:rPr>
              <w:t>The assessment, or treatment of, investment in covered pipelines and new facilities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for the purposes of approving or making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for the purposes of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for the purposes of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45</w:t>
            </w:r>
          </w:p>
        </w:tc>
        <w:tc>
          <w:tcPr>
            <w:tcW w:w="6360" w:type="dxa"/>
            <w:vAlign w:val="center"/>
          </w:tcPr>
          <w:p>
            <w:pPr>
              <w:keepLines/>
              <w:autoSpaceDE w:val="0"/>
              <w:autoSpaceDN w:val="0"/>
              <w:adjustRightInd w:val="0"/>
              <w:spacing w:before="120"/>
              <w:rPr>
                <w:color w:val="000000"/>
                <w:sz w:val="20"/>
              </w:rPr>
            </w:pPr>
            <w:r>
              <w:rPr>
                <w:color w:val="000000"/>
                <w:sz w:val="20"/>
              </w:rPr>
              <w:t>The economic framework and methodologies to be applied by the AER or the dispute resolution body for the purposes of item 44.</w:t>
            </w:r>
          </w:p>
        </w:tc>
      </w:tr>
      <w:tr>
        <w:trPr>
          <w:cantSplit/>
        </w:trPr>
        <w:tc>
          <w:tcPr>
            <w:tcW w:w="924" w:type="dxa"/>
          </w:tcPr>
          <w:p>
            <w:pPr>
              <w:keepLines/>
              <w:autoSpaceDE w:val="0"/>
              <w:autoSpaceDN w:val="0"/>
              <w:adjustRightInd w:val="0"/>
              <w:spacing w:before="120"/>
              <w:rPr>
                <w:color w:val="000000"/>
                <w:sz w:val="20"/>
              </w:rPr>
            </w:pPr>
            <w:r>
              <w:rPr>
                <w:color w:val="000000"/>
                <w:sz w:val="20"/>
              </w:rPr>
              <w:t>46</w:t>
            </w:r>
          </w:p>
        </w:tc>
        <w:tc>
          <w:tcPr>
            <w:tcW w:w="6360" w:type="dxa"/>
            <w:vAlign w:val="center"/>
          </w:tcPr>
          <w:p>
            <w:pPr>
              <w:keepLines/>
              <w:autoSpaceDE w:val="0"/>
              <w:autoSpaceDN w:val="0"/>
              <w:adjustRightInd w:val="0"/>
              <w:spacing w:before="120"/>
              <w:rPr>
                <w:color w:val="000000"/>
                <w:sz w:val="20"/>
              </w:rPr>
            </w:pPr>
            <w:r>
              <w:rPr>
                <w:color w:val="000000"/>
                <w:sz w:val="20"/>
              </w:rPr>
              <w:t>Incentives for service providers to make efficient operating and investment decisions including, where applicable, service performance incentive schemes.</w:t>
            </w:r>
          </w:p>
        </w:tc>
      </w:tr>
      <w:tr>
        <w:trPr>
          <w:cantSplit/>
        </w:trPr>
        <w:tc>
          <w:tcPr>
            <w:tcW w:w="924" w:type="dxa"/>
          </w:tcPr>
          <w:p>
            <w:pPr>
              <w:keepLines/>
              <w:autoSpaceDE w:val="0"/>
              <w:autoSpaceDN w:val="0"/>
              <w:adjustRightInd w:val="0"/>
              <w:spacing w:before="120"/>
              <w:rPr>
                <w:color w:val="000000"/>
                <w:sz w:val="20"/>
              </w:rPr>
            </w:pPr>
            <w:r>
              <w:rPr>
                <w:color w:val="000000"/>
                <w:sz w:val="20"/>
              </w:rPr>
              <w:t>47</w:t>
            </w:r>
          </w:p>
        </w:tc>
        <w:tc>
          <w:tcPr>
            <w:tcW w:w="6360" w:type="dxa"/>
            <w:vAlign w:val="center"/>
          </w:tcPr>
          <w:p>
            <w:pPr>
              <w:keepLines/>
              <w:autoSpaceDE w:val="0"/>
              <w:autoSpaceDN w:val="0"/>
              <w:adjustRightInd w:val="0"/>
              <w:spacing w:before="120"/>
              <w:rPr>
                <w:color w:val="000000"/>
                <w:sz w:val="20"/>
              </w:rPr>
            </w:pPr>
            <w:r>
              <w:rPr>
                <w:color w:val="000000"/>
                <w:sz w:val="20"/>
              </w:rPr>
              <w:t>The treatment of capital contributions referred to in item 39(a) when determining the capital base with respect to a covered pipeline.</w:t>
            </w:r>
          </w:p>
        </w:tc>
      </w:tr>
      <w:tr>
        <w:trPr>
          <w:cantSplit/>
        </w:trPr>
        <w:tc>
          <w:tcPr>
            <w:tcW w:w="924" w:type="dxa"/>
          </w:tcPr>
          <w:p>
            <w:pPr>
              <w:keepLines/>
              <w:autoSpaceDE w:val="0"/>
              <w:autoSpaceDN w:val="0"/>
              <w:adjustRightInd w:val="0"/>
              <w:spacing w:before="120"/>
              <w:rPr>
                <w:color w:val="000000"/>
                <w:sz w:val="20"/>
              </w:rPr>
            </w:pPr>
            <w:r>
              <w:rPr>
                <w:color w:val="000000"/>
                <w:sz w:val="20"/>
              </w:rPr>
              <w:t>48</w:t>
            </w:r>
          </w:p>
        </w:tc>
        <w:tc>
          <w:tcPr>
            <w:tcW w:w="6360" w:type="dxa"/>
            <w:vAlign w:val="center"/>
          </w:tcPr>
          <w:p>
            <w:pPr>
              <w:keepLines/>
              <w:autoSpaceDE w:val="0"/>
              <w:autoSpaceDN w:val="0"/>
              <w:adjustRightInd w:val="0"/>
              <w:spacing w:before="120"/>
              <w:rPr>
                <w:color w:val="000000"/>
                <w:sz w:val="20"/>
              </w:rPr>
            </w:pPr>
            <w:r>
              <w:rPr>
                <w:color w:val="000000"/>
                <w:sz w:val="20"/>
              </w:rPr>
              <w:t>The handling of surcharges referred to in item 39(b).</w:t>
            </w:r>
          </w:p>
        </w:tc>
      </w:tr>
      <w:tr>
        <w:trPr>
          <w:cantSplit/>
        </w:trPr>
        <w:tc>
          <w:tcPr>
            <w:tcW w:w="924" w:type="dxa"/>
          </w:tcPr>
          <w:p>
            <w:pPr>
              <w:keepLines/>
              <w:autoSpaceDE w:val="0"/>
              <w:autoSpaceDN w:val="0"/>
              <w:adjustRightInd w:val="0"/>
              <w:spacing w:before="120"/>
              <w:rPr>
                <w:color w:val="000000"/>
                <w:sz w:val="20"/>
              </w:rPr>
            </w:pPr>
            <w:r>
              <w:rPr>
                <w:color w:val="000000"/>
                <w:sz w:val="20"/>
              </w:rPr>
              <w:t>48A</w:t>
            </w:r>
          </w:p>
        </w:tc>
        <w:tc>
          <w:tcPr>
            <w:tcW w:w="6360" w:type="dxa"/>
            <w:vAlign w:val="center"/>
          </w:tcPr>
          <w:p>
            <w:pPr>
              <w:keepLines/>
              <w:autoSpaceDE w:val="0"/>
              <w:autoSpaceDN w:val="0"/>
              <w:adjustRightInd w:val="0"/>
              <w:spacing w:before="120"/>
              <w:rPr>
                <w:color w:val="000000"/>
                <w:sz w:val="20"/>
              </w:rPr>
            </w:pPr>
            <w:r>
              <w:rPr>
                <w:color w:val="000000"/>
                <w:sz w:val="20"/>
              </w:rPr>
              <w:t>For the purposes of items 40 to 47 (inclusive)—</w:t>
            </w:r>
          </w:p>
          <w:p>
            <w:pPr>
              <w:keepLines/>
              <w:tabs>
                <w:tab w:val="left" w:pos="281"/>
                <w:tab w:val="left" w:pos="716"/>
              </w:tabs>
              <w:autoSpaceDE w:val="0"/>
              <w:autoSpaceDN w:val="0"/>
              <w:adjustRightInd w:val="0"/>
              <w:spacing w:before="120"/>
              <w:ind w:left="716" w:hanging="716"/>
              <w:rPr>
                <w:color w:val="000000"/>
                <w:sz w:val="20"/>
              </w:rPr>
            </w:pPr>
            <w:r>
              <w:rPr>
                <w:color w:val="000000"/>
                <w:sz w:val="20"/>
              </w:rPr>
              <w:tab/>
              <w:t>(a)</w:t>
            </w:r>
            <w:r>
              <w:rPr>
                <w:color w:val="000000"/>
                <w:sz w:val="20"/>
              </w:rPr>
              <w:tab/>
              <w:t>a reference to the dispute resolution body will be taken to include a reference to an arbitrator under Chapter 6A; and</w:t>
            </w:r>
          </w:p>
          <w:p>
            <w:pPr>
              <w:keepLines/>
              <w:tabs>
                <w:tab w:val="left" w:pos="281"/>
                <w:tab w:val="left" w:pos="716"/>
              </w:tabs>
              <w:autoSpaceDE w:val="0"/>
              <w:autoSpaceDN w:val="0"/>
              <w:adjustRightInd w:val="0"/>
              <w:spacing w:before="120"/>
              <w:ind w:left="716" w:hanging="716"/>
              <w:rPr>
                <w:color w:val="000000"/>
                <w:sz w:val="20"/>
              </w:rPr>
            </w:pPr>
            <w:r>
              <w:rPr>
                <w:color w:val="000000"/>
                <w:sz w:val="20"/>
              </w:rPr>
              <w:tab/>
              <w:t>(b)</w:t>
            </w:r>
            <w:r>
              <w:rPr>
                <w:color w:val="000000"/>
                <w:sz w:val="20"/>
              </w:rPr>
              <w:tab/>
              <w:t>a reference to an access determination will be taken to include a reference to an access determination under Chapter 6A; and</w:t>
            </w:r>
          </w:p>
          <w:p>
            <w:pPr>
              <w:keepLines/>
              <w:tabs>
                <w:tab w:val="left" w:pos="281"/>
                <w:tab w:val="left" w:pos="716"/>
              </w:tabs>
              <w:autoSpaceDE w:val="0"/>
              <w:autoSpaceDN w:val="0"/>
              <w:adjustRightInd w:val="0"/>
              <w:spacing w:before="120"/>
              <w:ind w:left="716" w:hanging="716"/>
              <w:rPr>
                <w:color w:val="000000"/>
                <w:sz w:val="20"/>
              </w:rPr>
            </w:pPr>
            <w:r>
              <w:rPr>
                <w:color w:val="000000"/>
                <w:sz w:val="20"/>
              </w:rPr>
              <w:tab/>
              <w:t>(c)</w:t>
            </w:r>
            <w:r>
              <w:rPr>
                <w:color w:val="000000"/>
                <w:sz w:val="20"/>
              </w:rPr>
              <w:tab/>
              <w:t>a reference to a covered pipeline will be taken to include a reference to a non</w:t>
            </w:r>
            <w:r>
              <w:rPr>
                <w:color w:val="000000"/>
                <w:sz w:val="20"/>
              </w:rPr>
              <w:noBreakHyphen/>
              <w:t>scheme pipeline under Chapter 6A.</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AER economic regulatory function or powers</w:t>
            </w:r>
          </w:p>
        </w:tc>
      </w:tr>
      <w:tr>
        <w:trPr>
          <w:cantSplit/>
        </w:trPr>
        <w:tc>
          <w:tcPr>
            <w:tcW w:w="924" w:type="dxa"/>
          </w:tcPr>
          <w:p>
            <w:pPr>
              <w:keepLines/>
              <w:autoSpaceDE w:val="0"/>
              <w:autoSpaceDN w:val="0"/>
              <w:adjustRightInd w:val="0"/>
              <w:spacing w:before="120"/>
              <w:rPr>
                <w:color w:val="000000"/>
                <w:sz w:val="20"/>
              </w:rPr>
            </w:pPr>
            <w:r>
              <w:rPr>
                <w:color w:val="000000"/>
                <w:sz w:val="20"/>
              </w:rPr>
              <w:t>49</w:t>
            </w:r>
          </w:p>
        </w:tc>
        <w:tc>
          <w:tcPr>
            <w:tcW w:w="6360" w:type="dxa"/>
            <w:vAlign w:val="center"/>
          </w:tcPr>
          <w:p>
            <w:pPr>
              <w:keepLines/>
              <w:autoSpaceDE w:val="0"/>
              <w:autoSpaceDN w:val="0"/>
              <w:adjustRightInd w:val="0"/>
              <w:spacing w:before="120"/>
              <w:rPr>
                <w:color w:val="000000"/>
                <w:sz w:val="20"/>
              </w:rPr>
            </w:pPr>
            <w:r>
              <w:rPr>
                <w:color w:val="000000"/>
                <w:sz w:val="20"/>
              </w:rPr>
              <w:t>The way in which the AER performs or exercises an AER economic regulatory function or power, including the basis on which the AER makes an AER economic regulatory decision.</w:t>
            </w:r>
          </w:p>
        </w:tc>
      </w:tr>
      <w:tr>
        <w:trPr>
          <w:cantSplit/>
        </w:trPr>
        <w:tc>
          <w:tcPr>
            <w:tcW w:w="924" w:type="dxa"/>
          </w:tcPr>
          <w:p>
            <w:pPr>
              <w:keepLines/>
              <w:autoSpaceDE w:val="0"/>
              <w:autoSpaceDN w:val="0"/>
              <w:adjustRightInd w:val="0"/>
              <w:spacing w:before="120"/>
              <w:rPr>
                <w:color w:val="000000"/>
                <w:sz w:val="20"/>
              </w:rPr>
            </w:pPr>
            <w:r>
              <w:rPr>
                <w:color w:val="000000"/>
                <w:sz w:val="20"/>
              </w:rPr>
              <w:t>50</w:t>
            </w:r>
          </w:p>
        </w:tc>
        <w:tc>
          <w:tcPr>
            <w:tcW w:w="6360" w:type="dxa"/>
            <w:vAlign w:val="center"/>
          </w:tcPr>
          <w:p>
            <w:pPr>
              <w:keepLines/>
              <w:autoSpaceDE w:val="0"/>
              <w:autoSpaceDN w:val="0"/>
              <w:adjustRightInd w:val="0"/>
              <w:spacing w:before="120"/>
              <w:rPr>
                <w:color w:val="000000"/>
                <w:sz w:val="20"/>
              </w:rPr>
            </w:pPr>
            <w:r>
              <w:rPr>
                <w:color w:val="000000"/>
                <w:sz w:val="20"/>
              </w:rPr>
              <w:t>Principles to be applied, and procedures to be followed, by the AER in exercising or performing an AER economic regulatory function or power.</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Ring fencing requirements</w:t>
            </w:r>
          </w:p>
        </w:tc>
      </w:tr>
      <w:tr>
        <w:trPr>
          <w:cantSplit/>
        </w:trPr>
        <w:tc>
          <w:tcPr>
            <w:tcW w:w="924" w:type="dxa"/>
          </w:tcPr>
          <w:p>
            <w:pPr>
              <w:keepLines/>
              <w:autoSpaceDE w:val="0"/>
              <w:autoSpaceDN w:val="0"/>
              <w:adjustRightInd w:val="0"/>
              <w:spacing w:before="120"/>
              <w:rPr>
                <w:color w:val="000000"/>
                <w:sz w:val="20"/>
              </w:rPr>
            </w:pPr>
            <w:r>
              <w:rPr>
                <w:color w:val="000000"/>
                <w:sz w:val="20"/>
              </w:rPr>
              <w:t>51</w:t>
            </w:r>
          </w:p>
        </w:tc>
        <w:tc>
          <w:tcPr>
            <w:tcW w:w="6360" w:type="dxa"/>
            <w:vAlign w:val="center"/>
          </w:tcPr>
          <w:p>
            <w:pPr>
              <w:keepLines/>
              <w:autoSpaceDE w:val="0"/>
              <w:autoSpaceDN w:val="0"/>
              <w:adjustRightInd w:val="0"/>
              <w:spacing w:before="120"/>
              <w:rPr>
                <w:color w:val="000000"/>
                <w:sz w:val="20"/>
              </w:rPr>
            </w:pPr>
            <w:r>
              <w:rPr>
                <w:color w:val="000000"/>
                <w:sz w:val="20"/>
              </w:rPr>
              <w:t>The content of a minimum ring fencing requirement.</w:t>
            </w:r>
          </w:p>
        </w:tc>
      </w:tr>
      <w:tr>
        <w:trPr>
          <w:cantSplit/>
        </w:trPr>
        <w:tc>
          <w:tcPr>
            <w:tcW w:w="924" w:type="dxa"/>
          </w:tcPr>
          <w:p>
            <w:pPr>
              <w:keepLines/>
              <w:autoSpaceDE w:val="0"/>
              <w:autoSpaceDN w:val="0"/>
              <w:adjustRightInd w:val="0"/>
              <w:spacing w:before="120"/>
              <w:rPr>
                <w:color w:val="000000"/>
                <w:sz w:val="20"/>
              </w:rPr>
            </w:pPr>
            <w:r>
              <w:rPr>
                <w:color w:val="000000"/>
                <w:sz w:val="20"/>
              </w:rPr>
              <w:lastRenderedPageBreak/>
              <w:t>52</w:t>
            </w:r>
          </w:p>
        </w:tc>
        <w:tc>
          <w:tcPr>
            <w:tcW w:w="6360" w:type="dxa"/>
            <w:vAlign w:val="center"/>
          </w:tcPr>
          <w:p>
            <w:pPr>
              <w:keepLines/>
              <w:autoSpaceDE w:val="0"/>
              <w:autoSpaceDN w:val="0"/>
              <w:adjustRightInd w:val="0"/>
              <w:spacing w:before="120"/>
              <w:rPr>
                <w:color w:val="000000"/>
                <w:sz w:val="20"/>
              </w:rPr>
            </w:pPr>
            <w:r>
              <w:rPr>
                <w:color w:val="000000"/>
                <w:sz w:val="20"/>
              </w:rPr>
              <w:t>AER ring fencing determinations and additional ring fencing requirements.</w:t>
            </w:r>
          </w:p>
        </w:tc>
      </w:tr>
      <w:tr>
        <w:trPr>
          <w:cantSplit/>
        </w:trPr>
        <w:tc>
          <w:tcPr>
            <w:tcW w:w="924" w:type="dxa"/>
          </w:tcPr>
          <w:p>
            <w:pPr>
              <w:keepLines/>
              <w:autoSpaceDE w:val="0"/>
              <w:autoSpaceDN w:val="0"/>
              <w:adjustRightInd w:val="0"/>
              <w:spacing w:before="120"/>
              <w:rPr>
                <w:color w:val="000000"/>
                <w:sz w:val="20"/>
              </w:rPr>
            </w:pPr>
            <w:r>
              <w:rPr>
                <w:color w:val="000000"/>
                <w:sz w:val="20"/>
              </w:rPr>
              <w:t>53</w:t>
            </w:r>
          </w:p>
        </w:tc>
        <w:tc>
          <w:tcPr>
            <w:tcW w:w="6360" w:type="dxa"/>
            <w:vAlign w:val="center"/>
          </w:tcPr>
          <w:p>
            <w:pPr>
              <w:keepLines/>
              <w:autoSpaceDE w:val="0"/>
              <w:autoSpaceDN w:val="0"/>
              <w:adjustRightInd w:val="0"/>
              <w:spacing w:before="120"/>
              <w:rPr>
                <w:color w:val="000000"/>
                <w:sz w:val="20"/>
              </w:rPr>
            </w:pPr>
            <w:r>
              <w:rPr>
                <w:color w:val="000000"/>
                <w:sz w:val="20"/>
              </w:rPr>
              <w:t>Exemptions from a minimum ring fencing requirement.</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Associate contracts</w:t>
            </w:r>
          </w:p>
        </w:tc>
      </w:tr>
      <w:tr>
        <w:trPr>
          <w:cantSplit/>
        </w:trPr>
        <w:tc>
          <w:tcPr>
            <w:tcW w:w="924" w:type="dxa"/>
          </w:tcPr>
          <w:p>
            <w:pPr>
              <w:keepLines/>
              <w:autoSpaceDE w:val="0"/>
              <w:autoSpaceDN w:val="0"/>
              <w:adjustRightInd w:val="0"/>
              <w:spacing w:before="120"/>
              <w:rPr>
                <w:color w:val="000000"/>
                <w:sz w:val="20"/>
              </w:rPr>
            </w:pPr>
            <w:r>
              <w:rPr>
                <w:color w:val="000000"/>
                <w:sz w:val="20"/>
              </w:rPr>
              <w:t>54</w:t>
            </w:r>
          </w:p>
        </w:tc>
        <w:tc>
          <w:tcPr>
            <w:tcW w:w="6360" w:type="dxa"/>
            <w:vAlign w:val="center"/>
          </w:tcPr>
          <w:p>
            <w:pPr>
              <w:keepLines/>
              <w:autoSpaceDE w:val="0"/>
              <w:autoSpaceDN w:val="0"/>
              <w:adjustRightInd w:val="0"/>
              <w:spacing w:before="120"/>
              <w:rPr>
                <w:color w:val="000000"/>
                <w:sz w:val="20"/>
              </w:rPr>
            </w:pPr>
            <w:r>
              <w:rPr>
                <w:color w:val="000000"/>
                <w:sz w:val="20"/>
              </w:rPr>
              <w:t>The approval by the AER of associate contracts and variations to associate contracts.</w:t>
            </w:r>
          </w:p>
        </w:tc>
      </w:tr>
      <w:tr>
        <w:trPr>
          <w:cantSplit/>
        </w:trPr>
        <w:tc>
          <w:tcPr>
            <w:tcW w:w="924" w:type="dxa"/>
          </w:tcPr>
          <w:p>
            <w:pPr>
              <w:keepLines/>
              <w:autoSpaceDE w:val="0"/>
              <w:autoSpaceDN w:val="0"/>
              <w:adjustRightInd w:val="0"/>
              <w:spacing w:before="120"/>
              <w:rPr>
                <w:color w:val="000000"/>
                <w:sz w:val="20"/>
              </w:rPr>
            </w:pPr>
            <w:r>
              <w:rPr>
                <w:color w:val="000000"/>
                <w:sz w:val="20"/>
              </w:rPr>
              <w:t>55</w:t>
            </w:r>
          </w:p>
        </w:tc>
        <w:tc>
          <w:tcPr>
            <w:tcW w:w="6360" w:type="dxa"/>
            <w:vAlign w:val="center"/>
          </w:tcPr>
          <w:p>
            <w:pPr>
              <w:keepLines/>
              <w:autoSpaceDE w:val="0"/>
              <w:autoSpaceDN w:val="0"/>
              <w:adjustRightInd w:val="0"/>
              <w:spacing w:before="120"/>
              <w:rPr>
                <w:color w:val="000000"/>
                <w:sz w:val="20"/>
              </w:rPr>
            </w:pPr>
            <w:r>
              <w:rPr>
                <w:color w:val="000000"/>
                <w:sz w:val="20"/>
              </w:rPr>
              <w:t>The grounds on which the AER may approve associate contracts and variations to associate contracts, including grounds different from those specified in section 147 or section 148.</w:t>
            </w:r>
          </w:p>
        </w:tc>
      </w:tr>
      <w:tr>
        <w:trPr>
          <w:cantSplit/>
        </w:trPr>
        <w:tc>
          <w:tcPr>
            <w:tcW w:w="7284" w:type="dxa"/>
            <w:gridSpan w:val="2"/>
            <w:vAlign w:val="center"/>
          </w:tcPr>
          <w:p>
            <w:pPr>
              <w:keepNext/>
              <w:keepLines/>
              <w:autoSpaceDE w:val="0"/>
              <w:autoSpaceDN w:val="0"/>
              <w:adjustRightInd w:val="0"/>
              <w:spacing w:before="120"/>
              <w:rPr>
                <w:color w:val="000000"/>
                <w:sz w:val="20"/>
              </w:rPr>
            </w:pPr>
            <w:r>
              <w:rPr>
                <w:b/>
                <w:bCs/>
                <w:color w:val="000000"/>
                <w:sz w:val="20"/>
              </w:rPr>
              <w:t>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56</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a website that contains information in relation to natural gas services.</w:t>
            </w:r>
          </w:p>
        </w:tc>
      </w:tr>
      <w:tr>
        <w:trPr>
          <w:cantSplit/>
        </w:trPr>
        <w:tc>
          <w:tcPr>
            <w:tcW w:w="924" w:type="dxa"/>
          </w:tcPr>
          <w:p>
            <w:pPr>
              <w:keepLines/>
              <w:autoSpaceDE w:val="0"/>
              <w:autoSpaceDN w:val="0"/>
              <w:adjustRightInd w:val="0"/>
              <w:spacing w:before="120"/>
              <w:rPr>
                <w:color w:val="000000"/>
                <w:sz w:val="20"/>
              </w:rPr>
            </w:pPr>
            <w:r>
              <w:rPr>
                <w:color w:val="000000"/>
                <w:sz w:val="20"/>
              </w:rPr>
              <w:t>57</w:t>
            </w:r>
          </w:p>
        </w:tc>
        <w:tc>
          <w:tcPr>
            <w:tcW w:w="6360" w:type="dxa"/>
            <w:vAlign w:val="center"/>
          </w:tcPr>
          <w:p>
            <w:pPr>
              <w:keepLines/>
              <w:autoSpaceDE w:val="0"/>
              <w:autoSpaceDN w:val="0"/>
              <w:adjustRightInd w:val="0"/>
              <w:spacing w:before="120"/>
              <w:rPr>
                <w:color w:val="000000"/>
                <w:sz w:val="20"/>
              </w:rPr>
            </w:pPr>
            <w:r>
              <w:rPr>
                <w:color w:val="000000"/>
                <w:sz w:val="20"/>
              </w:rPr>
              <w:t>Principles to be applied, and procedures to be followed, by the Bulletin Board operator in exercising a power or performing a function in relation to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58</w:t>
            </w:r>
          </w:p>
        </w:tc>
        <w:tc>
          <w:tcPr>
            <w:tcW w:w="6360" w:type="dxa"/>
            <w:vAlign w:val="center"/>
          </w:tcPr>
          <w:p>
            <w:pPr>
              <w:keepLines/>
              <w:autoSpaceDE w:val="0"/>
              <w:autoSpaceDN w:val="0"/>
              <w:adjustRightInd w:val="0"/>
              <w:spacing w:before="120"/>
              <w:rPr>
                <w:color w:val="000000"/>
                <w:sz w:val="20"/>
              </w:rPr>
            </w:pPr>
            <w:r>
              <w:rPr>
                <w:color w:val="000000"/>
                <w:sz w:val="20"/>
              </w:rPr>
              <w:t>The kinds of information that may or must be given to the Bulletin Board operator, the circumstances in which the information may or must be given, and the procedure for giving the information.</w:t>
            </w:r>
          </w:p>
        </w:tc>
      </w:tr>
      <w:tr>
        <w:trPr>
          <w:cantSplit/>
        </w:trPr>
        <w:tc>
          <w:tcPr>
            <w:tcW w:w="924" w:type="dxa"/>
          </w:tcPr>
          <w:p>
            <w:pPr>
              <w:keepLines/>
              <w:autoSpaceDE w:val="0"/>
              <w:autoSpaceDN w:val="0"/>
              <w:adjustRightInd w:val="0"/>
              <w:spacing w:before="120"/>
              <w:rPr>
                <w:color w:val="000000"/>
                <w:sz w:val="20"/>
              </w:rPr>
            </w:pPr>
            <w:r>
              <w:rPr>
                <w:color w:val="000000"/>
                <w:sz w:val="20"/>
              </w:rPr>
              <w:t>59</w:t>
            </w:r>
          </w:p>
        </w:tc>
        <w:tc>
          <w:tcPr>
            <w:tcW w:w="6360" w:type="dxa"/>
            <w:vAlign w:val="center"/>
          </w:tcPr>
          <w:p>
            <w:pPr>
              <w:keepLines/>
              <w:autoSpaceDE w:val="0"/>
              <w:autoSpaceDN w:val="0"/>
              <w:adjustRightInd w:val="0"/>
              <w:spacing w:before="120"/>
              <w:rPr>
                <w:color w:val="000000"/>
                <w:sz w:val="20"/>
              </w:rPr>
            </w:pPr>
            <w:r>
              <w:rPr>
                <w:color w:val="000000"/>
                <w:sz w:val="20"/>
              </w:rPr>
              <w:t>The kinds of information that may or must be included on the Natural Gas Services Bulletin Board and the manner in which information is to be dealt with before being put on the Natural Gas Services Bulletin Board, including, but not limited to, the removal of information that would identify the person who gave the information.</w:t>
            </w:r>
          </w:p>
        </w:tc>
      </w:tr>
      <w:tr>
        <w:trPr>
          <w:cantSplit/>
        </w:trPr>
        <w:tc>
          <w:tcPr>
            <w:tcW w:w="924" w:type="dxa"/>
          </w:tcPr>
          <w:p>
            <w:pPr>
              <w:keepLines/>
              <w:autoSpaceDE w:val="0"/>
              <w:autoSpaceDN w:val="0"/>
              <w:adjustRightInd w:val="0"/>
              <w:spacing w:before="120"/>
              <w:rPr>
                <w:color w:val="000000"/>
                <w:sz w:val="20"/>
              </w:rPr>
            </w:pPr>
            <w:r>
              <w:rPr>
                <w:color w:val="000000"/>
                <w:sz w:val="20"/>
              </w:rPr>
              <w:t>60</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to whom the requirement to give information does not apply and the circumstances in which the requirement does not apply, including, but not limited to, the grant of power to the Bulletin Board operator to exempt persons, or classes of persons, from that requirement.</w:t>
            </w:r>
          </w:p>
        </w:tc>
      </w:tr>
      <w:tr>
        <w:trPr>
          <w:cantSplit/>
        </w:trPr>
        <w:tc>
          <w:tcPr>
            <w:tcW w:w="924" w:type="dxa"/>
          </w:tcPr>
          <w:p>
            <w:pPr>
              <w:keepLines/>
              <w:autoSpaceDE w:val="0"/>
              <w:autoSpaceDN w:val="0"/>
              <w:adjustRightInd w:val="0"/>
              <w:spacing w:before="120"/>
              <w:rPr>
                <w:color w:val="000000"/>
                <w:sz w:val="20"/>
              </w:rPr>
            </w:pPr>
            <w:r>
              <w:rPr>
                <w:color w:val="000000"/>
                <w:sz w:val="20"/>
              </w:rPr>
              <w:t>61</w:t>
            </w:r>
          </w:p>
        </w:tc>
        <w:tc>
          <w:tcPr>
            <w:tcW w:w="6360" w:type="dxa"/>
            <w:vAlign w:val="center"/>
          </w:tcPr>
          <w:p>
            <w:pPr>
              <w:keepLines/>
              <w:autoSpaceDE w:val="0"/>
              <w:autoSpaceDN w:val="0"/>
              <w:adjustRightInd w:val="0"/>
              <w:spacing w:before="120"/>
              <w:rPr>
                <w:color w:val="000000"/>
                <w:sz w:val="20"/>
              </w:rPr>
            </w:pPr>
            <w:r>
              <w:rPr>
                <w:color w:val="000000"/>
                <w:sz w:val="20"/>
              </w:rPr>
              <w:t>The circumstances in which the requirement to give information may start to apply again to the persons, or classes of persons, mentioned in item 60.</w:t>
            </w:r>
          </w:p>
        </w:tc>
      </w:tr>
      <w:tr>
        <w:trPr>
          <w:cantSplit/>
        </w:trPr>
        <w:tc>
          <w:tcPr>
            <w:tcW w:w="924" w:type="dxa"/>
          </w:tcPr>
          <w:p>
            <w:pPr>
              <w:keepLines/>
              <w:autoSpaceDE w:val="0"/>
              <w:autoSpaceDN w:val="0"/>
              <w:adjustRightInd w:val="0"/>
              <w:spacing w:before="120"/>
              <w:rPr>
                <w:color w:val="000000"/>
                <w:sz w:val="20"/>
              </w:rPr>
            </w:pPr>
            <w:r>
              <w:rPr>
                <w:color w:val="000000"/>
                <w:sz w:val="20"/>
              </w:rPr>
              <w:t>62</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who may access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rPr>
            </w:pPr>
            <w:r>
              <w:rPr>
                <w:color w:val="000000"/>
                <w:sz w:val="20"/>
              </w:rPr>
              <w:t>63</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the persons, or classes of persons, mentioned in item 62 may access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64</w:t>
            </w:r>
          </w:p>
        </w:tc>
        <w:tc>
          <w:tcPr>
            <w:tcW w:w="6360" w:type="dxa"/>
            <w:vAlign w:val="center"/>
          </w:tcPr>
          <w:p>
            <w:pPr>
              <w:keepLines/>
              <w:autoSpaceDE w:val="0"/>
              <w:autoSpaceDN w:val="0"/>
              <w:adjustRightInd w:val="0"/>
              <w:spacing w:before="120"/>
              <w:rPr>
                <w:color w:val="000000"/>
                <w:sz w:val="20"/>
              </w:rPr>
            </w:pPr>
            <w:r>
              <w:rPr>
                <w:color w:val="000000"/>
                <w:sz w:val="20"/>
              </w:rPr>
              <w:t>The procedure for dealing with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lastRenderedPageBreak/>
              <w:t>65</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who may have access to information that was, but is no longer on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rPr>
            </w:pPr>
            <w:r>
              <w:rPr>
                <w:color w:val="000000"/>
                <w:sz w:val="20"/>
              </w:rPr>
              <w:t>66</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the persons, or classes of persons, mentioned in item 65 may have access to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67</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service providers, or classes of service providers, may recover amounts from the Bulletin Board operator for aggregating Bulletin Board information for the Bulletin Board operator.</w:t>
            </w:r>
          </w:p>
        </w:tc>
      </w:tr>
      <w:tr>
        <w:trPr>
          <w:cantSplit/>
        </w:trPr>
        <w:tc>
          <w:tcPr>
            <w:tcW w:w="924" w:type="dxa"/>
          </w:tcPr>
          <w:p>
            <w:pPr>
              <w:keepLines/>
              <w:autoSpaceDE w:val="0"/>
              <w:autoSpaceDN w:val="0"/>
              <w:adjustRightInd w:val="0"/>
              <w:spacing w:before="120"/>
              <w:rPr>
                <w:color w:val="000000"/>
                <w:sz w:val="20"/>
              </w:rPr>
            </w:pPr>
            <w:r>
              <w:rPr>
                <w:color w:val="000000"/>
                <w:sz w:val="20"/>
              </w:rPr>
              <w:t>68</w:t>
            </w:r>
          </w:p>
        </w:tc>
        <w:tc>
          <w:tcPr>
            <w:tcW w:w="6360" w:type="dxa"/>
            <w:vAlign w:val="center"/>
          </w:tcPr>
          <w:p>
            <w:pPr>
              <w:keepLines/>
              <w:autoSpaceDE w:val="0"/>
              <w:autoSpaceDN w:val="0"/>
              <w:adjustRightInd w:val="0"/>
              <w:spacing w:before="120"/>
              <w:rPr>
                <w:color w:val="000000"/>
                <w:sz w:val="20"/>
              </w:rPr>
            </w:pPr>
            <w:r>
              <w:rPr>
                <w:color w:val="000000"/>
                <w:sz w:val="20"/>
              </w:rPr>
              <w:t>Matters mentioned in items 56 to 67, in so far as they relate to emergency situations.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Miscellaneous</w:t>
            </w:r>
          </w:p>
        </w:tc>
      </w:tr>
      <w:tr>
        <w:trPr>
          <w:cantSplit/>
        </w:trPr>
        <w:tc>
          <w:tcPr>
            <w:tcW w:w="924" w:type="dxa"/>
          </w:tcPr>
          <w:p>
            <w:pPr>
              <w:keepLines/>
              <w:autoSpaceDE w:val="0"/>
              <w:autoSpaceDN w:val="0"/>
              <w:adjustRightInd w:val="0"/>
              <w:spacing w:before="120"/>
              <w:rPr>
                <w:color w:val="000000"/>
                <w:sz w:val="20"/>
              </w:rPr>
            </w:pPr>
            <w:r>
              <w:rPr>
                <w:color w:val="000000"/>
                <w:sz w:val="20"/>
              </w:rPr>
              <w:t>69</w:t>
            </w:r>
          </w:p>
        </w:tc>
        <w:tc>
          <w:tcPr>
            <w:tcW w:w="6360" w:type="dxa"/>
            <w:vAlign w:val="center"/>
          </w:tcPr>
          <w:p>
            <w:pPr>
              <w:keepLines/>
              <w:autoSpaceDE w:val="0"/>
              <w:autoSpaceDN w:val="0"/>
              <w:adjustRightInd w:val="0"/>
              <w:spacing w:before="120"/>
              <w:rPr>
                <w:color w:val="000000"/>
                <w:sz w:val="20"/>
              </w:rPr>
            </w:pPr>
            <w:r>
              <w:rPr>
                <w:color w:val="000000"/>
                <w:sz w:val="20"/>
              </w:rPr>
              <w:t>Specification of pipeline services as reference services.</w:t>
            </w:r>
          </w:p>
        </w:tc>
      </w:tr>
      <w:tr>
        <w:trPr>
          <w:cantSplit/>
        </w:trPr>
        <w:tc>
          <w:tcPr>
            <w:tcW w:w="924" w:type="dxa"/>
          </w:tcPr>
          <w:p>
            <w:pPr>
              <w:keepLines/>
              <w:autoSpaceDE w:val="0"/>
              <w:autoSpaceDN w:val="0"/>
              <w:adjustRightInd w:val="0"/>
              <w:spacing w:before="120"/>
              <w:rPr>
                <w:color w:val="000000"/>
                <w:sz w:val="20"/>
              </w:rPr>
            </w:pPr>
            <w:r>
              <w:rPr>
                <w:color w:val="000000"/>
                <w:sz w:val="20"/>
              </w:rPr>
              <w:t>70</w:t>
            </w:r>
          </w:p>
        </w:tc>
        <w:tc>
          <w:tcPr>
            <w:tcW w:w="6360" w:type="dxa"/>
            <w:vAlign w:val="center"/>
          </w:tcPr>
          <w:p>
            <w:pPr>
              <w:keepLines/>
              <w:autoSpaceDE w:val="0"/>
              <w:autoSpaceDN w:val="0"/>
              <w:adjustRightInd w:val="0"/>
              <w:spacing w:before="120"/>
              <w:rPr>
                <w:color w:val="000000"/>
                <w:sz w:val="20"/>
              </w:rPr>
            </w:pPr>
            <w:r>
              <w:rPr>
                <w:color w:val="000000"/>
                <w:sz w:val="20"/>
              </w:rPr>
              <w:t>The preparation (including public consultation) and publication by the AER of discussion papers relating to the AER’s functions and powers under this Law and the Rules.</w:t>
            </w:r>
          </w:p>
        </w:tc>
      </w:tr>
      <w:tr>
        <w:trPr>
          <w:cantSplit/>
        </w:trPr>
        <w:tc>
          <w:tcPr>
            <w:tcW w:w="924" w:type="dxa"/>
          </w:tcPr>
          <w:p>
            <w:pPr>
              <w:keepLines/>
              <w:autoSpaceDE w:val="0"/>
              <w:autoSpaceDN w:val="0"/>
              <w:adjustRightInd w:val="0"/>
              <w:spacing w:before="120"/>
              <w:rPr>
                <w:color w:val="000000"/>
                <w:sz w:val="20"/>
              </w:rPr>
            </w:pPr>
            <w:r>
              <w:rPr>
                <w:color w:val="000000"/>
                <w:sz w:val="20"/>
              </w:rPr>
              <w:t>71</w:t>
            </w:r>
          </w:p>
        </w:tc>
        <w:tc>
          <w:tcPr>
            <w:tcW w:w="6360" w:type="dxa"/>
            <w:vAlign w:val="center"/>
          </w:tcPr>
          <w:p>
            <w:pPr>
              <w:keepLines/>
              <w:autoSpaceDE w:val="0"/>
              <w:autoSpaceDN w:val="0"/>
              <w:adjustRightInd w:val="0"/>
              <w:spacing w:before="120"/>
              <w:rPr>
                <w:color w:val="000000"/>
                <w:sz w:val="20"/>
              </w:rPr>
            </w:pPr>
            <w:r>
              <w:rPr>
                <w:color w:val="000000"/>
                <w:sz w:val="20"/>
              </w:rPr>
              <w:t>Reviews by or on behalf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or the AEMC;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any other person appointed, in accordance with the Rules.</w:t>
            </w:r>
          </w:p>
        </w:tc>
      </w:tr>
      <w:tr>
        <w:trPr>
          <w:cantSplit/>
        </w:trPr>
        <w:tc>
          <w:tcPr>
            <w:tcW w:w="924" w:type="dxa"/>
          </w:tcPr>
          <w:p>
            <w:pPr>
              <w:keepLines/>
              <w:autoSpaceDE w:val="0"/>
              <w:autoSpaceDN w:val="0"/>
              <w:adjustRightInd w:val="0"/>
              <w:spacing w:before="120"/>
              <w:rPr>
                <w:color w:val="000000"/>
                <w:sz w:val="20"/>
              </w:rPr>
            </w:pPr>
            <w:r>
              <w:rPr>
                <w:color w:val="000000"/>
                <w:sz w:val="20"/>
              </w:rPr>
              <w:t>72</w:t>
            </w:r>
          </w:p>
        </w:tc>
        <w:tc>
          <w:tcPr>
            <w:tcW w:w="6360" w:type="dxa"/>
            <w:vAlign w:val="center"/>
          </w:tcPr>
          <w:p>
            <w:pPr>
              <w:keepLines/>
              <w:autoSpaceDE w:val="0"/>
              <w:autoSpaceDN w:val="0"/>
              <w:adjustRightInd w:val="0"/>
              <w:spacing w:before="120"/>
              <w:rPr>
                <w:color w:val="000000"/>
                <w:sz w:val="20"/>
              </w:rPr>
            </w:pPr>
            <w:r>
              <w:rPr>
                <w:color w:val="000000"/>
                <w:sz w:val="20"/>
              </w:rPr>
              <w:t>Reporting and disclosing information to the AER.</w:t>
            </w:r>
          </w:p>
        </w:tc>
      </w:tr>
      <w:tr>
        <w:trPr>
          <w:cantSplit/>
        </w:trPr>
        <w:tc>
          <w:tcPr>
            <w:tcW w:w="924" w:type="dxa"/>
          </w:tcPr>
          <w:p>
            <w:pPr>
              <w:keepLines/>
              <w:autoSpaceDE w:val="0"/>
              <w:autoSpaceDN w:val="0"/>
              <w:adjustRightInd w:val="0"/>
              <w:spacing w:before="120"/>
              <w:rPr>
                <w:color w:val="000000"/>
                <w:sz w:val="20"/>
              </w:rPr>
            </w:pPr>
            <w:r>
              <w:rPr>
                <w:color w:val="000000"/>
                <w:sz w:val="20"/>
              </w:rPr>
              <w:t>73</w:t>
            </w:r>
          </w:p>
        </w:tc>
        <w:tc>
          <w:tcPr>
            <w:tcW w:w="6360" w:type="dxa"/>
            <w:vAlign w:val="center"/>
          </w:tcPr>
          <w:p>
            <w:pPr>
              <w:keepLines/>
              <w:autoSpaceDE w:val="0"/>
              <w:autoSpaceDN w:val="0"/>
              <w:adjustRightInd w:val="0"/>
              <w:spacing w:before="120"/>
              <w:rPr>
                <w:color w:val="000000"/>
                <w:sz w:val="20"/>
              </w:rPr>
            </w:pPr>
            <w:r>
              <w:rPr>
                <w:color w:val="000000"/>
                <w:sz w:val="20"/>
              </w:rPr>
              <w:t>Procedure to be followed by the NCC or a relevant Minister in dealing with an application for—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 coverage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 coverage revocation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 15</w:t>
            </w:r>
            <w:r>
              <w:rPr>
                <w:color w:val="000000"/>
                <w:sz w:val="20"/>
              </w:rPr>
              <w:noBreakHyphen/>
              <w:t>year no</w:t>
            </w:r>
            <w:r>
              <w:rPr>
                <w:color w:val="000000"/>
                <w:sz w:val="20"/>
              </w:rPr>
              <w:noBreakHyphen/>
              <w:t>coverage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a price regulation exemption;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a reclassification decision;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a light regulation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(g)</w:t>
            </w:r>
            <w:r>
              <w:rPr>
                <w:color w:val="000000"/>
                <w:sz w:val="20"/>
              </w:rPr>
              <w:tab/>
              <w:t>a determination to revoke a light regulation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74</w:t>
            </w:r>
          </w:p>
        </w:tc>
        <w:tc>
          <w:tcPr>
            <w:tcW w:w="6360" w:type="dxa"/>
            <w:vAlign w:val="center"/>
          </w:tcPr>
          <w:p>
            <w:pPr>
              <w:keepLines/>
              <w:autoSpaceDE w:val="0"/>
              <w:autoSpaceDN w:val="0"/>
              <w:adjustRightInd w:val="0"/>
              <w:spacing w:before="120"/>
              <w:rPr>
                <w:color w:val="000000"/>
                <w:sz w:val="20"/>
              </w:rPr>
            </w:pPr>
            <w:r>
              <w:rPr>
                <w:color w:val="000000"/>
                <w:sz w:val="20"/>
              </w:rPr>
              <w:t>The publication and the giving of NCC recommendations or decisions or Ministerial coverage decisions.</w:t>
            </w:r>
          </w:p>
        </w:tc>
      </w:tr>
      <w:tr>
        <w:trPr>
          <w:cantSplit/>
        </w:trPr>
        <w:tc>
          <w:tcPr>
            <w:tcW w:w="924" w:type="dxa"/>
          </w:tcPr>
          <w:p>
            <w:pPr>
              <w:keepNext/>
              <w:keepLines/>
              <w:autoSpaceDE w:val="0"/>
              <w:autoSpaceDN w:val="0"/>
              <w:adjustRightInd w:val="0"/>
              <w:spacing w:before="120"/>
              <w:rPr>
                <w:color w:val="000000"/>
                <w:sz w:val="20"/>
              </w:rPr>
            </w:pPr>
            <w:r>
              <w:rPr>
                <w:color w:val="000000"/>
                <w:sz w:val="20"/>
              </w:rPr>
              <w:lastRenderedPageBreak/>
              <w:t>75</w:t>
            </w:r>
          </w:p>
        </w:tc>
        <w:tc>
          <w:tcPr>
            <w:tcW w:w="6360" w:type="dxa"/>
            <w:vAlign w:val="center"/>
          </w:tcPr>
          <w:p>
            <w:pPr>
              <w:keepNext/>
              <w:keepLines/>
              <w:autoSpaceDE w:val="0"/>
              <w:autoSpaceDN w:val="0"/>
              <w:adjustRightInd w:val="0"/>
              <w:spacing w:before="120"/>
              <w:rPr>
                <w:color w:val="000000"/>
                <w:sz w:val="20"/>
              </w:rPr>
            </w:pPr>
            <w:r>
              <w:rPr>
                <w:color w:val="000000"/>
                <w:sz w:val="20"/>
              </w:rPr>
              <w:t>The establishment and maintenance of a register by the AEMC of all previous and current—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coverage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coverage revocation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greenfields pipeline incentives;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decisions under section 99 not to make a coverage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decisions under section 106 not to make a coverage revocation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decisions under section 156 not to make a 15</w:t>
            </w:r>
            <w:r>
              <w:rPr>
                <w:color w:val="000000"/>
                <w:sz w:val="20"/>
              </w:rPr>
              <w:noBreakHyphen/>
              <w:t>year no</w:t>
            </w:r>
            <w:r>
              <w:rPr>
                <w:color w:val="000000"/>
                <w:sz w:val="20"/>
              </w:rPr>
              <w:noBreakHyphen/>
              <w:t>coverage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(g)</w:t>
            </w:r>
            <w:r>
              <w:rPr>
                <w:color w:val="000000"/>
                <w:sz w:val="20"/>
              </w:rPr>
              <w:tab/>
              <w:t>decisions under section 1.13 of the Gas Code that a pipeline is not covered under the old access law and Gas Code;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(h)</w:t>
            </w:r>
            <w:r>
              <w:rPr>
                <w:color w:val="000000"/>
                <w:sz w:val="20"/>
              </w:rPr>
              <w:tab/>
              <w:t>decisions under section 1.34 of the Gas Code that coverage of a covered pipeline under the old access law and Gas Code is not revoked;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(i)</w:t>
            </w:r>
            <w:r>
              <w:rPr>
                <w:color w:val="000000"/>
                <w:sz w:val="20"/>
              </w:rPr>
              <w:tab/>
              <w:t>tender approval decisions;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(j)</w:t>
            </w:r>
            <w:r>
              <w:rPr>
                <w:color w:val="000000"/>
                <w:sz w:val="20"/>
              </w:rPr>
              <w:tab/>
              <w:t>light regulation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(k)</w:t>
            </w:r>
            <w:r>
              <w:rPr>
                <w:color w:val="000000"/>
                <w:sz w:val="20"/>
              </w:rPr>
              <w:tab/>
              <w:t>decisions revoking light regulation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(l)</w:t>
            </w:r>
            <w:r>
              <w:rPr>
                <w:color w:val="000000"/>
                <w:sz w:val="20"/>
              </w:rPr>
              <w:tab/>
              <w:t>covered pipelines, including their description and classification as transmission pipelines or distribution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(m)</w:t>
            </w:r>
            <w:r>
              <w:rPr>
                <w:color w:val="000000"/>
                <w:sz w:val="20"/>
              </w:rPr>
              <w:tab/>
              <w:t>covered pipelines by means of which light regulation services are or intended to be provided;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(n)</w:t>
            </w:r>
            <w:r>
              <w:rPr>
                <w:color w:val="000000"/>
                <w:sz w:val="20"/>
              </w:rPr>
              <w:tab/>
              <w:t>international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(o)</w:t>
            </w:r>
            <w:r>
              <w:rPr>
                <w:color w:val="000000"/>
                <w:sz w:val="20"/>
              </w:rPr>
              <w:tab/>
              <w:t>applicable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76</w:t>
            </w:r>
          </w:p>
        </w:tc>
        <w:tc>
          <w:tcPr>
            <w:tcW w:w="6360" w:type="dxa"/>
            <w:vAlign w:val="center"/>
          </w:tcPr>
          <w:p>
            <w:pPr>
              <w:keepLines/>
              <w:autoSpaceDE w:val="0"/>
              <w:autoSpaceDN w:val="0"/>
              <w:adjustRightInd w:val="0"/>
              <w:spacing w:before="120"/>
              <w:rPr>
                <w:color w:val="000000"/>
                <w:sz w:val="20"/>
              </w:rPr>
            </w:pPr>
            <w:r>
              <w:rPr>
                <w:color w:val="000000"/>
                <w:sz w:val="20"/>
              </w:rPr>
              <w:t>The inclusion on the register referred to in item 75 of descriptions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all old scheme transmission pipelines and old scheme distribution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all old scheme classifications or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77</w:t>
            </w:r>
          </w:p>
        </w:tc>
        <w:tc>
          <w:tcPr>
            <w:tcW w:w="6360" w:type="dxa"/>
            <w:vAlign w:val="center"/>
          </w:tcPr>
          <w:p>
            <w:pPr>
              <w:keepLines/>
              <w:autoSpaceDE w:val="0"/>
              <w:autoSpaceDN w:val="0"/>
              <w:adjustRightInd w:val="0"/>
              <w:spacing w:before="120"/>
              <w:rPr>
                <w:color w:val="000000"/>
                <w:sz w:val="20"/>
              </w:rPr>
            </w:pPr>
            <w:r>
              <w:rPr>
                <w:color w:val="000000"/>
                <w:sz w:val="20"/>
              </w:rPr>
              <w:t>Time periods within which—</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NCC must make an NCC recommendation or decision;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must make a decision (including an AER economic regulatory decision).</w:t>
            </w:r>
          </w:p>
        </w:tc>
      </w:tr>
      <w:tr>
        <w:trPr>
          <w:cantSplit/>
        </w:trPr>
        <w:tc>
          <w:tcPr>
            <w:tcW w:w="924" w:type="dxa"/>
          </w:tcPr>
          <w:p>
            <w:pPr>
              <w:keepLines/>
              <w:autoSpaceDE w:val="0"/>
              <w:autoSpaceDN w:val="0"/>
              <w:adjustRightInd w:val="0"/>
              <w:spacing w:before="120"/>
              <w:rPr>
                <w:color w:val="000000"/>
                <w:sz w:val="20"/>
              </w:rPr>
            </w:pPr>
            <w:r>
              <w:rPr>
                <w:color w:val="000000"/>
                <w:sz w:val="20"/>
              </w:rPr>
              <w:lastRenderedPageBreak/>
              <w:t>78</w:t>
            </w:r>
          </w:p>
        </w:tc>
        <w:tc>
          <w:tcPr>
            <w:tcW w:w="6360" w:type="dxa"/>
            <w:vAlign w:val="center"/>
          </w:tcPr>
          <w:p>
            <w:pPr>
              <w:keepLines/>
              <w:autoSpaceDE w:val="0"/>
              <w:autoSpaceDN w:val="0"/>
              <w:adjustRightInd w:val="0"/>
              <w:spacing w:before="120"/>
              <w:rPr>
                <w:color w:val="000000"/>
                <w:sz w:val="20"/>
              </w:rPr>
            </w:pPr>
            <w:r>
              <w:rPr>
                <w:color w:val="000000"/>
                <w:sz w:val="20"/>
              </w:rPr>
              <w:t>Extensions to periods of time referred to in item 77.</w:t>
            </w:r>
          </w:p>
        </w:tc>
      </w:tr>
      <w:tr>
        <w:trPr>
          <w:cantSplit/>
        </w:trPr>
        <w:tc>
          <w:tcPr>
            <w:tcW w:w="924" w:type="dxa"/>
          </w:tcPr>
          <w:p>
            <w:pPr>
              <w:keepLines/>
              <w:autoSpaceDE w:val="0"/>
              <w:autoSpaceDN w:val="0"/>
              <w:adjustRightInd w:val="0"/>
              <w:spacing w:before="120"/>
              <w:rPr>
                <w:color w:val="000000"/>
                <w:sz w:val="20"/>
              </w:rPr>
            </w:pPr>
            <w:r>
              <w:rPr>
                <w:color w:val="000000"/>
                <w:sz w:val="20"/>
              </w:rPr>
              <w:t>79</w:t>
            </w:r>
          </w:p>
        </w:tc>
        <w:tc>
          <w:tcPr>
            <w:tcW w:w="6360" w:type="dxa"/>
            <w:vAlign w:val="center"/>
          </w:tcPr>
          <w:p>
            <w:pPr>
              <w:keepLines/>
              <w:autoSpaceDE w:val="0"/>
              <w:autoSpaceDN w:val="0"/>
              <w:adjustRightInd w:val="0"/>
              <w:spacing w:before="120"/>
              <w:rPr>
                <w:color w:val="000000"/>
                <w:sz w:val="20"/>
              </w:rPr>
            </w:pPr>
            <w:r>
              <w:rPr>
                <w:color w:val="000000"/>
                <w:sz w:val="20"/>
              </w:rPr>
              <w:t>Reports into failures to make decisions within a specified period of time and the publication of such reports.</w:t>
            </w:r>
          </w:p>
        </w:tc>
      </w:tr>
      <w:tr>
        <w:trPr>
          <w:cantSplit/>
        </w:trPr>
        <w:tc>
          <w:tcPr>
            <w:tcW w:w="924" w:type="dxa"/>
          </w:tcPr>
          <w:p>
            <w:pPr>
              <w:keepLines/>
              <w:autoSpaceDE w:val="0"/>
              <w:autoSpaceDN w:val="0"/>
              <w:adjustRightInd w:val="0"/>
              <w:spacing w:before="120"/>
              <w:rPr>
                <w:color w:val="000000"/>
                <w:sz w:val="20"/>
              </w:rPr>
            </w:pPr>
            <w:r>
              <w:rPr>
                <w:color w:val="000000"/>
                <w:sz w:val="20"/>
              </w:rPr>
              <w:t>80</w:t>
            </w:r>
          </w:p>
        </w:tc>
        <w:tc>
          <w:tcPr>
            <w:tcW w:w="6360" w:type="dxa"/>
            <w:vAlign w:val="center"/>
          </w:tcPr>
          <w:p>
            <w:pPr>
              <w:keepLines/>
              <w:autoSpaceDE w:val="0"/>
              <w:autoSpaceDN w:val="0"/>
              <w:adjustRightInd w:val="0"/>
              <w:spacing w:before="120"/>
              <w:rPr>
                <w:color w:val="000000"/>
                <w:sz w:val="20"/>
              </w:rPr>
            </w:pPr>
            <w:r>
              <w:rPr>
                <w:color w:val="000000"/>
                <w:sz w:val="20"/>
              </w:rPr>
              <w:t>Confidential information held by service providers, users, prospective users, end users, the AER, the AEMC, the NCC, the Bulletin Board operator and other persons or bodies conferred a function, or exercising a power or right, or on whom an obligation is imposed, under the Rules, and the manner and circumstances in which that information may be disclosed.</w:t>
            </w:r>
          </w:p>
        </w:tc>
      </w:tr>
      <w:tr>
        <w:trPr>
          <w:cantSplit/>
        </w:trPr>
        <w:tc>
          <w:tcPr>
            <w:tcW w:w="924" w:type="dxa"/>
          </w:tcPr>
          <w:p>
            <w:pPr>
              <w:keepLines/>
              <w:autoSpaceDE w:val="0"/>
              <w:autoSpaceDN w:val="0"/>
              <w:adjustRightInd w:val="0"/>
              <w:spacing w:before="120"/>
              <w:rPr>
                <w:color w:val="000000"/>
                <w:sz w:val="20"/>
              </w:rPr>
            </w:pPr>
            <w:r>
              <w:rPr>
                <w:color w:val="000000"/>
                <w:sz w:val="20"/>
              </w:rPr>
              <w:t>81</w:t>
            </w:r>
          </w:p>
        </w:tc>
        <w:tc>
          <w:tcPr>
            <w:tcW w:w="6360" w:type="dxa"/>
            <w:vAlign w:val="center"/>
          </w:tcPr>
          <w:p>
            <w:pPr>
              <w:keepLines/>
              <w:autoSpaceDE w:val="0"/>
              <w:autoSpaceDN w:val="0"/>
              <w:adjustRightInd w:val="0"/>
              <w:spacing w:before="120"/>
              <w:rPr>
                <w:color w:val="000000"/>
                <w:sz w:val="20"/>
              </w:rPr>
            </w:pPr>
            <w:r>
              <w:rPr>
                <w:color w:val="000000"/>
                <w:sz w:val="20"/>
              </w:rPr>
              <w:t>The modification of section 3, 8 or 10.8 of the Gas Code as those sections apply to a transitioned access arrangement (as defined in clause 1 of Schedule 3 to this Law).</w:t>
            </w:r>
          </w:p>
          <w:p>
            <w:pPr>
              <w:keepLines/>
              <w:autoSpaceDE w:val="0"/>
              <w:autoSpaceDN w:val="0"/>
              <w:adjustRightInd w:val="0"/>
              <w:spacing w:before="120"/>
              <w:ind w:left="794" w:hanging="794"/>
              <w:rPr>
                <w:b/>
                <w:bCs/>
                <w:color w:val="000000"/>
                <w:sz w:val="20"/>
              </w:rPr>
            </w:pPr>
            <w:r>
              <w:rPr>
                <w:b/>
                <w:bCs/>
                <w:color w:val="000000"/>
                <w:sz w:val="20"/>
              </w:rPr>
              <w:t>Note—</w:t>
            </w:r>
          </w:p>
          <w:p>
            <w:pPr>
              <w:keepLines/>
              <w:autoSpaceDE w:val="0"/>
              <w:autoSpaceDN w:val="0"/>
              <w:adjustRightInd w:val="0"/>
              <w:spacing w:before="120"/>
              <w:ind w:left="794"/>
              <w:rPr>
                <w:color w:val="000000"/>
                <w:sz w:val="20"/>
              </w:rPr>
            </w:pPr>
            <w:r>
              <w:rPr>
                <w:color w:val="000000"/>
                <w:sz w:val="20"/>
              </w:rPr>
              <w:t>See also clause 30 of Schedule 3 to this Law.</w:t>
            </w:r>
          </w:p>
        </w:tc>
      </w:tr>
      <w:tr>
        <w:trPr>
          <w:cantSplit/>
        </w:trPr>
        <w:tc>
          <w:tcPr>
            <w:tcW w:w="924" w:type="dxa"/>
          </w:tcPr>
          <w:p>
            <w:pPr>
              <w:keepNext/>
              <w:keepLines/>
              <w:autoSpaceDE w:val="0"/>
              <w:autoSpaceDN w:val="0"/>
              <w:adjustRightInd w:val="0"/>
              <w:spacing w:before="120"/>
              <w:rPr>
                <w:color w:val="000000"/>
                <w:sz w:val="20"/>
              </w:rPr>
            </w:pPr>
            <w:r>
              <w:rPr>
                <w:color w:val="000000"/>
                <w:sz w:val="20"/>
              </w:rPr>
              <w:t>82</w:t>
            </w:r>
          </w:p>
        </w:tc>
        <w:tc>
          <w:tcPr>
            <w:tcW w:w="6360" w:type="dxa"/>
            <w:vAlign w:val="center"/>
          </w:tcPr>
          <w:p>
            <w:pPr>
              <w:keepNext/>
              <w:keepLines/>
              <w:autoSpaceDE w:val="0"/>
              <w:autoSpaceDN w:val="0"/>
              <w:adjustRightInd w:val="0"/>
              <w:spacing w:before="120"/>
              <w:rPr>
                <w:color w:val="000000"/>
                <w:sz w:val="20"/>
              </w:rPr>
            </w:pPr>
            <w:r>
              <w:rPr>
                <w:color w:val="000000"/>
                <w:sz w:val="20"/>
              </w:rPr>
              <w:t xml:space="preserve">Any other matter or thing that is the subject of, or is of a kind dealt with by, a provision of the Gas Code as in operation and effect immediately before the commencement of </w:t>
            </w:r>
            <w:r>
              <w:rPr>
                <w:sz w:val="20"/>
              </w:rPr>
              <w:t xml:space="preserve">section 30 of the </w:t>
            </w:r>
            <w:r>
              <w:rPr>
                <w:i/>
                <w:iCs/>
                <w:sz w:val="20"/>
              </w:rPr>
              <w:t>National Gas Access (WA) Act 2009</w:t>
            </w:r>
            <w:r>
              <w:rPr>
                <w:sz w:val="20"/>
              </w:rPr>
              <w:t xml:space="preserve"> of Western Australia.</w:t>
            </w:r>
          </w:p>
        </w:tc>
      </w:tr>
      <w:tr>
        <w:trPr>
          <w:cantSplit/>
        </w:trPr>
        <w:tc>
          <w:tcPr>
            <w:tcW w:w="924" w:type="dxa"/>
          </w:tcPr>
          <w:p>
            <w:pPr>
              <w:keepNext/>
              <w:keepLines/>
              <w:autoSpaceDE w:val="0"/>
              <w:autoSpaceDN w:val="0"/>
              <w:adjustRightInd w:val="0"/>
              <w:spacing w:before="120"/>
              <w:rPr>
                <w:color w:val="000000"/>
                <w:sz w:val="20"/>
              </w:rPr>
            </w:pPr>
            <w:r>
              <w:rPr>
                <w:color w:val="000000"/>
                <w:sz w:val="20"/>
              </w:rPr>
              <w:t>83</w:t>
            </w:r>
          </w:p>
        </w:tc>
        <w:tc>
          <w:tcPr>
            <w:tcW w:w="6360" w:type="dxa"/>
            <w:vAlign w:val="center"/>
          </w:tcPr>
          <w:p>
            <w:pPr>
              <w:keepNext/>
              <w:keepLines/>
              <w:autoSpaceDE w:val="0"/>
              <w:autoSpaceDN w:val="0"/>
              <w:adjustRightInd w:val="0"/>
              <w:spacing w:before="120"/>
              <w:rPr>
                <w:color w:val="000000"/>
                <w:sz w:val="20"/>
              </w:rPr>
            </w:pPr>
            <w:r>
              <w:rPr>
                <w:color w:val="000000"/>
                <w:sz w:val="20"/>
              </w:rPr>
              <w:t>Any matter or thing relating to gas prescribed by the Regulations.</w:t>
            </w:r>
          </w:p>
        </w:tc>
      </w:tr>
    </w:tbl>
    <w:p>
      <w:pPr>
        <w:pStyle w:val="Footnotesection"/>
      </w:pPr>
      <w:r>
        <w:tab/>
        <w:t>[Schedule 1 modified: WA Act Sch. 1 cl. 14; amended: see SA Act No. 23 of 2017 s. 9 and WA Gazette 22 Dec 2017 p. 5984; SA Act No. 33 of 2018 s. 19 and WA Gazette 5 Apr 2019 p. 1007.]</w:t>
      </w:r>
    </w:p>
    <w:p>
      <w:pPr>
        <w:keepNext/>
        <w:keepLines/>
        <w:autoSpaceDE w:val="0"/>
        <w:autoSpaceDN w:val="0"/>
        <w:adjustRightInd w:val="0"/>
        <w:spacing w:before="280"/>
        <w:ind w:left="1361" w:hanging="567"/>
        <w:rPr>
          <w:b/>
          <w:bCs/>
          <w:color w:val="000000"/>
          <w:sz w:val="32"/>
          <w:szCs w:val="32"/>
        </w:rPr>
        <w:sectPr>
          <w:headerReference w:type="even" r:id="rId37"/>
          <w:headerReference w:type="default" r:id="rId38"/>
          <w:headerReference w:type="first" r:id="rId39"/>
          <w:endnotePr>
            <w:numFmt w:val="decimal"/>
          </w:endnotePr>
          <w:pgSz w:w="11907" w:h="16840" w:code="9"/>
          <w:pgMar w:top="2381" w:right="2410" w:bottom="3544" w:left="2410" w:header="720" w:footer="3544" w:gutter="0"/>
          <w:cols w:space="720"/>
          <w:docGrid w:linePitch="326"/>
        </w:sectPr>
      </w:pPr>
    </w:p>
    <w:p>
      <w:pPr>
        <w:pStyle w:val="Heading2"/>
      </w:pPr>
      <w:bookmarkStart w:id="977" w:name="_Toc156819533"/>
      <w:bookmarkStart w:id="978" w:name="_Toc156990953"/>
      <w:bookmarkStart w:id="979" w:name="_Toc158375173"/>
      <w:r>
        <w:rPr>
          <w:rStyle w:val="CharPartNo"/>
        </w:rPr>
        <w:lastRenderedPageBreak/>
        <w:t>Schedule 2</w:t>
      </w:r>
      <w:r>
        <w:t xml:space="preserve"> — </w:t>
      </w:r>
      <w:r>
        <w:rPr>
          <w:rStyle w:val="CharPartText"/>
        </w:rPr>
        <w:t>Miscellaneous provisions relating to interpretation</w:t>
      </w:r>
      <w:bookmarkEnd w:id="977"/>
      <w:bookmarkEnd w:id="978"/>
      <w:bookmarkEnd w:id="979"/>
    </w:p>
    <w:p>
      <w:pPr>
        <w:keepNext/>
        <w:keepLines/>
        <w:autoSpaceDE w:val="0"/>
        <w:autoSpaceDN w:val="0"/>
        <w:adjustRightInd w:val="0"/>
        <w:spacing w:before="120"/>
        <w:ind w:left="794"/>
        <w:rPr>
          <w:color w:val="000000"/>
          <w:sz w:val="23"/>
          <w:szCs w:val="23"/>
        </w:rPr>
      </w:pPr>
      <w:r>
        <w:rPr>
          <w:color w:val="000000"/>
          <w:sz w:val="23"/>
          <w:szCs w:val="23"/>
        </w:rPr>
        <w:t>Section 20</w:t>
      </w:r>
    </w:p>
    <w:p>
      <w:pPr>
        <w:pStyle w:val="Heading3"/>
      </w:pPr>
      <w:bookmarkStart w:id="980" w:name="_Toc156819534"/>
      <w:bookmarkStart w:id="981" w:name="_Toc156990954"/>
      <w:bookmarkStart w:id="982" w:name="_Toc158375174"/>
      <w:r>
        <w:rPr>
          <w:rStyle w:val="CharDivNo"/>
        </w:rPr>
        <w:t>Part 1</w:t>
      </w:r>
      <w:r>
        <w:t xml:space="preserve"> — </w:t>
      </w:r>
      <w:r>
        <w:rPr>
          <w:rStyle w:val="CharDivText"/>
        </w:rPr>
        <w:t>Preliminary</w:t>
      </w:r>
      <w:bookmarkEnd w:id="980"/>
      <w:bookmarkEnd w:id="981"/>
      <w:bookmarkEnd w:id="982"/>
    </w:p>
    <w:p>
      <w:pPr>
        <w:pStyle w:val="Heading5"/>
      </w:pPr>
      <w:bookmarkStart w:id="983" w:name="_Toc158375175"/>
      <w:r>
        <w:rPr>
          <w:rStyle w:val="CharSectno"/>
        </w:rPr>
        <w:t>1</w:t>
      </w:r>
      <w:r>
        <w:t>.</w:t>
      </w:r>
      <w:r>
        <w:tab/>
        <w:t>Displacement of Schedule by contrary intention</w:t>
      </w:r>
      <w:bookmarkEnd w:id="98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application of this Schedule to this Law, the Regulations or other statutory instrument (other than the National Gas Rules) may be displaced, wholly or partly, by a contrary intention appearing in this Law or the Regulations or that statutory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application of this Schedule to the National Gas Rules (other than clauses 7, 12, 15, 17, 19 and 20, 23 to 26 and 31 to 44, 49, 52 and 53 of this Schedule) may be displaced, wholly or partly, by a contrary intention appearing in the National Gas Rules.</w:t>
      </w:r>
    </w:p>
    <w:p>
      <w:pPr>
        <w:pStyle w:val="Heading3"/>
      </w:pPr>
      <w:bookmarkStart w:id="984" w:name="_Toc156819536"/>
      <w:bookmarkStart w:id="985" w:name="_Toc156990956"/>
      <w:bookmarkStart w:id="986" w:name="_Toc158375176"/>
      <w:r>
        <w:rPr>
          <w:rStyle w:val="CharDivNo"/>
        </w:rPr>
        <w:t>Part 2</w:t>
      </w:r>
      <w:r>
        <w:t xml:space="preserve"> — </w:t>
      </w:r>
      <w:r>
        <w:rPr>
          <w:rStyle w:val="CharDivText"/>
        </w:rPr>
        <w:t>General</w:t>
      </w:r>
      <w:bookmarkEnd w:id="984"/>
      <w:bookmarkEnd w:id="985"/>
      <w:bookmarkEnd w:id="986"/>
    </w:p>
    <w:p>
      <w:pPr>
        <w:pStyle w:val="Heading5"/>
      </w:pPr>
      <w:bookmarkStart w:id="987" w:name="_Toc158375177"/>
      <w:r>
        <w:rPr>
          <w:rStyle w:val="CharSectno"/>
        </w:rPr>
        <w:t>2</w:t>
      </w:r>
      <w:r>
        <w:t>.</w:t>
      </w:r>
      <w:r>
        <w:tab/>
        <w:t>Law to be construed not to exceed legislative power of Legislature</w:t>
      </w:r>
      <w:bookmarkEnd w:id="98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Law is to be construed as operating to the full extent of, but so as not to exceed, the legislative power of the Legislature of this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this Law, or the application of a provision of this Law to a person, subject matter or circumstance, would, but for this clause, be construed as being in excess of the legislative power of the Legislature of this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a valid provision to the extent to which it is not in excess of the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remainder of this Law,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(3)</w:t>
      </w:r>
      <w:r>
        <w:rPr>
          <w:color w:val="000000"/>
          <w:sz w:val="23"/>
          <w:szCs w:val="23"/>
        </w:rPr>
        <w:tab/>
        <w:t>Without limiting subclause (2), this Law is not to be construed as imposing any duty on the Commonwealth Minister, the NCC, the Australian Competition Tribunal or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particular, if a provision of this Law appears to impose a duty on the Commonwealth Minister, the NCC, the Australian Competition Tribunal or AER to perform a function or exercise a power in matters or circumstances in which the assumption of the duty cannot be validly authorised under the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acts or omissions of corporations to which section 51(xx) of the </w:t>
      </w:r>
      <w:r>
        <w:rPr>
          <w:i/>
          <w:iCs/>
          <w:color w:val="000000"/>
          <w:sz w:val="23"/>
          <w:szCs w:val="23"/>
        </w:rPr>
        <w:t>Constitution of the Commonwealth</w:t>
      </w:r>
      <w:r>
        <w:rPr>
          <w:color w:val="000000"/>
          <w:sz w:val="23"/>
          <w:szCs w:val="23"/>
        </w:rPr>
        <w:t xml:space="preserve">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clause does not limit the effect that a provision of this Law would validly have apart from this clause.</w:t>
      </w:r>
    </w:p>
    <w:p>
      <w:pPr>
        <w:pStyle w:val="Heading5"/>
      </w:pPr>
      <w:bookmarkStart w:id="988" w:name="_Toc158375178"/>
      <w:r>
        <w:rPr>
          <w:rStyle w:val="CharSectno"/>
        </w:rPr>
        <w:t>3</w:t>
      </w:r>
      <w:r>
        <w:t>.</w:t>
      </w:r>
      <w:r>
        <w:tab/>
        <w:t>Vacant provision</w:t>
      </w:r>
      <w:bookmarkEnd w:id="988"/>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There is no clause 3.</w:t>
      </w:r>
    </w:p>
    <w:p>
      <w:pPr>
        <w:pStyle w:val="Heading5"/>
      </w:pPr>
      <w:bookmarkStart w:id="989" w:name="_Toc158375179"/>
      <w:r>
        <w:rPr>
          <w:rStyle w:val="CharSectno"/>
        </w:rPr>
        <w:lastRenderedPageBreak/>
        <w:t>4</w:t>
      </w:r>
      <w:r>
        <w:t>.</w:t>
      </w:r>
      <w:r>
        <w:tab/>
        <w:t>Material that is, and is not, part of Law</w:t>
      </w:r>
      <w:bookmarkEnd w:id="98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heading to a Chapter, Part, Division or Subdivision into which this Law is divided is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Schedule to this Law is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heading to a section or subsection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note at the foot of a provision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An example (being an example at the foot of a provision of this Law under the heading “Example” or “Examples”) does not form part of this Law.</w:t>
      </w:r>
    </w:p>
    <w:p>
      <w:pPr>
        <w:pStyle w:val="Heading5"/>
      </w:pPr>
      <w:bookmarkStart w:id="990" w:name="_Toc158375180"/>
      <w:r>
        <w:rPr>
          <w:rStyle w:val="CharSectno"/>
        </w:rPr>
        <w:t>5</w:t>
      </w:r>
      <w:r>
        <w:t>.</w:t>
      </w:r>
      <w:r>
        <w:tab/>
        <w:t>References to particular Acts and to enactments</w:t>
      </w:r>
      <w:bookmarkEnd w:id="990"/>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Act of this jurisdiction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an Act of this jurisdiction for the citation of such an Act;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Commonwealth Act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 Commonwealth Act for the citation of such an Act,</w:t>
      </w:r>
    </w:p>
    <w:p>
      <w:pPr>
        <w:keepLines/>
        <w:autoSpaceDE w:val="0"/>
        <w:autoSpaceDN w:val="0"/>
        <w:adjustRightInd w:val="0"/>
        <w:spacing w:before="120"/>
        <w:ind w:left="2382"/>
        <w:rPr>
          <w:color w:val="000000"/>
          <w:sz w:val="23"/>
          <w:szCs w:val="23"/>
        </w:rPr>
      </w:pPr>
      <w:r>
        <w:rPr>
          <w:color w:val="000000"/>
          <w:sz w:val="23"/>
          <w:szCs w:val="23"/>
        </w:rPr>
        <w:t>together with a reference to the Commonwealth;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Act of another jurisdiction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an Act of the jurisdiction for the citation of such an Act,</w:t>
      </w:r>
    </w:p>
    <w:p>
      <w:pPr>
        <w:keepLines/>
        <w:autoSpaceDE w:val="0"/>
        <w:autoSpaceDN w:val="0"/>
        <w:adjustRightInd w:val="0"/>
        <w:spacing w:before="120"/>
        <w:ind w:left="2382"/>
        <w:rPr>
          <w:color w:val="000000"/>
          <w:sz w:val="23"/>
          <w:szCs w:val="23"/>
        </w:rPr>
      </w:pPr>
      <w:r>
        <w:rPr>
          <w:color w:val="000000"/>
          <w:sz w:val="23"/>
          <w:szCs w:val="23"/>
        </w:rPr>
        <w:t>together with a reference to the jurisdiction.</w:t>
      </w:r>
    </w:p>
    <w:p>
      <w:pPr>
        <w:pStyle w:val="Heading5"/>
      </w:pPr>
      <w:bookmarkStart w:id="991" w:name="_Toc158375181"/>
      <w:r>
        <w:rPr>
          <w:rStyle w:val="CharSectno"/>
        </w:rPr>
        <w:lastRenderedPageBreak/>
        <w:t>6</w:t>
      </w:r>
      <w:r>
        <w:t>.</w:t>
      </w:r>
      <w:r>
        <w:tab/>
        <w:t>References taken to be included in Act or Law citation etc</w:t>
      </w:r>
      <w:bookmarkEnd w:id="99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reference in this Law to an Act includes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Act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Act has been repealed and re</w:t>
      </w:r>
      <w:r>
        <w:rPr>
          <w:color w:val="000000"/>
          <w:sz w:val="23"/>
          <w:szCs w:val="23"/>
        </w:rPr>
        <w:noBreakHyphen/>
        <w:t>enacted (with or without modification) since the enactment of the reference, the Act as re</w:t>
      </w:r>
      <w:r>
        <w:rPr>
          <w:color w:val="000000"/>
          <w:sz w:val="23"/>
          <w:szCs w:val="23"/>
        </w:rPr>
        <w:noBreakHyphen/>
        <w:t>enacted, and as amended from time to time since its re</w:t>
      </w:r>
      <w:r>
        <w:rPr>
          <w:color w:val="000000"/>
          <w:sz w:val="23"/>
          <w:szCs w:val="23"/>
        </w:rPr>
        <w:noBreakHyphen/>
        <w:t>enactment.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reference in this Law to a provision of this Law or of an Act includes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provision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provision has been omitted and re</w:t>
      </w:r>
      <w:r>
        <w:rPr>
          <w:color w:val="000000"/>
          <w:sz w:val="23"/>
          <w:szCs w:val="23"/>
        </w:rPr>
        <w:noBreakHyphen/>
        <w:t>enacted (with or without modification) since the enactment of the reference, the provision as re</w:t>
      </w:r>
      <w:r>
        <w:rPr>
          <w:color w:val="000000"/>
          <w:sz w:val="23"/>
          <w:szCs w:val="23"/>
        </w:rPr>
        <w:noBreakHyphen/>
        <w:t>enacted, and as amended from time to time since its re</w:t>
      </w:r>
      <w:r>
        <w:rPr>
          <w:color w:val="000000"/>
          <w:sz w:val="23"/>
          <w:szCs w:val="23"/>
        </w:rPr>
        <w:noBreakHyphen/>
        <w:t>enactment.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Subclauses (1) and (2) apply to a reference in this Law to a law of the Commonwealth or another jurisdiction as they apply to a reference in this Law to an Act and to a provision of an Act.</w:t>
      </w:r>
    </w:p>
    <w:p>
      <w:pPr>
        <w:pStyle w:val="Heading5"/>
      </w:pPr>
      <w:bookmarkStart w:id="992" w:name="_Toc158375182"/>
      <w:r>
        <w:rPr>
          <w:rStyle w:val="CharSectno"/>
        </w:rPr>
        <w:t>7</w:t>
      </w:r>
      <w:r>
        <w:t>.</w:t>
      </w:r>
      <w:r>
        <w:tab/>
        <w:t>Interpretation best achieving Law’s purpose</w:t>
      </w:r>
      <w:bookmarkEnd w:id="99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the interpretation of a provision of this Law, the interpretation that will best achieve the purpose or object of this Law is to be preferred to any other interpretation.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applies whether or not the purpose is expressly stated in this Law.</w:t>
      </w:r>
    </w:p>
    <w:p>
      <w:pPr>
        <w:pStyle w:val="Heading5"/>
      </w:pPr>
      <w:bookmarkStart w:id="993" w:name="_Toc158375183"/>
      <w:r>
        <w:rPr>
          <w:rStyle w:val="CharSectno"/>
        </w:rPr>
        <w:lastRenderedPageBreak/>
        <w:t>8</w:t>
      </w:r>
      <w:r>
        <w:t>.</w:t>
      </w:r>
      <w:r>
        <w:tab/>
        <w:t>Use of extrinsic material in interpretation</w:t>
      </w:r>
      <w:bookmarkEnd w:id="99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Law extrinsic material</w:t>
      </w:r>
      <w:r>
        <w:rPr>
          <w:bCs/>
          <w:i/>
          <w:iCs/>
          <w:color w:val="000000"/>
          <w:sz w:val="23"/>
          <w:szCs w:val="23"/>
        </w:rPr>
        <w:t xml:space="preserve"> </w:t>
      </w:r>
      <w:r>
        <w:rPr>
          <w:color w:val="000000"/>
          <w:sz w:val="23"/>
          <w:szCs w:val="23"/>
        </w:rPr>
        <w:t>means relevant material not forming part of this Law, including, for example—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material that is set out in the document containing the text of this Law as printed by authority of the Government Printer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relevant report of a committee of the Legislative Council or House of Assembly of South Australia that was made to the Legislative Council or House of Assembly of South Australia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explanatory note or memorandum relating to the Bill that contained the provision, or any relevant document, that was laid before, or given to the members of, the Legislative Council or House of Assembly of South Australia by the member bringing in the Bill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speech made to the Legislative Council or House of Assembly of South Australia by the member in moving a motion that the Bill be read a second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material in the Votes and Proceedings of the Legislative Council or House of Assembly of South Australia or in any official record of debates in the Legislative Council or House of Assembly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document that is declared by the Regulations to be a relevant document for the purposes of this clause;</w:t>
      </w:r>
    </w:p>
    <w:p>
      <w:pPr>
        <w:keepLines/>
        <w:autoSpaceDE w:val="0"/>
        <w:autoSpaceDN w:val="0"/>
        <w:adjustRightInd w:val="0"/>
        <w:spacing w:before="120"/>
        <w:ind w:left="1588"/>
        <w:rPr>
          <w:color w:val="000000"/>
          <w:sz w:val="23"/>
          <w:szCs w:val="23"/>
        </w:rPr>
      </w:pPr>
      <w:r>
        <w:rPr>
          <w:rStyle w:val="CharDefText"/>
          <w:bCs/>
          <w:sz w:val="23"/>
        </w:rPr>
        <w:t>ordinary meaning</w:t>
      </w:r>
      <w:r>
        <w:rPr>
          <w:bCs/>
          <w:i/>
          <w:iCs/>
          <w:color w:val="000000"/>
          <w:sz w:val="23"/>
          <w:szCs w:val="23"/>
        </w:rPr>
        <w:t xml:space="preserve"> </w:t>
      </w:r>
      <w:r>
        <w:rPr>
          <w:color w:val="000000"/>
          <w:sz w:val="23"/>
          <w:szCs w:val="23"/>
        </w:rPr>
        <w:t>means the ordinary meaning conveyed by a provision having regard to its context in this Law and to the purpose of this Law;</w:t>
      </w:r>
    </w:p>
    <w:p>
      <w:pPr>
        <w:keepNext/>
        <w:keepLines/>
        <w:autoSpaceDE w:val="0"/>
        <w:autoSpaceDN w:val="0"/>
        <w:adjustRightInd w:val="0"/>
        <w:spacing w:before="120"/>
        <w:ind w:left="1588"/>
        <w:rPr>
          <w:color w:val="000000"/>
          <w:sz w:val="23"/>
          <w:szCs w:val="23"/>
        </w:rPr>
      </w:pPr>
      <w:r>
        <w:rPr>
          <w:rStyle w:val="CharDefText"/>
          <w:bCs/>
          <w:sz w:val="23"/>
        </w:rPr>
        <w:lastRenderedPageBreak/>
        <w:t>Rule extrinsic material</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draft Rule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final Rule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document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relied on by the AEMC in making a draft Rule determination or final Rule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adopted by the AEMC in making a draft Rule determination or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subclause (3), in the interpretation of a provision of this Law, consideration may be given to Law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Subject to subclause (4), in the interpretation of a provision of the Rules, consideration may be given to Law extrinsic material or Rule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(c)</w:t>
      </w:r>
      <w:r>
        <w:rPr>
          <w:color w:val="000000"/>
          <w:sz w:val="23"/>
          <w:szCs w:val="23"/>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determining whether consideration should be given to Law extrinsic material or Rule extrinsic material, and in determining the weight to be given to Law extrinsic material or Rule extrinsic material, regard is to be had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desirability of a provision being interpreted as having its ordinary meaning;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undesirability of prolonging proceedings without compensating advantage;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other relevant matters.</w:t>
      </w:r>
    </w:p>
    <w:p>
      <w:pPr>
        <w:pStyle w:val="Heading5"/>
      </w:pPr>
      <w:bookmarkStart w:id="994" w:name="_Toc158375184"/>
      <w:r>
        <w:rPr>
          <w:rStyle w:val="CharSectno"/>
        </w:rPr>
        <w:t>9</w:t>
      </w:r>
      <w:r>
        <w:t>.</w:t>
      </w:r>
      <w:r>
        <w:tab/>
        <w:t>Compliance with forms</w:t>
      </w:r>
      <w:bookmarkEnd w:id="99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form is prescribed or approved by or for the purpose of this Law, strict compliance with the form is not necessary and substantial compliance is sufficient.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form prescribed or approved by or for the purpose of this Law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form to be completed in a specified way;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specified information or documents to be included in, attached to or given with the form;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form, or information or documents included in, attached to or given with the form, to be verified in a specified way,</w:t>
      </w:r>
    </w:p>
    <w:p>
      <w:pPr>
        <w:keepLines/>
        <w:autoSpaceDE w:val="0"/>
        <w:autoSpaceDN w:val="0"/>
        <w:adjustRightInd w:val="0"/>
        <w:spacing w:before="120"/>
        <w:ind w:left="1588"/>
        <w:rPr>
          <w:color w:val="000000"/>
          <w:sz w:val="23"/>
          <w:szCs w:val="23"/>
        </w:rPr>
      </w:pPr>
      <w:r>
        <w:rPr>
          <w:color w:val="000000"/>
          <w:sz w:val="23"/>
          <w:szCs w:val="23"/>
        </w:rPr>
        <w:t>the form is not properly completed unless the requirement is complied with.</w:t>
      </w:r>
    </w:p>
    <w:p>
      <w:pPr>
        <w:pStyle w:val="Heading3"/>
      </w:pPr>
      <w:bookmarkStart w:id="995" w:name="_Toc156819545"/>
      <w:bookmarkStart w:id="996" w:name="_Toc156990965"/>
      <w:bookmarkStart w:id="997" w:name="_Toc158375185"/>
      <w:r>
        <w:rPr>
          <w:rStyle w:val="CharDivNo"/>
        </w:rPr>
        <w:t>Part 3</w:t>
      </w:r>
      <w:r>
        <w:t xml:space="preserve"> — </w:t>
      </w:r>
      <w:r>
        <w:rPr>
          <w:rStyle w:val="CharDivText"/>
        </w:rPr>
        <w:t>Terms and references</w:t>
      </w:r>
      <w:bookmarkEnd w:id="995"/>
      <w:bookmarkEnd w:id="996"/>
      <w:bookmarkEnd w:id="997"/>
    </w:p>
    <w:p>
      <w:pPr>
        <w:pStyle w:val="Heading5"/>
      </w:pPr>
      <w:bookmarkStart w:id="998" w:name="_Toc158375186"/>
      <w:r>
        <w:rPr>
          <w:rStyle w:val="CharSectno"/>
        </w:rPr>
        <w:t>10</w:t>
      </w:r>
      <w:r>
        <w:t>.</w:t>
      </w:r>
      <w:r>
        <w:tab/>
        <w:t>Definitions</w:t>
      </w:r>
      <w:bookmarkEnd w:id="998"/>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autoSpaceDE w:val="0"/>
        <w:autoSpaceDN w:val="0"/>
        <w:adjustRightInd w:val="0"/>
        <w:spacing w:before="120"/>
        <w:ind w:left="1588"/>
        <w:rPr>
          <w:color w:val="000000"/>
          <w:sz w:val="23"/>
          <w:szCs w:val="23"/>
        </w:rPr>
      </w:pPr>
      <w:r>
        <w:rPr>
          <w:rStyle w:val="CharDefText"/>
          <w:sz w:val="23"/>
        </w:rPr>
        <w:t>Act</w:t>
      </w:r>
      <w:r>
        <w:rPr>
          <w:color w:val="000000"/>
          <w:sz w:val="23"/>
          <w:szCs w:val="23"/>
        </w:rPr>
        <w:t xml:space="preserve"> means an Act of the Legislature of this jurisdiction;</w:t>
      </w:r>
    </w:p>
    <w:p>
      <w:pPr>
        <w:keepLines/>
        <w:autoSpaceDE w:val="0"/>
        <w:autoSpaceDN w:val="0"/>
        <w:adjustRightInd w:val="0"/>
        <w:spacing w:before="120"/>
        <w:ind w:left="1588"/>
        <w:rPr>
          <w:color w:val="000000"/>
          <w:sz w:val="23"/>
          <w:szCs w:val="23"/>
        </w:rPr>
      </w:pPr>
      <w:r>
        <w:rPr>
          <w:rStyle w:val="CharDefText"/>
          <w:bCs/>
          <w:sz w:val="23"/>
        </w:rPr>
        <w:lastRenderedPageBreak/>
        <w:t>affidavit</w:t>
      </w:r>
      <w:r>
        <w:rPr>
          <w:color w:val="000000"/>
          <w:sz w:val="23"/>
          <w:szCs w:val="23"/>
        </w:rPr>
        <w:t>, in relation to a person allowed by law to affirm, declare or promise, includes affirmation, declaration and promise;</w:t>
      </w:r>
    </w:p>
    <w:p>
      <w:pPr>
        <w:keepNext/>
        <w:keepLines/>
        <w:autoSpaceDE w:val="0"/>
        <w:autoSpaceDN w:val="0"/>
        <w:adjustRightInd w:val="0"/>
        <w:spacing w:before="120"/>
        <w:ind w:left="1588"/>
        <w:rPr>
          <w:color w:val="000000"/>
          <w:sz w:val="23"/>
          <w:szCs w:val="23"/>
        </w:rPr>
      </w:pPr>
      <w:r>
        <w:rPr>
          <w:rStyle w:val="CharDefText"/>
          <w:bCs/>
          <w:sz w:val="23"/>
        </w:rPr>
        <w:t>amend</w:t>
      </w:r>
      <w:r>
        <w:rPr>
          <w:bCs/>
          <w:i/>
          <w:iCs/>
          <w:color w:val="000000"/>
          <w:sz w:val="23"/>
          <w:szCs w:val="23"/>
        </w:rPr>
        <w:t xml:space="preserve"> </w:t>
      </w:r>
      <w:r>
        <w:rPr>
          <w:color w:val="000000"/>
          <w:sz w:val="23"/>
          <w:szCs w:val="23"/>
        </w:rPr>
        <w:t>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omit or omit and substitute;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alter or vary;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amend by implication;</w:t>
      </w:r>
    </w:p>
    <w:p>
      <w:pPr>
        <w:keepLines/>
        <w:autoSpaceDE w:val="0"/>
        <w:autoSpaceDN w:val="0"/>
        <w:adjustRightInd w:val="0"/>
        <w:spacing w:before="120"/>
        <w:ind w:left="1588"/>
        <w:rPr>
          <w:color w:val="000000"/>
          <w:sz w:val="23"/>
          <w:szCs w:val="23"/>
        </w:rPr>
      </w:pPr>
      <w:r>
        <w:rPr>
          <w:rStyle w:val="CharDefText"/>
          <w:bCs/>
          <w:sz w:val="23"/>
        </w:rPr>
        <w:t>appoint</w:t>
      </w:r>
      <w:r>
        <w:rPr>
          <w:color w:val="000000"/>
          <w:sz w:val="23"/>
          <w:szCs w:val="23"/>
        </w:rPr>
        <w:t xml:space="preserve"> includes re</w:t>
      </w:r>
      <w:r>
        <w:rPr>
          <w:color w:val="000000"/>
          <w:sz w:val="23"/>
          <w:szCs w:val="23"/>
        </w:rPr>
        <w:noBreakHyphen/>
        <w:t>appoint;</w:t>
      </w:r>
    </w:p>
    <w:p>
      <w:pPr>
        <w:keepLines/>
        <w:autoSpaceDE w:val="0"/>
        <w:autoSpaceDN w:val="0"/>
        <w:adjustRightInd w:val="0"/>
        <w:spacing w:before="120"/>
        <w:ind w:left="1588"/>
        <w:rPr>
          <w:color w:val="000000"/>
          <w:sz w:val="23"/>
          <w:szCs w:val="23"/>
        </w:rPr>
      </w:pPr>
      <w:r>
        <w:rPr>
          <w:rStyle w:val="CharDefText"/>
          <w:bCs/>
          <w:sz w:val="23"/>
        </w:rPr>
        <w:t>breach</w:t>
      </w:r>
      <w:r>
        <w:rPr>
          <w:color w:val="000000"/>
          <w:sz w:val="23"/>
          <w:szCs w:val="23"/>
        </w:rPr>
        <w:t xml:space="preserve"> includes fail to comply with;</w:t>
      </w:r>
    </w:p>
    <w:p>
      <w:pPr>
        <w:keepNext/>
        <w:keepLines/>
        <w:autoSpaceDE w:val="0"/>
        <w:autoSpaceDN w:val="0"/>
        <w:adjustRightInd w:val="0"/>
        <w:spacing w:before="120"/>
        <w:ind w:left="1588"/>
        <w:rPr>
          <w:color w:val="000000"/>
          <w:sz w:val="23"/>
          <w:szCs w:val="23"/>
        </w:rPr>
      </w:pPr>
      <w:r>
        <w:rPr>
          <w:rStyle w:val="CharDefText"/>
          <w:bCs/>
          <w:sz w:val="23"/>
        </w:rPr>
        <w:t>business day</w:t>
      </w:r>
      <w:r>
        <w:rPr>
          <w:bCs/>
          <w:i/>
          <w:iCs/>
          <w:color w:val="000000"/>
          <w:sz w:val="23"/>
          <w:szCs w:val="23"/>
        </w:rPr>
        <w:t xml:space="preserve"> </w:t>
      </w:r>
      <w:r>
        <w:rPr>
          <w:color w:val="000000"/>
          <w:sz w:val="23"/>
          <w:szCs w:val="23"/>
        </w:rPr>
        <w:t>means a day that is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Saturday or Sunday;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observed as a public holiday on the same day in each of the participating jurisdictions (except the Commonwealth);</w:t>
      </w:r>
    </w:p>
    <w:p>
      <w:pPr>
        <w:keepNext/>
        <w:keepLines/>
        <w:autoSpaceDE w:val="0"/>
        <w:autoSpaceDN w:val="0"/>
        <w:adjustRightInd w:val="0"/>
        <w:spacing w:before="120"/>
        <w:ind w:left="1588"/>
        <w:rPr>
          <w:color w:val="000000"/>
          <w:sz w:val="23"/>
          <w:szCs w:val="23"/>
        </w:rPr>
      </w:pPr>
      <w:r>
        <w:rPr>
          <w:rStyle w:val="CharDefText"/>
          <w:bCs/>
          <w:sz w:val="23"/>
        </w:rPr>
        <w:t>calendar month</w:t>
      </w:r>
      <w:r>
        <w:rPr>
          <w:bCs/>
          <w:i/>
          <w:iCs/>
          <w:color w:val="000000"/>
          <w:sz w:val="23"/>
          <w:szCs w:val="23"/>
        </w:rPr>
        <w:t xml:space="preserve"> </w:t>
      </w:r>
      <w:r>
        <w:rPr>
          <w:color w:val="000000"/>
          <w:sz w:val="23"/>
          <w:szCs w:val="23"/>
        </w:rPr>
        <w:t>means a period starting at the beginning of any day of 1 of the 12 named months and ending—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immediately before the beginning of the corresponding day of the next named month;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there is no such corresponding day, at the end of the next named month;</w:t>
      </w:r>
    </w:p>
    <w:p>
      <w:pPr>
        <w:keepLines/>
        <w:autoSpaceDE w:val="0"/>
        <w:autoSpaceDN w:val="0"/>
        <w:adjustRightInd w:val="0"/>
        <w:spacing w:before="120"/>
        <w:ind w:left="1588"/>
        <w:rPr>
          <w:color w:val="000000"/>
          <w:sz w:val="23"/>
          <w:szCs w:val="23"/>
        </w:rPr>
      </w:pPr>
      <w:r>
        <w:rPr>
          <w:rStyle w:val="CharDefText"/>
          <w:bCs/>
          <w:sz w:val="23"/>
        </w:rPr>
        <w:t>calendar year</w:t>
      </w:r>
      <w:r>
        <w:rPr>
          <w:bCs/>
          <w:i/>
          <w:iCs/>
          <w:color w:val="000000"/>
          <w:sz w:val="23"/>
          <w:szCs w:val="23"/>
        </w:rPr>
        <w:t xml:space="preserve"> </w:t>
      </w:r>
      <w:r>
        <w:rPr>
          <w:color w:val="000000"/>
          <w:sz w:val="23"/>
          <w:szCs w:val="23"/>
        </w:rPr>
        <w:t>means a period of 12 months beginning on 1 January;</w:t>
      </w:r>
    </w:p>
    <w:p>
      <w:pPr>
        <w:keepLines/>
        <w:autoSpaceDE w:val="0"/>
        <w:autoSpaceDN w:val="0"/>
        <w:adjustRightInd w:val="0"/>
        <w:spacing w:before="120"/>
        <w:ind w:left="1588"/>
        <w:rPr>
          <w:color w:val="000000"/>
          <w:sz w:val="23"/>
          <w:szCs w:val="23"/>
        </w:rPr>
      </w:pPr>
      <w:r>
        <w:rPr>
          <w:rStyle w:val="CharDefText"/>
          <w:bCs/>
          <w:sz w:val="23"/>
        </w:rPr>
        <w:t>commencement</w:t>
      </w:r>
      <w:r>
        <w:rPr>
          <w:color w:val="000000"/>
          <w:sz w:val="23"/>
          <w:szCs w:val="23"/>
        </w:rPr>
        <w:t>, in relation to this Law or an Act or a provision of this Law or an Act, means the time at which this Law, the Act or provision comes into operation;</w:t>
      </w:r>
    </w:p>
    <w:p>
      <w:pPr>
        <w:keepLines/>
        <w:autoSpaceDE w:val="0"/>
        <w:autoSpaceDN w:val="0"/>
        <w:adjustRightInd w:val="0"/>
        <w:spacing w:before="120"/>
        <w:ind w:left="1588"/>
        <w:rPr>
          <w:color w:val="000000"/>
          <w:sz w:val="23"/>
          <w:szCs w:val="23"/>
        </w:rPr>
      </w:pPr>
      <w:r>
        <w:rPr>
          <w:rStyle w:val="CharDefText"/>
          <w:bCs/>
          <w:sz w:val="23"/>
        </w:rPr>
        <w:t>confer</w:t>
      </w:r>
      <w:r>
        <w:rPr>
          <w:color w:val="000000"/>
          <w:sz w:val="23"/>
          <w:szCs w:val="23"/>
        </w:rPr>
        <w:t>, in relation to a function, includes impose;</w:t>
      </w:r>
    </w:p>
    <w:p>
      <w:pPr>
        <w:keepLines/>
        <w:autoSpaceDE w:val="0"/>
        <w:autoSpaceDN w:val="0"/>
        <w:adjustRightInd w:val="0"/>
        <w:spacing w:before="120"/>
        <w:ind w:left="1588"/>
        <w:rPr>
          <w:color w:val="000000"/>
          <w:sz w:val="23"/>
          <w:szCs w:val="23"/>
        </w:rPr>
      </w:pPr>
      <w:r>
        <w:rPr>
          <w:rStyle w:val="CharDefText"/>
          <w:bCs/>
          <w:sz w:val="23"/>
        </w:rPr>
        <w:t>contravene</w:t>
      </w:r>
      <w:r>
        <w:rPr>
          <w:bCs/>
          <w:i/>
          <w:iCs/>
          <w:color w:val="000000"/>
          <w:sz w:val="23"/>
          <w:szCs w:val="23"/>
        </w:rPr>
        <w:t xml:space="preserve"> </w:t>
      </w:r>
      <w:r>
        <w:rPr>
          <w:color w:val="000000"/>
          <w:sz w:val="23"/>
          <w:szCs w:val="23"/>
        </w:rPr>
        <w:t>includes fail to comply with;</w:t>
      </w:r>
    </w:p>
    <w:p>
      <w:pPr>
        <w:keepNext/>
        <w:keepLines/>
        <w:autoSpaceDE w:val="0"/>
        <w:autoSpaceDN w:val="0"/>
        <w:adjustRightInd w:val="0"/>
        <w:spacing w:before="120"/>
        <w:ind w:left="1588"/>
        <w:rPr>
          <w:color w:val="000000"/>
          <w:sz w:val="23"/>
          <w:szCs w:val="23"/>
        </w:rPr>
      </w:pPr>
      <w:r>
        <w:rPr>
          <w:rStyle w:val="CharDefText"/>
          <w:bCs/>
          <w:sz w:val="23"/>
        </w:rPr>
        <w:t>definition</w:t>
      </w:r>
      <w:r>
        <w:rPr>
          <w:bCs/>
          <w:i/>
          <w:iCs/>
          <w:color w:val="000000"/>
          <w:sz w:val="23"/>
          <w:szCs w:val="23"/>
        </w:rPr>
        <w:t xml:space="preserve"> </w:t>
      </w:r>
      <w:r>
        <w:rPr>
          <w:color w:val="000000"/>
          <w:sz w:val="23"/>
          <w:szCs w:val="23"/>
        </w:rPr>
        <w:t>means a provision of this Law (however expressed)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gives a meaning to a word or expression;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limits or extends the meaning of a word or expression;</w:t>
      </w:r>
    </w:p>
    <w:p>
      <w:pPr>
        <w:keepNext/>
        <w:keepLines/>
        <w:autoSpaceDE w:val="0"/>
        <w:autoSpaceDN w:val="0"/>
        <w:adjustRightInd w:val="0"/>
        <w:spacing w:before="120"/>
        <w:ind w:left="1588"/>
        <w:rPr>
          <w:color w:val="000000"/>
          <w:sz w:val="23"/>
          <w:szCs w:val="23"/>
        </w:rPr>
      </w:pPr>
      <w:r>
        <w:rPr>
          <w:rStyle w:val="CharDefText"/>
          <w:bCs/>
          <w:sz w:val="23"/>
        </w:rPr>
        <w:t>document</w:t>
      </w:r>
      <w:r>
        <w:rPr>
          <w:color w:val="000000"/>
          <w:sz w:val="23"/>
          <w:szCs w:val="23"/>
        </w:rPr>
        <w:t xml:space="preserve">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 paper or other material on which there is writing;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paper or other material on which there are marks, figures, symbols or perforations having a meaning for a person qualified to interpret them;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disc, tape or other article or any material from which sounds, images, writings or messages are capable of being reproduced (with or without the aid of another article or device);</w:t>
      </w:r>
    </w:p>
    <w:p>
      <w:pPr>
        <w:keepLines/>
        <w:autoSpaceDE w:val="0"/>
        <w:autoSpaceDN w:val="0"/>
        <w:adjustRightInd w:val="0"/>
        <w:spacing w:before="120"/>
        <w:ind w:left="1588"/>
        <w:rPr>
          <w:color w:val="000000"/>
          <w:sz w:val="23"/>
          <w:szCs w:val="23"/>
        </w:rPr>
      </w:pPr>
      <w:r>
        <w:rPr>
          <w:rStyle w:val="CharDefText"/>
          <w:bCs/>
          <w:sz w:val="23"/>
        </w:rPr>
        <w:t>estate</w:t>
      </w:r>
      <w:r>
        <w:rPr>
          <w:bCs/>
          <w:i/>
          <w:iCs/>
          <w:color w:val="000000"/>
          <w:sz w:val="23"/>
          <w:szCs w:val="23"/>
        </w:rPr>
        <w:t xml:space="preserve"> </w:t>
      </w:r>
      <w:r>
        <w:rPr>
          <w:color w:val="000000"/>
          <w:sz w:val="23"/>
          <w:szCs w:val="23"/>
        </w:rPr>
        <w:t>includes easement, charge, right, title, claim, demand, lien or encumbrance, whether at law or in equity;</w:t>
      </w:r>
    </w:p>
    <w:p>
      <w:pPr>
        <w:keepLines/>
        <w:autoSpaceDE w:val="0"/>
        <w:autoSpaceDN w:val="0"/>
        <w:adjustRightInd w:val="0"/>
        <w:spacing w:before="120"/>
        <w:ind w:left="1588"/>
        <w:rPr>
          <w:color w:val="000000"/>
          <w:sz w:val="23"/>
          <w:szCs w:val="23"/>
        </w:rPr>
      </w:pPr>
      <w:r>
        <w:rPr>
          <w:rStyle w:val="CharDefText"/>
          <w:bCs/>
          <w:sz w:val="23"/>
        </w:rPr>
        <w:t>expire</w:t>
      </w:r>
      <w:r>
        <w:rPr>
          <w:bCs/>
          <w:i/>
          <w:iCs/>
          <w:color w:val="000000"/>
          <w:sz w:val="23"/>
          <w:szCs w:val="23"/>
        </w:rPr>
        <w:t xml:space="preserve"> </w:t>
      </w:r>
      <w:r>
        <w:rPr>
          <w:color w:val="000000"/>
          <w:sz w:val="23"/>
          <w:szCs w:val="23"/>
        </w:rPr>
        <w:t>includes lapse or otherwise cease to have effect;</w:t>
      </w:r>
    </w:p>
    <w:p>
      <w:pPr>
        <w:keepLines/>
        <w:autoSpaceDE w:val="0"/>
        <w:autoSpaceDN w:val="0"/>
        <w:adjustRightInd w:val="0"/>
        <w:spacing w:before="120"/>
        <w:ind w:left="1588"/>
        <w:rPr>
          <w:color w:val="000000"/>
          <w:sz w:val="23"/>
          <w:szCs w:val="23"/>
        </w:rPr>
      </w:pPr>
      <w:r>
        <w:rPr>
          <w:rStyle w:val="CharDefText"/>
          <w:bCs/>
          <w:sz w:val="23"/>
        </w:rPr>
        <w:t>fail</w:t>
      </w:r>
      <w:r>
        <w:rPr>
          <w:color w:val="000000"/>
          <w:sz w:val="23"/>
          <w:szCs w:val="23"/>
        </w:rPr>
        <w:t xml:space="preserve"> includes refuse;</w:t>
      </w:r>
    </w:p>
    <w:p>
      <w:pPr>
        <w:keepLines/>
        <w:autoSpaceDE w:val="0"/>
        <w:autoSpaceDN w:val="0"/>
        <w:adjustRightInd w:val="0"/>
        <w:spacing w:before="120"/>
        <w:ind w:left="1588"/>
        <w:rPr>
          <w:color w:val="000000"/>
          <w:sz w:val="23"/>
          <w:szCs w:val="23"/>
        </w:rPr>
      </w:pPr>
      <w:r>
        <w:rPr>
          <w:rStyle w:val="CharDefText"/>
          <w:bCs/>
          <w:sz w:val="23"/>
        </w:rPr>
        <w:t>financial year</w:t>
      </w:r>
      <w:r>
        <w:rPr>
          <w:bCs/>
          <w:i/>
          <w:iCs/>
          <w:color w:val="000000"/>
          <w:sz w:val="23"/>
          <w:szCs w:val="23"/>
        </w:rPr>
        <w:t xml:space="preserve"> </w:t>
      </w:r>
      <w:r>
        <w:rPr>
          <w:color w:val="000000"/>
          <w:sz w:val="23"/>
          <w:szCs w:val="23"/>
        </w:rPr>
        <w:t>means a period of 12 months beginning on 1 July;</w:t>
      </w:r>
    </w:p>
    <w:p>
      <w:pPr>
        <w:keepLines/>
        <w:autoSpaceDE w:val="0"/>
        <w:autoSpaceDN w:val="0"/>
        <w:adjustRightInd w:val="0"/>
        <w:spacing w:before="120"/>
        <w:ind w:left="1588"/>
        <w:rPr>
          <w:color w:val="000000"/>
          <w:sz w:val="23"/>
          <w:szCs w:val="23"/>
        </w:rPr>
      </w:pPr>
      <w:r>
        <w:rPr>
          <w:rStyle w:val="CharDefText"/>
          <w:bCs/>
          <w:sz w:val="23"/>
        </w:rPr>
        <w:t>function</w:t>
      </w:r>
      <w:r>
        <w:rPr>
          <w:bCs/>
          <w:i/>
          <w:iCs/>
          <w:color w:val="000000"/>
          <w:sz w:val="23"/>
          <w:szCs w:val="23"/>
        </w:rPr>
        <w:t xml:space="preserve"> </w:t>
      </w:r>
      <w:r>
        <w:rPr>
          <w:color w:val="000000"/>
          <w:sz w:val="23"/>
          <w:szCs w:val="23"/>
        </w:rPr>
        <w:t>includes duty;</w:t>
      </w:r>
    </w:p>
    <w:p>
      <w:pPr>
        <w:keepLines/>
        <w:autoSpaceDE w:val="0"/>
        <w:autoSpaceDN w:val="0"/>
        <w:adjustRightInd w:val="0"/>
        <w:spacing w:before="120"/>
        <w:ind w:left="1588"/>
        <w:rPr>
          <w:color w:val="000000"/>
          <w:sz w:val="23"/>
          <w:szCs w:val="23"/>
        </w:rPr>
      </w:pPr>
      <w:r>
        <w:rPr>
          <w:rStyle w:val="CharDefText"/>
          <w:bCs/>
          <w:sz w:val="23"/>
        </w:rPr>
        <w:t>Gazette</w:t>
      </w:r>
      <w:r>
        <w:rPr>
          <w:bCs/>
          <w:i/>
          <w:iCs/>
          <w:color w:val="000000"/>
          <w:sz w:val="23"/>
          <w:szCs w:val="23"/>
        </w:rPr>
        <w:t xml:space="preserve"> </w:t>
      </w:r>
      <w:r>
        <w:rPr>
          <w:color w:val="000000"/>
          <w:sz w:val="23"/>
          <w:szCs w:val="23"/>
        </w:rPr>
        <w:t>means the Government Gazette of this jurisdiction;</w:t>
      </w:r>
    </w:p>
    <w:p>
      <w:pPr>
        <w:keepLines/>
        <w:autoSpaceDE w:val="0"/>
        <w:autoSpaceDN w:val="0"/>
        <w:adjustRightInd w:val="0"/>
        <w:spacing w:before="120"/>
        <w:ind w:left="1588"/>
        <w:rPr>
          <w:color w:val="000000"/>
          <w:sz w:val="23"/>
          <w:szCs w:val="23"/>
        </w:rPr>
      </w:pPr>
      <w:r>
        <w:rPr>
          <w:rStyle w:val="CharDefText"/>
          <w:bCs/>
          <w:sz w:val="23"/>
        </w:rPr>
        <w:t>instrument</w:t>
      </w:r>
      <w:r>
        <w:rPr>
          <w:bCs/>
          <w:i/>
          <w:iCs/>
          <w:color w:val="000000"/>
          <w:sz w:val="23"/>
          <w:szCs w:val="23"/>
        </w:rPr>
        <w:t xml:space="preserve"> </w:t>
      </w:r>
      <w:r>
        <w:rPr>
          <w:color w:val="000000"/>
          <w:sz w:val="23"/>
          <w:szCs w:val="23"/>
        </w:rPr>
        <w:t>includes a statutory instrument;</w:t>
      </w:r>
    </w:p>
    <w:p>
      <w:pPr>
        <w:keepNext/>
        <w:keepLines/>
        <w:autoSpaceDE w:val="0"/>
        <w:autoSpaceDN w:val="0"/>
        <w:adjustRightInd w:val="0"/>
        <w:spacing w:before="120"/>
        <w:ind w:left="1588"/>
        <w:rPr>
          <w:color w:val="000000"/>
          <w:sz w:val="23"/>
          <w:szCs w:val="23"/>
        </w:rPr>
      </w:pPr>
      <w:r>
        <w:rPr>
          <w:rStyle w:val="CharDefText"/>
          <w:bCs/>
          <w:sz w:val="23"/>
        </w:rPr>
        <w:t>interest</w:t>
      </w:r>
      <w:r>
        <w:rPr>
          <w:color w:val="000000"/>
          <w:sz w:val="23"/>
          <w:szCs w:val="23"/>
        </w:rPr>
        <w:t>, in relation to land or other property,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legal or equitable estate in the land or other property;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right, power or privilege over, or in relation to, the land or other property;</w:t>
      </w:r>
    </w:p>
    <w:p>
      <w:pPr>
        <w:keepLines/>
        <w:autoSpaceDE w:val="0"/>
        <w:autoSpaceDN w:val="0"/>
        <w:adjustRightInd w:val="0"/>
        <w:spacing w:before="120"/>
        <w:ind w:left="1588"/>
        <w:rPr>
          <w:color w:val="000000"/>
          <w:sz w:val="23"/>
          <w:szCs w:val="23"/>
        </w:rPr>
      </w:pPr>
      <w:r>
        <w:rPr>
          <w:rStyle w:val="CharDefText"/>
          <w:bCs/>
          <w:sz w:val="23"/>
        </w:rPr>
        <w:t>make</w:t>
      </w:r>
      <w:r>
        <w:rPr>
          <w:bCs/>
          <w:i/>
          <w:iCs/>
          <w:color w:val="000000"/>
          <w:sz w:val="23"/>
          <w:szCs w:val="23"/>
        </w:rPr>
        <w:t xml:space="preserve"> </w:t>
      </w:r>
      <w:r>
        <w:rPr>
          <w:color w:val="000000"/>
          <w:sz w:val="23"/>
          <w:szCs w:val="23"/>
        </w:rPr>
        <w:t>includes issue or grant;</w:t>
      </w:r>
    </w:p>
    <w:p>
      <w:pPr>
        <w:keepLines/>
        <w:autoSpaceDE w:val="0"/>
        <w:autoSpaceDN w:val="0"/>
        <w:adjustRightInd w:val="0"/>
        <w:spacing w:before="120"/>
        <w:ind w:left="1588"/>
        <w:rPr>
          <w:color w:val="000000"/>
          <w:sz w:val="23"/>
          <w:szCs w:val="23"/>
        </w:rPr>
      </w:pPr>
      <w:r>
        <w:rPr>
          <w:rStyle w:val="CharDefText"/>
          <w:bCs/>
          <w:sz w:val="23"/>
        </w:rPr>
        <w:t>minor</w:t>
      </w:r>
      <w:r>
        <w:rPr>
          <w:bCs/>
          <w:i/>
          <w:iCs/>
          <w:color w:val="000000"/>
          <w:sz w:val="23"/>
          <w:szCs w:val="23"/>
        </w:rPr>
        <w:t xml:space="preserve"> </w:t>
      </w:r>
      <w:r>
        <w:rPr>
          <w:color w:val="000000"/>
          <w:sz w:val="23"/>
          <w:szCs w:val="23"/>
        </w:rPr>
        <w:t>means an individual who is under 18 years of age;</w:t>
      </w:r>
    </w:p>
    <w:p>
      <w:pPr>
        <w:keepLines/>
        <w:autoSpaceDE w:val="0"/>
        <w:autoSpaceDN w:val="0"/>
        <w:adjustRightInd w:val="0"/>
        <w:spacing w:before="120"/>
        <w:ind w:left="1588"/>
        <w:rPr>
          <w:color w:val="000000"/>
          <w:sz w:val="23"/>
          <w:szCs w:val="23"/>
        </w:rPr>
      </w:pPr>
      <w:r>
        <w:rPr>
          <w:rStyle w:val="CharDefText"/>
          <w:bCs/>
          <w:sz w:val="23"/>
        </w:rPr>
        <w:t>modification</w:t>
      </w:r>
      <w:r>
        <w:rPr>
          <w:color w:val="000000"/>
          <w:sz w:val="23"/>
          <w:szCs w:val="23"/>
        </w:rPr>
        <w:t xml:space="preserve"> includes addition, omission or substitution;</w:t>
      </w:r>
    </w:p>
    <w:p>
      <w:pPr>
        <w:keepLines/>
        <w:autoSpaceDE w:val="0"/>
        <w:autoSpaceDN w:val="0"/>
        <w:adjustRightInd w:val="0"/>
        <w:spacing w:before="120"/>
        <w:ind w:left="1588"/>
        <w:rPr>
          <w:color w:val="000000"/>
          <w:sz w:val="23"/>
          <w:szCs w:val="23"/>
        </w:rPr>
      </w:pPr>
      <w:r>
        <w:rPr>
          <w:rStyle w:val="CharDefText"/>
          <w:bCs/>
          <w:sz w:val="23"/>
        </w:rPr>
        <w:lastRenderedPageBreak/>
        <w:t>month</w:t>
      </w:r>
      <w:r>
        <w:rPr>
          <w:color w:val="000000"/>
          <w:sz w:val="23"/>
          <w:szCs w:val="23"/>
        </w:rPr>
        <w:t xml:space="preserve"> means a calendar month;</w:t>
      </w:r>
    </w:p>
    <w:p>
      <w:pPr>
        <w:keepLines/>
        <w:autoSpaceDE w:val="0"/>
        <w:autoSpaceDN w:val="0"/>
        <w:adjustRightInd w:val="0"/>
        <w:spacing w:before="120"/>
        <w:ind w:left="1588"/>
        <w:rPr>
          <w:color w:val="000000"/>
          <w:sz w:val="23"/>
          <w:szCs w:val="23"/>
        </w:rPr>
      </w:pPr>
      <w:r>
        <w:rPr>
          <w:rStyle w:val="CharDefText"/>
          <w:bCs/>
          <w:sz w:val="23"/>
        </w:rPr>
        <w:t>named month</w:t>
      </w:r>
      <w:r>
        <w:rPr>
          <w:bCs/>
          <w:i/>
          <w:iCs/>
          <w:color w:val="000000"/>
          <w:sz w:val="23"/>
          <w:szCs w:val="23"/>
        </w:rPr>
        <w:t xml:space="preserve"> </w:t>
      </w:r>
      <w:r>
        <w:rPr>
          <w:color w:val="000000"/>
          <w:sz w:val="23"/>
          <w:szCs w:val="23"/>
        </w:rPr>
        <w:t>means 1 of the 12 months of the year;</w:t>
      </w:r>
    </w:p>
    <w:p>
      <w:pPr>
        <w:keepNext/>
        <w:keepLines/>
        <w:autoSpaceDE w:val="0"/>
        <w:autoSpaceDN w:val="0"/>
        <w:adjustRightInd w:val="0"/>
        <w:spacing w:before="120"/>
        <w:ind w:left="1588"/>
        <w:rPr>
          <w:color w:val="000000"/>
          <w:sz w:val="23"/>
          <w:szCs w:val="23"/>
        </w:rPr>
      </w:pPr>
      <w:r>
        <w:rPr>
          <w:rStyle w:val="CharDefText"/>
          <w:bCs/>
          <w:sz w:val="23"/>
        </w:rPr>
        <w:t>number</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number expressed in figures or words;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letter;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combination of a number so expressed and a letter;</w:t>
      </w:r>
    </w:p>
    <w:p>
      <w:pPr>
        <w:keepLines/>
        <w:autoSpaceDE w:val="0"/>
        <w:autoSpaceDN w:val="0"/>
        <w:adjustRightInd w:val="0"/>
        <w:spacing w:before="120"/>
        <w:ind w:left="1588"/>
        <w:rPr>
          <w:color w:val="000000"/>
          <w:sz w:val="23"/>
          <w:szCs w:val="23"/>
        </w:rPr>
      </w:pPr>
      <w:r>
        <w:rPr>
          <w:rStyle w:val="CharDefText"/>
          <w:bCs/>
          <w:sz w:val="23"/>
        </w:rPr>
        <w:t>oath</w:t>
      </w:r>
      <w:r>
        <w:rPr>
          <w:color w:val="000000"/>
          <w:sz w:val="23"/>
          <w:szCs w:val="23"/>
        </w:rPr>
        <w:t>, in relation to a person allowed by law to affirm, declare or promise, includes affirmation, declaration or promise;</w:t>
      </w:r>
    </w:p>
    <w:p>
      <w:pPr>
        <w:keepLines/>
        <w:autoSpaceDE w:val="0"/>
        <w:autoSpaceDN w:val="0"/>
        <w:adjustRightInd w:val="0"/>
        <w:spacing w:before="120"/>
        <w:ind w:left="1588"/>
        <w:rPr>
          <w:color w:val="000000"/>
          <w:sz w:val="23"/>
          <w:szCs w:val="23"/>
        </w:rPr>
      </w:pPr>
      <w:r>
        <w:rPr>
          <w:rStyle w:val="CharDefText"/>
          <w:bCs/>
          <w:sz w:val="23"/>
        </w:rPr>
        <w:t>office</w:t>
      </w:r>
      <w:r>
        <w:rPr>
          <w:color w:val="000000"/>
          <w:sz w:val="23"/>
          <w:szCs w:val="23"/>
        </w:rPr>
        <w:t xml:space="preserve"> includes position;</w:t>
      </w:r>
    </w:p>
    <w:p>
      <w:pPr>
        <w:keepLines/>
        <w:autoSpaceDE w:val="0"/>
        <w:autoSpaceDN w:val="0"/>
        <w:adjustRightInd w:val="0"/>
        <w:spacing w:before="120"/>
        <w:ind w:left="1588"/>
        <w:rPr>
          <w:color w:val="000000"/>
          <w:sz w:val="23"/>
          <w:szCs w:val="23"/>
        </w:rPr>
      </w:pPr>
      <w:r>
        <w:rPr>
          <w:rStyle w:val="CharDefText"/>
          <w:bCs/>
          <w:sz w:val="23"/>
        </w:rPr>
        <w:t>omit</w:t>
      </w:r>
      <w:r>
        <w:rPr>
          <w:color w:val="000000"/>
          <w:sz w:val="23"/>
          <w:szCs w:val="23"/>
        </w:rPr>
        <w:t>, in relation to a provision of this Law or an Act, includes repeal;</w:t>
      </w:r>
    </w:p>
    <w:p>
      <w:pPr>
        <w:keepLines/>
        <w:autoSpaceDE w:val="0"/>
        <w:autoSpaceDN w:val="0"/>
        <w:adjustRightInd w:val="0"/>
        <w:spacing w:before="120"/>
        <w:ind w:left="1588"/>
        <w:rPr>
          <w:color w:val="000000"/>
          <w:sz w:val="23"/>
          <w:szCs w:val="23"/>
        </w:rPr>
      </w:pPr>
      <w:r>
        <w:rPr>
          <w:rStyle w:val="CharDefText"/>
          <w:bCs/>
          <w:sz w:val="23"/>
        </w:rPr>
        <w:t>party</w:t>
      </w:r>
      <w:r>
        <w:rPr>
          <w:color w:val="000000"/>
          <w:sz w:val="23"/>
          <w:szCs w:val="23"/>
        </w:rPr>
        <w:t xml:space="preserve"> includes a body politic or body corporate as well as an individual;</w:t>
      </w:r>
    </w:p>
    <w:p>
      <w:pPr>
        <w:keepLines/>
        <w:autoSpaceDE w:val="0"/>
        <w:autoSpaceDN w:val="0"/>
        <w:adjustRightInd w:val="0"/>
        <w:spacing w:before="120"/>
        <w:ind w:left="1588"/>
        <w:rPr>
          <w:color w:val="000000"/>
          <w:sz w:val="23"/>
          <w:szCs w:val="23"/>
        </w:rPr>
      </w:pPr>
      <w:r>
        <w:rPr>
          <w:rStyle w:val="CharDefText"/>
          <w:bCs/>
          <w:sz w:val="23"/>
        </w:rPr>
        <w:t>penalty</w:t>
      </w:r>
      <w:r>
        <w:rPr>
          <w:color w:val="000000"/>
          <w:sz w:val="23"/>
          <w:szCs w:val="23"/>
        </w:rPr>
        <w:t xml:space="preserve"> includes a civil penalty, forfeiture or punishment;</w:t>
      </w:r>
    </w:p>
    <w:p>
      <w:pPr>
        <w:keepLines/>
        <w:autoSpaceDE w:val="0"/>
        <w:autoSpaceDN w:val="0"/>
        <w:adjustRightInd w:val="0"/>
        <w:spacing w:before="120"/>
        <w:ind w:left="1588"/>
        <w:rPr>
          <w:color w:val="000000"/>
          <w:sz w:val="23"/>
          <w:szCs w:val="23"/>
        </w:rPr>
      </w:pPr>
      <w:r>
        <w:rPr>
          <w:rStyle w:val="CharDefText"/>
          <w:bCs/>
          <w:sz w:val="23"/>
        </w:rPr>
        <w:t>person</w:t>
      </w:r>
      <w:r>
        <w:rPr>
          <w:color w:val="000000"/>
          <w:sz w:val="23"/>
          <w:szCs w:val="23"/>
        </w:rPr>
        <w:t xml:space="preserve"> includes a body politic or body corporate as well as an individual;</w:t>
      </w:r>
    </w:p>
    <w:p>
      <w:pPr>
        <w:keepLines/>
        <w:autoSpaceDE w:val="0"/>
        <w:autoSpaceDN w:val="0"/>
        <w:adjustRightInd w:val="0"/>
        <w:spacing w:before="120"/>
        <w:ind w:left="1588"/>
        <w:rPr>
          <w:color w:val="000000"/>
          <w:sz w:val="23"/>
          <w:szCs w:val="23"/>
        </w:rPr>
      </w:pPr>
      <w:r>
        <w:rPr>
          <w:rStyle w:val="CharDefText"/>
          <w:bCs/>
          <w:sz w:val="23"/>
        </w:rPr>
        <w:t>power</w:t>
      </w:r>
      <w:r>
        <w:rPr>
          <w:color w:val="000000"/>
          <w:sz w:val="23"/>
          <w:szCs w:val="23"/>
        </w:rPr>
        <w:t xml:space="preserve"> includes authority;</w:t>
      </w:r>
    </w:p>
    <w:p>
      <w:pPr>
        <w:keepLines/>
        <w:autoSpaceDE w:val="0"/>
        <w:autoSpaceDN w:val="0"/>
        <w:adjustRightInd w:val="0"/>
        <w:spacing w:before="120"/>
        <w:ind w:left="1588"/>
        <w:rPr>
          <w:color w:val="000000"/>
          <w:sz w:val="23"/>
          <w:szCs w:val="23"/>
        </w:rPr>
      </w:pPr>
      <w:r>
        <w:rPr>
          <w:rStyle w:val="CharDefText"/>
          <w:bCs/>
          <w:sz w:val="23"/>
        </w:rPr>
        <w:t>prescribed</w:t>
      </w:r>
      <w:r>
        <w:rPr>
          <w:color w:val="000000"/>
          <w:sz w:val="23"/>
          <w:szCs w:val="23"/>
        </w:rPr>
        <w:t xml:space="preserve"> means prescribed by the Regulations;</w:t>
      </w:r>
    </w:p>
    <w:p>
      <w:pPr>
        <w:keepLines/>
        <w:autoSpaceDE w:val="0"/>
        <w:autoSpaceDN w:val="0"/>
        <w:adjustRightInd w:val="0"/>
        <w:spacing w:before="120"/>
        <w:ind w:left="1588"/>
        <w:rPr>
          <w:color w:val="000000"/>
          <w:sz w:val="23"/>
          <w:szCs w:val="23"/>
        </w:rPr>
      </w:pPr>
      <w:r>
        <w:rPr>
          <w:rStyle w:val="CharDefText"/>
          <w:bCs/>
          <w:sz w:val="23"/>
        </w:rPr>
        <w:t>printed</w:t>
      </w:r>
      <w:r>
        <w:rPr>
          <w:color w:val="000000"/>
          <w:sz w:val="23"/>
          <w:szCs w:val="23"/>
        </w:rPr>
        <w:t xml:space="preserve"> includes typewritten, lithographed or reproduced by any mechanical means;</w:t>
      </w:r>
    </w:p>
    <w:p>
      <w:pPr>
        <w:keepLines/>
        <w:autoSpaceDE w:val="0"/>
        <w:autoSpaceDN w:val="0"/>
        <w:adjustRightInd w:val="0"/>
        <w:spacing w:before="120"/>
        <w:ind w:left="1588"/>
        <w:rPr>
          <w:color w:val="000000"/>
          <w:sz w:val="23"/>
          <w:szCs w:val="23"/>
        </w:rPr>
      </w:pPr>
      <w:r>
        <w:rPr>
          <w:rStyle w:val="CharDefText"/>
          <w:bCs/>
          <w:sz w:val="23"/>
        </w:rPr>
        <w:t>proceeding</w:t>
      </w:r>
      <w:r>
        <w:rPr>
          <w:color w:val="000000"/>
          <w:sz w:val="23"/>
          <w:szCs w:val="23"/>
        </w:rPr>
        <w:t xml:space="preserve"> means a legal or other action or proceeding;</w:t>
      </w:r>
    </w:p>
    <w:p>
      <w:pPr>
        <w:keepLines/>
        <w:autoSpaceDE w:val="0"/>
        <w:autoSpaceDN w:val="0"/>
        <w:adjustRightInd w:val="0"/>
        <w:spacing w:before="120"/>
        <w:ind w:left="1588"/>
        <w:rPr>
          <w:color w:val="000000"/>
          <w:sz w:val="23"/>
          <w:szCs w:val="23"/>
        </w:rPr>
      </w:pPr>
      <w:r>
        <w:rPr>
          <w:rStyle w:val="CharDefText"/>
          <w:bCs/>
          <w:sz w:val="23"/>
        </w:rPr>
        <w:t>property</w:t>
      </w:r>
      <w:r>
        <w:rPr>
          <w:color w:val="000000"/>
          <w:sz w:val="23"/>
          <w:szCs w:val="23"/>
        </w:rPr>
        <w:t xml:space="preserve"> means any legal or equitable estate or interest (whether present or future, vested or contingent, or tangible or intangible) in real or personal property of any description (including money), and includes things in action;</w:t>
      </w:r>
    </w:p>
    <w:p>
      <w:pPr>
        <w:keepNext/>
        <w:autoSpaceDE w:val="0"/>
        <w:autoSpaceDN w:val="0"/>
        <w:adjustRightInd w:val="0"/>
        <w:spacing w:before="120"/>
        <w:ind w:left="1588"/>
        <w:rPr>
          <w:color w:val="000000"/>
          <w:sz w:val="23"/>
          <w:szCs w:val="23"/>
        </w:rPr>
      </w:pPr>
      <w:r>
        <w:rPr>
          <w:rStyle w:val="CharDefText"/>
          <w:bCs/>
          <w:sz w:val="23"/>
        </w:rPr>
        <w:lastRenderedPageBreak/>
        <w:t>provision</w:t>
      </w:r>
      <w:r>
        <w:rPr>
          <w:color w:val="000000"/>
          <w:sz w:val="23"/>
          <w:szCs w:val="23"/>
        </w:rPr>
        <w:t>, in relation to this Law or an Act, means words or other matter that form or forms part of this Law or the Act, and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Part, Division, Subdivision, section, subsection, paragraph, subparagraph, subsubparagraph or Schedule of or to this Law or the 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section, clause, subclause, item, column, table or form of or in a Schedule to this Law or the 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long title and any preamble to the Act;</w:t>
      </w:r>
    </w:p>
    <w:p>
      <w:pPr>
        <w:keepLines/>
        <w:autoSpaceDE w:val="0"/>
        <w:autoSpaceDN w:val="0"/>
        <w:adjustRightInd w:val="0"/>
        <w:spacing w:before="120"/>
        <w:ind w:left="1588"/>
        <w:rPr>
          <w:color w:val="000000"/>
          <w:sz w:val="23"/>
          <w:szCs w:val="23"/>
        </w:rPr>
      </w:pPr>
      <w:r>
        <w:rPr>
          <w:rStyle w:val="CharDefText"/>
          <w:bCs/>
          <w:sz w:val="23"/>
        </w:rPr>
        <w:t>record</w:t>
      </w:r>
      <w:r>
        <w:rPr>
          <w:color w:val="000000"/>
          <w:sz w:val="23"/>
          <w:szCs w:val="23"/>
        </w:rPr>
        <w:t xml:space="preserve"> includes information stored or recorded by means of a computer;</w:t>
      </w:r>
    </w:p>
    <w:p>
      <w:pPr>
        <w:keepNext/>
        <w:keepLines/>
        <w:autoSpaceDE w:val="0"/>
        <w:autoSpaceDN w:val="0"/>
        <w:adjustRightInd w:val="0"/>
        <w:spacing w:before="120"/>
        <w:ind w:left="1588"/>
        <w:rPr>
          <w:color w:val="000000"/>
          <w:sz w:val="23"/>
          <w:szCs w:val="23"/>
        </w:rPr>
      </w:pPr>
      <w:r>
        <w:rPr>
          <w:rStyle w:val="CharDefText"/>
          <w:bCs/>
          <w:sz w:val="23"/>
        </w:rPr>
        <w:t>repeal</w:t>
      </w:r>
      <w:r>
        <w:rPr>
          <w:bCs/>
          <w:i/>
          <w:iCs/>
          <w:color w:val="000000"/>
          <w:sz w:val="23"/>
          <w:szCs w:val="23"/>
        </w:rPr>
        <w:t xml:space="preserve"> </w:t>
      </w:r>
      <w:r>
        <w:rPr>
          <w:color w:val="000000"/>
          <w:sz w:val="23"/>
          <w:szCs w:val="23"/>
        </w:rPr>
        <w:t>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revoke or rescind;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repeal by implication;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abrogate or limit the effect of the law or instrument concerned;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exclude from, or include in, the application of the law or instrument concerned, any person, subject matter or circumstance;</w:t>
      </w:r>
    </w:p>
    <w:p>
      <w:pPr>
        <w:keepLines/>
        <w:autoSpaceDE w:val="0"/>
        <w:autoSpaceDN w:val="0"/>
        <w:adjustRightInd w:val="0"/>
        <w:spacing w:before="120"/>
        <w:ind w:left="1588"/>
        <w:rPr>
          <w:color w:val="000000"/>
          <w:sz w:val="23"/>
          <w:szCs w:val="23"/>
        </w:rPr>
      </w:pPr>
      <w:r>
        <w:rPr>
          <w:rStyle w:val="CharDefText"/>
          <w:bCs/>
          <w:sz w:val="23"/>
        </w:rPr>
        <w:t>sign</w:t>
      </w:r>
      <w:r>
        <w:rPr>
          <w:color w:val="000000"/>
          <w:sz w:val="23"/>
          <w:szCs w:val="23"/>
        </w:rPr>
        <w:t xml:space="preserve"> includes the affixing of a seal or the making of a mark;</w:t>
      </w:r>
    </w:p>
    <w:p>
      <w:pPr>
        <w:keepLines/>
        <w:autoSpaceDE w:val="0"/>
        <w:autoSpaceDN w:val="0"/>
        <w:adjustRightInd w:val="0"/>
        <w:spacing w:before="120"/>
        <w:ind w:left="1588"/>
        <w:rPr>
          <w:color w:val="000000"/>
          <w:sz w:val="23"/>
          <w:szCs w:val="23"/>
        </w:rPr>
      </w:pPr>
      <w:r>
        <w:rPr>
          <w:rStyle w:val="CharDefText"/>
          <w:bCs/>
          <w:sz w:val="23"/>
        </w:rPr>
        <w:t>statutory declaration</w:t>
      </w:r>
      <w:r>
        <w:rPr>
          <w:bCs/>
          <w:i/>
          <w:iCs/>
          <w:color w:val="000000"/>
          <w:sz w:val="23"/>
          <w:szCs w:val="23"/>
        </w:rPr>
        <w:t xml:space="preserve"> </w:t>
      </w:r>
      <w:r>
        <w:rPr>
          <w:color w:val="000000"/>
          <w:sz w:val="23"/>
          <w:szCs w:val="23"/>
        </w:rPr>
        <w:t>means a declaration made under an Act, or under a Commonwealth Act or an Act of another jurisdiction, that authorises a declaration to be made otherwise than in the course of a judicial proceeding;</w:t>
      </w:r>
    </w:p>
    <w:p>
      <w:pPr>
        <w:keepLines/>
        <w:autoSpaceDE w:val="0"/>
        <w:autoSpaceDN w:val="0"/>
        <w:adjustRightInd w:val="0"/>
        <w:spacing w:before="120"/>
        <w:ind w:left="1588"/>
        <w:rPr>
          <w:color w:val="000000"/>
          <w:sz w:val="23"/>
          <w:szCs w:val="23"/>
        </w:rPr>
      </w:pPr>
      <w:r>
        <w:rPr>
          <w:rStyle w:val="CharDefText"/>
          <w:bCs/>
          <w:sz w:val="23"/>
        </w:rPr>
        <w:t>statutory instrument</w:t>
      </w:r>
      <w:r>
        <w:rPr>
          <w:bCs/>
          <w:i/>
          <w:iCs/>
          <w:color w:val="000000"/>
          <w:sz w:val="23"/>
          <w:szCs w:val="23"/>
        </w:rPr>
        <w:t xml:space="preserve"> </w:t>
      </w:r>
      <w:r>
        <w:rPr>
          <w:color w:val="000000"/>
          <w:sz w:val="23"/>
          <w:szCs w:val="23"/>
        </w:rPr>
        <w:t>means the Regulations or an instrument made or in force under this Law;</w:t>
      </w:r>
    </w:p>
    <w:p>
      <w:pPr>
        <w:keepLines/>
        <w:autoSpaceDE w:val="0"/>
        <w:autoSpaceDN w:val="0"/>
        <w:adjustRightInd w:val="0"/>
        <w:spacing w:before="120"/>
        <w:ind w:left="1588"/>
        <w:rPr>
          <w:color w:val="000000"/>
          <w:sz w:val="23"/>
          <w:szCs w:val="23"/>
        </w:rPr>
      </w:pPr>
      <w:r>
        <w:rPr>
          <w:rStyle w:val="CharDefText"/>
          <w:bCs/>
          <w:sz w:val="23"/>
        </w:rPr>
        <w:t>swear</w:t>
      </w:r>
      <w:r>
        <w:rPr>
          <w:color w:val="000000"/>
          <w:sz w:val="23"/>
          <w:szCs w:val="23"/>
        </w:rPr>
        <w:t>, in relation to a person allowed by law to affirm, declare or promise, includes affirm, declare or promise;</w:t>
      </w:r>
    </w:p>
    <w:p>
      <w:pPr>
        <w:keepLines/>
        <w:autoSpaceDE w:val="0"/>
        <w:autoSpaceDN w:val="0"/>
        <w:adjustRightInd w:val="0"/>
        <w:spacing w:before="120"/>
        <w:ind w:left="1588"/>
        <w:rPr>
          <w:color w:val="000000"/>
          <w:sz w:val="23"/>
          <w:szCs w:val="23"/>
        </w:rPr>
      </w:pPr>
      <w:r>
        <w:rPr>
          <w:rStyle w:val="CharDefText"/>
          <w:bCs/>
          <w:sz w:val="23"/>
        </w:rPr>
        <w:t>word</w:t>
      </w:r>
      <w:r>
        <w:rPr>
          <w:bCs/>
          <w:i/>
          <w:iCs/>
          <w:color w:val="000000"/>
          <w:sz w:val="23"/>
          <w:szCs w:val="23"/>
        </w:rPr>
        <w:t xml:space="preserve"> </w:t>
      </w:r>
      <w:r>
        <w:rPr>
          <w:color w:val="000000"/>
          <w:sz w:val="23"/>
          <w:szCs w:val="23"/>
        </w:rPr>
        <w:t>includes any symbol, figure or drawing;</w:t>
      </w:r>
    </w:p>
    <w:p>
      <w:pPr>
        <w:keepLines/>
        <w:autoSpaceDE w:val="0"/>
        <w:autoSpaceDN w:val="0"/>
        <w:adjustRightInd w:val="0"/>
        <w:spacing w:before="120"/>
        <w:ind w:left="1588"/>
        <w:rPr>
          <w:color w:val="000000"/>
          <w:sz w:val="23"/>
          <w:szCs w:val="23"/>
        </w:rPr>
      </w:pPr>
      <w:r>
        <w:rPr>
          <w:rStyle w:val="CharDefText"/>
          <w:bCs/>
          <w:sz w:val="23"/>
        </w:rPr>
        <w:lastRenderedPageBreak/>
        <w:t>writing</w:t>
      </w:r>
      <w:r>
        <w:rPr>
          <w:color w:val="000000"/>
          <w:sz w:val="23"/>
          <w:szCs w:val="23"/>
        </w:rPr>
        <w:t xml:space="preserve"> includes any mode of representing or reproducing words in a visible form.</w:t>
      </w:r>
    </w:p>
    <w:p>
      <w:pPr>
        <w:pStyle w:val="Heading5"/>
      </w:pPr>
      <w:bookmarkStart w:id="999" w:name="_Toc158375187"/>
      <w:r>
        <w:rPr>
          <w:rStyle w:val="CharSectno"/>
        </w:rPr>
        <w:t>11</w:t>
      </w:r>
      <w:r>
        <w:t>.</w:t>
      </w:r>
      <w:r>
        <w:tab/>
        <w:t>Provisions relating to defined terms and gender and number</w:t>
      </w:r>
      <w:bookmarkEnd w:id="99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defines a word or expression, other parts of speech and grammatical forms of the word or expression have corresponding meanings.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Definitions in or applicable to this Law apply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Law, words indicating a gender include each other gender.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words in the singular include the plural;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words in the plural include the singular.</w:t>
      </w:r>
    </w:p>
    <w:p>
      <w:pPr>
        <w:pStyle w:val="Heading5"/>
      </w:pPr>
      <w:bookmarkStart w:id="1000" w:name="_Toc158375188"/>
      <w:r>
        <w:rPr>
          <w:rStyle w:val="CharSectno"/>
        </w:rPr>
        <w:t>12</w:t>
      </w:r>
      <w:r>
        <w:t>.</w:t>
      </w:r>
      <w:r>
        <w:tab/>
        <w:t>Meaning of may and must etc</w:t>
      </w:r>
      <w:bookmarkEnd w:id="100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 the word “may”, or a similar word or expression, used in relation to a power indicates that the power may be exercised or not exercised, at discretion.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Law, the word “must”, or a similar word or expression, used in relation to a power indicates that the power is required to be exercised.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This clause has effect despite any rule of construction to the contrary.</w:t>
      </w:r>
    </w:p>
    <w:p>
      <w:pPr>
        <w:pStyle w:val="Heading5"/>
      </w:pPr>
      <w:bookmarkStart w:id="1001" w:name="_Toc158375189"/>
      <w:r>
        <w:rPr>
          <w:rStyle w:val="CharSectno"/>
        </w:rPr>
        <w:t>13</w:t>
      </w:r>
      <w:r>
        <w:t>.</w:t>
      </w:r>
      <w:r>
        <w:tab/>
        <w:t>Words and expressions used in statutory instruments</w:t>
      </w:r>
      <w:bookmarkEnd w:id="100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Words and expressions used in a statutory instrument have the same meanings as they have, from time to time, in this Law, or relevant provisions of this Law, under or for the purposes of which the instrument is made or in force.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clause has effect in relation to an instrument except so far as the contrary intention appears in the instrument.</w:t>
      </w:r>
    </w:p>
    <w:p>
      <w:pPr>
        <w:pStyle w:val="Heading5"/>
      </w:pPr>
      <w:bookmarkStart w:id="1002" w:name="_Toc158375190"/>
      <w:r>
        <w:rPr>
          <w:rStyle w:val="CharSectno"/>
        </w:rPr>
        <w:lastRenderedPageBreak/>
        <w:t>14</w:t>
      </w:r>
      <w:r>
        <w:t>.</w:t>
      </w:r>
      <w:r>
        <w:tab/>
        <w:t>References to Minister</w:t>
      </w:r>
      <w:bookmarkEnd w:id="100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a Minister is a reference to a Minister of the Crown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a particular Minister by title, or to “the Minister” without specifying a particular Minister by title, includes a reference to another Minister, or a member of the Executive Council of this jurisdiction, who is acting for and on behalf of the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 provision of this Law, a reference to “the Minister”, without specifying a particular Minister by title is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Minister of this jurisdiction administering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for the time being, different Ministers of this jurisdiction administer the provision in relation to different matters—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if only 1 Minister of this jurisdiction administers the provision in relation to the relevant matter, the Minister;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if 2 or more Ministers of this jurisdiction administer the provision in relation to the relevant matter, any 1 of those Ministers;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if paragraph (b) does not apply and, for the time being, 2 or more Ministers administer the provision, any 1 of the Ministers.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removal of doubt, it is declared that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is administered by 2 or more Ministers of this jurisdiction; and</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the provision requires or permits anything to be done in relation to any of the Ministers,</w:t>
      </w:r>
    </w:p>
    <w:p>
      <w:pPr>
        <w:keepLines/>
        <w:autoSpaceDE w:val="0"/>
        <w:autoSpaceDN w:val="0"/>
        <w:adjustRightInd w:val="0"/>
        <w:spacing w:before="120"/>
        <w:ind w:left="1588"/>
        <w:rPr>
          <w:color w:val="000000"/>
          <w:sz w:val="23"/>
          <w:szCs w:val="23"/>
        </w:rPr>
      </w:pPr>
      <w:r>
        <w:rPr>
          <w:color w:val="000000"/>
          <w:sz w:val="23"/>
          <w:szCs w:val="23"/>
        </w:rPr>
        <w:t>the provision does not require or permit it to be done in a particular case by or in relation to more than 1 of the Ministers.</w:t>
      </w:r>
    </w:p>
    <w:p>
      <w:pPr>
        <w:pStyle w:val="Heading5"/>
      </w:pPr>
      <w:bookmarkStart w:id="1003" w:name="_Toc158375191"/>
      <w:r>
        <w:rPr>
          <w:rStyle w:val="CharSectno"/>
        </w:rPr>
        <w:t>15</w:t>
      </w:r>
      <w:r>
        <w:t>.</w:t>
      </w:r>
      <w:r>
        <w:tab/>
        <w:t>Production of records kept in computers etc</w:t>
      </w:r>
      <w:bookmarkEnd w:id="1003"/>
    </w:p>
    <w:p>
      <w:pPr>
        <w:keepNext/>
        <w:keepLines/>
        <w:autoSpaceDE w:val="0"/>
        <w:autoSpaceDN w:val="0"/>
        <w:adjustRightInd w:val="0"/>
        <w:spacing w:before="120"/>
        <w:ind w:left="1588"/>
        <w:rPr>
          <w:color w:val="000000"/>
          <w:sz w:val="23"/>
          <w:szCs w:val="23"/>
        </w:rPr>
      </w:pPr>
      <w:r>
        <w:rPr>
          <w:color w:val="000000"/>
          <w:sz w:val="23"/>
          <w:szCs w:val="23"/>
        </w:rPr>
        <w:t>If a person who keeps a record of information by means of a mechanical, electronic or other device is required by or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produce the information or a document containing the information to a court, tribunal or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document containing the information available for inspection by a court, tribunal or person,</w:t>
      </w:r>
    </w:p>
    <w:p>
      <w:pPr>
        <w:keepLines/>
        <w:autoSpaceDE w:val="0"/>
        <w:autoSpaceDN w:val="0"/>
        <w:adjustRightInd w:val="0"/>
        <w:spacing w:before="120"/>
        <w:ind w:left="1588"/>
        <w:rPr>
          <w:color w:val="000000"/>
          <w:sz w:val="23"/>
          <w:szCs w:val="23"/>
        </w:rPr>
      </w:pPr>
      <w:r>
        <w:rPr>
          <w:color w:val="000000"/>
          <w:sz w:val="23"/>
          <w:szCs w:val="23"/>
        </w:rPr>
        <w:t>then, unless the court, tribunal or person otherwise directs—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obliges the person to produce or make available for inspection, as the case may be, a document that reproduces the information in a form capable of being understood by the court, tribunal or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production to the court, tribunal or person of the document in that form complies with the requirement.</w:t>
      </w:r>
    </w:p>
    <w:p>
      <w:pPr>
        <w:pStyle w:val="Heading5"/>
      </w:pPr>
      <w:bookmarkStart w:id="1004" w:name="_Toc158375192"/>
      <w:r>
        <w:rPr>
          <w:rStyle w:val="CharSectno"/>
        </w:rPr>
        <w:t>16</w:t>
      </w:r>
      <w:r>
        <w:t>.</w:t>
      </w:r>
      <w:r>
        <w:tab/>
        <w:t>References to this jurisdiction to be implied</w:t>
      </w:r>
      <w:bookmarkEnd w:id="1004"/>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an officer, office or statutory body is a reference to such an officer, office or statutory body in and for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a reference to a locality or other matter or thing is a reference to such a locality or other matter or thing in and of this jurisdiction.</w:t>
      </w:r>
    </w:p>
    <w:p>
      <w:pPr>
        <w:pStyle w:val="Heading5"/>
      </w:pPr>
      <w:bookmarkStart w:id="1005" w:name="_Toc158375193"/>
      <w:r>
        <w:rPr>
          <w:rStyle w:val="CharSectno"/>
        </w:rPr>
        <w:t>17</w:t>
      </w:r>
      <w:r>
        <w:t>.</w:t>
      </w:r>
      <w:r>
        <w:tab/>
        <w:t>References to officers and holders of offices</w:t>
      </w:r>
      <w:bookmarkEnd w:id="1005"/>
    </w:p>
    <w:p>
      <w:pPr>
        <w:keepLines/>
        <w:autoSpaceDE w:val="0"/>
        <w:autoSpaceDN w:val="0"/>
        <w:adjustRightInd w:val="0"/>
        <w:spacing w:before="120"/>
        <w:ind w:left="1588"/>
        <w:rPr>
          <w:color w:val="000000"/>
          <w:sz w:val="23"/>
          <w:szCs w:val="23"/>
        </w:rPr>
      </w:pPr>
      <w:r>
        <w:rPr>
          <w:color w:val="000000"/>
          <w:sz w:val="23"/>
          <w:szCs w:val="23"/>
        </w:rPr>
        <w:t>In this Law, a reference to a particular officer, or to the holder of a particular office, includes a reference to the person for the time being occupying or acting in the office concerned.</w:t>
      </w:r>
    </w:p>
    <w:p>
      <w:pPr>
        <w:pStyle w:val="Heading5"/>
      </w:pPr>
      <w:bookmarkStart w:id="1006" w:name="_Toc158375194"/>
      <w:r>
        <w:rPr>
          <w:rStyle w:val="CharSectno"/>
        </w:rPr>
        <w:t>18</w:t>
      </w:r>
      <w:r>
        <w:t>.</w:t>
      </w:r>
      <w:r>
        <w:tab/>
        <w:t>Reference to certain provisions of Law</w:t>
      </w:r>
      <w:bookmarkEnd w:id="1006"/>
    </w:p>
    <w:p>
      <w:pPr>
        <w:keepNext/>
        <w:keepLines/>
        <w:autoSpaceDE w:val="0"/>
        <w:autoSpaceDN w:val="0"/>
        <w:adjustRightInd w:val="0"/>
        <w:spacing w:before="120"/>
        <w:ind w:left="1588"/>
        <w:rPr>
          <w:color w:val="000000"/>
          <w:sz w:val="23"/>
          <w:szCs w:val="23"/>
        </w:rPr>
      </w:pPr>
      <w:r>
        <w:rPr>
          <w:color w:val="000000"/>
          <w:sz w:val="23"/>
          <w:szCs w:val="23"/>
        </w:rPr>
        <w:t>If a provision of this Law refers—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a Chapter, Part, section or Schedule by a number and without reference to this Law, the reference is a reference to the Chapter, Part, section or Schedule, designated by the number, of or to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 Schedule without reference to it by a number and without reference to this Law, the reference, if there is only 1 Schedule to this Law, is a reference to the Schedule;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a Division, Subdivision, subsection, paragraph, subparagraph, subsubparagraph, clause, subclause, item, column, table or form by a number and without reference to this Law, the reference is a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Division, designated by the number, of the Part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Subdivision, designated by the number, of the Division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subsection, designated by the number, of the section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lastRenderedPageBreak/>
        <w:tab/>
        <w:t>(iv)</w:t>
      </w:r>
      <w:r>
        <w:rPr>
          <w:color w:val="000000"/>
          <w:sz w:val="23"/>
          <w:szCs w:val="23"/>
        </w:rPr>
        <w:tab/>
        <w:t>the paragraph, designated by the number, of the section, subsection, Schedule or other provision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paragraph, designated by the number, of the clause, subclause, item, column, table or form of or in the Schedule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w:t>
      </w:r>
      <w:r>
        <w:rPr>
          <w:color w:val="000000"/>
          <w:sz w:val="23"/>
          <w:szCs w:val="23"/>
        </w:rPr>
        <w:tab/>
        <w:t>the subparagraph, designated by the number, of the 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(vii)</w:t>
      </w:r>
      <w:r>
        <w:rPr>
          <w:color w:val="000000"/>
          <w:sz w:val="23"/>
          <w:szCs w:val="23"/>
        </w:rPr>
        <w:tab/>
        <w:t>the subsubparagraph, designated by the number, of the subparagraph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(viii)</w:t>
      </w:r>
      <w:r>
        <w:rPr>
          <w:color w:val="000000"/>
          <w:sz w:val="23"/>
          <w:szCs w:val="23"/>
        </w:rPr>
        <w:tab/>
        <w:t>the section, clause, subclause, item, column, table or form, designated by the number, of or in the Schedule in which the reference occurs,</w:t>
      </w:r>
    </w:p>
    <w:p>
      <w:pPr>
        <w:keepLines/>
        <w:autoSpaceDE w:val="0"/>
        <w:autoSpaceDN w:val="0"/>
        <w:adjustRightInd w:val="0"/>
        <w:spacing w:before="120"/>
        <w:ind w:left="2382"/>
        <w:rPr>
          <w:color w:val="000000"/>
          <w:sz w:val="23"/>
          <w:szCs w:val="23"/>
        </w:rPr>
      </w:pPr>
      <w:r>
        <w:rPr>
          <w:color w:val="000000"/>
          <w:sz w:val="23"/>
          <w:szCs w:val="23"/>
        </w:rPr>
        <w:t>as the case requires.</w:t>
      </w:r>
    </w:p>
    <w:p>
      <w:pPr>
        <w:pStyle w:val="Heading3"/>
      </w:pPr>
      <w:bookmarkStart w:id="1007" w:name="_Toc156819555"/>
      <w:bookmarkStart w:id="1008" w:name="_Toc156990975"/>
      <w:bookmarkStart w:id="1009" w:name="_Toc158375195"/>
      <w:r>
        <w:rPr>
          <w:rStyle w:val="CharDivNo"/>
        </w:rPr>
        <w:t>Part 4</w:t>
      </w:r>
      <w:r>
        <w:t xml:space="preserve"> — </w:t>
      </w:r>
      <w:r>
        <w:rPr>
          <w:rStyle w:val="CharDivText"/>
        </w:rPr>
        <w:t>Functions and powers</w:t>
      </w:r>
      <w:bookmarkEnd w:id="1007"/>
      <w:bookmarkEnd w:id="1008"/>
      <w:bookmarkEnd w:id="1009"/>
    </w:p>
    <w:p>
      <w:pPr>
        <w:pStyle w:val="Heading5"/>
      </w:pPr>
      <w:bookmarkStart w:id="1010" w:name="_Toc158375196"/>
      <w:r>
        <w:rPr>
          <w:rStyle w:val="CharSectno"/>
        </w:rPr>
        <w:t>19</w:t>
      </w:r>
      <w:r>
        <w:t>.</w:t>
      </w:r>
      <w:r>
        <w:tab/>
        <w:t>Performance of statutory functions</w:t>
      </w:r>
      <w:bookmarkEnd w:id="101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confers a function or power on a person or body, the function may be performed, or the power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this Law confers a function or power on a particular officer or the holder of a particular office, the function may be performed, or the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this Law confers a function or power on a body (whether or not incorporated), the performance of the function, or the exercise of the power, is not affected merely because of vacancies in the membership of the body.</w:t>
      </w:r>
    </w:p>
    <w:p>
      <w:pPr>
        <w:pStyle w:val="Heading5"/>
      </w:pPr>
      <w:bookmarkStart w:id="1011" w:name="_Toc158375197"/>
      <w:r>
        <w:rPr>
          <w:rStyle w:val="CharSectno"/>
        </w:rPr>
        <w:lastRenderedPageBreak/>
        <w:t>20</w:t>
      </w:r>
      <w:r>
        <w:t>.</w:t>
      </w:r>
      <w:r>
        <w:tab/>
        <w:t>Power to make instrument or decision includes power to amend or repeal</w:t>
      </w:r>
      <w:bookmarkEnd w:id="1011"/>
    </w:p>
    <w:p>
      <w:pPr>
        <w:keepNext/>
        <w:keepLines/>
        <w:autoSpaceDE w:val="0"/>
        <w:autoSpaceDN w:val="0"/>
        <w:adjustRightInd w:val="0"/>
        <w:spacing w:before="120"/>
        <w:ind w:left="1588"/>
        <w:rPr>
          <w:color w:val="000000"/>
          <w:sz w:val="23"/>
          <w:szCs w:val="23"/>
        </w:rPr>
      </w:pPr>
      <w:r>
        <w:rPr>
          <w:color w:val="000000"/>
          <w:sz w:val="23"/>
          <w:szCs w:val="23"/>
        </w:rPr>
        <w:t>If this Law authorises or requires the making of an instrument, decision or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power includes power to amend or repeal the instrument, decision or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power to amend or repeal the instrument, decision or determination is exercisable in the same way, and subject to the same conditions, as the power to make the instrument, decision or determination.</w:t>
      </w:r>
    </w:p>
    <w:p>
      <w:pPr>
        <w:pStyle w:val="Heading5"/>
      </w:pPr>
      <w:bookmarkStart w:id="1012" w:name="_Toc158375198"/>
      <w:r>
        <w:rPr>
          <w:rStyle w:val="CharSectno"/>
        </w:rPr>
        <w:t>21</w:t>
      </w:r>
      <w:r>
        <w:t>.</w:t>
      </w:r>
      <w:r>
        <w:tab/>
        <w:t>Matters for which statutory instruments may make provision</w:t>
      </w:r>
      <w:bookmarkEnd w:id="101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the making of a statutory instrument in relation to a matter, a statutory instrument made under this Law may make provision for the matter by applying, adopting or incorporating (with or without modification) the provisions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Act or statutory instrument;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another document (whether of the same or a different kind),</w:t>
      </w:r>
    </w:p>
    <w:p>
      <w:pPr>
        <w:keepLines/>
        <w:autoSpaceDE w:val="0"/>
        <w:autoSpaceDN w:val="0"/>
        <w:adjustRightInd w:val="0"/>
        <w:spacing w:before="120"/>
        <w:ind w:left="1588"/>
        <w:rPr>
          <w:color w:val="000000"/>
          <w:sz w:val="23"/>
          <w:szCs w:val="23"/>
        </w:rPr>
      </w:pPr>
      <w:r>
        <w:rPr>
          <w:color w:val="000000"/>
          <w:sz w:val="23"/>
          <w:szCs w:val="23"/>
        </w:rPr>
        <w:t>as in force at a particular time or as in force from time to time.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statutory instrument applies, adopts or incorporates the provisions of a document, the statutory instrument applies, adopts or incorporates the provisions as in force from time to time, unless the statutory instrument otherwise expressly provides.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statutory instrument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according to the persons, times, places or circumstances to which it is expressed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(4)</w:t>
      </w:r>
      <w:r>
        <w:rPr>
          <w:color w:val="000000"/>
          <w:sz w:val="23"/>
          <w:szCs w:val="23"/>
        </w:rPr>
        <w:tab/>
        <w:t>A statutory instrument may authorise a matter or thing to be from time to time determined, applied or regulated by a specified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this Law authorises or requires a matter to be regulated by statutory instrument, the power may be exercised by prohibiting by statutory instrument the matter or any aspect of the matter.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statutory instrument may provide for the review of, or a right of appeal against, a decision made under the statutory instrument, or this Law, and may, for that purpose, confer jurisdiction on any court, tribunal,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A statutory instrument may require a form prescribed by or under the statutory instrument, or information or documents included in, attached to or given with the form, to be verified by statutory declaration.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sz w:val="23"/>
        </w:rPr>
        <w:t>statutory instrument</w:t>
      </w:r>
      <w:r>
        <w:rPr>
          <w:color w:val="000000"/>
          <w:sz w:val="23"/>
          <w:szCs w:val="23"/>
        </w:rPr>
        <w:t xml:space="preserve"> does not include the National Gas Rules.</w:t>
      </w:r>
    </w:p>
    <w:p>
      <w:pPr>
        <w:pStyle w:val="Heading5"/>
      </w:pPr>
      <w:bookmarkStart w:id="1013" w:name="_Toc158375199"/>
      <w:r>
        <w:rPr>
          <w:rStyle w:val="CharSectno"/>
        </w:rPr>
        <w:t>22</w:t>
      </w:r>
      <w:r>
        <w:t>.</w:t>
      </w:r>
      <w:r>
        <w:tab/>
        <w:t>Presumption of validity and power to make</w:t>
      </w:r>
      <w:bookmarkEnd w:id="101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All conditions and preliminary steps required for the making of a statutory instrument are presumed to have been satisfied and performed in the absence of evidence to the contrary.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statutory instrument is taken to be made under all powers under which it may be made, even though it purports to be made under this Law or a particular provision of this Law.</w:t>
      </w:r>
    </w:p>
    <w:p>
      <w:pPr>
        <w:pStyle w:val="Heading5"/>
      </w:pPr>
      <w:bookmarkStart w:id="1014" w:name="_Toc158375200"/>
      <w:r>
        <w:rPr>
          <w:rStyle w:val="CharSectno"/>
        </w:rPr>
        <w:lastRenderedPageBreak/>
        <w:t>23</w:t>
      </w:r>
      <w:r>
        <w:t>.</w:t>
      </w:r>
      <w:r>
        <w:tab/>
        <w:t>Appointments may be made by name or office</w:t>
      </w:r>
      <w:bookmarkEnd w:id="101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a person or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appoint a person to an office;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appoint a person or body to exercise a power;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appoint a person or body to do another thing,</w:t>
      </w:r>
    </w:p>
    <w:p>
      <w:pPr>
        <w:keepLines/>
        <w:autoSpaceDE w:val="0"/>
        <w:autoSpaceDN w:val="0"/>
        <w:adjustRightInd w:val="0"/>
        <w:spacing w:before="120"/>
        <w:ind w:left="1588"/>
        <w:rPr>
          <w:color w:val="000000"/>
          <w:sz w:val="23"/>
          <w:szCs w:val="23"/>
        </w:rPr>
      </w:pPr>
      <w:r>
        <w:rPr>
          <w:color w:val="000000"/>
          <w:sz w:val="23"/>
          <w:szCs w:val="23"/>
        </w:rPr>
        <w:t>the person or body may make the appointment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appointing a person or body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appointing a particular officer, or the holder of a particular office, by reference to the title of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appointment of a particular officer, or the holder of a particular office, is taken to be the appointment of the person for the time being occupying or acting in the office concerned.</w:t>
      </w:r>
    </w:p>
    <w:p>
      <w:pPr>
        <w:pStyle w:val="Heading5"/>
      </w:pPr>
      <w:bookmarkStart w:id="1015" w:name="_Toc158375201"/>
      <w:r>
        <w:rPr>
          <w:rStyle w:val="CharSectno"/>
        </w:rPr>
        <w:t>24</w:t>
      </w:r>
      <w:r>
        <w:t>.</w:t>
      </w:r>
      <w:r>
        <w:tab/>
        <w:t>Acting appointments</w:t>
      </w:r>
      <w:bookmarkEnd w:id="101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a person or body to appoint a person to act in an office, the person or body may, in accordance with this Law, appoint—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particular officer, or the holder of a particular office, by reference to the title of the office concerned,</w:t>
      </w:r>
    </w:p>
    <w:p>
      <w:pPr>
        <w:keepLines/>
        <w:autoSpaceDE w:val="0"/>
        <w:autoSpaceDN w:val="0"/>
        <w:adjustRightInd w:val="0"/>
        <w:spacing w:before="120"/>
        <w:ind w:left="1588"/>
        <w:rPr>
          <w:color w:val="000000"/>
          <w:sz w:val="23"/>
          <w:szCs w:val="23"/>
        </w:rPr>
      </w:pPr>
      <w:r>
        <w:rPr>
          <w:color w:val="000000"/>
          <w:sz w:val="23"/>
          <w:szCs w:val="23"/>
        </w:rPr>
        <w:t>to act in the office.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appointment may be expressed to have effect only in the circumstances specified in the instrument of appointment.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appointer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determine the terms and conditions of the appointment, including remuneration and allowances;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terminate the appointment at any time.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appointment, or the termination of the appointment, must be in, or evidenced by, writing signed by the appointer.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appointee must not act for more than 1 year during a vacancy in the office.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the appointee is acting in the office otherwise than because of a vacancy in the office and the office becomes vacant, then, subject to subclause (2), the appointee may continue to act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appointer otherwise directs;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vacancy is filled;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end of a year from the day of the vacancy,</w:t>
      </w:r>
    </w:p>
    <w:p>
      <w:pPr>
        <w:keepLines/>
        <w:autoSpaceDE w:val="0"/>
        <w:autoSpaceDN w:val="0"/>
        <w:adjustRightInd w:val="0"/>
        <w:spacing w:before="120"/>
        <w:ind w:left="1588"/>
        <w:rPr>
          <w:color w:val="000000"/>
          <w:sz w:val="23"/>
          <w:szCs w:val="23"/>
        </w:rPr>
      </w:pPr>
      <w:r>
        <w:rPr>
          <w:color w:val="000000"/>
          <w:sz w:val="23"/>
          <w:szCs w:val="23"/>
        </w:rPr>
        <w:t>whichever happens first.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The appointment ceases to have effect if the appointee resigns by writing signed and delivered to the appointer.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While the appointee is acting in the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appointee has all the powers and functions of the holder of the office;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this Law and other laws apply to the appointee as if the appointee were the holder of the office.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Anything done by or in relation to a person purporting to act in the office is not invalid merely because—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occasion for the appointment had not arisen;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appointment had ceased to have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occasion for the person to act had not arisen or had ceased.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If this Law authorises the appointer to appoint a person to act during a vacancy in the office, an appointment to act in the office may be made by the appointer whether or not an appointment has previously been made to the office.</w:t>
      </w:r>
    </w:p>
    <w:p>
      <w:pPr>
        <w:pStyle w:val="Heading5"/>
      </w:pPr>
      <w:bookmarkStart w:id="1016" w:name="_Toc158375202"/>
      <w:r>
        <w:rPr>
          <w:rStyle w:val="CharSectno"/>
        </w:rPr>
        <w:lastRenderedPageBreak/>
        <w:t>25</w:t>
      </w:r>
      <w:r>
        <w:t>.</w:t>
      </w:r>
      <w:r>
        <w:tab/>
        <w:t>Powers of appointment imply certain incidental powers</w:t>
      </w:r>
      <w:bookmarkEnd w:id="101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a person or body to appoint a person to an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power may be exercised from time to time as occasion requires;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power includes—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power to remove or suspend, at any time, a person appointed to the office;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power to appoint another person to act in the office if a person appointed to the office is removed or suspended;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power to reinstate or reappoint a person removed or suspended;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power to appoint a person to act in the office if it is vacant (whether or not the office has ever been filled);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power to appoint a person to act in the office if the person appointed to the office is absent or is unable to discharge the functions of the office (whether because of illness or otherwise).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power to remove or suspend a person under subclause (1)(b) may be exercised even if this Law provides that the holder of the office to which the person was appointed is to hold office for a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power to make an appointment under subclause (1)(b)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appointment under subclause (1)(b) may be expressed to have effect only in the circumstances specified in the instrument of appointment.</w:t>
      </w:r>
    </w:p>
    <w:p>
      <w:pPr>
        <w:pStyle w:val="Heading5"/>
      </w:pPr>
      <w:bookmarkStart w:id="1017" w:name="_Toc158375203"/>
      <w:r>
        <w:rPr>
          <w:rStyle w:val="CharSectno"/>
        </w:rPr>
        <w:lastRenderedPageBreak/>
        <w:t>26</w:t>
      </w:r>
      <w:r>
        <w:t>.</w:t>
      </w:r>
      <w:r>
        <w:tab/>
        <w:t>Delegation</w:t>
      </w:r>
      <w:bookmarkEnd w:id="101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a person to delegate a function or power, the person may, in accordance with this Law, delegate the power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particular officer, or the holder of a particular office, by reference to the title of the office concerned.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delegation—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general or limited;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be made from time to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be revoked, wholly or partly, by the delegator.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delegation, or a revocation of the delegation, must be in, or evidenced by, writing signed by the delegator or if the delegator is a body corporate, by a person authorised by the body corporate for the purpose.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delegated function or power may be exercised only in accordance with any conditions to which the delegation is subject.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delegate may, in the exercise of a delegated function or power, do anything that is incidental to the delegated function or power.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delegated function or power that purports to have been exercised by the delegate is taken to have been duly exercised by the delegate unless the contrary is proved.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delegated function or power that is duly exercised by the delegate is taken to have been exercised by the delegator.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 xml:space="preserve">If, when exercised by the delegator, a function or power is, under this Law, dependent on the delegator’s opinion, belief or state of mind in relation to a matter, the function or power, when exercised by the delegate, is dependent on </w:t>
      </w:r>
      <w:r>
        <w:rPr>
          <w:color w:val="000000"/>
          <w:sz w:val="23"/>
          <w:szCs w:val="23"/>
        </w:rPr>
        <w:lastRenderedPageBreak/>
        <w:t>the delegate’s opinion, belief or state of mind in relation to the matter.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If a function or power is delegated to a particular officer or the holder of a particular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delegation does not cease to have effect merely because the person who was the particular officer or the holder of the particular office when the power was delegated ceases to be the officer or the holder of the office;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function or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A function or power that has been delegated may, despite the delegation, be exercised by the delegator.</w:t>
      </w:r>
    </w:p>
    <w:p>
      <w:pPr>
        <w:pStyle w:val="Heading5"/>
      </w:pPr>
      <w:bookmarkStart w:id="1018" w:name="_Toc158375204"/>
      <w:r>
        <w:rPr>
          <w:rStyle w:val="CharSectno"/>
        </w:rPr>
        <w:t>27</w:t>
      </w:r>
      <w:r>
        <w:t>.</w:t>
      </w:r>
      <w:r>
        <w:tab/>
        <w:t>Exercise of powers between enactment and commencement</w:t>
      </w:r>
      <w:bookmarkEnd w:id="101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a provision of this Law (the </w:t>
      </w:r>
      <w:r>
        <w:rPr>
          <w:rStyle w:val="CharDefText"/>
        </w:rPr>
        <w:t>empowering provision</w:t>
      </w:r>
      <w:r>
        <w:rPr>
          <w:color w:val="000000"/>
          <w:sz w:val="23"/>
          <w:szCs w:val="23"/>
        </w:rPr>
        <w:t>) that does not commence on its enactment would, had it commenced, confer a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do another thing,</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rPr>
      </w:pPr>
      <w:r>
        <w:rPr>
          <w:color w:val="000000"/>
          <w:sz w:val="23"/>
          <w:szCs w:val="23"/>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(2)</w:t>
      </w:r>
      <w:r>
        <w:rPr>
          <w:color w:val="000000"/>
          <w:sz w:val="23"/>
          <w:szCs w:val="23"/>
        </w:rPr>
        <w:tab/>
        <w:t xml:space="preserve">If a provision of an Act of South Australia (the </w:t>
      </w:r>
      <w:r>
        <w:rPr>
          <w:rStyle w:val="CharDefText"/>
          <w:bCs/>
          <w:sz w:val="23"/>
        </w:rPr>
        <w:t>empowering provision</w:t>
      </w:r>
      <w:r>
        <w:rPr>
          <w:color w:val="000000"/>
          <w:sz w:val="23"/>
          <w:szCs w:val="23"/>
        </w:rPr>
        <w:t>) that does not commence on its enactment would, had it commenced, amend a provision of this Law so that it would confer a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do another thing,</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rPr>
      </w:pPr>
      <w:r>
        <w:rPr>
          <w:color w:val="000000"/>
          <w:sz w:val="23"/>
          <w:szCs w:val="23"/>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this Law has commenced and confers a power to make a statutory instrument (the </w:t>
      </w:r>
      <w:r>
        <w:rPr>
          <w:rStyle w:val="CharDefText"/>
          <w:bCs/>
          <w:sz w:val="23"/>
        </w:rPr>
        <w:t>basic instrument making power</w:t>
      </w:r>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a provision of an Act of South Australia that does not commence on its enactment would, had it commenced, amend this Law so as to confer additional power to make a statutory instrument (the </w:t>
      </w:r>
      <w:r>
        <w:rPr>
          <w:rStyle w:val="CharDefText"/>
          <w:bCs/>
          <w:sz w:val="23"/>
        </w:rPr>
        <w:t>additional instrument making power</w:t>
      </w:r>
      <w:r>
        <w:rPr>
          <w:color w:val="000000"/>
          <w:sz w:val="23"/>
          <w:szCs w:val="23"/>
        </w:rPr>
        <w:t>),</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basic instrument making power and the additional instrument making power may be exercised by making a single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provision of the instrument that required an exercise of the additional instrument making power is to be treated as made under subclause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(4)</w:t>
      </w:r>
      <w:r>
        <w:rPr>
          <w:color w:val="000000"/>
          <w:sz w:val="23"/>
          <w:szCs w:val="23"/>
        </w:rPr>
        <w:tab/>
        <w:t>If an instrument, or a provision of an instrument, is made under subclause (1) or (2) that is necessary for the purpose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enabling the exercise of a power mentioned in the subclause;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bringing an appointment, instrument or other thing made or done under such a power into effect,</w:t>
      </w:r>
    </w:p>
    <w:p>
      <w:pPr>
        <w:keepLines/>
        <w:autoSpaceDE w:val="0"/>
        <w:autoSpaceDN w:val="0"/>
        <w:adjustRightInd w:val="0"/>
        <w:spacing w:before="120"/>
        <w:ind w:left="1588"/>
        <w:rPr>
          <w:color w:val="000000"/>
          <w:sz w:val="23"/>
          <w:szCs w:val="23"/>
        </w:rPr>
      </w:pPr>
      <w:r>
        <w:rPr>
          <w:color w:val="000000"/>
          <w:sz w:val="23"/>
          <w:szCs w:val="23"/>
        </w:rPr>
        <w:t>the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the making of the instrument;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such later day (if any) on which, or at such later time (if any) at which, the instrument or provision is expressed to take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appointment is made under subclause (1) or (2);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instrument, or a provision of an instrument, made under subclause (1) or (2) is not necessary for a purpose mentioned in subclause (4),</w:t>
      </w:r>
    </w:p>
    <w:p>
      <w:pPr>
        <w:keepLines/>
        <w:autoSpaceDE w:val="0"/>
        <w:autoSpaceDN w:val="0"/>
        <w:adjustRightInd w:val="0"/>
        <w:spacing w:before="120"/>
        <w:ind w:left="1588"/>
        <w:rPr>
          <w:color w:val="000000"/>
          <w:sz w:val="23"/>
          <w:szCs w:val="23"/>
        </w:rPr>
      </w:pPr>
      <w:r>
        <w:rPr>
          <w:color w:val="000000"/>
          <w:sz w:val="23"/>
          <w:szCs w:val="23"/>
        </w:rPr>
        <w:t>the appointment,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the commencement of the relevant empowering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such later day (if any) on which, or at such later time (if any) at which, the appointment, instrument or provision is expressed to take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Anything done under subclause (1) or (2) does not confer a right, or impose a liability, on a person before the relevant empowering provision commences.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 xml:space="preserve">After the enactment of a provision mentioned in subclause (2) but before the provision’s commencement, this clause applies as if the references in subclauses (2) and (5) to the commencement of the empowering provision were references to the commencement of the provision </w:t>
      </w:r>
      <w:r>
        <w:rPr>
          <w:color w:val="000000"/>
          <w:sz w:val="23"/>
          <w:szCs w:val="23"/>
        </w:rPr>
        <w:lastRenderedPageBreak/>
        <w:t>mentioned in subclause (2) as amended by the empowering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the application of this clause to a statutory instrument, a reference to the enactment of the instrument is a reference to the making of the instrument.</w:t>
      </w:r>
    </w:p>
    <w:p>
      <w:pPr>
        <w:pStyle w:val="Heading5"/>
      </w:pPr>
      <w:bookmarkStart w:id="1019" w:name="_Toc158375205"/>
      <w:r>
        <w:rPr>
          <w:rStyle w:val="CharSectno"/>
        </w:rPr>
        <w:t>27A</w:t>
      </w:r>
      <w:r>
        <w:t>.</w:t>
      </w:r>
      <w:r>
        <w:tab/>
        <w:t>WA modifications of clause 27</w:t>
      </w:r>
      <w:bookmarkEnd w:id="101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 xml:space="preserve">Clause 27 applies to a conferral of power by this Law to the extent that the power derives from an amendment to </w:t>
      </w:r>
      <w:r>
        <w:rPr>
          <w:sz w:val="23"/>
        </w:rPr>
        <w:t xml:space="preserve">the </w:t>
      </w:r>
      <w:r>
        <w:rPr>
          <w:color w:val="000000"/>
          <w:sz w:val="23"/>
          <w:szCs w:val="23"/>
        </w:rPr>
        <w:t xml:space="preserve">Schedule to the </w:t>
      </w:r>
      <w:r>
        <w:rPr>
          <w:i/>
          <w:iCs/>
          <w:color w:val="000000"/>
          <w:sz w:val="23"/>
          <w:szCs w:val="23"/>
        </w:rPr>
        <w:t>National Gas (South Australia) Act 2008</w:t>
      </w:r>
      <w:r>
        <w:rPr>
          <w:color w:val="000000"/>
          <w:sz w:val="23"/>
          <w:szCs w:val="23"/>
        </w:rPr>
        <w:t xml:space="preserve"> of South Australia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as if references in clause 27(2), (5) and (6) to the commencement of the empowering provision referred to the time when the Western Australian National Gas Access Law text, as defined in </w:t>
      </w:r>
      <w:r>
        <w:rPr>
          <w:sz w:val="23"/>
        </w:rPr>
        <w:t xml:space="preserve">section 7(2) of the </w:t>
      </w:r>
      <w:r>
        <w:rPr>
          <w:i/>
          <w:iCs/>
          <w:sz w:val="23"/>
        </w:rPr>
        <w:t>National Gas Access (WA) Act 2009</w:t>
      </w:r>
      <w:r>
        <w:rPr>
          <w:color w:val="000000"/>
          <w:sz w:val="23"/>
          <w:szCs w:val="23"/>
        </w:rPr>
        <w:t>, is affected by the amendment;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as if clause 27(7) had been omitted.</w:t>
      </w:r>
    </w:p>
    <w:p>
      <w:pPr>
        <w:pStyle w:val="Footnotesection"/>
      </w:pPr>
      <w:r>
        <w:tab/>
        <w:t>[Clause 27A inserted: WA Act Sch. 1 cl. 15.]</w:t>
      </w:r>
    </w:p>
    <w:p>
      <w:pPr>
        <w:pStyle w:val="Heading3"/>
      </w:pPr>
      <w:bookmarkStart w:id="1020" w:name="_Toc156819566"/>
      <w:bookmarkStart w:id="1021" w:name="_Toc156990986"/>
      <w:bookmarkStart w:id="1022" w:name="_Toc158375206"/>
      <w:r>
        <w:rPr>
          <w:rStyle w:val="CharDivNo"/>
        </w:rPr>
        <w:t>Part 5</w:t>
      </w:r>
      <w:r>
        <w:t xml:space="preserve"> — </w:t>
      </w:r>
      <w:r>
        <w:rPr>
          <w:rStyle w:val="CharDivText"/>
        </w:rPr>
        <w:t>Distance and time</w:t>
      </w:r>
      <w:bookmarkEnd w:id="1020"/>
      <w:bookmarkEnd w:id="1021"/>
      <w:bookmarkEnd w:id="1022"/>
    </w:p>
    <w:p>
      <w:pPr>
        <w:pStyle w:val="Heading5"/>
      </w:pPr>
      <w:bookmarkStart w:id="1023" w:name="_Toc158375207"/>
      <w:r>
        <w:rPr>
          <w:rStyle w:val="CharSectno"/>
        </w:rPr>
        <w:t>28</w:t>
      </w:r>
      <w:r>
        <w:t>.</w:t>
      </w:r>
      <w:r>
        <w:tab/>
        <w:t>Matters relating to distance and time</w:t>
      </w:r>
      <w:bookmarkEnd w:id="102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the measurement of distance for the purposes of this Law, the distance is to be measured along the shortest road ordinarily used for travelling.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(2)</w:t>
      </w:r>
      <w:r>
        <w:rPr>
          <w:color w:val="000000"/>
          <w:sz w:val="23"/>
          <w:szCs w:val="23"/>
        </w:rPr>
        <w:tab/>
        <w:t>If a period beginning on a given day, act or event is provided or allowed for a purpose by this Law, the period is to be calculated by excluding the day, or the day of the act or event,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period is expressed to be a specified number of clear days or at least a specified number of days, by excluding the day on which the purpose is to be fulfilled;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any other case, by including the day on which the purpose is to be fulfilled.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last day of a period provided or allowed by this Law for doing anything is not a business day in the place in which the thing is to be or may be done, the thing may be done on the next business day in the place.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no time is provided or allowed for doing anything, the thing is to be done as soon as possible, and as often as the prescribed occasion happens.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in this Law, there is a reference to time, the reference is, in relation to the doing of anything in a jurisdiction, a reference to the legal time in the jurisdiction.</w:t>
      </w:r>
    </w:p>
    <w:p>
      <w:pPr>
        <w:pStyle w:val="Heading3"/>
      </w:pPr>
      <w:bookmarkStart w:id="1024" w:name="_Toc156819568"/>
      <w:bookmarkStart w:id="1025" w:name="_Toc156990988"/>
      <w:bookmarkStart w:id="1026" w:name="_Toc158375208"/>
      <w:r>
        <w:rPr>
          <w:rStyle w:val="CharDivNo"/>
        </w:rPr>
        <w:t>Part 6</w:t>
      </w:r>
      <w:r>
        <w:t xml:space="preserve"> — </w:t>
      </w:r>
      <w:r>
        <w:rPr>
          <w:rStyle w:val="CharDivText"/>
        </w:rPr>
        <w:t>Service of documents</w:t>
      </w:r>
      <w:bookmarkEnd w:id="1024"/>
      <w:bookmarkEnd w:id="1025"/>
      <w:bookmarkEnd w:id="1026"/>
    </w:p>
    <w:p>
      <w:pPr>
        <w:pStyle w:val="Heading5"/>
      </w:pPr>
      <w:bookmarkStart w:id="1027" w:name="_Toc158375209"/>
      <w:r>
        <w:rPr>
          <w:rStyle w:val="CharSectno"/>
        </w:rPr>
        <w:t>29</w:t>
      </w:r>
      <w:r>
        <w:t>.</w:t>
      </w:r>
      <w:r>
        <w:tab/>
        <w:t>Service of documents and meaning of service by post etc</w:t>
      </w:r>
      <w:bookmarkEnd w:id="102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requires or permits a document to be served on a person (whether the expression “deliver”, “give”, “notify”, “send” or “serve” or another expression is used), the document may be served—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on a natural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lastRenderedPageBreak/>
        <w:tab/>
        <w:t>(i)</w:t>
      </w:r>
      <w:r>
        <w:rPr>
          <w:color w:val="000000"/>
          <w:sz w:val="23"/>
          <w:szCs w:val="23"/>
        </w:rPr>
        <w:tab/>
        <w:t>by delivering it to the person personally;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by leaving it at, or by sending it by post, facsimile or similar facility to the last known address of the place of residence or usual place of business of the person;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by sending it electronically to that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body corporate—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leaving it at the registered office or usual place of business of the body corporate with an officer of the body corporate;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by sending it by post, facsimile or similar facility to its registered office or its usual place of business;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by sending it electronically to that body corporate or an officer of the body corporate.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Nothing in subclause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affects the operation of another law that authorises the service of a document otherwise than as provided in the subclause;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affects the power of a court or tribunal to authorise service of a document otherwise than as provided in the subclause.</w:t>
      </w:r>
    </w:p>
    <w:p>
      <w:pPr>
        <w:pStyle w:val="Heading5"/>
      </w:pPr>
      <w:bookmarkStart w:id="1028" w:name="_Toc158375210"/>
      <w:r>
        <w:rPr>
          <w:rStyle w:val="CharSectno"/>
        </w:rPr>
        <w:lastRenderedPageBreak/>
        <w:t>30</w:t>
      </w:r>
      <w:r>
        <w:t>.</w:t>
      </w:r>
      <w:r>
        <w:tab/>
        <w:t>Meaning of service by post etc</w:t>
      </w:r>
      <w:bookmarkEnd w:id="102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requires or permits a document to be served by post (whether the expression “deliver”, “give”, “notify”, “send” or “serve” or another expression is used),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effected by properly addressing, prepaying and posting the document as a letter;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taken to have been effected at the time at which the letter would be delivered in the ordinary course of post, unless the contrary is proved.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Heading3"/>
      </w:pPr>
      <w:bookmarkStart w:id="1029" w:name="_Toc156819571"/>
      <w:bookmarkStart w:id="1030" w:name="_Toc156990991"/>
      <w:bookmarkStart w:id="1031" w:name="_Toc158375211"/>
      <w:r>
        <w:rPr>
          <w:rStyle w:val="CharDivNo"/>
        </w:rPr>
        <w:t>Part 7</w:t>
      </w:r>
      <w:r>
        <w:t xml:space="preserve"> — </w:t>
      </w:r>
      <w:r>
        <w:rPr>
          <w:rStyle w:val="CharDivText"/>
        </w:rPr>
        <w:t>Evidentiary matters</w:t>
      </w:r>
      <w:bookmarkEnd w:id="1029"/>
      <w:bookmarkEnd w:id="1030"/>
      <w:bookmarkEnd w:id="1031"/>
    </w:p>
    <w:p>
      <w:pPr>
        <w:pStyle w:val="Heading4"/>
      </w:pPr>
      <w:bookmarkStart w:id="1032" w:name="_Toc156819572"/>
      <w:bookmarkStart w:id="1033" w:name="_Toc156990992"/>
      <w:bookmarkStart w:id="1034" w:name="_Toc158375212"/>
      <w:r>
        <w:t>Division 1 — Publication on websites</w:t>
      </w:r>
      <w:bookmarkEnd w:id="1032"/>
      <w:bookmarkEnd w:id="1033"/>
      <w:bookmarkEnd w:id="1034"/>
    </w:p>
    <w:p>
      <w:pPr>
        <w:pStyle w:val="Heading5"/>
      </w:pPr>
      <w:bookmarkStart w:id="1035" w:name="_Toc158375213"/>
      <w:r>
        <w:rPr>
          <w:rStyle w:val="CharSectno"/>
        </w:rPr>
        <w:t>31</w:t>
      </w:r>
      <w:r>
        <w:t>.</w:t>
      </w:r>
      <w:r>
        <w:tab/>
        <w:t>Definitions</w:t>
      </w:r>
      <w:bookmarkEnd w:id="1035"/>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decision maker</w:t>
      </w:r>
      <w:r>
        <w:rPr>
          <w:color w:val="000000"/>
          <w:sz w:val="23"/>
          <w:szCs w:val="23"/>
        </w:rPr>
        <w:t xml:space="preserve"> means a relevant Minister, the NCC, the AER, the AEMC or the Bulletin Board operator;</w:t>
      </w:r>
    </w:p>
    <w:p>
      <w:pPr>
        <w:keepNext/>
        <w:keepLines/>
        <w:autoSpaceDE w:val="0"/>
        <w:autoSpaceDN w:val="0"/>
        <w:adjustRightInd w:val="0"/>
        <w:spacing w:before="120"/>
        <w:ind w:left="1588"/>
        <w:rPr>
          <w:color w:val="000000"/>
          <w:sz w:val="23"/>
          <w:szCs w:val="23"/>
        </w:rPr>
      </w:pPr>
      <w:r>
        <w:rPr>
          <w:rStyle w:val="CharDefText"/>
          <w:bCs/>
          <w:sz w:val="23"/>
        </w:rPr>
        <w:t>relevant decision or document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(however described) or determination (however described) of a decision maker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arrangement to which a decision of the AER under the Law or Rules relates;</w:t>
      </w:r>
    </w:p>
    <w:p>
      <w:pPr>
        <w:keepLines/>
        <w:autoSpaceDE w:val="0"/>
        <w:autoSpaceDN w:val="0"/>
        <w:adjustRightInd w:val="0"/>
        <w:spacing w:before="120"/>
        <w:ind w:left="1588"/>
        <w:rPr>
          <w:color w:val="000000"/>
          <w:sz w:val="23"/>
          <w:szCs w:val="23"/>
        </w:rPr>
      </w:pPr>
      <w:r>
        <w:rPr>
          <w:rStyle w:val="CharDefText"/>
          <w:bCs/>
          <w:sz w:val="23"/>
        </w:rPr>
        <w:lastRenderedPageBreak/>
        <w:t>relevant notice</w:t>
      </w:r>
      <w:r>
        <w:rPr>
          <w:bCs/>
          <w:i/>
          <w:iCs/>
          <w:color w:val="000000"/>
          <w:sz w:val="23"/>
          <w:szCs w:val="23"/>
        </w:rPr>
        <w:t xml:space="preserve"> </w:t>
      </w:r>
      <w:r>
        <w:rPr>
          <w:color w:val="000000"/>
          <w:sz w:val="23"/>
          <w:szCs w:val="23"/>
        </w:rPr>
        <w:t>means a notice under the Rules calling for or inviting submissions or comments in relation to a relevant decision or document;</w:t>
      </w:r>
    </w:p>
    <w:p>
      <w:pPr>
        <w:pStyle w:val="Heading5"/>
      </w:pPr>
      <w:bookmarkStart w:id="1036" w:name="_Toc158375214"/>
      <w:r>
        <w:rPr>
          <w:rStyle w:val="CharSectno"/>
        </w:rPr>
        <w:t>32</w:t>
      </w:r>
      <w:r>
        <w:t>.</w:t>
      </w:r>
      <w:r>
        <w:tab/>
        <w:t>Publication of decisions on websites</w:t>
      </w:r>
      <w:bookmarkEnd w:id="103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For the purposes of this Law, a relevant decision or document or relevant notice that is required by this Law or the Rules to be published on a website is to be taken to be published on the website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relevant decision or document or relevant notice is made accessible in full on the website;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or publication of the relevant decision or document or relevant notice is made accessible on that website and the relevant decision or document or relevant notice is made accessible separately in full on that website or in any other identified location.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date on which the relevant decision or document or relevant notice is published on the website is the date notified by the relevant decision maker on the website as the date of the relevant decision’s or document’s or relevant notice’s publication (being not earlier than the date on which it was first made so accessible).</w:t>
      </w:r>
    </w:p>
    <w:p>
      <w:pPr>
        <w:pStyle w:val="Heading4"/>
      </w:pPr>
      <w:bookmarkStart w:id="1037" w:name="_Toc156819575"/>
      <w:bookmarkStart w:id="1038" w:name="_Toc156990995"/>
      <w:bookmarkStart w:id="1039" w:name="_Toc158375215"/>
      <w:r>
        <w:t>Division 2 — Evidentiary certificates</w:t>
      </w:r>
      <w:bookmarkEnd w:id="1037"/>
      <w:bookmarkEnd w:id="1038"/>
      <w:bookmarkEnd w:id="1039"/>
    </w:p>
    <w:p>
      <w:pPr>
        <w:pStyle w:val="Heading5"/>
      </w:pPr>
      <w:bookmarkStart w:id="1040" w:name="_Toc158375216"/>
      <w:r>
        <w:rPr>
          <w:rStyle w:val="CharSectno"/>
        </w:rPr>
        <w:t>33</w:t>
      </w:r>
      <w:r>
        <w:t>.</w:t>
      </w:r>
      <w:r>
        <w:tab/>
        <w:t>Definitions</w:t>
      </w:r>
      <w:bookmarkEnd w:id="1040"/>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acting SES employee</w:t>
      </w:r>
      <w:r>
        <w:rPr>
          <w:color w:val="000000"/>
          <w:sz w:val="23"/>
          <w:szCs w:val="23"/>
        </w:rPr>
        <w:t xml:space="preserve"> has the same meaning as in section 17AA of the </w:t>
      </w:r>
      <w:r>
        <w:rPr>
          <w:i/>
          <w:iCs/>
          <w:color w:val="000000"/>
          <w:sz w:val="23"/>
          <w:szCs w:val="23"/>
        </w:rPr>
        <w:t>Acts Interpretation Act 1901</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AEMC chief executive</w:t>
      </w:r>
      <w:r>
        <w:rPr>
          <w:bCs/>
          <w:i/>
          <w:iCs/>
          <w:color w:val="000000"/>
          <w:sz w:val="23"/>
          <w:szCs w:val="23"/>
        </w:rPr>
        <w:t xml:space="preserve"> </w:t>
      </w:r>
      <w:r>
        <w:rPr>
          <w:color w:val="000000"/>
          <w:sz w:val="23"/>
          <w:szCs w:val="23"/>
        </w:rPr>
        <w:t xml:space="preserve">means the chief executive of the AEMC appointed under section 16 of the </w:t>
      </w:r>
      <w:r>
        <w:rPr>
          <w:i/>
          <w:iCs/>
          <w:color w:val="000000"/>
          <w:sz w:val="23"/>
          <w:szCs w:val="23"/>
        </w:rPr>
        <w:t>Australian Energy Market Commission Establishment Act 2004</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lastRenderedPageBreak/>
        <w:t>AEMC Commissioner</w:t>
      </w:r>
      <w:r>
        <w:rPr>
          <w:color w:val="000000"/>
          <w:sz w:val="23"/>
          <w:szCs w:val="23"/>
        </w:rPr>
        <w:t xml:space="preserve"> means a Commissioner within the meaning of the </w:t>
      </w:r>
      <w:r>
        <w:rPr>
          <w:i/>
          <w:iCs/>
          <w:color w:val="000000"/>
          <w:sz w:val="23"/>
          <w:szCs w:val="23"/>
        </w:rPr>
        <w:t>Australian Energy Market Commission Establishment Act 2004</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AER member</w:t>
      </w:r>
      <w:r>
        <w:rPr>
          <w:bCs/>
          <w:i/>
          <w:iCs/>
          <w:color w:val="000000"/>
          <w:sz w:val="23"/>
          <w:szCs w:val="23"/>
        </w:rPr>
        <w:t xml:space="preserve"> </w:t>
      </w:r>
      <w:r>
        <w:rPr>
          <w:color w:val="000000"/>
          <w:sz w:val="23"/>
          <w:szCs w:val="23"/>
        </w:rPr>
        <w:t xml:space="preserve">has the same meaning as in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NCC member</w:t>
      </w:r>
      <w:r>
        <w:rPr>
          <w:bCs/>
          <w:i/>
          <w:iCs/>
          <w:color w:val="000000"/>
          <w:sz w:val="23"/>
          <w:szCs w:val="23"/>
        </w:rPr>
        <w:t xml:space="preserve"> </w:t>
      </w:r>
      <w:r>
        <w:rPr>
          <w:color w:val="000000"/>
          <w:sz w:val="23"/>
          <w:szCs w:val="23"/>
        </w:rPr>
        <w:t xml:space="preserve">means a Councillor within the meaning of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relevant notice</w:t>
      </w:r>
      <w:r>
        <w:rPr>
          <w:bCs/>
          <w:i/>
          <w:iCs/>
          <w:color w:val="000000"/>
          <w:sz w:val="23"/>
          <w:szCs w:val="23"/>
        </w:rPr>
        <w:t xml:space="preserve"> </w:t>
      </w:r>
      <w:r>
        <w:rPr>
          <w:color w:val="000000"/>
          <w:sz w:val="23"/>
          <w:szCs w:val="23"/>
        </w:rPr>
        <w:t>has the same meaning as in clause 31;</w:t>
      </w:r>
    </w:p>
    <w:p>
      <w:pPr>
        <w:keepLines/>
        <w:autoSpaceDE w:val="0"/>
        <w:autoSpaceDN w:val="0"/>
        <w:adjustRightInd w:val="0"/>
        <w:spacing w:before="120"/>
        <w:ind w:left="1588"/>
        <w:rPr>
          <w:color w:val="000000"/>
          <w:sz w:val="23"/>
          <w:szCs w:val="23"/>
        </w:rPr>
      </w:pPr>
      <w:r>
        <w:rPr>
          <w:rStyle w:val="CharDefText"/>
          <w:bCs/>
          <w:sz w:val="23"/>
        </w:rPr>
        <w:t>SES employee</w:t>
      </w:r>
      <w:r>
        <w:rPr>
          <w:bCs/>
          <w:i/>
          <w:iCs/>
          <w:color w:val="000000"/>
          <w:sz w:val="23"/>
          <w:szCs w:val="23"/>
        </w:rPr>
        <w:t xml:space="preserve"> </w:t>
      </w:r>
      <w:r>
        <w:rPr>
          <w:color w:val="000000"/>
          <w:sz w:val="23"/>
          <w:szCs w:val="23"/>
        </w:rPr>
        <w:t xml:space="preserve">has the same meaning as in section 17AA of the </w:t>
      </w:r>
      <w:r>
        <w:rPr>
          <w:i/>
          <w:iCs/>
          <w:color w:val="000000"/>
          <w:sz w:val="23"/>
          <w:szCs w:val="23"/>
        </w:rPr>
        <w:t>Acts Interpretation Act 1901</w:t>
      </w:r>
      <w:r>
        <w:rPr>
          <w:color w:val="000000"/>
          <w:sz w:val="23"/>
          <w:szCs w:val="23"/>
        </w:rPr>
        <w:t xml:space="preserve"> of the Commonwealth.</w:t>
      </w:r>
    </w:p>
    <w:p>
      <w:pPr>
        <w:pStyle w:val="Heading5"/>
      </w:pPr>
      <w:bookmarkStart w:id="1041" w:name="_Toc158375217"/>
      <w:r>
        <w:rPr>
          <w:rStyle w:val="CharSectno"/>
        </w:rPr>
        <w:t>34</w:t>
      </w:r>
      <w:r>
        <w:t>.</w:t>
      </w:r>
      <w:r>
        <w:tab/>
        <w:t>Evidentiary certificates—AER</w:t>
      </w:r>
      <w:bookmarkEnd w:id="104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In any proceedings under this Law, a certificate signed or purported to be signed by an AER member, or an SES employee or acting SES employee assisting the AER as mentioned in section 44AAC of the </w:t>
      </w:r>
      <w:r>
        <w:rPr>
          <w:i/>
          <w:iCs/>
          <w:color w:val="000000"/>
          <w:sz w:val="23"/>
          <w:szCs w:val="23"/>
        </w:rPr>
        <w:t>Trade Practices Act 1974</w:t>
      </w:r>
      <w:r>
        <w:rPr>
          <w:color w:val="000000"/>
          <w:sz w:val="23"/>
          <w:szCs w:val="23"/>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1 of the following things, made, given, served or issued under this Law or the Rules: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authorisation under section 32;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notice, notification, direction or requirement;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(ba)</w:t>
      </w:r>
      <w:r>
        <w:rPr>
          <w:color w:val="000000"/>
          <w:sz w:val="23"/>
          <w:szCs w:val="23"/>
        </w:rPr>
        <w:tab/>
        <w:t>a stated document is a copy of a rate of return instrument;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lastRenderedPageBreak/>
        <w:tab/>
        <w:t>(i)</w:t>
      </w:r>
      <w:r>
        <w:rPr>
          <w:color w:val="000000"/>
          <w:sz w:val="23"/>
          <w:szCs w:val="23"/>
        </w:rPr>
        <w:tab/>
        <w:t>given 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authorised as an authorised person (within the meaning of section 31);</w:t>
      </w:r>
    </w:p>
    <w:p>
      <w:pPr>
        <w:keepNext/>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served a notice under section 42 or a regulatory information notice;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notified under section 52;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notified under section 143(3) of the making of an AER ring fencing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any of the following were published on the AER’s website: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full access arrangement or revisions to an applicable access arrangement submitted for approval under section 132;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limited access arrangement or revisions to an applicable access arrangement submitted for approval under section 116 or 168;</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 relevant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color w:val="000000"/>
          <w:sz w:val="23"/>
          <w:szCs w:val="23"/>
        </w:rPr>
        <w:t>Trade Practices Act 1974</w:t>
      </w:r>
      <w:r>
        <w:rPr>
          <w:color w:val="000000"/>
          <w:sz w:val="23"/>
          <w:szCs w:val="23"/>
        </w:rPr>
        <w:t xml:space="preserve"> of the Commonwealth” had been deleted and the following had been inserted instead:</w:t>
      </w:r>
    </w:p>
    <w:p>
      <w:pPr>
        <w:pStyle w:val="BlankOpen"/>
      </w:pPr>
    </w:p>
    <w:p>
      <w:pPr>
        <w:keepLines/>
        <w:tabs>
          <w:tab w:val="center" w:pos="1191"/>
          <w:tab w:val="left" w:pos="1588"/>
        </w:tabs>
        <w:autoSpaceDE w:val="0"/>
        <w:autoSpaceDN w:val="0"/>
        <w:adjustRightInd w:val="0"/>
        <w:spacing w:before="120"/>
        <w:ind w:left="1588" w:hanging="794"/>
        <w:rPr>
          <w:sz w:val="23"/>
        </w:rPr>
      </w:pPr>
      <w:r>
        <w:tab/>
      </w:r>
      <w:r>
        <w:tab/>
      </w:r>
      <w:r>
        <w:rPr>
          <w:sz w:val="23"/>
        </w:rPr>
        <w:t>a member of the ERA</w:t>
      </w:r>
    </w:p>
    <w:p>
      <w:pPr>
        <w:pStyle w:val="BlankClose"/>
      </w:pPr>
    </w:p>
    <w:p>
      <w:pPr>
        <w:pStyle w:val="Footnotesection"/>
      </w:pPr>
      <w:r>
        <w:lastRenderedPageBreak/>
        <w:tab/>
        <w:t>[Clause 34 modified: WA Act Sch. 1 cl. 16; amended: see SA Act No. 33 of 2018 s. 20(1) and WA Gazette 5 Apr 2019 p. 1007</w:t>
      </w:r>
      <w:r>
        <w:noBreakHyphen/>
        <w:t>8.]</w:t>
      </w:r>
    </w:p>
    <w:p>
      <w:pPr>
        <w:pStyle w:val="Heading5"/>
        <w:keepLines w:val="0"/>
      </w:pPr>
      <w:bookmarkStart w:id="1042" w:name="_Toc158375218"/>
      <w:r>
        <w:rPr>
          <w:rStyle w:val="CharSectno"/>
        </w:rPr>
        <w:t>35</w:t>
      </w:r>
      <w:r>
        <w:t>.</w:t>
      </w:r>
      <w:r>
        <w:tab/>
        <w:t>Evidentiary certificates—AEMC</w:t>
      </w:r>
      <w:bookmarkEnd w:id="1042"/>
    </w:p>
    <w:p>
      <w:pPr>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a Commissioner or the AEMC chief executive, stating any of the following matters is evidence of the matter: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 relevant notice was published on the AEMC’s website.</w:t>
      </w:r>
    </w:p>
    <w:p>
      <w:pPr>
        <w:pStyle w:val="Heading5"/>
      </w:pPr>
      <w:bookmarkStart w:id="1043" w:name="_Toc158375219"/>
      <w:r>
        <w:rPr>
          <w:rStyle w:val="CharSectno"/>
        </w:rPr>
        <w:t>36</w:t>
      </w:r>
      <w:r>
        <w:t>.</w:t>
      </w:r>
      <w:r>
        <w:tab/>
        <w:t>Evidentiary certificates—NCC</w:t>
      </w:r>
      <w:bookmarkEnd w:id="1043"/>
    </w:p>
    <w:p>
      <w:pPr>
        <w:keepNext/>
        <w:keepLines/>
        <w:autoSpaceDE w:val="0"/>
        <w:autoSpaceDN w:val="0"/>
        <w:adjustRightInd w:val="0"/>
        <w:spacing w:before="120"/>
        <w:ind w:left="1588"/>
        <w:rPr>
          <w:color w:val="000000"/>
          <w:sz w:val="23"/>
          <w:szCs w:val="23"/>
        </w:rPr>
      </w:pPr>
      <w:r>
        <w:rPr>
          <w:color w:val="000000"/>
          <w:sz w:val="23"/>
          <w:szCs w:val="23"/>
        </w:rPr>
        <w:t xml:space="preserve">In any proceedings under this Law, a certificate signed or purported to be signed by an NCC member, or an SES employee or acting SES employee who is an employee assisting the NCC as mentioned in section 29M of the </w:t>
      </w:r>
      <w:r>
        <w:rPr>
          <w:i/>
          <w:iCs/>
          <w:color w:val="000000"/>
          <w:sz w:val="23"/>
          <w:szCs w:val="23"/>
        </w:rPr>
        <w:t>Trade Practices Act 1974</w:t>
      </w:r>
      <w:r>
        <w:rPr>
          <w:color w:val="000000"/>
          <w:sz w:val="23"/>
          <w:szCs w:val="23"/>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decision of the NCC not to make a coverage determination because of section 96;</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stated day, a person was or was not given a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(c)</w:t>
      </w:r>
      <w:r>
        <w:rPr>
          <w:color w:val="000000"/>
          <w:sz w:val="23"/>
          <w:szCs w:val="23"/>
        </w:rPr>
        <w:tab/>
        <w:t>on a stated day any 1 of the following was, in accordance with the Rules, published on the NCC’s website: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Ministerial coverage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decision of the NCC not to make a coverage determination because of section 96;</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relevant notice.</w:t>
      </w:r>
    </w:p>
    <w:p>
      <w:pPr>
        <w:pStyle w:val="Heading5"/>
      </w:pPr>
      <w:bookmarkStart w:id="1044" w:name="_Toc158375220"/>
      <w:r>
        <w:rPr>
          <w:rStyle w:val="CharSectno"/>
        </w:rPr>
        <w:t>37</w:t>
      </w:r>
      <w:r>
        <w:t>.</w:t>
      </w:r>
      <w:r>
        <w:tab/>
        <w:t>Evidentiary certificates—relevant Minister and Commonwealth Minister</w:t>
      </w:r>
      <w:bookmarkEnd w:id="1044"/>
    </w:p>
    <w:p>
      <w:pPr>
        <w:keepNext/>
        <w:keepLines/>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a relevant Minister or the Commonwealth Minister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Ministerial coverage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stated day a person or the NCC was or was not given a Ministerial coverage decision.</w:t>
      </w:r>
    </w:p>
    <w:p>
      <w:pPr>
        <w:pStyle w:val="Heading5"/>
      </w:pPr>
      <w:bookmarkStart w:id="1045" w:name="_Toc158375221"/>
      <w:r>
        <w:rPr>
          <w:rStyle w:val="CharSectno"/>
        </w:rPr>
        <w:t>38</w:t>
      </w:r>
      <w:r>
        <w:t>.</w:t>
      </w:r>
      <w:r>
        <w:tab/>
        <w:t>Evidentiary certificates—Bulletin Board operator</w:t>
      </w:r>
      <w:bookmarkEnd w:id="1045"/>
    </w:p>
    <w:p>
      <w:pPr>
        <w:keepNext/>
        <w:keepLines/>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the chief executive officer of the Bulletin Board operator,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(d)</w:t>
      </w:r>
      <w:r>
        <w:rPr>
          <w:color w:val="000000"/>
          <w:sz w:val="23"/>
          <w:szCs w:val="23"/>
        </w:rPr>
        <w:tab/>
        <w:t>on a stated day a relevant notice was published on the Bulletin Board operator’s website.</w:t>
      </w:r>
    </w:p>
    <w:p>
      <w:pPr>
        <w:pStyle w:val="Heading3"/>
      </w:pPr>
      <w:bookmarkStart w:id="1046" w:name="_Toc156819582"/>
      <w:bookmarkStart w:id="1047" w:name="_Toc156991002"/>
      <w:bookmarkStart w:id="1048" w:name="_Toc158375222"/>
      <w:r>
        <w:rPr>
          <w:rStyle w:val="CharDivNo"/>
        </w:rPr>
        <w:t>Part 8</w:t>
      </w:r>
      <w:r>
        <w:t xml:space="preserve"> — </w:t>
      </w:r>
      <w:r>
        <w:rPr>
          <w:rStyle w:val="CharDivText"/>
        </w:rPr>
        <w:t>Commencement of this Law and statutory instruments</w:t>
      </w:r>
      <w:bookmarkEnd w:id="1046"/>
      <w:bookmarkEnd w:id="1047"/>
      <w:bookmarkEnd w:id="1048"/>
    </w:p>
    <w:p>
      <w:pPr>
        <w:pStyle w:val="Heading5"/>
      </w:pPr>
      <w:bookmarkStart w:id="1049" w:name="_Toc158375223"/>
      <w:r>
        <w:rPr>
          <w:rStyle w:val="CharSectno"/>
        </w:rPr>
        <w:t>39</w:t>
      </w:r>
      <w:r>
        <w:t>.</w:t>
      </w:r>
      <w:r>
        <w:tab/>
        <w:t>Time of commencement of this Law or a provision of this Law</w:t>
      </w:r>
      <w:bookmarkEnd w:id="1049"/>
    </w:p>
    <w:p>
      <w:pPr>
        <w:keepLines/>
        <w:autoSpaceDE w:val="0"/>
        <w:autoSpaceDN w:val="0"/>
        <w:adjustRightInd w:val="0"/>
        <w:spacing w:before="120"/>
        <w:ind w:left="1588"/>
        <w:rPr>
          <w:color w:val="000000"/>
          <w:sz w:val="23"/>
          <w:szCs w:val="23"/>
        </w:rPr>
      </w:pPr>
      <w:r>
        <w:rPr>
          <w:color w:val="000000"/>
          <w:sz w:val="23"/>
          <w:szCs w:val="23"/>
        </w:rPr>
        <w:t>If a provision of an Act of South Australia provides that this Law or a provision of this Law shall commence, or be deemed to have commenced, on a particular day, it shall commence, or be deemed to have commenced, at the beginning of that day.</w:t>
      </w:r>
    </w:p>
    <w:p>
      <w:pPr>
        <w:pStyle w:val="Heading5"/>
      </w:pPr>
      <w:bookmarkStart w:id="1050" w:name="_Toc158375224"/>
      <w:r>
        <w:rPr>
          <w:rStyle w:val="CharSectno"/>
        </w:rPr>
        <w:t>40</w:t>
      </w:r>
      <w:r>
        <w:t>.</w:t>
      </w:r>
      <w:r>
        <w:tab/>
        <w:t>Time of commencement of a Rule</w:t>
      </w:r>
      <w:bookmarkEnd w:id="105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Rule provides that the Rule shall commence on a particular day, it shall commence at the beginning of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an Act of South Australia provides that a Rule is deemed to have commenced on a particular day, the Rule shall be deemed to have commenced at the beginning of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notice published in the South Australian Government Gazette under Chapter 9 Part 2 or section 314 provides that a Rule shall commence on a particular day, the Rule shall commence at the beginning of that day.</w:t>
      </w:r>
    </w:p>
    <w:p>
      <w:pPr>
        <w:pStyle w:val="Heading3"/>
      </w:pPr>
      <w:bookmarkStart w:id="1051" w:name="_Toc156819585"/>
      <w:bookmarkStart w:id="1052" w:name="_Toc156991005"/>
      <w:bookmarkStart w:id="1053" w:name="_Toc158375225"/>
      <w:r>
        <w:rPr>
          <w:rStyle w:val="CharDivNo"/>
        </w:rPr>
        <w:t>Part 9</w:t>
      </w:r>
      <w:r>
        <w:t xml:space="preserve"> — </w:t>
      </w:r>
      <w:r>
        <w:rPr>
          <w:rStyle w:val="CharDivText"/>
        </w:rPr>
        <w:t>Effect of repeal, amendment or expiration</w:t>
      </w:r>
      <w:bookmarkEnd w:id="1051"/>
      <w:bookmarkEnd w:id="1052"/>
      <w:bookmarkEnd w:id="1053"/>
    </w:p>
    <w:p>
      <w:pPr>
        <w:pStyle w:val="Heading5"/>
      </w:pPr>
      <w:bookmarkStart w:id="1054" w:name="_Toc158375226"/>
      <w:r>
        <w:rPr>
          <w:rStyle w:val="CharSectno"/>
        </w:rPr>
        <w:t>41</w:t>
      </w:r>
      <w:r>
        <w:t>.</w:t>
      </w:r>
      <w:r>
        <w:tab/>
        <w:t>Time of Law, the Regulations or Rules ceasing to have effect</w:t>
      </w:r>
      <w:bookmarkEnd w:id="1054"/>
    </w:p>
    <w:p>
      <w:pPr>
        <w:keepNext/>
        <w:keepLines/>
        <w:autoSpaceDE w:val="0"/>
        <w:autoSpaceDN w:val="0"/>
        <w:adjustRightInd w:val="0"/>
        <w:spacing w:before="120"/>
        <w:ind w:left="1588"/>
        <w:rPr>
          <w:color w:val="000000"/>
          <w:sz w:val="23"/>
          <w:szCs w:val="23"/>
        </w:rPr>
      </w:pPr>
      <w:r>
        <w:rPr>
          <w:color w:val="000000"/>
          <w:sz w:val="23"/>
          <w:szCs w:val="23"/>
        </w:rPr>
        <w:t>If a provision of this Law, the Regulations or the Rules is expressed—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expire on a specified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remain or continue in force, or otherwise have effect, until a specified day,</w:t>
      </w:r>
    </w:p>
    <w:p>
      <w:pPr>
        <w:keepLines/>
        <w:autoSpaceDE w:val="0"/>
        <w:autoSpaceDN w:val="0"/>
        <w:adjustRightInd w:val="0"/>
        <w:spacing w:before="120"/>
        <w:ind w:left="1588"/>
        <w:rPr>
          <w:color w:val="000000"/>
          <w:sz w:val="23"/>
          <w:szCs w:val="23"/>
        </w:rPr>
      </w:pPr>
      <w:r>
        <w:rPr>
          <w:color w:val="000000"/>
          <w:sz w:val="23"/>
          <w:szCs w:val="23"/>
        </w:rPr>
        <w:lastRenderedPageBreak/>
        <w:t>the provision has effect until the last moment of the specified day.</w:t>
      </w:r>
    </w:p>
    <w:p>
      <w:pPr>
        <w:pStyle w:val="Heading5"/>
      </w:pPr>
      <w:bookmarkStart w:id="1055" w:name="_Toc158375227"/>
      <w:r>
        <w:rPr>
          <w:rStyle w:val="CharSectno"/>
        </w:rPr>
        <w:t>42</w:t>
      </w:r>
      <w:r>
        <w:t>.</w:t>
      </w:r>
      <w:r>
        <w:tab/>
        <w:t>Repealed Law, Regulation or Rule provisions not revived</w:t>
      </w:r>
      <w:bookmarkEnd w:id="105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provision of this Law is repealed or amended by an Act of South Australia or a provision of an Act of South Australia, the provision is not revived merely because the Act or the provision of the Act—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later expires.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the Regulations or the Rules is repealed or amended by a Regulation or a Rule, the provision is not revived merely because the Regulation or Rule—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later expires.</w:t>
      </w:r>
    </w:p>
    <w:p>
      <w:pPr>
        <w:pStyle w:val="Heading5"/>
      </w:pPr>
      <w:bookmarkStart w:id="1056" w:name="_Toc158375228"/>
      <w:r>
        <w:rPr>
          <w:rStyle w:val="CharSectno"/>
        </w:rPr>
        <w:t>43</w:t>
      </w:r>
      <w:r>
        <w:t>.</w:t>
      </w:r>
      <w:r>
        <w:tab/>
        <w:t>Saving of operation of repealed Law, Regulation or Rule provisions</w:t>
      </w:r>
      <w:bookmarkEnd w:id="105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repeal, amendment or expiry of a provision of this Law, the Regulations or the Rules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the repeal, amendment or expiry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provision or anything suffered, done or begun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incurred in relation to an offence arising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(2)</w:t>
      </w:r>
      <w:r>
        <w:rPr>
          <w:color w:val="000000"/>
          <w:sz w:val="23"/>
          <w:szCs w:val="23"/>
        </w:rPr>
        <w:tab/>
        <w:t>Any such penalty may be imposed and enforced, and any such investigation, proceeding or remedy may be begun, continued or enforced, as if the provision had not been repealed or amended or had not expired.</w:t>
      </w:r>
    </w:p>
    <w:p>
      <w:pPr>
        <w:pStyle w:val="Heading5"/>
      </w:pPr>
      <w:bookmarkStart w:id="1057" w:name="_Toc158375229"/>
      <w:r>
        <w:rPr>
          <w:rStyle w:val="CharSectno"/>
        </w:rPr>
        <w:t>44</w:t>
      </w:r>
      <w:r>
        <w:t>.</w:t>
      </w:r>
      <w:r>
        <w:tab/>
        <w:t>Continuance of repealed provisions</w:t>
      </w:r>
      <w:bookmarkEnd w:id="105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Act of South Australia repeals some provisions of this Law and enacts new provisions in substitution for the repealed provisions, the repealed provisions continue in force until the new provisions commence.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Regulation or Rule repeals some provisions of the Regulations or Rules and enacts new provisions in substitution for the repealed provisions, the repealed provisions continue in force until the new provisions commence.</w:t>
      </w:r>
    </w:p>
    <w:p>
      <w:pPr>
        <w:pStyle w:val="Heading5"/>
      </w:pPr>
      <w:bookmarkStart w:id="1058" w:name="_Toc158375230"/>
      <w:r>
        <w:rPr>
          <w:rStyle w:val="CharSectno"/>
        </w:rPr>
        <w:t>45</w:t>
      </w:r>
      <w:r>
        <w:t>.</w:t>
      </w:r>
      <w:r>
        <w:tab/>
        <w:t>Law and amending Acts to be read as one</w:t>
      </w:r>
      <w:bookmarkEnd w:id="1058"/>
    </w:p>
    <w:p>
      <w:pPr>
        <w:keepLines/>
        <w:autoSpaceDE w:val="0"/>
        <w:autoSpaceDN w:val="0"/>
        <w:adjustRightInd w:val="0"/>
        <w:spacing w:before="120"/>
        <w:ind w:left="1588"/>
        <w:rPr>
          <w:color w:val="000000"/>
          <w:sz w:val="23"/>
          <w:szCs w:val="23"/>
        </w:rPr>
      </w:pPr>
      <w:r>
        <w:rPr>
          <w:color w:val="000000"/>
          <w:sz w:val="23"/>
          <w:szCs w:val="23"/>
        </w:rPr>
        <w:t>This Law and all Acts of this jurisdiction amending this Law are to be read as one.</w:t>
      </w:r>
    </w:p>
    <w:p>
      <w:pPr>
        <w:pStyle w:val="Heading3"/>
      </w:pPr>
      <w:bookmarkStart w:id="1059" w:name="_Toc156819591"/>
      <w:bookmarkStart w:id="1060" w:name="_Toc156991011"/>
      <w:bookmarkStart w:id="1061" w:name="_Toc158375231"/>
      <w:r>
        <w:rPr>
          <w:rStyle w:val="CharDivNo"/>
        </w:rPr>
        <w:t>Part 10</w:t>
      </w:r>
      <w:r>
        <w:t xml:space="preserve"> — </w:t>
      </w:r>
      <w:r>
        <w:rPr>
          <w:rStyle w:val="CharDivText"/>
        </w:rPr>
        <w:t>Offences under this Law</w:t>
      </w:r>
      <w:bookmarkEnd w:id="1059"/>
      <w:bookmarkEnd w:id="1060"/>
      <w:bookmarkEnd w:id="1061"/>
    </w:p>
    <w:p>
      <w:pPr>
        <w:pStyle w:val="Heading5"/>
      </w:pPr>
      <w:bookmarkStart w:id="1062" w:name="_Toc158375232"/>
      <w:r>
        <w:rPr>
          <w:rStyle w:val="CharSectno"/>
        </w:rPr>
        <w:t>46</w:t>
      </w:r>
      <w:r>
        <w:t>.</w:t>
      </w:r>
      <w:r>
        <w:tab/>
        <w:t>Penalty at foot of provision</w:t>
      </w:r>
      <w:bookmarkEnd w:id="1062"/>
    </w:p>
    <w:p>
      <w:pPr>
        <w:keepNext/>
        <w:keepLines/>
        <w:autoSpaceDE w:val="0"/>
        <w:autoSpaceDN w:val="0"/>
        <w:adjustRightInd w:val="0"/>
        <w:spacing w:before="120"/>
        <w:ind w:left="1588"/>
        <w:rPr>
          <w:color w:val="000000"/>
          <w:sz w:val="23"/>
          <w:szCs w:val="23"/>
        </w:rPr>
      </w:pPr>
      <w:r>
        <w:rPr>
          <w:color w:val="000000"/>
          <w:sz w:val="23"/>
          <w:szCs w:val="23"/>
        </w:rPr>
        <w:t>In this Law, a penalty specified at the foot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section (whether or not the section is divided into subsections);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subsection (but not at the end of a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section or subsection and expressed in such a way as to indicate that it applies only to part of the section or subsection,</w:t>
      </w:r>
    </w:p>
    <w:p>
      <w:pPr>
        <w:keepLines/>
        <w:autoSpaceDE w:val="0"/>
        <w:autoSpaceDN w:val="0"/>
        <w:adjustRightInd w:val="0"/>
        <w:spacing w:before="120"/>
        <w:ind w:left="1588"/>
        <w:rPr>
          <w:color w:val="000000"/>
          <w:sz w:val="23"/>
          <w:szCs w:val="23"/>
        </w:rPr>
      </w:pPr>
      <w:r>
        <w:rPr>
          <w:color w:val="000000"/>
          <w:sz w:val="23"/>
          <w:szCs w:val="23"/>
        </w:rPr>
        <w:lastRenderedPageBreak/>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Heading5"/>
      </w:pPr>
      <w:bookmarkStart w:id="1063" w:name="_Toc158375233"/>
      <w:r>
        <w:rPr>
          <w:rStyle w:val="CharSectno"/>
        </w:rPr>
        <w:t>47</w:t>
      </w:r>
      <w:r>
        <w:t>.</w:t>
      </w:r>
      <w:r>
        <w:tab/>
        <w:t>Penalty other than at foot of provision</w:t>
      </w:r>
      <w:bookmarkEnd w:id="106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clause does not apply to a penalty to which clause 36 applies.</w:t>
      </w:r>
    </w:p>
    <w:p>
      <w:pPr>
        <w:pStyle w:val="Heading5"/>
      </w:pPr>
      <w:bookmarkStart w:id="1064" w:name="_Toc158375234"/>
      <w:r>
        <w:rPr>
          <w:rStyle w:val="CharSectno"/>
        </w:rPr>
        <w:t>48</w:t>
      </w:r>
      <w:r>
        <w:t>.</w:t>
      </w:r>
      <w:r>
        <w:tab/>
        <w:t>Indictable offences and summary offences</w:t>
      </w:r>
      <w:bookmarkEnd w:id="106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offence against this Law that is not punishable by imprisonment is punishable summarily.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offence against this Law that is punishable by imprisonment is, subject to subclause (3), punishable on indictment.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proceeding for an offence against this Law that is punishable by imprisonment is instituted in a court of summary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prosecutor requests the court to hear and determine the proceeding,</w:t>
      </w:r>
    </w:p>
    <w:p>
      <w:pPr>
        <w:keepLines/>
        <w:autoSpaceDE w:val="0"/>
        <w:autoSpaceDN w:val="0"/>
        <w:adjustRightInd w:val="0"/>
        <w:spacing w:before="120"/>
        <w:ind w:left="1588"/>
        <w:rPr>
          <w:color w:val="000000"/>
          <w:sz w:val="23"/>
          <w:szCs w:val="23"/>
        </w:rPr>
      </w:pPr>
      <w:r>
        <w:rPr>
          <w:color w:val="000000"/>
          <w:sz w:val="23"/>
          <w:szCs w:val="23"/>
        </w:rPr>
        <w:t>the offence is punishable summarily and the court must hear and determine the proceeding.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(4)</w:t>
      </w:r>
      <w:r>
        <w:rPr>
          <w:color w:val="000000"/>
          <w:sz w:val="23"/>
          <w:szCs w:val="23"/>
        </w:rPr>
        <w:tab/>
        <w:t>A court of summary jurisdiction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impose, in relation to a single offence against this Law, a period of imprisonment of more than 2 years;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impose, in relation to offences against the Law, cumulative periods of imprisonment that are, in total, more than 5 years.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Nothing in this clause renders a person liable to be punished more than once in relation to the same offence.</w:t>
      </w:r>
    </w:p>
    <w:p>
      <w:pPr>
        <w:pStyle w:val="Heading5"/>
      </w:pPr>
      <w:bookmarkStart w:id="1065" w:name="_Toc158375235"/>
      <w:r>
        <w:rPr>
          <w:rStyle w:val="CharSectno"/>
        </w:rPr>
        <w:t>49</w:t>
      </w:r>
      <w:r>
        <w:t>.</w:t>
      </w:r>
      <w:r>
        <w:tab/>
        <w:t>Double jeopardy</w:t>
      </w:r>
      <w:bookmarkEnd w:id="106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act or omission constitutes an offence—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as applied as a law of another jurisdiction,</w:t>
      </w:r>
    </w:p>
    <w:p>
      <w:pPr>
        <w:keepLines/>
        <w:autoSpaceDE w:val="0"/>
        <w:autoSpaceDN w:val="0"/>
        <w:adjustRightInd w:val="0"/>
        <w:spacing w:before="120"/>
        <w:ind w:left="1588"/>
        <w:rPr>
          <w:color w:val="000000"/>
          <w:sz w:val="23"/>
          <w:szCs w:val="23"/>
        </w:rPr>
      </w:pPr>
      <w:r>
        <w:rPr>
          <w:color w:val="000000"/>
          <w:sz w:val="23"/>
          <w:szCs w:val="23"/>
        </w:rPr>
        <w:t>and the offender has been punished in relation to the offence under the law mentioned in paragraph (b), the offender is not liable to be punished in relation to the offence mentioned in paragraph (a).</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an act or omission constitutes—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breach of a civil penalty provision of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breach of a civil penalty provision of this Law as applied as a law of another jurisdiction,</w:t>
      </w:r>
    </w:p>
    <w:p>
      <w:pPr>
        <w:keepLines/>
        <w:autoSpaceDE w:val="0"/>
        <w:autoSpaceDN w:val="0"/>
        <w:adjustRightInd w:val="0"/>
        <w:spacing w:before="120"/>
        <w:ind w:left="1588"/>
        <w:rPr>
          <w:color w:val="000000"/>
          <w:sz w:val="23"/>
          <w:szCs w:val="23"/>
        </w:rPr>
      </w:pPr>
      <w:r>
        <w:rPr>
          <w:color w:val="000000"/>
          <w:sz w:val="23"/>
          <w:szCs w:val="23"/>
        </w:rPr>
        <w:t>and the person in breach of the civil penalty provision mentioned in paragraph (a) has been punished in relation to the civil penalty provision mentioned in paragraph (b), the person is not liable in relation to the breach of the civil penalty provision mentioned in paragraph (a).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(3)</w:t>
      </w:r>
      <w:r>
        <w:rPr>
          <w:color w:val="000000"/>
          <w:sz w:val="23"/>
          <w:szCs w:val="23"/>
        </w:rPr>
        <w:tab/>
        <w:t>The Court must not make a declaration that a person is in breach of a provision of this Law, the Regulations or the Rules that is not an offence provision if the person has been convicted of an offence constituted by conduct that is substantially the same as the conduct constituting the breach.</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Proceedings for a declaration referred to in subclause (3) are stayed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criminal proceedings are commenced or have already been commenced against the person for an offence;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offence is constituted by conduct that is substantially the same as the conduct alleged to constitute the breach.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proceedings for the declaration referred to in subclause (3) may be resumed if the person is not convicted of the offence. Otherwise, the proceedings for the declaration must be dismissed.</w:t>
      </w:r>
    </w:p>
    <w:p>
      <w:pPr>
        <w:pStyle w:val="Heading5"/>
      </w:pPr>
      <w:bookmarkStart w:id="1066" w:name="_Toc158375236"/>
      <w:r>
        <w:rPr>
          <w:rStyle w:val="CharSectno"/>
        </w:rPr>
        <w:t>50</w:t>
      </w:r>
      <w:r>
        <w:t>.</w:t>
      </w:r>
      <w:r>
        <w:tab/>
        <w:t>Attempts and incitement</w:t>
      </w:r>
      <w:bookmarkEnd w:id="1066"/>
    </w:p>
    <w:p>
      <w:pPr>
        <w:keepNext/>
        <w:keepLines/>
        <w:autoSpaceDE w:val="0"/>
        <w:autoSpaceDN w:val="0"/>
        <w:adjustRightInd w:val="0"/>
        <w:spacing w:before="120"/>
        <w:ind w:left="1588"/>
        <w:rPr>
          <w:color w:val="000000"/>
          <w:sz w:val="23"/>
          <w:szCs w:val="23"/>
        </w:rPr>
      </w:pPr>
      <w:r>
        <w:rPr>
          <w:sz w:val="23"/>
        </w:rPr>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Footnotesection"/>
      </w:pPr>
      <w:r>
        <w:tab/>
        <w:t>[Clause 50 inserted: WA Act Sch. 1 cl. 17.]</w:t>
      </w:r>
    </w:p>
    <w:p>
      <w:pPr>
        <w:pStyle w:val="Heading3"/>
      </w:pPr>
      <w:bookmarkStart w:id="1067" w:name="_Toc156819597"/>
      <w:bookmarkStart w:id="1068" w:name="_Toc156991017"/>
      <w:bookmarkStart w:id="1069" w:name="_Toc158375237"/>
      <w:r>
        <w:rPr>
          <w:rStyle w:val="CharDivNo"/>
        </w:rPr>
        <w:t>Part 11</w:t>
      </w:r>
      <w:r>
        <w:t xml:space="preserve"> — </w:t>
      </w:r>
      <w:r>
        <w:rPr>
          <w:rStyle w:val="CharDivText"/>
        </w:rPr>
        <w:t>Instruments under this Law</w:t>
      </w:r>
      <w:bookmarkEnd w:id="1067"/>
      <w:bookmarkEnd w:id="1068"/>
      <w:bookmarkEnd w:id="1069"/>
    </w:p>
    <w:p>
      <w:pPr>
        <w:pStyle w:val="Heading5"/>
      </w:pPr>
      <w:bookmarkStart w:id="1070" w:name="_Toc158375238"/>
      <w:r>
        <w:rPr>
          <w:rStyle w:val="CharSectno"/>
        </w:rPr>
        <w:t>51</w:t>
      </w:r>
      <w:r>
        <w:t>.</w:t>
      </w:r>
      <w:r>
        <w:tab/>
        <w:t>Schedule applies to statutory instruments</w:t>
      </w:r>
      <w:bookmarkEnd w:id="107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(2)</w:t>
      </w:r>
      <w:r>
        <w:rPr>
          <w:color w:val="000000"/>
          <w:sz w:val="23"/>
          <w:szCs w:val="23"/>
        </w:rPr>
        <w:tab/>
        <w:t>The fact that a provision of this Schedule refers to this Law and not also to a statutory instrument does not, by itself, indicate that the provision is intended to apply only to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clause—</w:t>
      </w:r>
    </w:p>
    <w:p>
      <w:pPr>
        <w:keepLines/>
        <w:autoSpaceDE w:val="0"/>
        <w:autoSpaceDN w:val="0"/>
        <w:adjustRightInd w:val="0"/>
        <w:spacing w:before="120"/>
        <w:ind w:left="1588"/>
        <w:rPr>
          <w:sz w:val="23"/>
          <w:szCs w:val="23"/>
        </w:rPr>
      </w:pPr>
      <w:r>
        <w:rPr>
          <w:rStyle w:val="CharDefText"/>
          <w:sz w:val="23"/>
          <w:szCs w:val="23"/>
        </w:rPr>
        <w:t>statutory instrument</w:t>
      </w:r>
      <w:r>
        <w:rPr>
          <w:sz w:val="23"/>
          <w:szCs w:val="23"/>
        </w:rPr>
        <w:t xml:space="preserve"> includes the </w:t>
      </w:r>
      <w:r>
        <w:rPr>
          <w:color w:val="000000"/>
          <w:sz w:val="23"/>
          <w:szCs w:val="23"/>
        </w:rPr>
        <w:t>Regulations</w:t>
      </w:r>
      <w:r>
        <w:rPr>
          <w:sz w:val="23"/>
          <w:szCs w:val="23"/>
        </w:rPr>
        <w:t>, the rate of return instrument or the Rules.</w:t>
      </w:r>
    </w:p>
    <w:p>
      <w:pPr>
        <w:pStyle w:val="Footnotesection"/>
      </w:pPr>
      <w:r>
        <w:tab/>
        <w:t>[Clause 51 modified: WA Act Sch. 1 cl. 17A.]</w:t>
      </w:r>
    </w:p>
    <w:p>
      <w:pPr>
        <w:pStyle w:val="Heading5"/>
        <w:rPr>
          <w:b w:val="0"/>
        </w:rPr>
      </w:pPr>
      <w:bookmarkStart w:id="1071" w:name="_Toc158375239"/>
      <w:r>
        <w:rPr>
          <w:rStyle w:val="CharSectno"/>
        </w:rPr>
        <w:t>51A</w:t>
      </w:r>
      <w:r>
        <w:t>.</w:t>
      </w:r>
      <w:r>
        <w:tab/>
        <w:t>Rate of return instrument construed not to exceed the legislative power of the Legislature of this jurisdiction or the powers conferred by this Law</w:t>
      </w:r>
      <w:bookmarkEnd w:id="107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rate of return instrument is to be construed as operating to the full extent of, but so as not to exceed, the legislative power of the Legislature of this jurisdiction or the power conferred by this Law under which it is made.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the rate of return instrument, or the application of a provision of the instrument to a person, subject matter or circumstance, would, but for this clause, be construed as being in excess of the legislative power of the Legislature of this jurisdiction or the power conferred by this Law under which it is made—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a valid provision to the extent to which it is not in excess of the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remainder of the instrument, and the application of the provision to other persons, subject matters or circumstances, is not affected.</w:t>
      </w:r>
    </w:p>
    <w:p>
      <w:pPr>
        <w:pStyle w:val="Footnotesection"/>
      </w:pPr>
      <w:r>
        <w:tab/>
        <w:t>[Clause 51A inserted: see SA Act No. 33 of 2018 s. 20(3) and WA Gazette 5 Apr 2019 p. 1007.]</w:t>
      </w:r>
    </w:p>
    <w:p>
      <w:pPr>
        <w:pStyle w:val="Heading5"/>
      </w:pPr>
      <w:bookmarkStart w:id="1072" w:name="_Toc158375240"/>
      <w:r>
        <w:rPr>
          <w:rStyle w:val="CharSectno"/>
        </w:rPr>
        <w:lastRenderedPageBreak/>
        <w:t>52</w:t>
      </w:r>
      <w:r>
        <w:t>.</w:t>
      </w:r>
      <w:r>
        <w:tab/>
        <w:t>National Gas Rules to be construed so as not to exceed the legislative power of the Legislature of this jurisdiction or the powers conferred by this Law</w:t>
      </w:r>
      <w:bookmarkEnd w:id="107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National Gas Rules are to be construed as operating to the full extent of, but so as not to exceed, the legislative power of the Legislature of this jurisdiction or the power conferred by this Law under which they are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the National Gas Rules, or the application of a provision of the National Gas Rules to a person, subject matter or circumstance, would, but for this clause, be construed as being in excess of the legislative power of the Legislature of this jurisdiction or the power conferred by this Law under which it is made—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a valid provision to the extent to which it is not in excess of that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remainder of the National Gas Rules,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subclause (2), the National Gas Rules are not to be construed as imposing any duty on the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(4)</w:t>
      </w:r>
      <w:r>
        <w:rPr>
          <w:color w:val="000000"/>
          <w:sz w:val="23"/>
          <w:szCs w:val="23"/>
        </w:rPr>
        <w:tab/>
        <w:t>In particular, if a provision of the National Gas Rules appears to impose a duty on the AER to perform a function or exercise a power in matters or circumstances in which the assumption of the duty cannot be validly authorised under a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acts or omissions of corporations to which section 51(xx) of the </w:t>
      </w:r>
      <w:r>
        <w:rPr>
          <w:i/>
          <w:iCs/>
          <w:color w:val="000000"/>
          <w:sz w:val="23"/>
          <w:szCs w:val="23"/>
        </w:rPr>
        <w:t>Constitution of the Commonwealth</w:t>
      </w:r>
      <w:r>
        <w:rPr>
          <w:color w:val="000000"/>
          <w:sz w:val="23"/>
          <w:szCs w:val="23"/>
        </w:rPr>
        <w:t xml:space="preserve">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clause does not limit the effect that a provision of the National Gas Rules would validly have apart from this clause.</w:t>
      </w:r>
    </w:p>
    <w:p>
      <w:pPr>
        <w:pStyle w:val="Heading5"/>
      </w:pPr>
      <w:bookmarkStart w:id="1073" w:name="_Toc158375241"/>
      <w:r>
        <w:rPr>
          <w:rStyle w:val="CharSectno"/>
        </w:rPr>
        <w:t>53</w:t>
      </w:r>
      <w:r>
        <w:t>.</w:t>
      </w:r>
      <w:r>
        <w:tab/>
        <w:t>Invalid Rules</w:t>
      </w:r>
      <w:bookmarkEnd w:id="107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Court orders (by declaration or otherwise) that a Rule is invalid, the order of the Court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of the order of the Court;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Rule or anything suffered, done or begun under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arising because of a breach of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penalty may be imposed and enforced, and any such investigation, proceeding or remedy may be begun, continued or enforced as if the Rule had not been ordered by the Court as invalid.</w:t>
      </w:r>
    </w:p>
    <w:p>
      <w:pPr>
        <w:pStyle w:val="Heading5"/>
      </w:pPr>
      <w:bookmarkStart w:id="1074" w:name="_Toc158375242"/>
      <w:r>
        <w:rPr>
          <w:rStyle w:val="CharSectno"/>
        </w:rPr>
        <w:t>53A</w:t>
      </w:r>
      <w:r>
        <w:t>.</w:t>
      </w:r>
      <w:r>
        <w:tab/>
        <w:t>Invalid rate of return instrument</w:t>
      </w:r>
      <w:bookmarkEnd w:id="107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 the Court orders (by declaration or otherwise) that a rate of return instrument is invalid.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make a new rate of return instrument under this Law to replace the invalid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Until the invalid instrument is replaced, the rate of return on capital and the value of imputation credits under the invalid instrument continue to apply for the purposes of this Law.</w:t>
      </w:r>
    </w:p>
    <w:p>
      <w:pPr>
        <w:keepLines/>
        <w:tabs>
          <w:tab w:val="center" w:pos="1191"/>
          <w:tab w:val="left" w:pos="1588"/>
        </w:tabs>
        <w:autoSpaceDE w:val="0"/>
        <w:autoSpaceDN w:val="0"/>
        <w:adjustRightInd w:val="0"/>
        <w:spacing w:before="120"/>
        <w:ind w:left="1588" w:hanging="794"/>
        <w:rPr>
          <w:color w:val="000000"/>
          <w:sz w:val="23"/>
          <w:szCs w:val="23"/>
        </w:rPr>
      </w:pPr>
      <w:bookmarkStart w:id="1075" w:name="id5098b1b8_2e27_4cc1_9aa5_91fbe454a8"/>
      <w:r>
        <w:rPr>
          <w:color w:val="000000"/>
          <w:sz w:val="23"/>
          <w:szCs w:val="23"/>
        </w:rPr>
        <w:tab/>
        <w:t>(4)</w:t>
      </w:r>
      <w:r>
        <w:rPr>
          <w:color w:val="000000"/>
          <w:sz w:val="23"/>
          <w:szCs w:val="23"/>
        </w:rPr>
        <w:tab/>
        <w:t>However, the AER must deal with any affected access arrangement decision to apply the new rate of return instrument to the decision as if the new instrument had applied from the start of the decision.</w:t>
      </w:r>
      <w:bookmarkEnd w:id="107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r>
      <w:hyperlink w:anchor="id5098b1b8_2e27_4cc1_9aa5_91fbe454a8" w:history="1">
        <w:r>
          <w:rPr>
            <w:color w:val="000000"/>
            <w:sz w:val="23"/>
            <w:szCs w:val="23"/>
          </w:rPr>
          <w:t>Subclause (4)</w:t>
        </w:r>
      </w:hyperlink>
      <w:r>
        <w:rPr>
          <w:color w:val="000000"/>
          <w:sz w:val="23"/>
          <w:szCs w:val="23"/>
        </w:rPr>
        <w:t xml:space="preserve"> applies despite section 30Q(1).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sz w:val="23"/>
          <w:szCs w:val="23"/>
        </w:rPr>
        <w:t>affected access arrangement decision</w:t>
      </w:r>
      <w:r>
        <w:rPr>
          <w:color w:val="000000"/>
          <w:sz w:val="23"/>
          <w:szCs w:val="23"/>
        </w:rPr>
        <w:t xml:space="preserve"> means a full access arrangement decision to which the invalid instrument applied or continued to apply;</w:t>
      </w:r>
    </w:p>
    <w:p>
      <w:pPr>
        <w:keepLines/>
        <w:autoSpaceDE w:val="0"/>
        <w:autoSpaceDN w:val="0"/>
        <w:adjustRightInd w:val="0"/>
        <w:spacing w:before="120"/>
        <w:ind w:left="1588"/>
        <w:rPr>
          <w:color w:val="000000"/>
          <w:sz w:val="23"/>
          <w:szCs w:val="23"/>
        </w:rPr>
      </w:pPr>
      <w:r>
        <w:rPr>
          <w:rStyle w:val="CharDefText"/>
          <w:sz w:val="23"/>
          <w:szCs w:val="23"/>
        </w:rPr>
        <w:t>deal with</w:t>
      </w:r>
      <w:r>
        <w:rPr>
          <w:color w:val="000000"/>
          <w:sz w:val="23"/>
          <w:szCs w:val="23"/>
        </w:rPr>
        <w:t>, an affected access arrangement decision, means to do either of the following the AER considers appropriate in the circumstances—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revoke the decision and substitute a new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the decision.</w:t>
      </w:r>
    </w:p>
    <w:p>
      <w:pPr>
        <w:pStyle w:val="Footnotesection"/>
      </w:pPr>
      <w:r>
        <w:tab/>
        <w:t>[Clause 53A inserted: see SA Act No. 33 of 2018 s. 20(4) and WA Gazette 5 Apr 2019 p. 1007.]</w:t>
      </w:r>
    </w:p>
    <w:p>
      <w:pPr>
        <w:pStyle w:val="Heading2"/>
      </w:pPr>
      <w:bookmarkStart w:id="1076" w:name="_Toc156819603"/>
      <w:bookmarkStart w:id="1077" w:name="_Toc156991023"/>
      <w:bookmarkStart w:id="1078" w:name="_Toc158375243"/>
      <w:r>
        <w:rPr>
          <w:rStyle w:val="CharPartNo"/>
        </w:rPr>
        <w:lastRenderedPageBreak/>
        <w:t>Schedule 3</w:t>
      </w:r>
      <w:r>
        <w:t xml:space="preserve"> — </w:t>
      </w:r>
      <w:r>
        <w:rPr>
          <w:rStyle w:val="CharPartText"/>
        </w:rPr>
        <w:t>Savings and transitionals</w:t>
      </w:r>
      <w:bookmarkEnd w:id="1076"/>
      <w:bookmarkEnd w:id="1077"/>
      <w:bookmarkEnd w:id="1078"/>
    </w:p>
    <w:p>
      <w:pPr>
        <w:keepNext/>
        <w:keepLines/>
        <w:autoSpaceDE w:val="0"/>
        <w:autoSpaceDN w:val="0"/>
        <w:adjustRightInd w:val="0"/>
        <w:spacing w:before="120"/>
        <w:ind w:left="794"/>
        <w:jc w:val="right"/>
        <w:rPr>
          <w:color w:val="000000"/>
          <w:sz w:val="23"/>
          <w:szCs w:val="23"/>
        </w:rPr>
      </w:pPr>
      <w:r>
        <w:rPr>
          <w:color w:val="000000"/>
          <w:sz w:val="23"/>
          <w:szCs w:val="23"/>
        </w:rPr>
        <w:t>Section 336</w:t>
      </w:r>
    </w:p>
    <w:p>
      <w:pPr>
        <w:pStyle w:val="Heading3"/>
      </w:pPr>
      <w:bookmarkStart w:id="1079" w:name="_Toc156819604"/>
      <w:bookmarkStart w:id="1080" w:name="_Toc156991024"/>
      <w:bookmarkStart w:id="1081" w:name="_Toc158375244"/>
      <w:r>
        <w:rPr>
          <w:rStyle w:val="CharDivNo"/>
        </w:rPr>
        <w:t>Part 1</w:t>
      </w:r>
      <w:r>
        <w:t xml:space="preserve"> — </w:t>
      </w:r>
      <w:r>
        <w:rPr>
          <w:rStyle w:val="CharDivText"/>
        </w:rPr>
        <w:t>General</w:t>
      </w:r>
      <w:bookmarkEnd w:id="1079"/>
      <w:bookmarkEnd w:id="1080"/>
      <w:bookmarkEnd w:id="1081"/>
    </w:p>
    <w:p>
      <w:pPr>
        <w:pStyle w:val="Heading5"/>
      </w:pPr>
      <w:bookmarkStart w:id="1082" w:name="_Toc158375245"/>
      <w:r>
        <w:rPr>
          <w:rStyle w:val="CharSectno"/>
        </w:rPr>
        <w:t>1</w:t>
      </w:r>
      <w:r>
        <w:t>.</w:t>
      </w:r>
      <w:r>
        <w:tab/>
        <w:t>Definitions</w:t>
      </w:r>
      <w:bookmarkEnd w:id="1082"/>
    </w:p>
    <w:p>
      <w:pPr>
        <w:keepNext/>
        <w:keepLines/>
        <w:autoSpaceDE w:val="0"/>
        <w:autoSpaceDN w:val="0"/>
        <w:adjustRightInd w:val="0"/>
        <w:spacing w:before="120"/>
        <w:ind w:left="1588"/>
        <w:rPr>
          <w:color w:val="000000"/>
          <w:sz w:val="23"/>
          <w:szCs w:val="23"/>
        </w:rPr>
      </w:pPr>
      <w:r>
        <w:rPr>
          <w:color w:val="000000"/>
          <w:sz w:val="23"/>
          <w:szCs w:val="23"/>
        </w:rPr>
        <w:t>In this Schedule—</w:t>
      </w:r>
    </w:p>
    <w:p>
      <w:pPr>
        <w:keepLines/>
        <w:autoSpaceDE w:val="0"/>
        <w:autoSpaceDN w:val="0"/>
        <w:adjustRightInd w:val="0"/>
        <w:spacing w:before="120"/>
        <w:ind w:left="1588"/>
        <w:rPr>
          <w:color w:val="000000"/>
          <w:sz w:val="23"/>
          <w:szCs w:val="23"/>
        </w:rPr>
      </w:pPr>
      <w:r>
        <w:rPr>
          <w:rStyle w:val="CharDefText"/>
          <w:bCs/>
          <w:sz w:val="23"/>
        </w:rPr>
        <w:t>binding no</w:t>
      </w:r>
      <w:r>
        <w:rPr>
          <w:rStyle w:val="CharDefText"/>
          <w:bCs/>
          <w:sz w:val="23"/>
        </w:rPr>
        <w:noBreakHyphen/>
        <w:t>coverage determination</w:t>
      </w:r>
      <w:r>
        <w:rPr>
          <w:bCs/>
          <w:i/>
          <w:iCs/>
          <w:color w:val="000000"/>
          <w:sz w:val="23"/>
          <w:szCs w:val="23"/>
        </w:rPr>
        <w:t xml:space="preserve"> </w:t>
      </w:r>
      <w:r>
        <w:rPr>
          <w:color w:val="000000"/>
          <w:sz w:val="23"/>
          <w:szCs w:val="23"/>
        </w:rPr>
        <w:t>has the same meaning as in section 13A of the old access law;</w:t>
      </w:r>
    </w:p>
    <w:p>
      <w:pPr>
        <w:keepLines/>
        <w:autoSpaceDE w:val="0"/>
        <w:autoSpaceDN w:val="0"/>
        <w:adjustRightInd w:val="0"/>
        <w:spacing w:before="120"/>
        <w:ind w:left="1588"/>
        <w:rPr>
          <w:color w:val="000000"/>
          <w:sz w:val="23"/>
          <w:szCs w:val="23"/>
        </w:rPr>
      </w:pPr>
      <w:r>
        <w:rPr>
          <w:rStyle w:val="CharDefText"/>
          <w:bCs/>
          <w:sz w:val="23"/>
        </w:rPr>
        <w:t>commencement day</w:t>
      </w:r>
      <w:r>
        <w:rPr>
          <w:bCs/>
          <w:i/>
          <w:iCs/>
          <w:color w:val="000000"/>
          <w:sz w:val="23"/>
          <w:szCs w:val="23"/>
        </w:rPr>
        <w:t xml:space="preserve"> </w:t>
      </w:r>
      <w:r>
        <w:rPr>
          <w:color w:val="000000"/>
          <w:sz w:val="23"/>
          <w:szCs w:val="23"/>
        </w:rPr>
        <w:t xml:space="preserve">means the day on which </w:t>
      </w:r>
      <w:r>
        <w:rPr>
          <w:sz w:val="23"/>
        </w:rPr>
        <w:t xml:space="preserve">section 30 of the </w:t>
      </w:r>
      <w:r>
        <w:rPr>
          <w:i/>
          <w:iCs/>
          <w:sz w:val="23"/>
        </w:rPr>
        <w:t>National Gas Access (WA) Act 2009</w:t>
      </w:r>
      <w:r>
        <w:rPr>
          <w:color w:val="000000"/>
          <w:sz w:val="23"/>
          <w:szCs w:val="23"/>
        </w:rPr>
        <w:t xml:space="preserve"> comes into operation;</w:t>
      </w:r>
    </w:p>
    <w:p>
      <w:pPr>
        <w:keepLines/>
        <w:autoSpaceDE w:val="0"/>
        <w:autoSpaceDN w:val="0"/>
        <w:adjustRightInd w:val="0"/>
        <w:spacing w:before="120"/>
        <w:ind w:left="1588"/>
        <w:rPr>
          <w:color w:val="000000"/>
          <w:sz w:val="23"/>
          <w:szCs w:val="23"/>
        </w:rPr>
      </w:pPr>
      <w:r>
        <w:rPr>
          <w:rStyle w:val="CharDefText"/>
          <w:bCs/>
          <w:sz w:val="23"/>
        </w:rPr>
        <w:t>current access arrangement</w:t>
      </w:r>
      <w:r>
        <w:rPr>
          <w:bCs/>
          <w:i/>
          <w:iCs/>
          <w:color w:val="000000"/>
          <w:sz w:val="23"/>
          <w:szCs w:val="23"/>
        </w:rPr>
        <w:t xml:space="preserve"> </w:t>
      </w:r>
      <w:r>
        <w:rPr>
          <w:color w:val="000000"/>
          <w:sz w:val="23"/>
          <w:szCs w:val="23"/>
        </w:rPr>
        <w:t>means an Access Arrangement as defined by section 10.8 of the Gas Code and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new application Act</w:t>
      </w:r>
      <w:r>
        <w:rPr>
          <w:i/>
          <w:iCs/>
          <w:color w:val="000000"/>
          <w:sz w:val="23"/>
          <w:szCs w:val="23"/>
        </w:rPr>
        <w:t xml:space="preserve"> </w:t>
      </w:r>
      <w:r>
        <w:rPr>
          <w:color w:val="000000"/>
          <w:sz w:val="23"/>
          <w:szCs w:val="23"/>
        </w:rPr>
        <w:t xml:space="preserve">means the </w:t>
      </w:r>
      <w:r>
        <w:rPr>
          <w:i/>
          <w:iCs/>
          <w:color w:val="000000"/>
          <w:sz w:val="23"/>
          <w:szCs w:val="23"/>
        </w:rPr>
        <w:t>National Gas (South Australia) Act 2008</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old</w:t>
      </w:r>
      <w:r>
        <w:rPr>
          <w:rStyle w:val="CharDefText"/>
          <w:b w:val="0"/>
          <w:sz w:val="23"/>
        </w:rPr>
        <w:t xml:space="preserve"> </w:t>
      </w:r>
      <w:r>
        <w:rPr>
          <w:rStyle w:val="CharDefText"/>
          <w:bCs/>
          <w:sz w:val="23"/>
        </w:rPr>
        <w:t>scheme coverage application</w:t>
      </w:r>
      <w:r>
        <w:rPr>
          <w:b/>
          <w:bCs/>
          <w:i/>
          <w:iCs/>
          <w:color w:val="000000"/>
          <w:sz w:val="23"/>
          <w:szCs w:val="23"/>
        </w:rPr>
        <w:t xml:space="preserve"> </w:t>
      </w:r>
      <w:r>
        <w:rPr>
          <w:color w:val="000000"/>
          <w:sz w:val="23"/>
          <w:szCs w:val="23"/>
        </w:rPr>
        <w:t>means an application under section 1.3 of the Gas Code in respect of which a determination under section 1.13 of the Gas Code has not been made before the commencement day;</w:t>
      </w:r>
    </w:p>
    <w:p>
      <w:pPr>
        <w:keepLines/>
        <w:autoSpaceDE w:val="0"/>
        <w:autoSpaceDN w:val="0"/>
        <w:adjustRightInd w:val="0"/>
        <w:spacing w:before="120"/>
        <w:ind w:left="1588"/>
        <w:rPr>
          <w:color w:val="000000"/>
          <w:sz w:val="23"/>
          <w:szCs w:val="23"/>
        </w:rPr>
      </w:pPr>
      <w:r>
        <w:rPr>
          <w:rStyle w:val="CharDefText"/>
          <w:bCs/>
          <w:sz w:val="23"/>
        </w:rPr>
        <w:t>old scheme coverage revocation application</w:t>
      </w:r>
      <w:r>
        <w:rPr>
          <w:bCs/>
          <w:i/>
          <w:iCs/>
          <w:color w:val="000000"/>
          <w:sz w:val="23"/>
          <w:szCs w:val="23"/>
        </w:rPr>
        <w:t xml:space="preserve"> </w:t>
      </w:r>
      <w:r>
        <w:rPr>
          <w:color w:val="000000"/>
          <w:sz w:val="23"/>
          <w:szCs w:val="23"/>
        </w:rPr>
        <w:t>means an application under section 1.25 of the Gas Code in respect of which an old scheme coverage revocation determination has not been made before the commencement day;</w:t>
      </w:r>
    </w:p>
    <w:p>
      <w:pPr>
        <w:keepNext/>
        <w:keepLines/>
        <w:autoSpaceDE w:val="0"/>
        <w:autoSpaceDN w:val="0"/>
        <w:adjustRightInd w:val="0"/>
        <w:spacing w:before="120"/>
        <w:ind w:left="1588"/>
        <w:rPr>
          <w:color w:val="000000"/>
          <w:sz w:val="23"/>
          <w:szCs w:val="23"/>
        </w:rPr>
      </w:pPr>
      <w:r>
        <w:rPr>
          <w:rStyle w:val="CharDefText"/>
          <w:bCs/>
          <w:sz w:val="23"/>
        </w:rPr>
        <w:t>old scheme coverage determination</w:t>
      </w:r>
      <w:r>
        <w:rPr>
          <w:bCs/>
          <w:i/>
          <w:iCs/>
          <w:color w:val="000000"/>
          <w:sz w:val="23"/>
          <w:szCs w:val="23"/>
        </w:rPr>
        <w:t xml:space="preserve"> </w:t>
      </w:r>
      <w:r>
        <w:rPr>
          <w:color w:val="000000"/>
          <w:sz w:val="23"/>
          <w:szCs w:val="23"/>
        </w:rPr>
        <w:t>means a determination of an old scheme relevant Minister under section 1.13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a pipeline is covered;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is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lastRenderedPageBreak/>
        <w:t>old scheme coverage revocation determination</w:t>
      </w:r>
      <w:r>
        <w:rPr>
          <w:bCs/>
          <w:i/>
          <w:iCs/>
          <w:color w:val="000000"/>
          <w:sz w:val="23"/>
          <w:szCs w:val="23"/>
        </w:rPr>
        <w:t xml:space="preserve"> </w:t>
      </w:r>
      <w:r>
        <w:rPr>
          <w:color w:val="000000"/>
          <w:sz w:val="23"/>
          <w:szCs w:val="23"/>
        </w:rPr>
        <w:t>means a determination of an old scheme relevant Minister under section 1.34 of the Gas Code;</w:t>
      </w:r>
    </w:p>
    <w:p>
      <w:pPr>
        <w:keepLines/>
        <w:autoSpaceDE w:val="0"/>
        <w:autoSpaceDN w:val="0"/>
        <w:adjustRightInd w:val="0"/>
        <w:spacing w:before="120"/>
        <w:ind w:left="1588"/>
        <w:rPr>
          <w:color w:val="000000"/>
          <w:sz w:val="23"/>
          <w:szCs w:val="23"/>
        </w:rPr>
      </w:pPr>
      <w:r>
        <w:rPr>
          <w:rStyle w:val="CharDefText"/>
          <w:bCs/>
          <w:sz w:val="23"/>
        </w:rPr>
        <w:t>old scheme covered pipeline</w:t>
      </w:r>
      <w:r>
        <w:rPr>
          <w:bCs/>
          <w:i/>
          <w:iCs/>
          <w:color w:val="000000"/>
          <w:sz w:val="23"/>
          <w:szCs w:val="23"/>
        </w:rPr>
        <w:t xml:space="preserve"> </w:t>
      </w:r>
      <w:r>
        <w:rPr>
          <w:color w:val="000000"/>
          <w:sz w:val="23"/>
          <w:szCs w:val="23"/>
        </w:rPr>
        <w:t>means a covered pipeline within the meaning of section 10.8 of the Gas Code;</w:t>
      </w:r>
    </w:p>
    <w:p>
      <w:pPr>
        <w:keepNext/>
        <w:keepLines/>
        <w:autoSpaceDE w:val="0"/>
        <w:autoSpaceDN w:val="0"/>
        <w:adjustRightInd w:val="0"/>
        <w:spacing w:before="120"/>
        <w:ind w:left="1588"/>
        <w:rPr>
          <w:color w:val="000000"/>
          <w:sz w:val="23"/>
          <w:szCs w:val="23"/>
        </w:rPr>
      </w:pPr>
      <w:r>
        <w:rPr>
          <w:rStyle w:val="CharDefText"/>
          <w:bCs/>
          <w:sz w:val="23"/>
        </w:rPr>
        <w:t>old scheme limited access arrangement</w:t>
      </w:r>
      <w:r>
        <w:rPr>
          <w:bCs/>
          <w:i/>
          <w:iCs/>
          <w:color w:val="000000"/>
          <w:sz w:val="23"/>
          <w:szCs w:val="23"/>
        </w:rPr>
        <w:t xml:space="preserve"> </w:t>
      </w:r>
      <w:r>
        <w:rPr>
          <w:color w:val="000000"/>
          <w:sz w:val="23"/>
          <w:szCs w:val="23"/>
        </w:rPr>
        <w:t>means a limited access arrangement (within the meaning of section 13A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approved under section 13U of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old scheme price regulation exemption</w:t>
      </w:r>
      <w:r>
        <w:rPr>
          <w:bCs/>
          <w:i/>
          <w:iCs/>
          <w:color w:val="000000"/>
          <w:sz w:val="23"/>
          <w:szCs w:val="23"/>
        </w:rPr>
        <w:t xml:space="preserve"> </w:t>
      </w:r>
      <w:r>
        <w:rPr>
          <w:color w:val="000000"/>
          <w:sz w:val="23"/>
          <w:szCs w:val="23"/>
        </w:rPr>
        <w:t>means a price regulation exemption within the meaning of section 13A of the old access law;</w:t>
      </w:r>
    </w:p>
    <w:p>
      <w:pPr>
        <w:keepLines/>
        <w:autoSpaceDE w:val="0"/>
        <w:autoSpaceDN w:val="0"/>
        <w:adjustRightInd w:val="0"/>
        <w:spacing w:before="120"/>
        <w:ind w:left="1588"/>
        <w:rPr>
          <w:color w:val="000000"/>
          <w:sz w:val="23"/>
          <w:szCs w:val="23"/>
        </w:rPr>
      </w:pPr>
      <w:r>
        <w:rPr>
          <w:rStyle w:val="CharDefText"/>
          <w:bCs/>
          <w:sz w:val="23"/>
        </w:rPr>
        <w:t>old scheme relevant Minister</w:t>
      </w:r>
      <w:r>
        <w:rPr>
          <w:bCs/>
          <w:i/>
          <w:iCs/>
          <w:color w:val="000000"/>
          <w:sz w:val="23"/>
          <w:szCs w:val="23"/>
        </w:rPr>
        <w:t xml:space="preserve"> </w:t>
      </w:r>
      <w:r>
        <w:rPr>
          <w:color w:val="000000"/>
          <w:sz w:val="23"/>
          <w:szCs w:val="23"/>
        </w:rPr>
        <w:t>means a relevant Minister within the meaning of section 2 of the old access law;</w:t>
      </w:r>
    </w:p>
    <w:p>
      <w:pPr>
        <w:keepNext/>
        <w:keepLines/>
        <w:autoSpaceDE w:val="0"/>
        <w:autoSpaceDN w:val="0"/>
        <w:adjustRightInd w:val="0"/>
        <w:spacing w:before="120"/>
        <w:ind w:left="1588"/>
        <w:rPr>
          <w:color w:val="000000"/>
          <w:sz w:val="23"/>
          <w:szCs w:val="23"/>
        </w:rPr>
      </w:pPr>
      <w:r>
        <w:rPr>
          <w:rStyle w:val="CharDefText"/>
          <w:bCs/>
          <w:sz w:val="23"/>
        </w:rPr>
        <w:t>pending old scheme coverage determination</w:t>
      </w:r>
      <w:r>
        <w:rPr>
          <w:bCs/>
          <w:i/>
          <w:iCs/>
          <w:color w:val="000000"/>
          <w:sz w:val="23"/>
          <w:szCs w:val="23"/>
        </w:rPr>
        <w:t xml:space="preserve"> </w:t>
      </w:r>
      <w:r>
        <w:rPr>
          <w:color w:val="000000"/>
          <w:sz w:val="23"/>
          <w:szCs w:val="23"/>
        </w:rPr>
        <w:t>means a determination of an old scheme relevant Minister under section 1.13 of the Gas Code that a pipeline is covered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no</w:t>
      </w:r>
      <w:r>
        <w:rPr>
          <w:rStyle w:val="CharDefText"/>
          <w:bCs/>
          <w:sz w:val="23"/>
        </w:rPr>
        <w:noBreakHyphen/>
        <w:t>coverage determination</w:t>
      </w:r>
      <w:r>
        <w:rPr>
          <w:bCs/>
          <w:i/>
          <w:iCs/>
          <w:color w:val="000000"/>
          <w:sz w:val="23"/>
          <w:szCs w:val="23"/>
        </w:rPr>
        <w:t xml:space="preserve"> </w:t>
      </w:r>
      <w:r>
        <w:rPr>
          <w:color w:val="000000"/>
          <w:sz w:val="23"/>
          <w:szCs w:val="23"/>
        </w:rPr>
        <w:t>means a determination of an old scheme relevant Minister under section 1.13 of the Gas Code that a pipeline is not covered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lastRenderedPageBreak/>
        <w:t>pending old scheme coverage non</w:t>
      </w:r>
      <w:r>
        <w:rPr>
          <w:rStyle w:val="CharDefText"/>
          <w:bCs/>
          <w:sz w:val="23"/>
        </w:rPr>
        <w:noBreakHyphen/>
        <w:t>revocation determination</w:t>
      </w:r>
      <w:r>
        <w:rPr>
          <w:bCs/>
          <w:i/>
          <w:iCs/>
          <w:color w:val="000000"/>
          <w:sz w:val="23"/>
          <w:szCs w:val="23"/>
        </w:rPr>
        <w:t xml:space="preserve"> </w:t>
      </w:r>
      <w:r>
        <w:rPr>
          <w:color w:val="000000"/>
          <w:sz w:val="23"/>
          <w:szCs w:val="23"/>
        </w:rPr>
        <w:t>means a determination of an old scheme relevant Minister under section 1.34 of the Gas Code that coverage of a covered pipeline not be revoked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coverage revocation determination</w:t>
      </w:r>
      <w:r>
        <w:rPr>
          <w:bCs/>
          <w:i/>
          <w:iCs/>
          <w:color w:val="000000"/>
          <w:sz w:val="23"/>
          <w:szCs w:val="23"/>
        </w:rPr>
        <w:t xml:space="preserve"> </w:t>
      </w:r>
      <w:r>
        <w:rPr>
          <w:color w:val="000000"/>
          <w:sz w:val="23"/>
          <w:szCs w:val="23"/>
        </w:rPr>
        <w:t>means a determination of an old scheme relevant Minister under section 1.34 of the Gas Code that coverage of a covered pipeline be revoked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Lines/>
        <w:autoSpaceDE w:val="0"/>
        <w:autoSpaceDN w:val="0"/>
        <w:adjustRightInd w:val="0"/>
        <w:spacing w:before="120"/>
        <w:ind w:left="1588"/>
        <w:rPr>
          <w:color w:val="000000"/>
          <w:sz w:val="23"/>
          <w:szCs w:val="23"/>
        </w:rPr>
      </w:pPr>
      <w:r>
        <w:rPr>
          <w:rStyle w:val="CharDefText"/>
          <w:bCs/>
          <w:sz w:val="23"/>
        </w:rPr>
        <w:t>relevant appeals body</w:t>
      </w:r>
      <w:r>
        <w:rPr>
          <w:bCs/>
          <w:i/>
          <w:iCs/>
          <w:color w:val="000000"/>
          <w:sz w:val="23"/>
          <w:szCs w:val="23"/>
        </w:rPr>
        <w:t xml:space="preserve"> </w:t>
      </w:r>
      <w:r>
        <w:rPr>
          <w:color w:val="000000"/>
          <w:sz w:val="23"/>
          <w:szCs w:val="23"/>
        </w:rPr>
        <w:t>has the same meaning as in section 2 of the old access law;</w:t>
      </w:r>
    </w:p>
    <w:p>
      <w:pPr>
        <w:keepNext/>
        <w:keepLines/>
        <w:autoSpaceDE w:val="0"/>
        <w:autoSpaceDN w:val="0"/>
        <w:adjustRightInd w:val="0"/>
        <w:spacing w:before="120"/>
        <w:ind w:left="1588"/>
        <w:rPr>
          <w:color w:val="000000"/>
          <w:sz w:val="23"/>
          <w:szCs w:val="23"/>
        </w:rPr>
      </w:pPr>
      <w:r>
        <w:rPr>
          <w:rStyle w:val="CharDefText"/>
          <w:bCs/>
          <w:sz w:val="23"/>
        </w:rPr>
        <w:t>transitioned access arrangement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current access arrangement;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arrangement approved, or drafted and approved, in accordance with clause 28;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current access arrangement incorporating revisions approved, or approved and made, in accordance with clause 29.</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The Regulations or the Rules may also contain provisions of an application, savings or transitional nature.</w:t>
      </w:r>
    </w:p>
    <w:p>
      <w:pPr>
        <w:pStyle w:val="Footnotesection"/>
      </w:pPr>
      <w:r>
        <w:tab/>
        <w:t>[Clause 1 modified: WA Act Sch. 1 cl. 18(1).]</w:t>
      </w:r>
    </w:p>
    <w:p>
      <w:pPr>
        <w:pStyle w:val="Heading5"/>
      </w:pPr>
      <w:bookmarkStart w:id="1083" w:name="_Toc158375246"/>
      <w:r>
        <w:rPr>
          <w:rStyle w:val="CharSectno"/>
        </w:rPr>
        <w:lastRenderedPageBreak/>
        <w:t>2</w:t>
      </w:r>
      <w:r>
        <w:t>.</w:t>
      </w:r>
      <w:r>
        <w:tab/>
        <w:t>Schedule subject to jurisdictional transitional arrangements in jurisdictional legislation</w:t>
      </w:r>
      <w:bookmarkEnd w:id="108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Schedule, and any Regulations or Rules of a savings and transitional nature, apply in this jurisdiction except to the extent provided by or under an Act of this jurisdiction (including an Act that applies this Law and the Regulations as a law of this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Regulations or Rules of a savings and transitional nature</w:t>
      </w:r>
      <w:r>
        <w:rPr>
          <w:bCs/>
          <w:i/>
          <w:iCs/>
          <w:color w:val="000000"/>
          <w:sz w:val="23"/>
          <w:szCs w:val="23"/>
        </w:rPr>
        <w:t xml:space="preserve"> </w:t>
      </w:r>
      <w:r>
        <w:rPr>
          <w:color w:val="000000"/>
          <w:sz w:val="23"/>
          <w:szCs w:val="23"/>
        </w:rPr>
        <w:t>means Regulations or Rules that deal with matters of a savings or transitional nature relating to the transition from the application of provisions of the old access law and Gas Code to the application of provisions of this Law and the Rules.</w:t>
      </w:r>
    </w:p>
    <w:p>
      <w:pPr>
        <w:pStyle w:val="Heading3"/>
      </w:pPr>
      <w:bookmarkStart w:id="1084" w:name="_Toc156819607"/>
      <w:bookmarkStart w:id="1085" w:name="_Toc156991027"/>
      <w:bookmarkStart w:id="1086" w:name="_Toc158375247"/>
      <w:r>
        <w:rPr>
          <w:rStyle w:val="CharDivNo"/>
        </w:rPr>
        <w:t>Part 2</w:t>
      </w:r>
      <w:r>
        <w:t xml:space="preserve"> — </w:t>
      </w:r>
      <w:r>
        <w:rPr>
          <w:rStyle w:val="CharDivText"/>
        </w:rPr>
        <w:t>General savings provision</w:t>
      </w:r>
      <w:bookmarkEnd w:id="1084"/>
      <w:bookmarkEnd w:id="1085"/>
      <w:bookmarkEnd w:id="1086"/>
    </w:p>
    <w:p>
      <w:pPr>
        <w:pStyle w:val="Heading5"/>
      </w:pPr>
      <w:bookmarkStart w:id="1087" w:name="_Toc158375248"/>
      <w:r>
        <w:rPr>
          <w:rStyle w:val="CharSectno"/>
        </w:rPr>
        <w:t>3</w:t>
      </w:r>
      <w:r>
        <w:t>.</w:t>
      </w:r>
      <w:r>
        <w:tab/>
        <w:t>Saving of operation of old access law and Gas Code</w:t>
      </w:r>
      <w:bookmarkEnd w:id="108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Schedule, the Regulations and the Rules, the repeal of the old access law or Gas Code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the repeal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old access law or Gas Code or anything suffered, done or begun under or in accordance with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incurred in relation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offence arising under the old access law;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lastRenderedPageBreak/>
        <w:tab/>
        <w:t>(ii)</w:t>
      </w:r>
      <w:r>
        <w:rPr>
          <w:color w:val="000000"/>
          <w:sz w:val="23"/>
          <w:szCs w:val="23"/>
        </w:rPr>
        <w:tab/>
        <w:t>a penalty incurred in relation to a breach of a provision of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Schedule, the Regulations and the Rules, any such penalty may be imposed and enforced, and any such investigation, proceeding or remedy may be begun, continued or enforced, as if the old access law or Gas Code had not been repealed.</w:t>
      </w:r>
    </w:p>
    <w:p>
      <w:pPr>
        <w:pStyle w:val="Heading3"/>
      </w:pPr>
      <w:bookmarkStart w:id="1088" w:name="_Toc156819609"/>
      <w:bookmarkStart w:id="1089" w:name="_Toc156991029"/>
      <w:bookmarkStart w:id="1090" w:name="_Toc158375249"/>
      <w:r>
        <w:rPr>
          <w:rStyle w:val="CharDivNo"/>
        </w:rPr>
        <w:t>Part 3</w:t>
      </w:r>
      <w:r>
        <w:t xml:space="preserve"> — </w:t>
      </w:r>
      <w:r>
        <w:rPr>
          <w:rStyle w:val="CharDivText"/>
        </w:rPr>
        <w:t>Classification and coverage of pipelines</w:t>
      </w:r>
      <w:bookmarkEnd w:id="1088"/>
      <w:bookmarkEnd w:id="1089"/>
      <w:bookmarkEnd w:id="1090"/>
    </w:p>
    <w:p>
      <w:pPr>
        <w:pStyle w:val="Heading5"/>
      </w:pPr>
      <w:bookmarkStart w:id="1091" w:name="_Toc158375250"/>
      <w:r>
        <w:rPr>
          <w:rStyle w:val="CharSectno"/>
        </w:rPr>
        <w:t>4</w:t>
      </w:r>
      <w:r>
        <w:t>.</w:t>
      </w:r>
      <w:r>
        <w:tab/>
        <w:t>Pending applications for the classification of pipelines lapse</w:t>
      </w:r>
      <w:bookmarkEnd w:id="1091"/>
    </w:p>
    <w:p>
      <w:pPr>
        <w:keepLines/>
        <w:autoSpaceDE w:val="0"/>
        <w:autoSpaceDN w:val="0"/>
        <w:adjustRightInd w:val="0"/>
        <w:spacing w:before="120"/>
        <w:ind w:left="1588"/>
        <w:rPr>
          <w:color w:val="000000"/>
          <w:sz w:val="23"/>
          <w:szCs w:val="23"/>
        </w:rPr>
      </w:pPr>
      <w:r>
        <w:rPr>
          <w:color w:val="000000"/>
          <w:sz w:val="23"/>
          <w:szCs w:val="23"/>
        </w:rPr>
        <w:t>On the commencement day, every application under section 10 of the old access law in respect of which a decision has not been made under section 10 or 11 of that law immediately before that day, lapses.</w:t>
      </w:r>
    </w:p>
    <w:p>
      <w:pPr>
        <w:pStyle w:val="Heading5"/>
      </w:pPr>
      <w:bookmarkStart w:id="1092" w:name="_Toc158375251"/>
      <w:r>
        <w:rPr>
          <w:rStyle w:val="CharSectno"/>
        </w:rPr>
        <w:t>5</w:t>
      </w:r>
      <w:r>
        <w:t>.</w:t>
      </w:r>
      <w:r>
        <w:tab/>
        <w:t>Old scheme coverage determinations</w:t>
      </w:r>
      <w:bookmarkEnd w:id="1092"/>
    </w:p>
    <w:p>
      <w:pPr>
        <w:keepLines/>
        <w:autoSpaceDE w:val="0"/>
        <w:autoSpaceDN w:val="0"/>
        <w:adjustRightInd w:val="0"/>
        <w:spacing w:before="120"/>
        <w:ind w:left="1588"/>
        <w:rPr>
          <w:color w:val="000000"/>
          <w:sz w:val="23"/>
          <w:szCs w:val="23"/>
        </w:rPr>
      </w:pPr>
      <w:r>
        <w:rPr>
          <w:color w:val="000000"/>
          <w:sz w:val="23"/>
          <w:szCs w:val="23"/>
        </w:rPr>
        <w:t>On the commencement day, an old scheme coverage determination is deemed to be a coverage determination.</w:t>
      </w:r>
    </w:p>
    <w:p>
      <w:pPr>
        <w:pStyle w:val="Heading5"/>
      </w:pPr>
      <w:bookmarkStart w:id="1093" w:name="_Toc158375252"/>
      <w:r>
        <w:rPr>
          <w:rStyle w:val="CharSectno"/>
        </w:rPr>
        <w:t>6</w:t>
      </w:r>
      <w:r>
        <w:t>.</w:t>
      </w:r>
      <w:r>
        <w:tab/>
        <w:t>Old scheme covered transmission pipelines</w:t>
      </w:r>
      <w:bookmarkEnd w:id="1093"/>
    </w:p>
    <w:p>
      <w:pPr>
        <w:keepLines/>
        <w:autoSpaceDE w:val="0"/>
        <w:autoSpaceDN w:val="0"/>
        <w:adjustRightInd w:val="0"/>
        <w:spacing w:before="120"/>
        <w:ind w:left="1588"/>
        <w:rPr>
          <w:color w:val="000000"/>
          <w:sz w:val="23"/>
          <w:szCs w:val="23"/>
        </w:rPr>
      </w:pPr>
      <w:r>
        <w:rPr>
          <w:color w:val="000000"/>
          <w:sz w:val="23"/>
          <w:szCs w:val="23"/>
        </w:rPr>
        <w:t>On the commencement day, an old scheme covered pipeline that is a transmission pipeline (within the meaning of section 2 of the old access law) is deemed to be a covered pipeline that is a transmission pipeline.</w:t>
      </w:r>
    </w:p>
    <w:p>
      <w:pPr>
        <w:pStyle w:val="Heading5"/>
      </w:pPr>
      <w:bookmarkStart w:id="1094" w:name="_Toc158375253"/>
      <w:r>
        <w:rPr>
          <w:rStyle w:val="CharSectno"/>
        </w:rPr>
        <w:t>7</w:t>
      </w:r>
      <w:r>
        <w:t>.</w:t>
      </w:r>
      <w:r>
        <w:tab/>
        <w:t>Old scheme covered distribution pipelines</w:t>
      </w:r>
      <w:bookmarkEnd w:id="1094"/>
    </w:p>
    <w:p>
      <w:pPr>
        <w:keepLines/>
        <w:autoSpaceDE w:val="0"/>
        <w:autoSpaceDN w:val="0"/>
        <w:adjustRightInd w:val="0"/>
        <w:spacing w:before="120"/>
        <w:ind w:left="1588"/>
        <w:rPr>
          <w:color w:val="000000"/>
          <w:sz w:val="23"/>
          <w:szCs w:val="23"/>
        </w:rPr>
      </w:pPr>
      <w:r>
        <w:rPr>
          <w:color w:val="000000"/>
          <w:sz w:val="23"/>
          <w:szCs w:val="23"/>
        </w:rPr>
        <w:t xml:space="preserve">On the commencement day, an old scheme covered pipeline that is a distribution pipeline (within the meaning of section 2 of the old access law) is deemed to be a covered pipeline that is a distribution pipeline. </w:t>
      </w:r>
    </w:p>
    <w:p>
      <w:pPr>
        <w:pStyle w:val="Heading5"/>
      </w:pPr>
      <w:bookmarkStart w:id="1095" w:name="_Toc158375254"/>
      <w:r>
        <w:rPr>
          <w:rStyle w:val="CharSectno"/>
        </w:rPr>
        <w:lastRenderedPageBreak/>
        <w:t>8</w:t>
      </w:r>
      <w:r>
        <w:t>.</w:t>
      </w:r>
      <w:r>
        <w:tab/>
        <w:t>Pending coverage applications under old scheme (before NCC recommendation)</w:t>
      </w:r>
      <w:bookmarkEnd w:id="109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old scheme coverage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NCC has not made a recommendation in respect of that application under section 1.9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Gas Code, continue to take action in relation to the application as required under the Gas Code (including making a recommendation under section 1.7 of the Gas Code and submitting it to the relevant old scheme relevant Minister under that section) as if the old access law and Gas Code continued to apply.</w:t>
      </w:r>
    </w:p>
    <w:p>
      <w:pPr>
        <w:pStyle w:val="Heading5"/>
      </w:pPr>
      <w:bookmarkStart w:id="1096" w:name="_Toc158375255"/>
      <w:r>
        <w:rPr>
          <w:rStyle w:val="CharSectno"/>
        </w:rPr>
        <w:t>9</w:t>
      </w:r>
      <w:r>
        <w:t>.</w:t>
      </w:r>
      <w:r>
        <w:tab/>
        <w:t>Pending relevant Minister decisions in relation to coverage under old scheme</w:t>
      </w:r>
      <w:bookmarkEnd w:id="109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1.7 of the Gas Code before the commencement day but the old scheme relevant Minister has not made a determination under section 1.13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8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and Gas Code, make a determination under section 1.13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(3)</w:t>
      </w:r>
      <w:r>
        <w:rPr>
          <w:color w:val="000000"/>
          <w:sz w:val="23"/>
          <w:szCs w:val="23"/>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relevant transition date</w:t>
      </w:r>
      <w:r>
        <w:rPr>
          <w:bCs/>
          <w:i/>
          <w:iCs/>
          <w:color w:val="000000"/>
          <w:sz w:val="23"/>
          <w:szCs w:val="23"/>
        </w:rPr>
        <w:t xml:space="preserve"> </w:t>
      </w:r>
      <w:r>
        <w:rPr>
          <w:color w:val="000000"/>
          <w:sz w:val="23"/>
          <w:szCs w:val="23"/>
        </w:rPr>
        <w:t>means, if an application is not made under section 38 of the old access law for a review of the determination within the time specified by that section—the day after the last day an application could have been made under that section.</w:t>
      </w:r>
    </w:p>
    <w:p>
      <w:pPr>
        <w:pStyle w:val="Heading5"/>
      </w:pPr>
      <w:bookmarkStart w:id="1097" w:name="_Toc158375256"/>
      <w:r>
        <w:rPr>
          <w:rStyle w:val="CharSectno"/>
        </w:rPr>
        <w:t>10</w:t>
      </w:r>
      <w:r>
        <w:t>.</w:t>
      </w:r>
      <w:r>
        <w:tab/>
        <w:t>Pending relevant Minister decisions in relation to coverage that are reviewed under old scheme</w:t>
      </w:r>
      <w:bookmarkEnd w:id="109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determination under section 1.13 of the Gas Code in accordance with clause 9;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(3)</w:t>
      </w:r>
      <w:r>
        <w:rPr>
          <w:color w:val="000000"/>
          <w:sz w:val="23"/>
          <w:szCs w:val="23"/>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effect of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effect of that determination is that the pipeline is not covered—a decision not to make a coverage determination under section 99.</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1098" w:name="_Toc158375257"/>
      <w:r>
        <w:rPr>
          <w:rStyle w:val="CharSectno"/>
        </w:rPr>
        <w:lastRenderedPageBreak/>
        <w:t>11</w:t>
      </w:r>
      <w:r>
        <w:t>.</w:t>
      </w:r>
      <w:r>
        <w:tab/>
        <w:t>Pending old scheme coverage determinations where no applications for review under old scheme</w:t>
      </w:r>
      <w:bookmarkEnd w:id="109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determination is deemed to be a coverage determination on the day after the last day an application could have been made under section 38 of the old access law.</w:t>
      </w:r>
    </w:p>
    <w:p>
      <w:pPr>
        <w:pStyle w:val="Heading5"/>
      </w:pPr>
      <w:bookmarkStart w:id="1099" w:name="_Toc158375258"/>
      <w:r>
        <w:rPr>
          <w:rStyle w:val="CharSectno"/>
        </w:rPr>
        <w:t>12</w:t>
      </w:r>
      <w:r>
        <w:t>.</w:t>
      </w:r>
      <w:r>
        <w:tab/>
        <w:t>Pending old scheme coverage determinations where applications for review under old scheme on foot</w:t>
      </w:r>
      <w:bookmarkEnd w:id="109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determination is deemed to be a coverage determination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(3)</w:t>
      </w:r>
      <w:r>
        <w:rPr>
          <w:color w:val="000000"/>
          <w:sz w:val="23"/>
          <w:szCs w:val="23"/>
        </w:rPr>
        <w:tab/>
        <w:t>If on the review the relevant appeals body makes a determination affirming or varying the pending old scheme coverage determination, that determination (as affirmed or varied) is deemed to be a coverage determination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1100" w:name="_Toc158375259"/>
      <w:r>
        <w:rPr>
          <w:rStyle w:val="CharSectno"/>
        </w:rPr>
        <w:t>13</w:t>
      </w:r>
      <w:r>
        <w:t>.</w:t>
      </w:r>
      <w:r>
        <w:tab/>
        <w:t>Pending old scheme no</w:t>
      </w:r>
      <w:r>
        <w:noBreakHyphen/>
        <w:t>coverage determinations where no applications for review under old scheme</w:t>
      </w:r>
      <w:bookmarkEnd w:id="110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no</w:t>
      </w:r>
      <w:r>
        <w:rPr>
          <w:color w:val="000000"/>
          <w:sz w:val="23"/>
          <w:szCs w:val="23"/>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no</w:t>
      </w:r>
      <w:r>
        <w:rPr>
          <w:color w:val="000000"/>
          <w:sz w:val="23"/>
          <w:szCs w:val="23"/>
        </w:rPr>
        <w:noBreakHyphen/>
        <w:t>coverage determination is deemed to be a decision not to make a coverage determination under section 93 on the day after the last day an application could have been made under section 38 of the old access law.</w:t>
      </w:r>
    </w:p>
    <w:p>
      <w:pPr>
        <w:pStyle w:val="Heading5"/>
      </w:pPr>
      <w:bookmarkStart w:id="1101" w:name="_Toc158375260"/>
      <w:r>
        <w:rPr>
          <w:rStyle w:val="CharSectno"/>
        </w:rPr>
        <w:t>14</w:t>
      </w:r>
      <w:r>
        <w:t>.</w:t>
      </w:r>
      <w:r>
        <w:tab/>
        <w:t>Pending old scheme no</w:t>
      </w:r>
      <w:r>
        <w:noBreakHyphen/>
        <w:t>coverage determinations where applications for review under old scheme on foot</w:t>
      </w:r>
      <w:bookmarkEnd w:id="1101"/>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no</w:t>
      </w:r>
      <w:r>
        <w:rPr>
          <w:color w:val="000000"/>
          <w:sz w:val="23"/>
          <w:szCs w:val="23"/>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no</w:t>
      </w:r>
      <w:r>
        <w:rPr>
          <w:color w:val="000000"/>
          <w:sz w:val="23"/>
          <w:szCs w:val="23"/>
        </w:rPr>
        <w:noBreakHyphen/>
        <w:t>coverage determination is deemed to be a decision not to make a coverage determination under section 99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no</w:t>
      </w:r>
      <w:r>
        <w:rPr>
          <w:color w:val="000000"/>
          <w:sz w:val="23"/>
          <w:szCs w:val="23"/>
        </w:rPr>
        <w:noBreakHyphen/>
        <w:t>coverage determination, that determination (as affirmed or varied) is deemed to be a decision not to make a coverage determination under section 99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(4)</w:t>
      </w:r>
      <w:r>
        <w:rPr>
          <w:color w:val="000000"/>
          <w:sz w:val="23"/>
          <w:szCs w:val="23"/>
        </w:rPr>
        <w:tab/>
        <w:t>If on the review the relevant appeals body makes a determination that sets aside the pending old scheme no</w:t>
      </w:r>
      <w:r>
        <w:rPr>
          <w:color w:val="000000"/>
          <w:sz w:val="23"/>
          <w:szCs w:val="23"/>
        </w:rPr>
        <w:noBreakHyphen/>
        <w:t>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1102" w:name="_Toc158375261"/>
      <w:r>
        <w:rPr>
          <w:rStyle w:val="CharSectno"/>
        </w:rPr>
        <w:t>15</w:t>
      </w:r>
      <w:r>
        <w:t>.</w:t>
      </w:r>
      <w:r>
        <w:tab/>
        <w:t>Pending coverage revocation applications under old scheme (before NCC recommendation)</w:t>
      </w:r>
      <w:bookmarkEnd w:id="110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old scheme coverage revocation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NCC has not made a recommendation in respect of that application under section 1.28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Gas Code, continue to take action in relation to the application as required under the Gas Code (including making a recommendation under section 1.29 of the Gas Code and submitting it to the relevant old scheme relevant Minister under that section) as if the old access law and Gas Code continued to apply.</w:t>
      </w:r>
    </w:p>
    <w:p>
      <w:pPr>
        <w:pStyle w:val="Heading5"/>
      </w:pPr>
      <w:bookmarkStart w:id="1103" w:name="_Toc158375262"/>
      <w:r>
        <w:rPr>
          <w:rStyle w:val="CharSectno"/>
        </w:rPr>
        <w:lastRenderedPageBreak/>
        <w:t>16</w:t>
      </w:r>
      <w:r>
        <w:t>.</w:t>
      </w:r>
      <w:r>
        <w:tab/>
        <w:t>Pending relevant Minister decisions in relation to coverage revocation under old scheme</w:t>
      </w:r>
      <w:bookmarkEnd w:id="110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1.29 of the Gas Code before the commencement day but the old scheme relevant Minister has not made a determination under section 1.34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15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or Gas Code, make a determination under section 1.34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relevant transition date</w:t>
      </w:r>
      <w:r>
        <w:rPr>
          <w:bCs/>
          <w:i/>
          <w:iCs/>
          <w:color w:val="000000"/>
          <w:sz w:val="23"/>
          <w:szCs w:val="23"/>
        </w:rPr>
        <w:t xml:space="preserve"> </w:t>
      </w:r>
      <w:r>
        <w:rPr>
          <w:color w:val="000000"/>
          <w:sz w:val="23"/>
          <w:szCs w:val="23"/>
        </w:rPr>
        <w:t>means, if an application is not made under section 38 of the old access law for a review of the determination within the time specified by that section—the day after the last day an application could have been made under that section.</w:t>
      </w:r>
    </w:p>
    <w:p>
      <w:pPr>
        <w:pStyle w:val="Heading5"/>
      </w:pPr>
      <w:bookmarkStart w:id="1104" w:name="_Toc158375263"/>
      <w:r>
        <w:rPr>
          <w:rStyle w:val="CharSectno"/>
        </w:rPr>
        <w:lastRenderedPageBreak/>
        <w:t>17</w:t>
      </w:r>
      <w:r>
        <w:t>.</w:t>
      </w:r>
      <w:r>
        <w:tab/>
        <w:t>Pending relevant Minister decisions in relation to coverage revocation that are reviewed under old scheme</w:t>
      </w:r>
      <w:bookmarkEnd w:id="110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determination under section 1.34 of the Gas Code in accordance with clause 16;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effect of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if the effect of that determination is that coverage of the covered pipeline is not revoked—a decision not to make a coverage revocation determination under section 106.</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16.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1105" w:name="_Toc158375264"/>
      <w:r>
        <w:rPr>
          <w:rStyle w:val="CharSectno"/>
        </w:rPr>
        <w:t>18</w:t>
      </w:r>
      <w:r>
        <w:t>.</w:t>
      </w:r>
      <w:r>
        <w:tab/>
        <w:t>Pending old scheme coverage revocation determinations where no applications for review under old scheme</w:t>
      </w:r>
      <w:bookmarkEnd w:id="110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revocation determination is deemed to be coverage revocation determination on the day after the last day an application could have been made under section 38 of the old access law.</w:t>
      </w:r>
    </w:p>
    <w:p>
      <w:pPr>
        <w:pStyle w:val="Heading5"/>
      </w:pPr>
      <w:bookmarkStart w:id="1106" w:name="_Toc158375265"/>
      <w:r>
        <w:rPr>
          <w:rStyle w:val="CharSectno"/>
        </w:rPr>
        <w:t>19</w:t>
      </w:r>
      <w:r>
        <w:t>.</w:t>
      </w:r>
      <w:r>
        <w:tab/>
        <w:t>Pending old scheme coverage revocation determinations where applications for review under old scheme on foot</w:t>
      </w:r>
      <w:bookmarkEnd w:id="1106"/>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revocation determination is deemed to be a coverage revocation determination on the day on which the determination of the relevant appeals body takes effect.</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revocation determination, that determination (as affirmed or varied) is deemed to be a coverage revocation determination on the day on which the order of the relevant appeals body affirming or varying that determination takes effect.</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(4)</w:t>
      </w:r>
      <w:r>
        <w:rPr>
          <w:color w:val="000000"/>
          <w:sz w:val="23"/>
          <w:szCs w:val="23"/>
        </w:rPr>
        <w:tab/>
        <w:t xml:space="preserve">If on the review the relevant appeals body makes a determination that sets aside the pending old scheme coverage revocation determination and remits the matter to </w:t>
      </w:r>
      <w:r>
        <w:rPr>
          <w:color w:val="000000"/>
          <w:sz w:val="23"/>
          <w:szCs w:val="23"/>
        </w:rPr>
        <w:lastRenderedPageBreak/>
        <w:t>the old scheme relevant Minister for the Minister to make a determination again in respect of the matter, the old scheme relevant Minister must make a determination under section 1.34 of the Gas Code as if the Gas Code continued to apply.</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revocation coverage determination and that is to operate in place of the pending old scheme revocation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1107" w:name="_Toc158375266"/>
      <w:r>
        <w:rPr>
          <w:rStyle w:val="CharSectno"/>
        </w:rPr>
        <w:t>20</w:t>
      </w:r>
      <w:r>
        <w:t>.</w:t>
      </w:r>
      <w:r>
        <w:tab/>
        <w:t>Pending old scheme coverage non</w:t>
      </w:r>
      <w:r>
        <w:noBreakHyphen/>
        <w:t>revocation determinations where no applications for review under old scheme</w:t>
      </w:r>
      <w:bookmarkEnd w:id="110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non</w:t>
      </w:r>
      <w:r>
        <w:rPr>
          <w:color w:val="000000"/>
          <w:sz w:val="23"/>
          <w:szCs w:val="23"/>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non</w:t>
      </w:r>
      <w:r>
        <w:rPr>
          <w:color w:val="000000"/>
          <w:sz w:val="23"/>
          <w:szCs w:val="23"/>
        </w:rPr>
        <w:noBreakHyphen/>
        <w:t>revocation determination is deemed to be a decision not to make a coverage revocation determination under section 106 on the day after the last day an application could have been made under section 38 of the old access law.</w:t>
      </w:r>
    </w:p>
    <w:p>
      <w:pPr>
        <w:pStyle w:val="Heading5"/>
      </w:pPr>
      <w:bookmarkStart w:id="1108" w:name="_Toc158375267"/>
      <w:r>
        <w:rPr>
          <w:rStyle w:val="CharSectno"/>
        </w:rPr>
        <w:lastRenderedPageBreak/>
        <w:t>21</w:t>
      </w:r>
      <w:r>
        <w:t>.</w:t>
      </w:r>
      <w:r>
        <w:tab/>
        <w:t>Pending old scheme coverage non</w:t>
      </w:r>
      <w:r>
        <w:noBreakHyphen/>
        <w:t>revocation determinations where applications for review under old scheme on foot</w:t>
      </w:r>
      <w:bookmarkEnd w:id="110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non</w:t>
      </w:r>
      <w:r>
        <w:rPr>
          <w:color w:val="000000"/>
          <w:sz w:val="23"/>
          <w:szCs w:val="23"/>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non</w:t>
      </w:r>
      <w:r>
        <w:rPr>
          <w:color w:val="000000"/>
          <w:sz w:val="23"/>
          <w:szCs w:val="23"/>
        </w:rPr>
        <w:noBreakHyphen/>
        <w:t>revocation determination is deemed to be a decision not to make a coverage revocation determination under section 106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non</w:t>
      </w:r>
      <w:r>
        <w:rPr>
          <w:color w:val="000000"/>
          <w:sz w:val="23"/>
          <w:szCs w:val="23"/>
        </w:rPr>
        <w:noBreakHyphen/>
        <w:t>revocation determination, that determination (as affirmed or varied) is deemed to be a decision not to make a coverage revocation determination under section 106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non</w:t>
      </w:r>
      <w:r>
        <w:rPr>
          <w:color w:val="000000"/>
          <w:sz w:val="23"/>
          <w:szCs w:val="23"/>
        </w:rPr>
        <w:noBreakHyphen/>
        <w:t>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(5)</w:t>
      </w:r>
      <w:r>
        <w:rPr>
          <w:color w:val="000000"/>
          <w:sz w:val="23"/>
          <w:szCs w:val="23"/>
        </w:rPr>
        <w:tab/>
        <w:t>If on the review the relevant appeals body makes a determination that sets aside the pending old scheme coverage non</w:t>
      </w:r>
      <w:r>
        <w:rPr>
          <w:color w:val="000000"/>
          <w:sz w:val="23"/>
          <w:szCs w:val="23"/>
        </w:rPr>
        <w:noBreakHyphen/>
        <w:t>revocation determination and that is to operate in place of the pending old scheme coverage non</w:t>
      </w:r>
      <w:r>
        <w:rPr>
          <w:color w:val="000000"/>
          <w:sz w:val="23"/>
          <w:szCs w:val="23"/>
        </w:rPr>
        <w:noBreakHyphen/>
        <w:t>revocation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1109" w:name="_Toc158375268"/>
      <w:r>
        <w:rPr>
          <w:rStyle w:val="CharSectno"/>
        </w:rPr>
        <w:t>22</w:t>
      </w:r>
      <w:r>
        <w:t>.</w:t>
      </w:r>
      <w:r>
        <w:tab/>
        <w:t>Binding no</w:t>
      </w:r>
      <w:r>
        <w:noBreakHyphen/>
        <w:t>coverage determinations</w:t>
      </w:r>
      <w:bookmarkEnd w:id="1109"/>
    </w:p>
    <w:p>
      <w:pPr>
        <w:keepLines/>
        <w:autoSpaceDE w:val="0"/>
        <w:autoSpaceDN w:val="0"/>
        <w:adjustRightInd w:val="0"/>
        <w:spacing w:before="120"/>
        <w:ind w:left="1588"/>
        <w:rPr>
          <w:color w:val="000000"/>
          <w:sz w:val="23"/>
          <w:szCs w:val="23"/>
        </w:rPr>
      </w:pPr>
      <w:r>
        <w:rPr>
          <w:color w:val="000000"/>
          <w:sz w:val="23"/>
          <w:szCs w:val="23"/>
        </w:rPr>
        <w:t>On the commencement day, a binding no</w:t>
      </w:r>
      <w:r>
        <w:rPr>
          <w:color w:val="000000"/>
          <w:sz w:val="23"/>
          <w:szCs w:val="23"/>
        </w:rPr>
        <w:noBreakHyphen/>
        <w:t>coverage determination in effect immediately before that day is deemed to be a 15</w:t>
      </w:r>
      <w:r>
        <w:rPr>
          <w:color w:val="000000"/>
          <w:sz w:val="23"/>
          <w:szCs w:val="23"/>
        </w:rPr>
        <w:noBreakHyphen/>
        <w:t>year no</w:t>
      </w:r>
      <w:r>
        <w:rPr>
          <w:color w:val="000000"/>
          <w:sz w:val="23"/>
          <w:szCs w:val="23"/>
        </w:rPr>
        <w:noBreakHyphen/>
        <w:t>coverage determination.</w:t>
      </w:r>
    </w:p>
    <w:p>
      <w:pPr>
        <w:pStyle w:val="Heading5"/>
      </w:pPr>
      <w:bookmarkStart w:id="1110" w:name="_Toc158375269"/>
      <w:r>
        <w:rPr>
          <w:rStyle w:val="CharSectno"/>
        </w:rPr>
        <w:t>23</w:t>
      </w:r>
      <w:r>
        <w:t>.</w:t>
      </w:r>
      <w:r>
        <w:tab/>
        <w:t>Pending applications for binding no</w:t>
      </w:r>
      <w:r>
        <w:noBreakHyphen/>
        <w:t>coverage determinations (before NCC recommendation)</w:t>
      </w:r>
      <w:bookmarkEnd w:id="111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under section 13D of the old access law for a binding no</w:t>
      </w:r>
      <w:r>
        <w:rPr>
          <w:color w:val="000000"/>
          <w:sz w:val="23"/>
          <w:szCs w:val="23"/>
        </w:rPr>
        <w:noBreakHyphen/>
        <w:t>coverage determination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NCC has not made a recommendation under section 13J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(2)</w:t>
      </w:r>
      <w:r>
        <w:rPr>
          <w:color w:val="000000"/>
          <w:sz w:val="23"/>
          <w:szCs w:val="23"/>
        </w:rPr>
        <w:tab/>
        <w:t>On and after the commencement day, the NCC must, despite the repeal of the old access law, continue to take action in relation to the application as required under the old access law (including making a recommendation under section 13J of the old access law and submitting it to the relevant old scheme relevant Minister under that section) as if the old access law continued to apply.</w:t>
      </w:r>
    </w:p>
    <w:p>
      <w:pPr>
        <w:pStyle w:val="Heading5"/>
      </w:pPr>
      <w:bookmarkStart w:id="1111" w:name="_Toc158375270"/>
      <w:r>
        <w:rPr>
          <w:rStyle w:val="CharSectno"/>
        </w:rPr>
        <w:t>24</w:t>
      </w:r>
      <w:r>
        <w:t>.</w:t>
      </w:r>
      <w:r>
        <w:tab/>
        <w:t>Pending relevant Minister decisions for binding no</w:t>
      </w:r>
      <w:r>
        <w:noBreakHyphen/>
        <w:t>coverage determinations under old scheme</w:t>
      </w:r>
      <w:bookmarkEnd w:id="111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13J of the old access law before the commencement day but the old scheme relevant Minister has not made a determination under section 13J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23 on or after the commencement day.</w:t>
      </w:r>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make a decision under section 13K of the old access law in relation to that recommendation as if the old access law continued to apply.</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A decision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decision is not to make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lastRenderedPageBreak/>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sz w:val="23"/>
        </w:rPr>
        <w:t>relevant transition date</w:t>
      </w:r>
      <w:r>
        <w:rPr>
          <w:color w:val="000000"/>
          <w:sz w:val="23"/>
          <w:szCs w:val="23"/>
        </w:rPr>
        <w:t xml:space="preserve"> means, if an application is not made under section 38 of the old access law for a review of the decision within the time specified by that section—the day after the last day an application could have been made under that section.</w:t>
      </w:r>
    </w:p>
    <w:p>
      <w:pPr>
        <w:pStyle w:val="Heading5"/>
      </w:pPr>
      <w:bookmarkStart w:id="1112" w:name="_Toc158375271"/>
      <w:r>
        <w:rPr>
          <w:rStyle w:val="CharSectno"/>
        </w:rPr>
        <w:t>25</w:t>
      </w:r>
      <w:r>
        <w:t>.</w:t>
      </w:r>
      <w:r>
        <w:tab/>
        <w:t>Pending relevant Minister decisions in relation to binding no</w:t>
      </w:r>
      <w:r>
        <w:noBreakHyphen/>
        <w:t>coverage determinations that are reviewed under old scheme</w:t>
      </w:r>
      <w:bookmarkEnd w:id="1112"/>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decision under section 13J of the old access law in accordance with clause 24;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decision of the old scheme relevant Minister.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decision of the old scheme relevant Minister is deemed to be, on the day the decision of the relevant appeals body takes effect—</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(b)</w:t>
      </w:r>
      <w:r>
        <w:rPr>
          <w:color w:val="000000"/>
          <w:sz w:val="23"/>
          <w:szCs w:val="23"/>
        </w:rPr>
        <w:tab/>
        <w:t>if the decision is not to make a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Next/>
        <w:keepLines/>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lastRenderedPageBreak/>
        <w:tab/>
        <w:t>(3)</w:t>
      </w:r>
      <w:r>
        <w:rPr>
          <w:color w:val="000000"/>
          <w:sz w:val="23"/>
          <w:szCs w:val="23"/>
        </w:rPr>
        <w:tab/>
        <w:t>If on the review the relevant appeals body makes a determination under section 38 of the old access law affirming or varying the decision of the old scheme relevant Minister, that decision (as affirmed or varied) is deemed to be, on the day the order of the relevant appeals body affirming or varying that decision takes effect—</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(b)</w:t>
      </w:r>
      <w:r>
        <w:rPr>
          <w:color w:val="000000"/>
          <w:sz w:val="23"/>
          <w:szCs w:val="23"/>
        </w:rPr>
        <w:tab/>
        <w:t>if the decision is not to make a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Lines/>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decision of the old scheme relevant Minister and remits the matter to the old scheme relevant Minister for the Minister to make a decision again in respect of the matter, the Minister must make a decision under clause 24.</w:t>
      </w:r>
    </w:p>
    <w:p>
      <w:pPr>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decision of the old scheme relevant Minister and that is to operate in place of the decision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not to make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pStyle w:val="Heading3"/>
      </w:pPr>
      <w:bookmarkStart w:id="1113" w:name="_Toc156819632"/>
      <w:bookmarkStart w:id="1114" w:name="_Toc156991052"/>
      <w:bookmarkStart w:id="1115" w:name="_Toc158375272"/>
      <w:r>
        <w:rPr>
          <w:rStyle w:val="CharDivNo"/>
        </w:rPr>
        <w:lastRenderedPageBreak/>
        <w:t>Part 4</w:t>
      </w:r>
      <w:r>
        <w:t xml:space="preserve"> — </w:t>
      </w:r>
      <w:r>
        <w:rPr>
          <w:rStyle w:val="CharDivText"/>
        </w:rPr>
        <w:t>Access arrangements</w:t>
      </w:r>
      <w:bookmarkEnd w:id="1113"/>
      <w:bookmarkEnd w:id="1114"/>
      <w:bookmarkEnd w:id="1115"/>
    </w:p>
    <w:p>
      <w:pPr>
        <w:pStyle w:val="Heading5"/>
      </w:pPr>
      <w:bookmarkStart w:id="1116" w:name="_Toc158375273"/>
      <w:r>
        <w:rPr>
          <w:rStyle w:val="CharSectno"/>
        </w:rPr>
        <w:t>26</w:t>
      </w:r>
      <w:r>
        <w:t>.</w:t>
      </w:r>
      <w:r>
        <w:tab/>
        <w:t>Current access arrangements (other than old scheme limited access arrangements)</w:t>
      </w:r>
      <w:bookmarkEnd w:id="1116"/>
    </w:p>
    <w:p>
      <w:pPr>
        <w:keepNext/>
        <w:keepLines/>
        <w:autoSpaceDE w:val="0"/>
        <w:autoSpaceDN w:val="0"/>
        <w:adjustRightInd w:val="0"/>
        <w:spacing w:before="120"/>
        <w:ind w:left="1588"/>
        <w:rPr>
          <w:color w:val="000000"/>
          <w:sz w:val="23"/>
          <w:szCs w:val="23"/>
        </w:rPr>
      </w:pPr>
      <w:r>
        <w:rPr>
          <w:color w:val="000000"/>
          <w:sz w:val="23"/>
          <w:szCs w:val="23"/>
        </w:rPr>
        <w:t>Subject to this Part, 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current access arrangement approved in—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final decision under section 2.16 or 2.38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further final decision under section 2.19 or 2.41 of the Gas Code,</w:t>
      </w:r>
    </w:p>
    <w:p>
      <w:pPr>
        <w:keepLines/>
        <w:autoSpaceDE w:val="0"/>
        <w:autoSpaceDN w:val="0"/>
        <w:adjustRightInd w:val="0"/>
        <w:spacing w:before="120"/>
        <w:ind w:left="2382"/>
        <w:rPr>
          <w:color w:val="000000"/>
          <w:sz w:val="23"/>
          <w:szCs w:val="23"/>
        </w:rPr>
      </w:pPr>
      <w:r>
        <w:rPr>
          <w:color w:val="000000"/>
          <w:sz w:val="23"/>
          <w:szCs w:val="23"/>
        </w:rPr>
        <w:t>is deemed to be 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current access arrangement drafted and approved by a relevant Regulator under section 2.20 or 2.42 of the Gas Code is deemed to be a full access arrangement made by the AER under a full access arrangement decision.</w:t>
      </w:r>
    </w:p>
    <w:p>
      <w:pPr>
        <w:pStyle w:val="Heading5"/>
      </w:pPr>
      <w:bookmarkStart w:id="1117" w:name="_Toc158375274"/>
      <w:r>
        <w:rPr>
          <w:rStyle w:val="CharSectno"/>
        </w:rPr>
        <w:t>27</w:t>
      </w:r>
      <w:r>
        <w:t>.</w:t>
      </w:r>
      <w:r>
        <w:tab/>
        <w:t>Old scheme limited access arrangements</w:t>
      </w:r>
      <w:bookmarkEnd w:id="1117"/>
    </w:p>
    <w:p>
      <w:pPr>
        <w:keepLines/>
        <w:autoSpaceDE w:val="0"/>
        <w:autoSpaceDN w:val="0"/>
        <w:adjustRightInd w:val="0"/>
        <w:spacing w:before="120"/>
        <w:ind w:left="1588"/>
        <w:rPr>
          <w:color w:val="000000"/>
          <w:sz w:val="23"/>
          <w:szCs w:val="23"/>
        </w:rPr>
      </w:pPr>
      <w:r>
        <w:rPr>
          <w:color w:val="000000"/>
          <w:sz w:val="23"/>
          <w:szCs w:val="23"/>
        </w:rPr>
        <w:t>On the commencement day, an old scheme limited access arrangement is deemed to be a limited access arrangement approved by the AER under the Rules.</w:t>
      </w:r>
    </w:p>
    <w:p>
      <w:pPr>
        <w:pStyle w:val="Heading5"/>
      </w:pPr>
      <w:bookmarkStart w:id="1118" w:name="_Toc158375275"/>
      <w:r>
        <w:rPr>
          <w:rStyle w:val="CharSectno"/>
        </w:rPr>
        <w:t>28</w:t>
      </w:r>
      <w:r>
        <w:t>.</w:t>
      </w:r>
      <w:r>
        <w:tab/>
        <w:t>Access arrangements submitted but not approved or rejected before repeal of old scheme</w:t>
      </w:r>
      <w:bookmarkEnd w:id="111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proposed access arrangement has been submitted under section 2.2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that day—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lastRenderedPageBreak/>
        <w:tab/>
        <w:t>(i)</w:t>
      </w:r>
      <w:r>
        <w:rPr>
          <w:color w:val="000000"/>
          <w:sz w:val="23"/>
          <w:szCs w:val="23"/>
        </w:rPr>
        <w:tab/>
        <w:t>approved that access arrangement in a final decision under section 2.16, or a further final decision under section 2.19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drafted and approved its own access arrangement under section 2.20 of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relevant Regulator must, despite the repeal of the Gas Code, deal with the proposed access arrangement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arrangement approved, or drafted and approved, in accordance with subclause (2) is deemed to be, on the day the relevant decision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access arrangement approved in a final decision under section 2.16, or a further final decision under section 2.19, of the Gas Code—a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access arrangement drafted and approved by the relevant Regulator under section 2.20 of the Gas Code—a full access arrangement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Heading5"/>
      </w:pPr>
      <w:bookmarkStart w:id="1119" w:name="_Toc158375276"/>
      <w:r>
        <w:rPr>
          <w:rStyle w:val="CharSectno"/>
        </w:rPr>
        <w:lastRenderedPageBreak/>
        <w:t>29</w:t>
      </w:r>
      <w:r>
        <w:t>.</w:t>
      </w:r>
      <w:r>
        <w:tab/>
        <w:t>Access arrangement revisions submitted but not approved or rejected before repeal of old scheme</w:t>
      </w:r>
      <w:bookmarkEnd w:id="111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proposed revisions to a current access arrangement have been submitted under section 2.28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before that day—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approved those revisions in a final decision under section 2.38, or a further final decision under section 2.41,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drafted and approved its own revisions under section 2.42 of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relevant Regulator must, despite the repeal of the Gas Code, deal with the proposed revisions as if the Gas Code continued to apply.</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arrangement in respect of which revisions are approved, or drafted and approved, in accordance with subclause (2) is deemed to be, on the day the relevant decision takes effect—</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access arrangement in respect of which revisions are approved in a final decision under section 2.38, or a further final decision under section 2.41, of the Gas Code—a full access arrangement as revised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access arrangement in respect of which revisions are drafted and approved by the relevant Regulator under section 2.42 of the Gas Code—a full access arrangement (as revised)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(4)</w:t>
      </w:r>
      <w:r>
        <w:rPr>
          <w:color w:val="000000"/>
          <w:sz w:val="23"/>
          <w:szCs w:val="23"/>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Heading5"/>
      </w:pPr>
      <w:bookmarkStart w:id="1120" w:name="_Toc158375277"/>
      <w:r>
        <w:rPr>
          <w:rStyle w:val="CharSectno"/>
        </w:rPr>
        <w:t>30</w:t>
      </w:r>
      <w:r>
        <w:t>.</w:t>
      </w:r>
      <w:r>
        <w:tab/>
        <w:t>Certain provisions of the Gas Code to continue to apply to current and proposed access arrangements</w:t>
      </w:r>
      <w:bookmarkEnd w:id="112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the repeal of the Gas Code and subject to this clause and any current access arrangement modification Rules, sections 3, 8 and 10.8 of the Gas Code continue to apply to a transitioned access arrangement until revisions to that access arrangement first approved or made in accordance with this Law and the Rules after the commencement day take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after the commencement day, a covered pipeline service provider must, despite anything to the contrary in a transitioned access arrangement, submit an access arrangement revision proposal in relation to that access arrangement in accordance with section 132 and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Sections 3, 8 and 10.8 of the Gas Code, as applied under this clause, do not have effect to the extent that they provide for or deal with the procedure for the approval of revisions to access arrangements.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For the purposes of this clause—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AER is deemed to have the functions and powers a relevant Regulator has under sections 3, 8 and 10.8 of the Gas Code as applied under this clause;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every reference to a relevant Regulator in those sections as applied under this clause is deemed to be a reference to the AER.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(5)</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access arrangement revision proposal</w:t>
      </w:r>
      <w:r>
        <w:rPr>
          <w:bCs/>
          <w:i/>
          <w:iCs/>
          <w:color w:val="000000"/>
          <w:sz w:val="23"/>
          <w:szCs w:val="23"/>
        </w:rPr>
        <w:t xml:space="preserve"> </w:t>
      </w:r>
      <w:r>
        <w:rPr>
          <w:color w:val="000000"/>
          <w:sz w:val="23"/>
          <w:szCs w:val="23"/>
        </w:rPr>
        <w:t>has the same meaning as in the Rules;</w:t>
      </w:r>
    </w:p>
    <w:p>
      <w:pPr>
        <w:keepLines/>
        <w:autoSpaceDE w:val="0"/>
        <w:autoSpaceDN w:val="0"/>
        <w:adjustRightInd w:val="0"/>
        <w:spacing w:before="120"/>
        <w:ind w:left="1588"/>
        <w:rPr>
          <w:color w:val="000000"/>
          <w:sz w:val="23"/>
          <w:szCs w:val="23"/>
        </w:rPr>
      </w:pPr>
      <w:r>
        <w:rPr>
          <w:rStyle w:val="CharDefText"/>
          <w:bCs/>
          <w:sz w:val="23"/>
        </w:rPr>
        <w:t>current access arrangement modification Rules</w:t>
      </w:r>
      <w:r>
        <w:rPr>
          <w:bCs/>
          <w:i/>
          <w:iCs/>
          <w:color w:val="000000"/>
          <w:sz w:val="23"/>
          <w:szCs w:val="23"/>
        </w:rPr>
        <w:t xml:space="preserve"> </w:t>
      </w:r>
      <w:r>
        <w:rPr>
          <w:color w:val="000000"/>
          <w:sz w:val="23"/>
          <w:szCs w:val="23"/>
        </w:rPr>
        <w:t>means Rules made for or with respect to item 81 of Schedule 1 to this Law that are in force.</w:t>
      </w:r>
    </w:p>
    <w:p>
      <w:pPr>
        <w:pStyle w:val="Heading5"/>
      </w:pPr>
      <w:bookmarkStart w:id="1121" w:name="_Toc158375278"/>
      <w:r>
        <w:rPr>
          <w:rStyle w:val="CharSectno"/>
        </w:rPr>
        <w:t>31</w:t>
      </w:r>
      <w:r>
        <w:t>.</w:t>
      </w:r>
      <w:r>
        <w:tab/>
        <w:t>Certain decisions relating to certain access arrangements are reviewable regulatory decisions for purposes of Chapter 8 Part 5 of the Law</w:t>
      </w:r>
      <w:bookmarkEnd w:id="112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Despite anything to the contrary in this Law, the definition of </w:t>
      </w:r>
      <w:r>
        <w:rPr>
          <w:rStyle w:val="CharDefText"/>
          <w:bCs/>
          <w:sz w:val="23"/>
        </w:rPr>
        <w:t>reviewable regulatory decision</w:t>
      </w:r>
      <w:r>
        <w:rPr>
          <w:bCs/>
          <w:i/>
          <w:iCs/>
          <w:color w:val="000000"/>
          <w:sz w:val="23"/>
          <w:szCs w:val="23"/>
        </w:rPr>
        <w:t xml:space="preserve"> </w:t>
      </w:r>
      <w:r>
        <w:rPr>
          <w:color w:val="000000"/>
          <w:sz w:val="23"/>
          <w:szCs w:val="23"/>
        </w:rPr>
        <w:t>in section 244 is deemed, during the relevant transition period, to include decisions of 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disallow a variation proposed by a service provider of a Reference Tariff contained in a transitioned access arrangement;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the AER’s own variation of a Reference Tariff in respect of a transitioned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on disallowing a variation proposed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fails to submit such a variation as required.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new scheme revisions commencement date</w:t>
      </w:r>
      <w:r>
        <w:rPr>
          <w:bCs/>
          <w:i/>
          <w:iCs/>
          <w:color w:val="000000"/>
          <w:sz w:val="23"/>
          <w:szCs w:val="23"/>
        </w:rPr>
        <w:t xml:space="preserve"> </w:t>
      </w:r>
      <w:r>
        <w:rPr>
          <w:color w:val="000000"/>
          <w:sz w:val="23"/>
          <w:szCs w:val="23"/>
        </w:rPr>
        <w:t>means the date revisions approved or made to a transitioned access arrangement under this Law and the Rules take effect following the first review of that access arrangement under this Law and the Rules after the commencement day;</w:t>
      </w:r>
    </w:p>
    <w:p>
      <w:pPr>
        <w:keepLines/>
        <w:autoSpaceDE w:val="0"/>
        <w:autoSpaceDN w:val="0"/>
        <w:adjustRightInd w:val="0"/>
        <w:spacing w:before="120"/>
        <w:ind w:left="1588"/>
        <w:rPr>
          <w:color w:val="000000"/>
          <w:sz w:val="23"/>
          <w:szCs w:val="23"/>
        </w:rPr>
      </w:pPr>
      <w:r>
        <w:rPr>
          <w:rStyle w:val="CharDefText"/>
          <w:bCs/>
          <w:sz w:val="23"/>
        </w:rPr>
        <w:t>Reference Tariff</w:t>
      </w:r>
      <w:r>
        <w:rPr>
          <w:bCs/>
          <w:i/>
          <w:iCs/>
          <w:color w:val="000000"/>
          <w:sz w:val="23"/>
          <w:szCs w:val="23"/>
        </w:rPr>
        <w:t xml:space="preserve"> </w:t>
      </w:r>
      <w:r>
        <w:rPr>
          <w:color w:val="000000"/>
          <w:sz w:val="23"/>
          <w:szCs w:val="23"/>
        </w:rPr>
        <w:t>has the same meaning as in the Gas Code immediately before its repeal;</w:t>
      </w:r>
    </w:p>
    <w:p>
      <w:pPr>
        <w:keepNext/>
        <w:keepLines/>
        <w:autoSpaceDE w:val="0"/>
        <w:autoSpaceDN w:val="0"/>
        <w:adjustRightInd w:val="0"/>
        <w:spacing w:before="120"/>
        <w:ind w:left="1588"/>
        <w:rPr>
          <w:color w:val="000000"/>
          <w:sz w:val="23"/>
          <w:szCs w:val="23"/>
        </w:rPr>
      </w:pPr>
      <w:r>
        <w:rPr>
          <w:rStyle w:val="CharDefText"/>
          <w:bCs/>
          <w:sz w:val="23"/>
        </w:rPr>
        <w:lastRenderedPageBreak/>
        <w:t>relevant transition period</w:t>
      </w:r>
      <w:r>
        <w:rPr>
          <w:bCs/>
          <w:i/>
          <w:iCs/>
          <w:color w:val="000000"/>
          <w:sz w:val="23"/>
          <w:szCs w:val="23"/>
        </w:rPr>
        <w:t xml:space="preserve"> </w:t>
      </w:r>
      <w:r>
        <w:rPr>
          <w:color w:val="000000"/>
          <w:sz w:val="23"/>
          <w:szCs w:val="23"/>
        </w:rPr>
        <w:t>means the period—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commencing on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ending on the day after the day that is 15 business days after the first new scheme revisions commencement date.</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clause 30.</w:t>
      </w:r>
    </w:p>
    <w:p>
      <w:pPr>
        <w:pStyle w:val="Heading5"/>
      </w:pPr>
      <w:bookmarkStart w:id="1122" w:name="_Toc158375279"/>
      <w:r>
        <w:rPr>
          <w:rStyle w:val="CharSectno"/>
        </w:rPr>
        <w:t>32</w:t>
      </w:r>
      <w:r>
        <w:t>.</w:t>
      </w:r>
      <w:r>
        <w:tab/>
        <w:t>Limited access arrangements submitted but not approved before repeal of old scheme</w:t>
      </w:r>
      <w:bookmarkEnd w:id="112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 a proposed limited access arrangement or a proposed amendment to a limited access arrangement—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been submitted under section 13U(1) of the old access law to the ACCC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ACCC has not approved that limited access arrangement or that amendment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ACCC must, despite the repeal of the old access law, deal with the proposed access arrangement under section 13U as if the old access law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proposed limited access arrangement, or a proposed amendment to a limited access arrangement, approved by the ACCC in accordance with subclause (2) is deemed to be, on the day the decision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decision approving the proposed limited access arrangement—a limited access arrangement approved by the AER under a limited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decision approving a proposed amendment to a limited access arrangement—a variation to a limited access arrangement approved by the AER under the Rules.</w:t>
      </w:r>
    </w:p>
    <w:p>
      <w:pPr>
        <w:pStyle w:val="Heading5"/>
      </w:pPr>
      <w:bookmarkStart w:id="1123" w:name="_Toc158375280"/>
      <w:r>
        <w:rPr>
          <w:rStyle w:val="CharSectno"/>
        </w:rPr>
        <w:lastRenderedPageBreak/>
        <w:t>33</w:t>
      </w:r>
      <w:r>
        <w:t>.</w:t>
      </w:r>
      <w:r>
        <w:tab/>
        <w:t>Extensions and expansions policies</w:t>
      </w:r>
      <w:bookmarkEnd w:id="1123"/>
    </w:p>
    <w:p>
      <w:pPr>
        <w:keepLines/>
        <w:autoSpaceDE w:val="0"/>
        <w:autoSpaceDN w:val="0"/>
        <w:adjustRightInd w:val="0"/>
        <w:spacing w:before="120"/>
        <w:ind w:left="1588"/>
        <w:rPr>
          <w:color w:val="000000"/>
          <w:sz w:val="23"/>
          <w:szCs w:val="23"/>
        </w:rPr>
      </w:pPr>
      <w:r>
        <w:rPr>
          <w:color w:val="000000"/>
          <w:sz w:val="23"/>
          <w:szCs w:val="23"/>
        </w:rPr>
        <w:t>On the commencement day, an Extensions/Expansions Policy (as defined in section 3.16 of the Gas Code), and in effect immediately before that day, is deemed to be extension and expansion requirements.</w:t>
      </w:r>
    </w:p>
    <w:p>
      <w:pPr>
        <w:pStyle w:val="Heading5"/>
      </w:pPr>
      <w:bookmarkStart w:id="1124" w:name="_Toc158375281"/>
      <w:r>
        <w:rPr>
          <w:rStyle w:val="CharSectno"/>
        </w:rPr>
        <w:t>34</w:t>
      </w:r>
      <w:r>
        <w:t>.</w:t>
      </w:r>
      <w:r>
        <w:tab/>
        <w:t>Queuing policies</w:t>
      </w:r>
      <w:bookmarkEnd w:id="1124"/>
    </w:p>
    <w:p>
      <w:pPr>
        <w:keepLines/>
        <w:autoSpaceDE w:val="0"/>
        <w:autoSpaceDN w:val="0"/>
        <w:adjustRightInd w:val="0"/>
        <w:spacing w:before="120"/>
        <w:ind w:left="1588"/>
        <w:rPr>
          <w:color w:val="000000"/>
          <w:sz w:val="23"/>
          <w:szCs w:val="23"/>
        </w:rPr>
      </w:pPr>
      <w:r>
        <w:rPr>
          <w:color w:val="000000"/>
          <w:sz w:val="23"/>
          <w:szCs w:val="23"/>
        </w:rPr>
        <w:t>On the commencement day, a Queuing Policy (as defined in section 3.12 of the Gas Code), and in effect immediately before that day, is deemed to be queuing requirements.</w:t>
      </w:r>
    </w:p>
    <w:p>
      <w:pPr>
        <w:pStyle w:val="Heading3"/>
      </w:pPr>
      <w:bookmarkStart w:id="1125" w:name="_Toc156819642"/>
      <w:bookmarkStart w:id="1126" w:name="_Toc156991062"/>
      <w:bookmarkStart w:id="1127" w:name="_Toc158375282"/>
      <w:r>
        <w:rPr>
          <w:rStyle w:val="CharDivNo"/>
        </w:rPr>
        <w:t>Part 5</w:t>
      </w:r>
      <w:r>
        <w:t xml:space="preserve"> — </w:t>
      </w:r>
      <w:r>
        <w:rPr>
          <w:rStyle w:val="CharDivText"/>
        </w:rPr>
        <w:t>Price regulation exemptions</w:t>
      </w:r>
      <w:bookmarkEnd w:id="1125"/>
      <w:bookmarkEnd w:id="1126"/>
      <w:bookmarkEnd w:id="1127"/>
    </w:p>
    <w:p>
      <w:pPr>
        <w:pStyle w:val="Heading5"/>
      </w:pPr>
      <w:bookmarkStart w:id="1128" w:name="_Toc158375283"/>
      <w:r>
        <w:rPr>
          <w:rStyle w:val="CharSectno"/>
        </w:rPr>
        <w:t>35</w:t>
      </w:r>
      <w:r>
        <w:t>.</w:t>
      </w:r>
      <w:r>
        <w:tab/>
        <w:t>Old scheme price regulation exemptions</w:t>
      </w:r>
      <w:bookmarkEnd w:id="1128"/>
    </w:p>
    <w:p>
      <w:pPr>
        <w:keepLines/>
        <w:autoSpaceDE w:val="0"/>
        <w:autoSpaceDN w:val="0"/>
        <w:adjustRightInd w:val="0"/>
        <w:spacing w:before="120"/>
        <w:ind w:left="1588"/>
        <w:rPr>
          <w:color w:val="000000"/>
          <w:sz w:val="23"/>
          <w:szCs w:val="23"/>
        </w:rPr>
      </w:pPr>
      <w:r>
        <w:rPr>
          <w:color w:val="000000"/>
          <w:sz w:val="23"/>
          <w:szCs w:val="23"/>
        </w:rPr>
        <w:t>On the commencement day, an old scheme price regulation exemption in effect immediately before that day is deemed to be a price regulation exemption.</w:t>
      </w:r>
    </w:p>
    <w:p>
      <w:pPr>
        <w:pStyle w:val="Heading5"/>
      </w:pPr>
      <w:bookmarkStart w:id="1129" w:name="_Toc158375284"/>
      <w:r>
        <w:rPr>
          <w:rStyle w:val="CharSectno"/>
        </w:rPr>
        <w:t>36</w:t>
      </w:r>
      <w:r>
        <w:t>.</w:t>
      </w:r>
      <w:r>
        <w:tab/>
        <w:t>Pending applications for price regulation exemptions</w:t>
      </w:r>
      <w:bookmarkEnd w:id="112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under section 13N of the old access law for an old scheme price regulation exemption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NCC has not made a recommendation under section 13R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old access law, continue to take action in relation to the application as required under the old access law (including making a recommendation under section 13R of the old access law and submitting it to the Commonwealth Minister under that section) as if the old access law continued to apply.</w:t>
      </w:r>
    </w:p>
    <w:p>
      <w:pPr>
        <w:pStyle w:val="Heading5"/>
      </w:pPr>
      <w:bookmarkStart w:id="1130" w:name="_Toc158375285"/>
      <w:r>
        <w:rPr>
          <w:rStyle w:val="CharSectno"/>
        </w:rPr>
        <w:lastRenderedPageBreak/>
        <w:t>37</w:t>
      </w:r>
      <w:r>
        <w:t>.</w:t>
      </w:r>
      <w:r>
        <w:tab/>
        <w:t>Pending Commonwealth Minister decisions for price regulation exemptions</w:t>
      </w:r>
      <w:bookmarkEnd w:id="113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Commonwealth Minister has received a recommendation of the NCC under section 13R of the old access law before the commencement day but the Commonwealth Minister has not made a decision under section 13S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receives a recommendation of the NCC as provided for under clause 36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Commonwealth Minister must, despite the repeal of the old access law, make a decision under section 13S of the old access law in relation to that recommendation as if the old access law continued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Commonwealth Minister makes an old scheme price regulation exemption under section 13S of the old access law in accordance with subclause (2), that exemption is deemed to be a price regulation exemption on the day it is made.</w:t>
      </w:r>
    </w:p>
    <w:p>
      <w:pPr>
        <w:pStyle w:val="Heading3"/>
      </w:pPr>
      <w:bookmarkStart w:id="1131" w:name="_Toc156819646"/>
      <w:bookmarkStart w:id="1132" w:name="_Toc156991066"/>
      <w:bookmarkStart w:id="1133" w:name="_Toc158375286"/>
      <w:r>
        <w:rPr>
          <w:rStyle w:val="CharDivNo"/>
        </w:rPr>
        <w:t>Part 6</w:t>
      </w:r>
      <w:r>
        <w:t xml:space="preserve"> — </w:t>
      </w:r>
      <w:r>
        <w:rPr>
          <w:rStyle w:val="CharDivText"/>
        </w:rPr>
        <w:t>Structural and operational separation (ring fencing)</w:t>
      </w:r>
      <w:bookmarkEnd w:id="1131"/>
      <w:bookmarkEnd w:id="1132"/>
      <w:bookmarkEnd w:id="1133"/>
    </w:p>
    <w:p>
      <w:pPr>
        <w:pStyle w:val="Heading5"/>
      </w:pPr>
      <w:bookmarkStart w:id="1134" w:name="_Toc158375287"/>
      <w:r>
        <w:rPr>
          <w:rStyle w:val="CharSectno"/>
        </w:rPr>
        <w:t>38</w:t>
      </w:r>
      <w:r>
        <w:t>.</w:t>
      </w:r>
      <w:r>
        <w:tab/>
        <w:t>Definitions</w:t>
      </w:r>
      <w:bookmarkEnd w:id="1134"/>
    </w:p>
    <w:p>
      <w:pPr>
        <w:keepNext/>
        <w:keepLines/>
        <w:autoSpaceDE w:val="0"/>
        <w:autoSpaceDN w:val="0"/>
        <w:adjustRightInd w:val="0"/>
        <w:spacing w:before="120"/>
        <w:ind w:left="1588"/>
        <w:rPr>
          <w:color w:val="000000"/>
          <w:sz w:val="23"/>
          <w:szCs w:val="23"/>
        </w:rPr>
      </w:pPr>
      <w:r>
        <w:rPr>
          <w:color w:val="000000"/>
          <w:sz w:val="23"/>
          <w:szCs w:val="23"/>
        </w:rPr>
        <w:t>In this Part—</w:t>
      </w:r>
    </w:p>
    <w:p>
      <w:pPr>
        <w:keepNext/>
        <w:keepLines/>
        <w:autoSpaceDE w:val="0"/>
        <w:autoSpaceDN w:val="0"/>
        <w:adjustRightInd w:val="0"/>
        <w:spacing w:before="120"/>
        <w:ind w:left="1588"/>
        <w:rPr>
          <w:color w:val="000000"/>
          <w:sz w:val="23"/>
          <w:szCs w:val="23"/>
        </w:rPr>
      </w:pPr>
      <w:r>
        <w:rPr>
          <w:rStyle w:val="CharDefText"/>
          <w:bCs/>
          <w:sz w:val="23"/>
        </w:rPr>
        <w:t>old scheme ring fencing requirement</w:t>
      </w:r>
      <w:r>
        <w:rPr>
          <w:color w:val="000000"/>
          <w:sz w:val="23"/>
          <w:szCs w:val="23"/>
        </w:rPr>
        <w:t>, in relation to a service provider,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section 4.1(b) to (d), (h) or (i) of the Gas Code as those sections apply to the service provider subject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lastRenderedPageBreak/>
        <w:tab/>
        <w:t>(i)</w:t>
      </w:r>
      <w:r>
        <w:rPr>
          <w:color w:val="000000"/>
          <w:sz w:val="23"/>
          <w:szCs w:val="23"/>
        </w:rPr>
        <w:tab/>
        <w:t>any notice given to the service provider under section 4.15(a) of the Gas Code waiving that service provider’s compliance with an obligation under section 4.1(b) of the Gas Code that is in effect immediately before the commencement day;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notice given to the service provider under section 4.15(b) of the Gas Code waiving that service provider’s compliance with an obligation under section 4.1(h) and (i) of the Gas Code that is in effect immediately before the commencement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obligation applying to the service provider under a notice given to that service provider under section 4.3 of the Gas Code that is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relevant transition period</w:t>
      </w:r>
      <w:r>
        <w:rPr>
          <w:bCs/>
          <w:i/>
          <w:iCs/>
          <w:color w:val="000000"/>
          <w:sz w:val="23"/>
          <w:szCs w:val="23"/>
        </w:rPr>
        <w:t xml:space="preserve"> </w:t>
      </w:r>
      <w:r>
        <w:rPr>
          <w:color w:val="000000"/>
          <w:sz w:val="23"/>
          <w:szCs w:val="23"/>
        </w:rPr>
        <w:t>means the period beginning on the commencement day and ending on the day that is 6 months after the commencement day.</w:t>
      </w:r>
    </w:p>
    <w:p>
      <w:pPr>
        <w:pStyle w:val="Heading5"/>
      </w:pPr>
      <w:bookmarkStart w:id="1135" w:name="_Toc158375288"/>
      <w:r>
        <w:rPr>
          <w:rStyle w:val="CharSectno"/>
        </w:rPr>
        <w:t>39</w:t>
      </w:r>
      <w:r>
        <w:t>.</w:t>
      </w:r>
      <w:r>
        <w:tab/>
        <w:t>Compliance with certain old scheme ring fencing requirements sufficient compliance for 6 month period</w:t>
      </w:r>
      <w:bookmarkEnd w:id="113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Law, a service provider who during the relevant transition period complies with an old scheme ring fencing requirement must be taken to comply with Division 2 and Division 3 of Chapter 4 Part 2 of the Law during that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to subclause (1) but subject to subclauses (3) and (4), a service provider must continue to comply with an old scheme ring fencing requirement as if the Gas Code continued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(3)</w:t>
      </w:r>
      <w:r>
        <w:rPr>
          <w:color w:val="000000"/>
          <w:sz w:val="23"/>
          <w:szCs w:val="23"/>
        </w:rPr>
        <w:tab/>
        <w:t>A service provider may depart from complying with an old scheme ring fencing requirement before the end of the relevant transition period solely for the purpose of preparing to comply with Division 2 or Division 3 of Chapter 4 Part 2 of this Law at the end of that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a service provider does depart from complying with an old scheme ring fencing requirement in accordance with subclause (3) the service provider must in respect of that departure comply with Division 2 and Division 3 of Chapter 4 Part 2 of this Law (as the case requires).</w:t>
      </w:r>
    </w:p>
    <w:p>
      <w:pPr>
        <w:pStyle w:val="Heading5"/>
      </w:pPr>
      <w:bookmarkStart w:id="1136" w:name="_Toc158375289"/>
      <w:r>
        <w:rPr>
          <w:rStyle w:val="CharSectno"/>
        </w:rPr>
        <w:t>40</w:t>
      </w:r>
      <w:r>
        <w:t>.</w:t>
      </w:r>
      <w:r>
        <w:tab/>
        <w:t>Existing waivers of ring fencing obligations</w:t>
      </w:r>
      <w:bookmarkEnd w:id="113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After the relevant transition period, a notice given to a service provider under section 4.15(a) of the Gas Code waiving that service provider’s compliance with an obligation under section 4.1(b) of the Gas Code, and in effect immediately before the commencement day, is deemed to be an exemption of the AER under section 146 from the requirement to comply with section 139 given to that service provider.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After the relevant transition period, a notice given to a service provider under section 4.15(b) of the Gas Code waiving that service provider’s compliance with an obligation under section 4.1(h) and (i) of the Gas Code, and in effect immediately before the commencement day, is deemed to be an exemption of the AER under section 146 from the requirement to comply with section 140 given to that service provider.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Subclauses (1) and (2) do not apply to the extent to which a notice referred to in those subclauses is inconsistent with this Law or the Rules.</w:t>
      </w:r>
    </w:p>
    <w:p>
      <w:pPr>
        <w:pStyle w:val="Heading5"/>
      </w:pPr>
      <w:bookmarkStart w:id="1137" w:name="_Toc158375290"/>
      <w:r>
        <w:rPr>
          <w:rStyle w:val="CharSectno"/>
        </w:rPr>
        <w:lastRenderedPageBreak/>
        <w:t>41</w:t>
      </w:r>
      <w:r>
        <w:t>.</w:t>
      </w:r>
      <w:r>
        <w:tab/>
        <w:t>Additional ring fencing obligations</w:t>
      </w:r>
      <w:bookmarkEnd w:id="113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After the relevant transition period, a notice given to a service provider under section 4.3 of the Gas Code and in effect immediately before the commencement day is deemed to be an additional ring fencing requirement (as defined in section 137).</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does not apply to the extent to which a notice referred to in that subclause is inconsistent with this Law or the Rules.</w:t>
      </w:r>
    </w:p>
    <w:p>
      <w:pPr>
        <w:pStyle w:val="Heading3"/>
      </w:pPr>
      <w:bookmarkStart w:id="1138" w:name="_Toc156819651"/>
      <w:bookmarkStart w:id="1139" w:name="_Toc156991071"/>
      <w:bookmarkStart w:id="1140" w:name="_Toc158375291"/>
      <w:r>
        <w:rPr>
          <w:rStyle w:val="CharDivNo"/>
        </w:rPr>
        <w:t>Part 7</w:t>
      </w:r>
      <w:r>
        <w:t xml:space="preserve"> — </w:t>
      </w:r>
      <w:r>
        <w:rPr>
          <w:rStyle w:val="CharDivText"/>
        </w:rPr>
        <w:t>Access disputes</w:t>
      </w:r>
      <w:bookmarkEnd w:id="1138"/>
      <w:bookmarkEnd w:id="1139"/>
      <w:bookmarkEnd w:id="1140"/>
    </w:p>
    <w:p>
      <w:pPr>
        <w:pStyle w:val="Heading5"/>
      </w:pPr>
      <w:bookmarkStart w:id="1141" w:name="_Toc158375292"/>
      <w:r>
        <w:rPr>
          <w:rStyle w:val="CharSectno"/>
        </w:rPr>
        <w:t>42</w:t>
      </w:r>
      <w:r>
        <w:t>.</w:t>
      </w:r>
      <w:r>
        <w:tab/>
        <w:t>Non</w:t>
      </w:r>
      <w:r>
        <w:noBreakHyphen/>
        <w:t>finalised access disputes</w:t>
      </w:r>
      <w:bookmarkEnd w:id="114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non</w:t>
      </w:r>
      <w:r>
        <w:rPr>
          <w:color w:val="000000"/>
          <w:sz w:val="23"/>
          <w:szCs w:val="23"/>
        </w:rPr>
        <w:noBreakHyphen/>
        <w:t>finalised access dispute must continue to be dealt with in accordance with the old access law and Gas Code despite the repeal of the old access law and Gas Code.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despite anything to the contrary in the old access law and Gas Code, a non</w:t>
      </w:r>
      <w:r>
        <w:rPr>
          <w:color w:val="000000"/>
          <w:sz w:val="23"/>
          <w:szCs w:val="23"/>
        </w:rPr>
        <w:noBreakHyphen/>
        <w:t>finalised access dispute is to be dealt with by the dispute resolution body and for that purpose—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every reference to an arbitrator in Part 4 of the old access law and in the Gas Code is to be read as a reference to the dispute resolution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anything done in relation to a non</w:t>
      </w:r>
      <w:r>
        <w:rPr>
          <w:color w:val="000000"/>
          <w:sz w:val="23"/>
          <w:szCs w:val="23"/>
        </w:rPr>
        <w:noBreakHyphen/>
        <w:t>finalised access dispute by an arbitrator before the commencement day is deemed to have been done by the dispute resolution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dispute resolution body may, in relation to a particular non</w:t>
      </w:r>
      <w:r>
        <w:rPr>
          <w:color w:val="000000"/>
          <w:sz w:val="23"/>
          <w:szCs w:val="23"/>
        </w:rPr>
        <w:noBreakHyphen/>
        <w:t>finalised access dispute, have regard to any record of the arbitrator conducting the arbitration of that non</w:t>
      </w:r>
      <w:r>
        <w:rPr>
          <w:color w:val="000000"/>
          <w:sz w:val="23"/>
          <w:szCs w:val="23"/>
        </w:rPr>
        <w:noBreakHyphen/>
        <w:t>finalised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(d)</w:t>
      </w:r>
      <w:r>
        <w:rPr>
          <w:color w:val="000000"/>
          <w:sz w:val="23"/>
          <w:szCs w:val="23"/>
        </w:rPr>
        <w:tab/>
        <w:t>the arbitrator must stop conducting the arbitration and give the dispute resolution body all documents the arbitrator has created for the purposes of, or received in, the arbitration.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non</w:t>
      </w:r>
      <w:r>
        <w:rPr>
          <w:rStyle w:val="CharDefText"/>
          <w:bCs/>
          <w:sz w:val="23"/>
        </w:rPr>
        <w:noBreakHyphen/>
        <w:t>finalised access dispute</w:t>
      </w:r>
      <w:r>
        <w:rPr>
          <w:bCs/>
          <w:i/>
          <w:iCs/>
          <w:color w:val="000000"/>
          <w:sz w:val="23"/>
          <w:szCs w:val="23"/>
        </w:rPr>
        <w:t xml:space="preserve"> </w:t>
      </w:r>
      <w:r>
        <w:rPr>
          <w:color w:val="000000"/>
          <w:sz w:val="23"/>
          <w:szCs w:val="23"/>
        </w:rPr>
        <w:t>means an access dispute within the meaning of section 14 of the old access law that has arisen and not been finally determined under Part 4 of the old access law and Gas Code before the commencement day.</w:t>
      </w:r>
    </w:p>
    <w:p>
      <w:pPr>
        <w:pStyle w:val="Heading3"/>
      </w:pPr>
      <w:bookmarkStart w:id="1142" w:name="_Toc156819653"/>
      <w:bookmarkStart w:id="1143" w:name="_Toc156991073"/>
      <w:bookmarkStart w:id="1144" w:name="_Toc158375293"/>
      <w:r>
        <w:rPr>
          <w:rStyle w:val="CharDivNo"/>
        </w:rPr>
        <w:t>Part 8</w:t>
      </w:r>
      <w:r>
        <w:t xml:space="preserve"> — </w:t>
      </w:r>
      <w:r>
        <w:rPr>
          <w:rStyle w:val="CharDivText"/>
        </w:rPr>
        <w:t>Investigations and proceedings</w:t>
      </w:r>
      <w:bookmarkEnd w:id="1142"/>
      <w:bookmarkEnd w:id="1143"/>
      <w:bookmarkEnd w:id="1144"/>
    </w:p>
    <w:p>
      <w:pPr>
        <w:pStyle w:val="Heading5"/>
      </w:pPr>
      <w:bookmarkStart w:id="1145" w:name="_Toc158375294"/>
      <w:r>
        <w:rPr>
          <w:rStyle w:val="CharSectno"/>
        </w:rPr>
        <w:t>43</w:t>
      </w:r>
      <w:r>
        <w:t>.</w:t>
      </w:r>
      <w:r>
        <w:tab/>
        <w:t>Investigations into breaches and possible breaches of the old access law or Gas Code</w:t>
      </w:r>
      <w:bookmarkEnd w:id="114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and after the commencement day, a relevant Regulator investigation may be conducted and completed by the AER in accordance with this Law, the Regulations and the Rules as if that investigation were commenced by the AER under this Law, the Regulations and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relevant Regulator investigation</w:t>
      </w:r>
      <w:r>
        <w:rPr>
          <w:bCs/>
          <w:i/>
          <w:iCs/>
          <w:color w:val="000000"/>
          <w:sz w:val="23"/>
          <w:szCs w:val="23"/>
        </w:rPr>
        <w:t xml:space="preserve"> </w:t>
      </w:r>
      <w:r>
        <w:rPr>
          <w:color w:val="000000"/>
          <w:sz w:val="23"/>
          <w:szCs w:val="23"/>
        </w:rPr>
        <w:t>means an investigation into a breach or possible breach of the old access law or Gas Code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been commenced by a relevant Regulator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not been completed by the relevant Regulator before the commencement day.</w:t>
      </w:r>
    </w:p>
    <w:p>
      <w:pPr>
        <w:pStyle w:val="Heading5"/>
      </w:pPr>
      <w:bookmarkStart w:id="1146" w:name="_Toc158375295"/>
      <w:r>
        <w:rPr>
          <w:rStyle w:val="CharSectno"/>
        </w:rPr>
        <w:lastRenderedPageBreak/>
        <w:t>44</w:t>
      </w:r>
      <w:r>
        <w:t>.</w:t>
      </w:r>
      <w:r>
        <w:tab/>
        <w:t>AER may conduct investigations into breaches or possible breaches of Gas Pipelines Access Law not investigated by a relevant Regulator</w:t>
      </w:r>
      <w:bookmarkEnd w:id="114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Schedule, the AER may, on and after the commencement day, conduct an investigation into a breach or possible breach of the old access law or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conduct an investigation referred to in subclause (1) as if it were an investigation into a breach of this Law, and for that purpose, may exercise all of the powers it has under this Law relating to investigations into breaches or possible breaches under this Law.</w:t>
      </w:r>
    </w:p>
    <w:p>
      <w:pPr>
        <w:pStyle w:val="Heading5"/>
      </w:pPr>
      <w:bookmarkStart w:id="1147" w:name="_Toc158375296"/>
      <w:r>
        <w:rPr>
          <w:rStyle w:val="CharSectno"/>
        </w:rPr>
        <w:t>45</w:t>
      </w:r>
      <w:r>
        <w:t>.</w:t>
      </w:r>
      <w:r>
        <w:tab/>
        <w:t>AER may bring proceedings in relation to breaches of old access law and Gas Code</w:t>
      </w:r>
      <w:bookmarkEnd w:id="114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AER breach investigation</w:t>
      </w:r>
      <w:r>
        <w:rPr>
          <w:bCs/>
          <w:i/>
          <w:iCs/>
          <w:color w:val="000000"/>
          <w:sz w:val="23"/>
          <w:szCs w:val="23"/>
        </w:rPr>
        <w:t xml:space="preserve"> </w:t>
      </w:r>
      <w:r>
        <w:rPr>
          <w:color w:val="000000"/>
          <w:sz w:val="23"/>
          <w:szCs w:val="23"/>
        </w:rPr>
        <w:t>means an investigation conducted and completed by the AER in accordance with clause 43 or 44.</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AER may bring proceedings in the Court in respect of an AER breach investigation.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anything to the contrary in clause 2 or the repeal of the old access law and Gas Code, Part 5 of the old access law applies to a proceeding under this clause as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in that Part to a relevant Regulator or the ACCC were a reference to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regulation 5 of, and Schedule 2 to, the </w:t>
      </w:r>
      <w:r>
        <w:rPr>
          <w:i/>
          <w:iCs/>
          <w:color w:val="000000"/>
          <w:sz w:val="23"/>
          <w:szCs w:val="23"/>
        </w:rPr>
        <w:t>Gas Pipelines Access (Western Australia) Regulations 2000</w:t>
      </w:r>
      <w:r>
        <w:rPr>
          <w:color w:val="000000"/>
          <w:sz w:val="23"/>
          <w:szCs w:val="23"/>
        </w:rPr>
        <w:t xml:space="preserve"> were not repealed.</w:t>
      </w:r>
    </w:p>
    <w:p>
      <w:pPr>
        <w:pStyle w:val="Footnotesection"/>
      </w:pPr>
      <w:r>
        <w:tab/>
        <w:t>[Clause 45 modified: WA Act Sch. 1 cl. 18(2).]</w:t>
      </w:r>
    </w:p>
    <w:p>
      <w:pPr>
        <w:pStyle w:val="Heading3"/>
      </w:pPr>
      <w:bookmarkStart w:id="1148" w:name="_Toc156819657"/>
      <w:bookmarkStart w:id="1149" w:name="_Toc156991077"/>
      <w:bookmarkStart w:id="1150" w:name="_Toc158375297"/>
      <w:r>
        <w:rPr>
          <w:rStyle w:val="CharDivNo"/>
        </w:rPr>
        <w:lastRenderedPageBreak/>
        <w:t>Part 9</w:t>
      </w:r>
      <w:r>
        <w:t xml:space="preserve"> — </w:t>
      </w:r>
      <w:r>
        <w:rPr>
          <w:rStyle w:val="CharDivText"/>
        </w:rPr>
        <w:t>Associate contracts</w:t>
      </w:r>
      <w:bookmarkEnd w:id="1148"/>
      <w:bookmarkEnd w:id="1149"/>
      <w:bookmarkEnd w:id="1150"/>
    </w:p>
    <w:p>
      <w:pPr>
        <w:pStyle w:val="Heading5"/>
        <w:spacing w:before="100"/>
      </w:pPr>
      <w:bookmarkStart w:id="1151" w:name="_Toc158375298"/>
      <w:r>
        <w:rPr>
          <w:rStyle w:val="CharSectno"/>
        </w:rPr>
        <w:t>46</w:t>
      </w:r>
      <w:r>
        <w:t>.</w:t>
      </w:r>
      <w:r>
        <w:tab/>
        <w:t>Pending associate contract approvals that are approved after commencement day</w:t>
      </w:r>
      <w:bookmarkEnd w:id="1151"/>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clause applies if 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proposed associate contract (within the meaning of section 10.8 of the Gas Code) with a relevant Regulator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made a decision approving or not approving the proposed associate contract.</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The relevant Regulator must, despite the repeal of the old access law and the Gas Code, take action in relation to that proposed associate contract under section 7.1 to 7.6 of the Gas Code as if the old access law and Gas Code continued to apply.</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(3)</w:t>
      </w:r>
      <w:r>
        <w:rPr>
          <w:color w:val="000000"/>
          <w:sz w:val="23"/>
          <w:szCs w:val="23"/>
        </w:rPr>
        <w:tab/>
        <w:t>If the relevant Regulator decides to approve the proposed associate contract under section 7.1 to 7.6 of the Gas Code, that associate contract is deemed to be an approved associate contract on,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day the relevant Regulator approves the associate contract in accordance with those 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day the relevant Regulator is deemed to have approved the associate contract by operation of those sections.</w:t>
      </w:r>
    </w:p>
    <w:p>
      <w:pPr>
        <w:pStyle w:val="Heading5"/>
        <w:keepNext w:val="0"/>
        <w:keepLines w:val="0"/>
        <w:spacing w:before="120"/>
      </w:pPr>
      <w:bookmarkStart w:id="1152" w:name="_Toc158375299"/>
      <w:r>
        <w:rPr>
          <w:rStyle w:val="CharSectno"/>
        </w:rPr>
        <w:t>47</w:t>
      </w:r>
      <w:r>
        <w:t>.</w:t>
      </w:r>
      <w:r>
        <w:tab/>
        <w:t>Pending associate contracts approvals that are not approved</w:t>
      </w:r>
      <w:bookmarkEnd w:id="1152"/>
    </w:p>
    <w:p>
      <w:pPr>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clause applies if the relevant Regulator decides not to approve a proposed associate contract under clause 46.</w:t>
      </w:r>
    </w:p>
    <w:p>
      <w:pPr>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 xml:space="preserve">If an application is not made under section 38 of the old access law for a review of the decision within the time specified by that section, the proposed associate contract is deemed not to be an approved associate contract on the day </w:t>
      </w:r>
      <w:r>
        <w:rPr>
          <w:color w:val="000000"/>
          <w:sz w:val="23"/>
          <w:szCs w:val="23"/>
        </w:rPr>
        <w:lastRenderedPageBreak/>
        <w:t>after the last day an application could have been made under that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an application is made under section 38 of the old access law for a review of the decision but the relevant appeals body refuses to review the decision in accordance with section 38(11) of the old access law, the proposed associate contract is deemed not to be an approved associate contract on the day on which the determination of the relevant appeals body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by determination, affirms the decision,</w:t>
      </w:r>
    </w:p>
    <w:p>
      <w:pPr>
        <w:keepLines/>
        <w:autoSpaceDE w:val="0"/>
        <w:autoSpaceDN w:val="0"/>
        <w:adjustRightInd w:val="0"/>
        <w:spacing w:before="120"/>
        <w:ind w:left="1588"/>
        <w:rPr>
          <w:color w:val="000000"/>
          <w:sz w:val="23"/>
          <w:szCs w:val="23"/>
        </w:rPr>
      </w:pPr>
      <w:r>
        <w:rPr>
          <w:color w:val="000000"/>
          <w:sz w:val="23"/>
          <w:szCs w:val="23"/>
        </w:rPr>
        <w:t>the proposed associate contract is deemed not to be an approved associate contract on the day on which the determination of the relevant appeals body affirming the decision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makes a determination that sets aside the decision and remits the matter to the relevant Regulator for the Regulator to make a decision again in respect of the matter,</w:t>
      </w:r>
    </w:p>
    <w:p>
      <w:pPr>
        <w:keepLines/>
        <w:autoSpaceDE w:val="0"/>
        <w:autoSpaceDN w:val="0"/>
        <w:adjustRightInd w:val="0"/>
        <w:spacing w:before="120"/>
        <w:ind w:left="1588"/>
        <w:rPr>
          <w:color w:val="000000"/>
          <w:sz w:val="23"/>
          <w:szCs w:val="23"/>
        </w:rPr>
      </w:pPr>
      <w:r>
        <w:rPr>
          <w:color w:val="000000"/>
          <w:sz w:val="23"/>
          <w:szCs w:val="23"/>
        </w:rPr>
        <w:t>the relevant Regulator must make a decision under clause 46.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makes a determination that sets aside the decision and approves the associate contract,</w:t>
      </w:r>
    </w:p>
    <w:p>
      <w:pPr>
        <w:autoSpaceDE w:val="0"/>
        <w:autoSpaceDN w:val="0"/>
        <w:adjustRightInd w:val="0"/>
        <w:spacing w:before="80"/>
        <w:ind w:left="1588"/>
        <w:rPr>
          <w:color w:val="000000"/>
          <w:sz w:val="23"/>
          <w:szCs w:val="23"/>
        </w:rPr>
      </w:pPr>
      <w:r>
        <w:rPr>
          <w:color w:val="000000"/>
          <w:sz w:val="23"/>
          <w:szCs w:val="23"/>
        </w:rPr>
        <w:lastRenderedPageBreak/>
        <w:t>the proposed associate contract to which the determination relates is deemed to be, on the day the determination takes effect, an approved associate contract.</w:t>
      </w:r>
    </w:p>
    <w:p>
      <w:pPr>
        <w:pStyle w:val="Heading5"/>
      </w:pPr>
      <w:bookmarkStart w:id="1153" w:name="_Toc158375300"/>
      <w:r>
        <w:rPr>
          <w:rStyle w:val="CharSectno"/>
        </w:rPr>
        <w:t>48</w:t>
      </w:r>
      <w:r>
        <w:t>.</w:t>
      </w:r>
      <w:r>
        <w:tab/>
        <w:t>Approved associate contracts</w:t>
      </w:r>
      <w:bookmarkEnd w:id="115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has been approved by a relevant Regulator under section 7 of the Gas Code,</w:t>
      </w:r>
    </w:p>
    <w:p>
      <w:pPr>
        <w:keepLines/>
        <w:autoSpaceDE w:val="0"/>
        <w:autoSpaceDN w:val="0"/>
        <w:adjustRightInd w:val="0"/>
        <w:spacing w:before="120"/>
        <w:ind w:left="1588"/>
        <w:rPr>
          <w:color w:val="000000"/>
          <w:sz w:val="23"/>
          <w:szCs w:val="23"/>
        </w:rPr>
      </w:pPr>
      <w:r>
        <w:rPr>
          <w:color w:val="000000"/>
          <w:sz w:val="23"/>
          <w:szCs w:val="23"/>
        </w:rPr>
        <w:t>is deemed to be an approved associate contract.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has been deemed to have been approved by operation of section 7 of the Gas Code,</w:t>
      </w:r>
    </w:p>
    <w:p>
      <w:pPr>
        <w:keepLines/>
        <w:autoSpaceDE w:val="0"/>
        <w:autoSpaceDN w:val="0"/>
        <w:adjustRightInd w:val="0"/>
        <w:spacing w:before="120"/>
        <w:ind w:left="1588"/>
        <w:rPr>
          <w:color w:val="000000"/>
          <w:sz w:val="23"/>
          <w:szCs w:val="23"/>
        </w:rPr>
      </w:pPr>
      <w:r>
        <w:rPr>
          <w:color w:val="000000"/>
          <w:sz w:val="23"/>
          <w:szCs w:val="23"/>
        </w:rPr>
        <w:t>is deemed to be an approved associate contract.</w:t>
      </w:r>
    </w:p>
    <w:p>
      <w:pPr>
        <w:pStyle w:val="Heading3"/>
      </w:pPr>
      <w:bookmarkStart w:id="1154" w:name="_Toc156819661"/>
      <w:bookmarkStart w:id="1155" w:name="_Toc156991081"/>
      <w:bookmarkStart w:id="1156" w:name="_Toc158375301"/>
      <w:r>
        <w:rPr>
          <w:rStyle w:val="CharDivNo"/>
        </w:rPr>
        <w:t>Part 10</w:t>
      </w:r>
      <w:r>
        <w:t xml:space="preserve"> — </w:t>
      </w:r>
      <w:r>
        <w:rPr>
          <w:rStyle w:val="CharDivText"/>
        </w:rPr>
        <w:t>Other</w:t>
      </w:r>
      <w:bookmarkEnd w:id="1154"/>
      <w:bookmarkEnd w:id="1155"/>
      <w:bookmarkEnd w:id="1156"/>
    </w:p>
    <w:p>
      <w:pPr>
        <w:pStyle w:val="Heading5"/>
      </w:pPr>
      <w:bookmarkStart w:id="1157" w:name="_Toc158375302"/>
      <w:r>
        <w:rPr>
          <w:rStyle w:val="CharSectno"/>
        </w:rPr>
        <w:t>49</w:t>
      </w:r>
      <w:r>
        <w:t>.</w:t>
      </w:r>
      <w:r>
        <w:tab/>
        <w:t>Pending and final tender approval requests lapse</w:t>
      </w:r>
      <w:bookmarkEnd w:id="115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every Tender Approval Request (within meaning of section 10.8 of the Gas Code), in respect of which a decision has not been made under section 3.25 of the Gas Code immediately before that day, lapses.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 every Final Approval Request (within the meaning of section 3.29 of the Gas Code), in respect of which a decision has not been made under that section immediately before that day, lapses.</w:t>
      </w:r>
    </w:p>
    <w:p>
      <w:pPr>
        <w:pStyle w:val="Heading5"/>
      </w:pPr>
      <w:bookmarkStart w:id="1158" w:name="_Toc158375303"/>
      <w:r>
        <w:rPr>
          <w:rStyle w:val="CharSectno"/>
        </w:rPr>
        <w:lastRenderedPageBreak/>
        <w:t>50</w:t>
      </w:r>
      <w:r>
        <w:t>.</w:t>
      </w:r>
      <w:r>
        <w:tab/>
        <w:t>Decisions approving final approval requests</w:t>
      </w:r>
      <w:bookmarkEnd w:id="115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before, or on, the commencement day a relevant Regulator has made or makes a decision under section 3.32 of the Gas Code that approves a Final Approval Request (within the meaning of section 10.8 of the Gas Code).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of the relevant Regulator is deemed to be a tender approval decision that has become irrevocable by operation of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to which the decision relates is deemed to be a covered pipeline.</w:t>
      </w:r>
    </w:p>
    <w:p>
      <w:pPr>
        <w:pStyle w:val="Heading5"/>
      </w:pPr>
      <w:bookmarkStart w:id="1159" w:name="_Toc158375304"/>
      <w:r>
        <w:rPr>
          <w:rStyle w:val="CharSectno"/>
        </w:rPr>
        <w:t>51</w:t>
      </w:r>
      <w:r>
        <w:t>.</w:t>
      </w:r>
      <w:r>
        <w:tab/>
        <w:t>Rights under certain change of law provisions in agreements or deeds not to be triggered</w:t>
      </w:r>
      <w:bookmarkEnd w:id="115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repeal of the old access law and the Gas Code, and the commencement of this Law and the initial National Gas Rules, is not to be regarded as a change of law (however defined) under any agreement or deed in effect on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applies despite any provision in any agreement or deed to the contrary.</w:t>
      </w:r>
    </w:p>
    <w:p>
      <w:pPr>
        <w:pStyle w:val="Heading5"/>
      </w:pPr>
      <w:bookmarkStart w:id="1160" w:name="_Toc158375305"/>
      <w:r>
        <w:rPr>
          <w:rStyle w:val="CharSectno"/>
        </w:rPr>
        <w:t>52</w:t>
      </w:r>
      <w:r>
        <w:t>.</w:t>
      </w:r>
      <w:r>
        <w:tab/>
        <w:t>References to relevant Regulator in access arrangements</w:t>
      </w:r>
      <w:bookmarkEnd w:id="1160"/>
    </w:p>
    <w:p>
      <w:pPr>
        <w:keepLines/>
        <w:autoSpaceDE w:val="0"/>
        <w:autoSpaceDN w:val="0"/>
        <w:adjustRightInd w:val="0"/>
        <w:spacing w:before="120"/>
        <w:ind w:left="1588"/>
        <w:rPr>
          <w:color w:val="000000"/>
          <w:sz w:val="23"/>
          <w:szCs w:val="23"/>
        </w:rPr>
      </w:pPr>
      <w:r>
        <w:rPr>
          <w:color w:val="000000"/>
          <w:sz w:val="23"/>
          <w:szCs w:val="23"/>
        </w:rPr>
        <w:t>On the commencement day, unless the context otherwise requires, every reference to a relevant Regulator in a current access arrangement deemed under Part 4 of this Schedule to be a full access arrangement or a limited access arrangement is deemed to be a reference to the AER.</w:t>
      </w:r>
    </w:p>
    <w:p>
      <w:pPr>
        <w:pStyle w:val="Heading5"/>
      </w:pPr>
      <w:bookmarkStart w:id="1161" w:name="_Toc158375306"/>
      <w:r>
        <w:rPr>
          <w:rStyle w:val="CharSectno"/>
        </w:rPr>
        <w:lastRenderedPageBreak/>
        <w:t>53</w:t>
      </w:r>
      <w:r>
        <w:t>.</w:t>
      </w:r>
      <w:r>
        <w:tab/>
        <w:t>Old scheme classifications and scheme participant determinations</w:t>
      </w:r>
      <w:bookmarkEnd w:id="116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every old scheme classification and scheme participant determination applying to an old scheme covered pipeline is deemed to be an initial classification decision (within the meaning of section 98(1)).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old scheme classification and scheme participant determination</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classification and determination under section 10(5)(a) of the old access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determination under section 10(5)(b) of the old access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classification and determination under section 11(3) of the old access law.</w:t>
      </w:r>
    </w:p>
    <w:p>
      <w:pPr>
        <w:pStyle w:val="Heading3"/>
      </w:pPr>
      <w:bookmarkStart w:id="1162" w:name="_Toc156819667"/>
      <w:bookmarkStart w:id="1163" w:name="_Toc156991087"/>
      <w:bookmarkStart w:id="1164" w:name="_Toc158375307"/>
      <w:r>
        <w:rPr>
          <w:rStyle w:val="CharDivNo"/>
        </w:rPr>
        <w:t>Part 15</w:t>
      </w:r>
      <w:r>
        <w:t>—</w:t>
      </w:r>
      <w:r>
        <w:rPr>
          <w:rStyle w:val="CharDivText"/>
        </w:rPr>
        <w:t>Transitional provision related to AEMC rule making powers</w:t>
      </w:r>
      <w:bookmarkEnd w:id="1162"/>
      <w:bookmarkEnd w:id="1163"/>
      <w:bookmarkEnd w:id="1164"/>
    </w:p>
    <w:p>
      <w:pPr>
        <w:pStyle w:val="Footnoteheading"/>
      </w:pPr>
      <w:r>
        <w:tab/>
        <w:t>[Heading inserted: see SA Act No. 12 of 2018 s. 29 and WA SL 2020/195 cl. 3.]</w:t>
      </w:r>
    </w:p>
    <w:p>
      <w:pPr>
        <w:pStyle w:val="Heading5"/>
      </w:pPr>
      <w:bookmarkStart w:id="1165" w:name="_Toc158375308"/>
      <w:r>
        <w:rPr>
          <w:rStyle w:val="CharSectno"/>
        </w:rPr>
        <w:t>90</w:t>
      </w:r>
      <w:r>
        <w:t>.</w:t>
      </w:r>
      <w:r>
        <w:tab/>
        <w:t>AEMC rule making powers</w:t>
      </w:r>
      <w:bookmarkEnd w:id="1165"/>
    </w:p>
    <w:p>
      <w:pPr>
        <w:keepNext/>
        <w:keepLines/>
        <w:tabs>
          <w:tab w:val="center" w:pos="1191"/>
          <w:tab w:val="left" w:pos="1588"/>
        </w:tabs>
        <w:autoSpaceDE w:val="0"/>
        <w:autoSpaceDN w:val="0"/>
        <w:adjustRightInd w:val="0"/>
        <w:spacing w:before="120"/>
        <w:ind w:left="1588" w:hanging="794"/>
      </w:pPr>
      <w:r>
        <w:tab/>
      </w:r>
      <w:r>
        <w:tab/>
        <w:t xml:space="preserve">The amendment to section 304 of this Law by virtue of the </w:t>
      </w:r>
      <w:r>
        <w:rPr>
          <w:i/>
        </w:rPr>
        <w:t>National Gas Access (WA) Adoption of Amendments Order 2020</w:t>
      </w:r>
      <w:r>
        <w:t xml:space="preserve"> clause 3 (the </w:t>
      </w:r>
      <w:r>
        <w:rPr>
          <w:rStyle w:val="CharDefText"/>
        </w:rPr>
        <w:t>adopting clause</w:t>
      </w:r>
      <w:r>
        <w:t xml:space="preserve">) does not apply to the making of— </w:t>
      </w:r>
    </w:p>
    <w:p>
      <w:pPr>
        <w:keepLines/>
        <w:tabs>
          <w:tab w:val="center" w:pos="1985"/>
          <w:tab w:val="left" w:pos="2382"/>
        </w:tabs>
        <w:autoSpaceDE w:val="0"/>
        <w:autoSpaceDN w:val="0"/>
        <w:adjustRightInd w:val="0"/>
        <w:spacing w:before="120"/>
        <w:ind w:left="2382" w:hanging="794"/>
      </w:pPr>
      <w:r>
        <w:tab/>
        <w:t>(a)</w:t>
      </w:r>
      <w:r>
        <w:tab/>
        <w:t>a Rule on a request under section 295(1) of this Law received by the AEMC before the coming into operation of the adopting clause; or</w:t>
      </w:r>
    </w:p>
    <w:p>
      <w:pPr>
        <w:keepLines/>
        <w:tabs>
          <w:tab w:val="center" w:pos="1985"/>
          <w:tab w:val="left" w:pos="2382"/>
        </w:tabs>
        <w:autoSpaceDE w:val="0"/>
        <w:autoSpaceDN w:val="0"/>
        <w:adjustRightInd w:val="0"/>
        <w:spacing w:before="120"/>
        <w:ind w:left="2382" w:hanging="794"/>
      </w:pPr>
      <w:r>
        <w:lastRenderedPageBreak/>
        <w:tab/>
        <w:t>(b)</w:t>
      </w:r>
      <w:r>
        <w:tab/>
        <w:t>an AEMC initiated Rule (within the meaning of section 290 of this Law) in respect of which the AEMC has, before the coming into operation of the adopting clause, published notice of its intention to make.</w:t>
      </w:r>
    </w:p>
    <w:p>
      <w:pPr>
        <w:pStyle w:val="Footnotesection"/>
      </w:pPr>
      <w:r>
        <w:tab/>
        <w:t>[Clause 90 inserted: see SA Act No. 12 of 2018 s. 29 and WA SL 2020/195 cl. 3; modified: WA Act Sch. 1 cl. 18(2A).]</w:t>
      </w:r>
    </w:p>
    <w:p>
      <w:pPr>
        <w:pStyle w:val="Heading3"/>
      </w:pPr>
      <w:bookmarkStart w:id="1166" w:name="_Toc156819669"/>
      <w:bookmarkStart w:id="1167" w:name="_Toc156991089"/>
      <w:bookmarkStart w:id="1168" w:name="_Toc158375309"/>
      <w:r>
        <w:rPr>
          <w:rStyle w:val="CharDivNo"/>
        </w:rPr>
        <w:t>Part 17</w:t>
      </w:r>
      <w:r>
        <w:t>—</w:t>
      </w:r>
      <w:r>
        <w:rPr>
          <w:rStyle w:val="CharDivText"/>
        </w:rPr>
        <w:t>Transitional provisions for rate of return instrument</w:t>
      </w:r>
      <w:bookmarkEnd w:id="1166"/>
      <w:bookmarkEnd w:id="1167"/>
      <w:bookmarkEnd w:id="1168"/>
    </w:p>
    <w:p>
      <w:pPr>
        <w:pStyle w:val="Footnoteheading"/>
        <w:keepNext/>
      </w:pPr>
      <w:r>
        <w:tab/>
        <w:t>[Heading inserted: see SA Act No. 33 of 2018 s. 21 and WA Gazette 5 Apr 2019 p. 1007.]</w:t>
      </w:r>
    </w:p>
    <w:p>
      <w:pPr>
        <w:pStyle w:val="Heading5"/>
      </w:pPr>
      <w:bookmarkStart w:id="1169" w:name="_Toc158375310"/>
      <w:r>
        <w:rPr>
          <w:rStyle w:val="CharSectno"/>
        </w:rPr>
        <w:t>95</w:t>
      </w:r>
      <w:r>
        <w:t>.</w:t>
      </w:r>
      <w:r>
        <w:tab/>
        <w:t>Definitions</w:t>
      </w:r>
      <w:bookmarkEnd w:id="1169"/>
    </w:p>
    <w:p>
      <w:pPr>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sz w:val="23"/>
          <w:szCs w:val="23"/>
        </w:rPr>
        <w:t>2013 non</w:t>
      </w:r>
      <w:r>
        <w:rPr>
          <w:rStyle w:val="CharDefText"/>
          <w:sz w:val="23"/>
          <w:szCs w:val="23"/>
        </w:rPr>
        <w:noBreakHyphen/>
        <w:t>binding guideline</w:t>
      </w:r>
      <w:r>
        <w:rPr>
          <w:color w:val="000000"/>
          <w:sz w:val="23"/>
          <w:szCs w:val="23"/>
        </w:rPr>
        <w:t xml:space="preserve"> means the guideline about determining the rate of return on capital issued by the AER in 2013;</w:t>
      </w:r>
    </w:p>
    <w:p>
      <w:pPr>
        <w:keepLines/>
        <w:autoSpaceDE w:val="0"/>
        <w:autoSpaceDN w:val="0"/>
        <w:adjustRightInd w:val="0"/>
        <w:spacing w:before="120"/>
        <w:ind w:left="1588"/>
      </w:pPr>
      <w:r>
        <w:rPr>
          <w:rStyle w:val="CharDefText"/>
          <w:sz w:val="23"/>
          <w:szCs w:val="23"/>
        </w:rPr>
        <w:t>commencement</w:t>
      </w:r>
      <w:r>
        <w:rPr>
          <w:sz w:val="23"/>
          <w:szCs w:val="23"/>
        </w:rPr>
        <w:t xml:space="preserve"> means the coming into operation of the </w:t>
      </w:r>
      <w:r>
        <w:rPr>
          <w:i/>
          <w:sz w:val="23"/>
          <w:szCs w:val="23"/>
        </w:rPr>
        <w:t>National Gas Access (WA) Adoption of Amendments Order 2019</w:t>
      </w:r>
      <w:r>
        <w:rPr>
          <w:sz w:val="23"/>
          <w:szCs w:val="23"/>
        </w:rPr>
        <w:t xml:space="preserve"> clause 3;</w:t>
      </w:r>
    </w:p>
    <w:p>
      <w:pPr>
        <w:keepLines/>
        <w:autoSpaceDE w:val="0"/>
        <w:autoSpaceDN w:val="0"/>
        <w:adjustRightInd w:val="0"/>
        <w:spacing w:before="120"/>
        <w:ind w:left="1588"/>
        <w:rPr>
          <w:color w:val="000000"/>
          <w:sz w:val="23"/>
          <w:szCs w:val="23"/>
        </w:rPr>
      </w:pPr>
      <w:r>
        <w:rPr>
          <w:rStyle w:val="CharDefText"/>
          <w:sz w:val="23"/>
          <w:szCs w:val="23"/>
        </w:rPr>
        <w:t>review</w:t>
      </w:r>
      <w:r>
        <w:rPr>
          <w:color w:val="000000"/>
          <w:sz w:val="23"/>
          <w:szCs w:val="23"/>
        </w:rPr>
        <w:t>, of the 2013 non</w:t>
      </w:r>
      <w:r>
        <w:rPr>
          <w:color w:val="000000"/>
          <w:sz w:val="23"/>
          <w:szCs w:val="23"/>
        </w:rPr>
        <w:noBreakHyphen/>
        <w:t>binding guideline, means the review of the guideline started by the AER in 2017;</w:t>
      </w:r>
    </w:p>
    <w:p>
      <w:pPr>
        <w:keepLines/>
        <w:autoSpaceDE w:val="0"/>
        <w:autoSpaceDN w:val="0"/>
        <w:adjustRightInd w:val="0"/>
        <w:spacing w:before="120"/>
        <w:ind w:left="1588"/>
        <w:rPr>
          <w:color w:val="000000"/>
          <w:sz w:val="23"/>
          <w:szCs w:val="23"/>
        </w:rPr>
      </w:pPr>
      <w:r>
        <w:rPr>
          <w:rStyle w:val="CharDefText"/>
          <w:sz w:val="23"/>
          <w:szCs w:val="23"/>
        </w:rPr>
        <w:t>stakeholders</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service providers and consumer organisations;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end users and prospective end users;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of the following persons the AER considers appropriate to give the AER advice or comment about the review of the 2013 non</w:t>
      </w:r>
      <w:r>
        <w:rPr>
          <w:color w:val="000000"/>
          <w:sz w:val="23"/>
          <w:szCs w:val="23"/>
        </w:rPr>
        <w:noBreakHyphen/>
        <w:t>binding guideline—</w:t>
      </w:r>
    </w:p>
    <w:p>
      <w:pPr>
        <w:keepLines/>
        <w:tabs>
          <w:tab w:val="center" w:pos="2835"/>
          <w:tab w:val="left" w:pos="3119"/>
        </w:tabs>
        <w:autoSpaceDE w:val="0"/>
        <w:autoSpaceDN w:val="0"/>
        <w:adjustRightInd w:val="0"/>
        <w:spacing w:before="120"/>
        <w:ind w:left="3119" w:hanging="709"/>
        <w:rPr>
          <w:color w:val="000000"/>
          <w:sz w:val="23"/>
          <w:szCs w:val="23"/>
        </w:rPr>
      </w:pPr>
      <w:r>
        <w:rPr>
          <w:color w:val="000000"/>
          <w:sz w:val="23"/>
          <w:szCs w:val="23"/>
        </w:rPr>
        <w:tab/>
        <w:t>(i)</w:t>
      </w:r>
      <w:r>
        <w:rPr>
          <w:color w:val="000000"/>
          <w:sz w:val="23"/>
          <w:szCs w:val="23"/>
        </w:rPr>
        <w:tab/>
        <w:t>persons engaged by a covered pipeline service provider, a consumer organisation or another entity to give the advice or comment;</w:t>
      </w:r>
    </w:p>
    <w:p>
      <w:pPr>
        <w:keepLines/>
        <w:tabs>
          <w:tab w:val="center" w:pos="2835"/>
          <w:tab w:val="left" w:pos="3119"/>
        </w:tabs>
        <w:autoSpaceDE w:val="0"/>
        <w:autoSpaceDN w:val="0"/>
        <w:adjustRightInd w:val="0"/>
        <w:spacing w:before="120"/>
        <w:ind w:left="3119" w:hanging="709"/>
        <w:rPr>
          <w:color w:val="000000"/>
          <w:sz w:val="23"/>
          <w:szCs w:val="23"/>
        </w:rPr>
      </w:pPr>
      <w:r>
        <w:rPr>
          <w:color w:val="000000"/>
          <w:sz w:val="23"/>
          <w:szCs w:val="23"/>
        </w:rPr>
        <w:lastRenderedPageBreak/>
        <w:tab/>
        <w:t>(ii)</w:t>
      </w:r>
      <w:r>
        <w:rPr>
          <w:color w:val="000000"/>
          <w:sz w:val="23"/>
          <w:szCs w:val="23"/>
        </w:rPr>
        <w:tab/>
        <w:t>other persons the AER considers have the qualifications or experience appropriate to give the advice or comment;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other persons the AER considers have an interest in the review of the 2013 non</w:t>
      </w:r>
      <w:r>
        <w:rPr>
          <w:color w:val="000000"/>
          <w:sz w:val="23"/>
          <w:szCs w:val="23"/>
        </w:rPr>
        <w:noBreakHyphen/>
        <w:t>binding guideline.</w:t>
      </w:r>
    </w:p>
    <w:p>
      <w:pPr>
        <w:pStyle w:val="Footnotesection"/>
      </w:pPr>
      <w:r>
        <w:tab/>
        <w:t>[Clause 95 inserted: see SA Act No. 33 of 2018 s. 21 and WA Gazette 5 Apr 2019 p. 1007; modified: WA Act Sch. 1 cl. 18(3).]</w:t>
      </w:r>
    </w:p>
    <w:p>
      <w:pPr>
        <w:pStyle w:val="Heading5"/>
      </w:pPr>
      <w:bookmarkStart w:id="1170" w:name="_Toc158375311"/>
      <w:r>
        <w:rPr>
          <w:rStyle w:val="CharSectno"/>
        </w:rPr>
        <w:t>96</w:t>
      </w:r>
      <w:r>
        <w:t>.</w:t>
      </w:r>
      <w:r>
        <w:tab/>
        <w:t>Making first rate of return instrument if review not completed before commencement</w:t>
      </w:r>
      <w:bookmarkEnd w:id="1170"/>
    </w:p>
    <w:p>
      <w:pPr>
        <w:keepNext/>
        <w:keepLines/>
        <w:tabs>
          <w:tab w:val="center" w:pos="1191"/>
          <w:tab w:val="left" w:pos="1588"/>
        </w:tabs>
        <w:autoSpaceDE w:val="0"/>
        <w:autoSpaceDN w:val="0"/>
        <w:adjustRightInd w:val="0"/>
        <w:spacing w:before="120"/>
        <w:ind w:left="1588" w:hanging="794"/>
        <w:rPr>
          <w:color w:val="000000"/>
          <w:sz w:val="23"/>
          <w:szCs w:val="23"/>
        </w:rPr>
      </w:pPr>
      <w:bookmarkStart w:id="1171" w:name="id99369711_09b7_4f6b_aaf3_74b8556267"/>
      <w:r>
        <w:rPr>
          <w:color w:val="000000"/>
          <w:sz w:val="23"/>
          <w:szCs w:val="23"/>
        </w:rPr>
        <w:tab/>
        <w:t>(1)</w:t>
      </w:r>
      <w:r>
        <w:rPr>
          <w:color w:val="000000"/>
          <w:sz w:val="23"/>
          <w:szCs w:val="23"/>
        </w:rPr>
        <w:tab/>
        <w:t>This clause applies if—</w:t>
      </w:r>
      <w:bookmarkEnd w:id="1171"/>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review of the 2013 non</w:t>
      </w:r>
      <w:r>
        <w:rPr>
          <w:color w:val="000000"/>
          <w:sz w:val="23"/>
          <w:szCs w:val="23"/>
        </w:rPr>
        <w:noBreakHyphen/>
        <w:t xml:space="preserve">binding guideline was not completed before the </w:t>
      </w:r>
      <w:r>
        <w:rPr>
          <w:sz w:val="23"/>
          <w:szCs w:val="23"/>
        </w:rPr>
        <w:t>commencement;</w:t>
      </w:r>
      <w:r>
        <w:rPr>
          <w:color w:val="000000"/>
          <w:sz w:val="23"/>
          <w:szCs w:val="23"/>
        </w:rPr>
        <w:t xml:space="preser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 has sought advice or comment from stakeholders in relation to the review;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at least 3 months before making the first rate of return instrument, the AER has published on its website a draft of the proposed first rate of return instrument or proposed new non</w:t>
      </w:r>
      <w:r>
        <w:rPr>
          <w:color w:val="000000"/>
          <w:sz w:val="23"/>
          <w:szCs w:val="23"/>
        </w:rPr>
        <w:noBreakHyphen/>
        <w:t>binding guideline under the Rules; and</w:t>
      </w:r>
    </w:p>
    <w:p>
      <w:pPr>
        <w:keepLines/>
        <w:tabs>
          <w:tab w:val="center" w:pos="1985"/>
          <w:tab w:val="left" w:pos="2382"/>
        </w:tabs>
        <w:autoSpaceDE w:val="0"/>
        <w:autoSpaceDN w:val="0"/>
        <w:adjustRightInd w:val="0"/>
        <w:spacing w:before="120"/>
        <w:ind w:left="2382" w:hanging="794"/>
        <w:rPr>
          <w:color w:val="000000"/>
          <w:sz w:val="23"/>
          <w:szCs w:val="23"/>
        </w:rPr>
      </w:pPr>
      <w:bookmarkStart w:id="1172" w:name="ida5cce094_141c_41e0_a614_ffea4c768c"/>
      <w:r>
        <w:rPr>
          <w:color w:val="000000"/>
          <w:sz w:val="23"/>
          <w:szCs w:val="23"/>
        </w:rPr>
        <w:tab/>
        <w:t>(d)</w:t>
      </w:r>
      <w:r>
        <w:rPr>
          <w:color w:val="000000"/>
          <w:sz w:val="23"/>
          <w:szCs w:val="23"/>
        </w:rPr>
        <w:tab/>
        <w:t>the draft instrument or guideline has been reviewed by an independent panel consisting of at least 3 members with qualifications or experience the AER considers appropriate to conduct the review.</w:t>
      </w:r>
      <w:bookmarkEnd w:id="117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(2)</w:t>
      </w:r>
      <w:r>
        <w:rPr>
          <w:color w:val="000000"/>
          <w:sz w:val="23"/>
          <w:szCs w:val="23"/>
        </w:rPr>
        <w:tab/>
        <w:t>Chapter 2 Part 1 Division 1A Subdivision 3 does not apply in relation to making the first rate of return instrument.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 xml:space="preserve">The independent panel mentioned in </w:t>
      </w:r>
      <w:hyperlink w:anchor="ida5cce094_141c_41e0_a614_ffea4c768c" w:history="1">
        <w:r>
          <w:rPr>
            <w:color w:val="000000"/>
            <w:sz w:val="23"/>
            <w:szCs w:val="23"/>
          </w:rPr>
          <w:t>subclause (1)(d)</w:t>
        </w:r>
      </w:hyperlink>
      <w:r>
        <w:rPr>
          <w:color w:val="000000"/>
          <w:sz w:val="23"/>
          <w:szCs w:val="23"/>
        </w:rPr>
        <w:t xml:space="preserve"> must seek to give the AER a consensus report on the panel’s review.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However, a failure to give the AER a consensus report does not affect the making of the first rate of return instrument.</w:t>
      </w:r>
    </w:p>
    <w:p>
      <w:pPr>
        <w:pStyle w:val="Footnotesection"/>
      </w:pPr>
      <w:r>
        <w:tab/>
        <w:t>[Clause 96 inserted: see SA Act No. 33 of 2018 s. 21 and WA Gazette 5 Apr 2019 p. 1007; modified: WA Act Sch. 1 cl. 18(4).]</w:t>
      </w:r>
    </w:p>
    <w:p>
      <w:pPr>
        <w:pStyle w:val="Heading5"/>
      </w:pPr>
      <w:bookmarkStart w:id="1173" w:name="_Toc158375312"/>
      <w:r>
        <w:rPr>
          <w:rStyle w:val="CharSectno"/>
        </w:rPr>
        <w:t>97</w:t>
      </w:r>
      <w:r>
        <w:t>.</w:t>
      </w:r>
      <w:r>
        <w:tab/>
        <w:t>Making first rate of return instrument if review completed before commencement</w:t>
      </w:r>
      <w:bookmarkEnd w:id="1173"/>
    </w:p>
    <w:p>
      <w:pPr>
        <w:keepNext/>
        <w:keepLines/>
        <w:tabs>
          <w:tab w:val="center" w:pos="1191"/>
          <w:tab w:val="left" w:pos="1588"/>
        </w:tabs>
        <w:autoSpaceDE w:val="0"/>
        <w:autoSpaceDN w:val="0"/>
        <w:adjustRightInd w:val="0"/>
        <w:spacing w:before="120"/>
        <w:ind w:left="1588" w:hanging="794"/>
        <w:rPr>
          <w:color w:val="000000"/>
          <w:sz w:val="23"/>
          <w:szCs w:val="23"/>
        </w:rPr>
      </w:pPr>
      <w:bookmarkStart w:id="1174" w:name="id66a9885b_573b_4c55_8dc5_e06cae8ccd"/>
      <w:r>
        <w:rPr>
          <w:color w:val="000000"/>
          <w:sz w:val="23"/>
          <w:szCs w:val="23"/>
        </w:rPr>
        <w:tab/>
        <w:t>(1)</w:t>
      </w:r>
      <w:r>
        <w:rPr>
          <w:color w:val="000000"/>
          <w:sz w:val="23"/>
          <w:szCs w:val="23"/>
        </w:rPr>
        <w:tab/>
        <w:t xml:space="preserve">This clause applies if, before the </w:t>
      </w:r>
      <w:bookmarkEnd w:id="1174"/>
      <w:r>
        <w:rPr>
          <w:sz w:val="23"/>
          <w:szCs w:val="23"/>
        </w:rPr>
        <w:t>commencement—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review of the 2013 non</w:t>
      </w:r>
      <w:r>
        <w:rPr>
          <w:color w:val="000000"/>
          <w:sz w:val="23"/>
          <w:szCs w:val="23"/>
        </w:rPr>
        <w:noBreakHyphen/>
        <w:t>binding guideline was completed and a new non</w:t>
      </w:r>
      <w:r>
        <w:rPr>
          <w:color w:val="000000"/>
          <w:sz w:val="23"/>
          <w:szCs w:val="23"/>
        </w:rPr>
        <w:noBreakHyphen/>
        <w:t>binding guideline is in force under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 sought advice or comment from stakeholders in relation to the review;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at least 3 months before making the new non</w:t>
      </w:r>
      <w:r>
        <w:rPr>
          <w:color w:val="000000"/>
          <w:sz w:val="23"/>
          <w:szCs w:val="23"/>
        </w:rPr>
        <w:noBreakHyphen/>
        <w:t>binding guideline, the AER published on its website a draft of the proposed new non</w:t>
      </w:r>
      <w:r>
        <w:rPr>
          <w:color w:val="000000"/>
          <w:sz w:val="23"/>
          <w:szCs w:val="23"/>
        </w:rPr>
        <w:noBreakHyphen/>
        <w:t>binding guideline;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draft was reviewed by an independent panel consisting of at least 3 members with qualifications or experience the AER considered appropriate to conduct the review; and</w:t>
      </w:r>
    </w:p>
    <w:p>
      <w:pPr>
        <w:keepLines/>
        <w:tabs>
          <w:tab w:val="center" w:pos="1985"/>
          <w:tab w:val="left" w:pos="2382"/>
        </w:tabs>
        <w:autoSpaceDE w:val="0"/>
        <w:autoSpaceDN w:val="0"/>
        <w:adjustRightInd w:val="0"/>
        <w:spacing w:before="120"/>
        <w:ind w:left="2382" w:hanging="794"/>
        <w:rPr>
          <w:color w:val="000000"/>
          <w:sz w:val="23"/>
          <w:szCs w:val="23"/>
        </w:rPr>
      </w:pPr>
      <w:bookmarkStart w:id="1175" w:name="id7190fe64_4e8e_47c1_b3ab_817867f74d"/>
      <w:r>
        <w:rPr>
          <w:color w:val="000000"/>
          <w:sz w:val="23"/>
          <w:szCs w:val="23"/>
        </w:rPr>
        <w:tab/>
        <w:t>(e)</w:t>
      </w:r>
      <w:r>
        <w:rPr>
          <w:color w:val="000000"/>
          <w:sz w:val="23"/>
          <w:szCs w:val="23"/>
        </w:rPr>
        <w:tab/>
        <w:t>the independent panel gave the AER a report on the panel’s review.</w:t>
      </w:r>
      <w:bookmarkEnd w:id="117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new non</w:t>
      </w:r>
      <w:r>
        <w:rPr>
          <w:color w:val="000000"/>
          <w:sz w:val="23"/>
          <w:szCs w:val="23"/>
        </w:rPr>
        <w:noBreakHyphen/>
        <w:t>binding guideline is taken to be the first rate of return instrument on the commencement.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(3)</w:t>
      </w:r>
      <w:r>
        <w:rPr>
          <w:color w:val="000000"/>
          <w:sz w:val="23"/>
          <w:szCs w:val="23"/>
        </w:rPr>
        <w:tab/>
        <w:t>For section 30P, the instrument is taken to have been published on the AER’s website on the commencement.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The report mentioned in </w:t>
      </w:r>
      <w:hyperlink w:anchor="id7190fe64_4e8e_47c1_b3ab_817867f74d" w:history="1">
        <w:r>
          <w:rPr>
            <w:color w:val="000000"/>
            <w:sz w:val="23"/>
            <w:szCs w:val="23"/>
          </w:rPr>
          <w:t>subclause (1)(e)</w:t>
        </w:r>
      </w:hyperlink>
      <w:r>
        <w:rPr>
          <w:color w:val="000000"/>
          <w:sz w:val="23"/>
          <w:szCs w:val="23"/>
        </w:rPr>
        <w:t xml:space="preserve"> need not be a consensus report on the panel’s review.</w:t>
      </w:r>
    </w:p>
    <w:p>
      <w:pPr>
        <w:pStyle w:val="Footnotesection"/>
      </w:pPr>
      <w:r>
        <w:tab/>
        <w:t>[Clause 97 inserted: see SA Act No. 33 of 2018 s. 21 and WA Gazette 5 Apr 2019 p. 1007; modified: WA Act Sch. 1 cl. 18(5).]</w:t>
      </w:r>
    </w:p>
    <w:p>
      <w:pPr>
        <w:pStyle w:val="Heading5"/>
      </w:pPr>
      <w:bookmarkStart w:id="1176" w:name="_Toc158375313"/>
      <w:r>
        <w:rPr>
          <w:rStyle w:val="CharSectno"/>
        </w:rPr>
        <w:t>98</w:t>
      </w:r>
      <w:r>
        <w:t>.</w:t>
      </w:r>
      <w:r>
        <w:tab/>
        <w:t>Application of this Law to particular decisions</w:t>
      </w:r>
      <w:bookmarkEnd w:id="1176"/>
    </w:p>
    <w:p>
      <w:pPr>
        <w:keepNext/>
        <w:keepLines/>
        <w:tabs>
          <w:tab w:val="center" w:pos="1191"/>
          <w:tab w:val="left" w:pos="1588"/>
        </w:tabs>
        <w:autoSpaceDE w:val="0"/>
        <w:autoSpaceDN w:val="0"/>
        <w:adjustRightInd w:val="0"/>
        <w:spacing w:before="120"/>
        <w:ind w:left="1588" w:hanging="794"/>
        <w:rPr>
          <w:color w:val="000000"/>
          <w:sz w:val="23"/>
          <w:szCs w:val="23"/>
        </w:rPr>
      </w:pPr>
      <w:bookmarkStart w:id="1177" w:name="id89537a05_fac9_4083_93e3_ca00632e65"/>
      <w:r>
        <w:rPr>
          <w:color w:val="000000"/>
          <w:sz w:val="23"/>
          <w:szCs w:val="23"/>
        </w:rPr>
        <w:tab/>
        <w:t>(1)</w:t>
      </w:r>
      <w:r>
        <w:rPr>
          <w:color w:val="000000"/>
          <w:sz w:val="23"/>
          <w:szCs w:val="23"/>
        </w:rPr>
        <w:tab/>
        <w:t>The amended Law applies in relation to an AER economic regulatory decision made after the commencement even if any action or process for making the decision started before the commencement.</w:t>
      </w:r>
      <w:bookmarkEnd w:id="117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However, </w:t>
      </w:r>
      <w:hyperlink w:anchor="id89537a05_fac9_4083_93e3_ca00632e65" w:history="1">
        <w:r>
          <w:rPr>
            <w:color w:val="000000"/>
            <w:sz w:val="23"/>
            <w:szCs w:val="23"/>
          </w:rPr>
          <w:t>subclause (1)</w:t>
        </w:r>
      </w:hyperlink>
      <w:r>
        <w:rPr>
          <w:color w:val="000000"/>
          <w:sz w:val="23"/>
          <w:szCs w:val="23"/>
        </w:rPr>
        <w:t xml:space="preserve"> does not apply in relation to an AER economic regulatory decision made before the commencement that has been remitted back to the AER to make the decision again.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clause—</w:t>
      </w:r>
    </w:p>
    <w:p>
      <w:pPr>
        <w:keepLines/>
        <w:autoSpaceDE w:val="0"/>
        <w:autoSpaceDN w:val="0"/>
        <w:adjustRightInd w:val="0"/>
        <w:spacing w:before="120"/>
        <w:ind w:left="1588"/>
      </w:pPr>
      <w:r>
        <w:rPr>
          <w:rStyle w:val="CharDefText"/>
          <w:sz w:val="23"/>
          <w:szCs w:val="23"/>
        </w:rPr>
        <w:t>amended Law</w:t>
      </w:r>
      <w:r>
        <w:rPr>
          <w:sz w:val="23"/>
          <w:szCs w:val="23"/>
        </w:rPr>
        <w:t xml:space="preserve"> means this Law as amended and modified by virtue of the </w:t>
      </w:r>
      <w:r>
        <w:rPr>
          <w:i/>
          <w:sz w:val="23"/>
          <w:szCs w:val="23"/>
        </w:rPr>
        <w:t>National Gas Access (WA) Adoption of Amendments Order 2019</w:t>
      </w:r>
      <w:r>
        <w:rPr>
          <w:sz w:val="23"/>
          <w:szCs w:val="23"/>
        </w:rPr>
        <w:t xml:space="preserve"> and the </w:t>
      </w:r>
      <w:r>
        <w:rPr>
          <w:i/>
          <w:sz w:val="23"/>
          <w:szCs w:val="23"/>
        </w:rPr>
        <w:t>National Gas Access (WA) (Act Amendment) Regulations 2019</w:t>
      </w:r>
      <w:r>
        <w:rPr>
          <w:sz w:val="23"/>
          <w:szCs w:val="23"/>
        </w:rPr>
        <w:t>.</w:t>
      </w:r>
    </w:p>
    <w:p>
      <w:pPr>
        <w:pStyle w:val="Footnotesection"/>
      </w:pPr>
      <w:r>
        <w:tab/>
        <w:t>[Clause 98 inserted: see SA Act No. 33 of 2018 s. 21 and WA Gazette 5 Apr 2019 p. 1007; modified: WA Act Sch. 1 cl. 18(6).]</w:t>
      </w:r>
    </w:p>
    <w:p>
      <w:pPr>
        <w:pStyle w:val="Heading3"/>
        <w:keepLines/>
        <w:rPr>
          <w:b w:val="0"/>
        </w:rPr>
      </w:pPr>
      <w:bookmarkStart w:id="1178" w:name="_Toc156991094"/>
      <w:bookmarkStart w:id="1179" w:name="_Toc158375314"/>
      <w:r>
        <w:rPr>
          <w:rStyle w:val="CharDivNo"/>
        </w:rPr>
        <w:lastRenderedPageBreak/>
        <w:t>Part 20</w:t>
      </w:r>
      <w:r>
        <w:t>—</w:t>
      </w:r>
      <w:r>
        <w:rPr>
          <w:rStyle w:val="CharDivText"/>
        </w:rPr>
        <w:t>Transitional provisions related to national gas objective amendments</w:t>
      </w:r>
      <w:bookmarkEnd w:id="1178"/>
      <w:bookmarkEnd w:id="1179"/>
    </w:p>
    <w:p>
      <w:pPr>
        <w:pStyle w:val="Footnoteheading"/>
        <w:keepNext/>
        <w:keepLines/>
      </w:pPr>
      <w:r>
        <w:tab/>
        <w:t>[Heading inserted: see SA Act No. 26 of 2023 s. 18 and WA Gazette 24 Jan 2024 p. 91-2.]</w:t>
      </w:r>
    </w:p>
    <w:p>
      <w:pPr>
        <w:pStyle w:val="Heading5"/>
        <w:rPr>
          <w:b w:val="0"/>
        </w:rPr>
      </w:pPr>
      <w:bookmarkStart w:id="1180" w:name="_Toc158375315"/>
      <w:r>
        <w:rPr>
          <w:rStyle w:val="CharSectno"/>
        </w:rPr>
        <w:t>133</w:t>
      </w:r>
      <w:r>
        <w:t>.</w:t>
      </w:r>
      <w:r>
        <w:tab/>
        <w:t>Definitions</w:t>
      </w:r>
      <w:bookmarkEnd w:id="1180"/>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pPr>
      <w:r>
        <w:rPr>
          <w:rStyle w:val="CharDefText"/>
          <w:sz w:val="23"/>
        </w:rPr>
        <w:t>adopting clause</w:t>
      </w:r>
      <w:r>
        <w:t xml:space="preserve"> means the </w:t>
      </w:r>
      <w:r>
        <w:rPr>
          <w:i/>
          <w:iCs/>
        </w:rPr>
        <w:t>National Gas Access (WA) Adoption of Amendments Order (No. 2) 2024</w:t>
      </w:r>
      <w:r>
        <w:t xml:space="preserve"> clause 3;</w:t>
      </w:r>
    </w:p>
    <w:p>
      <w:pPr>
        <w:keepLines/>
        <w:autoSpaceDE w:val="0"/>
        <w:autoSpaceDN w:val="0"/>
        <w:adjustRightInd w:val="0"/>
        <w:spacing w:before="120"/>
        <w:ind w:left="1588"/>
        <w:rPr>
          <w:color w:val="000000"/>
          <w:sz w:val="23"/>
          <w:szCs w:val="23"/>
        </w:rPr>
      </w:pPr>
      <w:r>
        <w:rPr>
          <w:b/>
          <w:bCs/>
          <w:i/>
          <w:iCs/>
          <w:color w:val="000000"/>
          <w:sz w:val="23"/>
          <w:szCs w:val="23"/>
        </w:rPr>
        <w:t>amended objective</w:t>
      </w:r>
      <w:r>
        <w:rPr>
          <w:color w:val="000000"/>
          <w:sz w:val="23"/>
          <w:szCs w:val="23"/>
        </w:rPr>
        <w:t xml:space="preserve"> means the national gas objective as in force </w:t>
      </w:r>
      <w:r>
        <w:rPr>
          <w:sz w:val="23"/>
          <w:szCs w:val="23"/>
        </w:rPr>
        <w:t>on</w:t>
      </w:r>
      <w:r>
        <w:rPr>
          <w:color w:val="000000"/>
          <w:sz w:val="23"/>
          <w:szCs w:val="23"/>
        </w:rPr>
        <w:t xml:space="preserve"> the </w:t>
      </w:r>
      <w:r>
        <w:t>coming into operation of the adopting clause;</w:t>
      </w:r>
    </w:p>
    <w:p>
      <w:pPr>
        <w:keepLines/>
        <w:autoSpaceDE w:val="0"/>
        <w:autoSpaceDN w:val="0"/>
        <w:adjustRightInd w:val="0"/>
        <w:spacing w:before="120"/>
        <w:ind w:left="1588"/>
        <w:rPr>
          <w:color w:val="000000"/>
          <w:sz w:val="23"/>
          <w:szCs w:val="23"/>
        </w:rPr>
      </w:pPr>
      <w:r>
        <w:rPr>
          <w:b/>
          <w:bCs/>
          <w:i/>
          <w:iCs/>
          <w:color w:val="000000"/>
          <w:sz w:val="23"/>
          <w:szCs w:val="23"/>
        </w:rPr>
        <w:t>government or regulatory entity</w:t>
      </w:r>
      <w:r>
        <w:rPr>
          <w:color w:val="000000"/>
          <w:sz w:val="23"/>
          <w:szCs w:val="23"/>
        </w:rPr>
        <w:t xml:space="preserve"> means the AEMC, AEMO, the AER, the Energy Security Board, the MCE or another government entity;</w:t>
      </w:r>
    </w:p>
    <w:p>
      <w:pPr>
        <w:keepLines/>
        <w:autoSpaceDE w:val="0"/>
        <w:autoSpaceDN w:val="0"/>
        <w:adjustRightInd w:val="0"/>
        <w:spacing w:before="120"/>
        <w:ind w:left="1588"/>
        <w:rPr>
          <w:color w:val="000000"/>
          <w:sz w:val="23"/>
          <w:szCs w:val="23"/>
        </w:rPr>
      </w:pPr>
      <w:r>
        <w:rPr>
          <w:b/>
          <w:bCs/>
          <w:i/>
          <w:iCs/>
          <w:color w:val="000000"/>
          <w:sz w:val="23"/>
          <w:szCs w:val="23"/>
        </w:rPr>
        <w:t>start day</w:t>
      </w:r>
      <w:r>
        <w:rPr>
          <w:color w:val="000000"/>
          <w:sz w:val="23"/>
          <w:szCs w:val="23"/>
        </w:rPr>
        <w:t xml:space="preserve">—see </w:t>
      </w:r>
      <w:r>
        <w:rPr>
          <w:sz w:val="23"/>
          <w:szCs w:val="23"/>
        </w:rPr>
        <w:t>clause</w:t>
      </w:r>
      <w:r>
        <w:rPr>
          <w:color w:val="000000"/>
          <w:sz w:val="23"/>
          <w:szCs w:val="23"/>
        </w:rPr>
        <w:t> 134(2)(a).</w:t>
      </w:r>
    </w:p>
    <w:p>
      <w:pPr>
        <w:pStyle w:val="Footnotesection"/>
      </w:pPr>
      <w:r>
        <w:tab/>
        <w:t>[Section 133 inserted: see SA Act No. 26 of 2023 s. 18 and WA Gazette 24 Jan 2024 p. 91-2; WA Act Sch. 1 cl. 18(7)-(9).]</w:t>
      </w:r>
    </w:p>
    <w:p>
      <w:pPr>
        <w:pStyle w:val="Heading5"/>
        <w:rPr>
          <w:b w:val="0"/>
        </w:rPr>
      </w:pPr>
      <w:bookmarkStart w:id="1181" w:name="_Toc158375316"/>
      <w:r>
        <w:rPr>
          <w:rStyle w:val="CharSectno"/>
        </w:rPr>
        <w:t>134</w:t>
      </w:r>
      <w:r>
        <w:t>.</w:t>
      </w:r>
      <w:r>
        <w:rPr>
          <w:rStyle w:val="CharSectno"/>
        </w:rPr>
        <w:tab/>
      </w:r>
      <w:r>
        <w:t>When amended objective takes effect for particular matters</w:t>
      </w:r>
      <w:bookmarkEnd w:id="1181"/>
    </w:p>
    <w:p>
      <w:pPr>
        <w:keepNext/>
        <w:keepLines/>
        <w:tabs>
          <w:tab w:val="center" w:pos="1191"/>
          <w:tab w:val="left" w:pos="1588"/>
        </w:tabs>
        <w:autoSpaceDE w:val="0"/>
        <w:autoSpaceDN w:val="0"/>
        <w:adjustRightInd w:val="0"/>
        <w:spacing w:before="120"/>
        <w:ind w:left="1588" w:hanging="794"/>
        <w:rPr>
          <w:color w:val="000000"/>
          <w:sz w:val="23"/>
          <w:szCs w:val="23"/>
        </w:rPr>
      </w:pPr>
      <w:bookmarkStart w:id="1182" w:name="idd83df2f1_70b7_484e_9edd_261c6b1787a9_d"/>
      <w:r>
        <w:rPr>
          <w:color w:val="000000"/>
          <w:sz w:val="23"/>
          <w:szCs w:val="23"/>
        </w:rPr>
        <w:tab/>
        <w:t>(1)</w:t>
      </w:r>
      <w:r>
        <w:rPr>
          <w:color w:val="000000"/>
          <w:sz w:val="23"/>
          <w:szCs w:val="23"/>
        </w:rPr>
        <w:tab/>
        <w:t>This clause applies in relation to a thing required or permitted to be done under this Law by a person or body, other than the AEMC, if, in doing the thing, the person or body is required to consider or apply the national gas objective including, for example, by—</w:t>
      </w:r>
      <w:bookmarkEnd w:id="1182"/>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having regard to the national gas </w:t>
      </w:r>
      <w:r>
        <w:t>objective</w:t>
      </w:r>
      <w:r>
        <w:rPr>
          <w:color w:val="000000"/>
          <w:sz w:val="23"/>
          <w:szCs w:val="23"/>
        </w:rPr>
        <w: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doing the thing in a manner that will or is likely to contribute to the achievement of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bookmarkStart w:id="1183" w:name="id311ff17d_2339_4408_af2a_aa9d20a74b35_2"/>
      <w:r>
        <w:rPr>
          <w:color w:val="000000"/>
          <w:sz w:val="23"/>
          <w:szCs w:val="23"/>
        </w:rPr>
        <w:lastRenderedPageBreak/>
        <w:tab/>
        <w:t>(2)</w:t>
      </w:r>
      <w:r>
        <w:rPr>
          <w:color w:val="000000"/>
          <w:sz w:val="23"/>
          <w:szCs w:val="23"/>
        </w:rPr>
        <w:tab/>
      </w:r>
      <w:r>
        <w:t>Despite the coming into operation of the adopting clause —</w:t>
      </w:r>
      <w:bookmarkEnd w:id="1183"/>
    </w:p>
    <w:p>
      <w:pPr>
        <w:keepLines/>
        <w:tabs>
          <w:tab w:val="center" w:pos="1985"/>
          <w:tab w:val="left" w:pos="2382"/>
        </w:tabs>
        <w:autoSpaceDE w:val="0"/>
        <w:autoSpaceDN w:val="0"/>
        <w:adjustRightInd w:val="0"/>
        <w:spacing w:before="120"/>
        <w:ind w:left="2382" w:hanging="794"/>
        <w:rPr>
          <w:color w:val="000000"/>
          <w:sz w:val="23"/>
          <w:szCs w:val="23"/>
        </w:rPr>
      </w:pPr>
      <w:bookmarkStart w:id="1184" w:name="id7f54bec1_5478_4c69_ad20_5b1e59560a8f_b"/>
      <w:r>
        <w:rPr>
          <w:color w:val="000000"/>
          <w:sz w:val="23"/>
          <w:szCs w:val="23"/>
        </w:rPr>
        <w:tab/>
        <w:t>(a)</w:t>
      </w:r>
      <w:r>
        <w:rPr>
          <w:color w:val="000000"/>
          <w:sz w:val="23"/>
          <w:szCs w:val="23"/>
        </w:rPr>
        <w:tab/>
        <w:t xml:space="preserve">the national gas objective as in force </w:t>
      </w:r>
      <w:r>
        <w:t>before</w:t>
      </w:r>
      <w:r>
        <w:rPr>
          <w:color w:val="000000"/>
          <w:sz w:val="23"/>
          <w:szCs w:val="23"/>
        </w:rPr>
        <w:t xml:space="preserve"> </w:t>
      </w:r>
      <w:r>
        <w:t>the adopting clause</w:t>
      </w:r>
      <w:r>
        <w:rPr>
          <w:color w:val="000000"/>
          <w:sz w:val="23"/>
          <w:szCs w:val="23"/>
        </w:rPr>
        <w:t xml:space="preserve"> came into operation continues to apply for the doing of the thing until the day (the </w:t>
      </w:r>
      <w:r>
        <w:rPr>
          <w:b/>
          <w:bCs/>
          <w:i/>
          <w:iCs/>
          <w:color w:val="000000"/>
          <w:sz w:val="23"/>
          <w:szCs w:val="23"/>
        </w:rPr>
        <w:t>start day</w:t>
      </w:r>
      <w:r>
        <w:rPr>
          <w:color w:val="000000"/>
          <w:sz w:val="23"/>
          <w:szCs w:val="23"/>
        </w:rPr>
        <w:t xml:space="preserve">) that is 2 months after the </w:t>
      </w:r>
      <w:r>
        <w:t>coming into operation of the adopting clause; and</w:t>
      </w:r>
      <w:bookmarkEnd w:id="1184"/>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amended objective applies in relation to the doing of the thing from the start day.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However, if the thing required or permitted to be done relates to a relevant access arrangement—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on the </w:t>
      </w:r>
      <w:r>
        <w:t>coming into operation of the adopting clause</w:t>
      </w:r>
      <w:r>
        <w:rPr>
          <w:color w:val="000000"/>
          <w:sz w:val="23"/>
          <w:szCs w:val="23"/>
        </w:rPr>
        <w:t xml:space="preserve"> the amended objective applies to the doing of the thing;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clause 135(3) does not apply in relation to the doing of the thing.</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Subclauses (1) and (2) are subject to clause 135.</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clause—</w:t>
      </w:r>
    </w:p>
    <w:p>
      <w:pPr>
        <w:autoSpaceDE w:val="0"/>
        <w:autoSpaceDN w:val="0"/>
        <w:adjustRightInd w:val="0"/>
        <w:spacing w:before="120"/>
        <w:ind w:left="1588"/>
        <w:rPr>
          <w:color w:val="000000"/>
          <w:sz w:val="23"/>
          <w:szCs w:val="23"/>
        </w:rPr>
      </w:pPr>
      <w:r>
        <w:rPr>
          <w:b/>
          <w:bCs/>
          <w:i/>
          <w:iCs/>
          <w:color w:val="000000"/>
          <w:sz w:val="23"/>
          <w:szCs w:val="23"/>
        </w:rPr>
        <w:t>relevant access arrangement</w:t>
      </w:r>
      <w:r>
        <w:rPr>
          <w:color w:val="000000"/>
          <w:sz w:val="23"/>
          <w:szCs w:val="23"/>
        </w:rPr>
        <w:t xml:space="preserve"> means an access arrangement under the Rules proposed to commence on 1 January 2025 for—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Mid-West and South-West Gas Distribution System comprised of the scheme distribution pipeline in Western Australia and defined in gas distribution licence 8 (as amended) issued under the </w:t>
      </w:r>
      <w:r>
        <w:rPr>
          <w:i/>
          <w:iCs/>
          <w:color w:val="000000"/>
          <w:sz w:val="23"/>
          <w:szCs w:val="23"/>
        </w:rPr>
        <w:t>Energy Coordination Act 1994</w:t>
      </w:r>
      <w:r>
        <w:rPr>
          <w:color w:val="000000"/>
          <w:sz w:val="23"/>
          <w:szCs w:val="23"/>
        </w:rPr>
        <w:t xml:space="preserve"> of Western Australia, including any extension to or expansion of the capacity of that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lastRenderedPageBreak/>
        <w:tab/>
        <w:t>(b)</w:t>
      </w:r>
      <w:r>
        <w:rPr>
          <w:color w:val="000000"/>
          <w:sz w:val="23"/>
          <w:szCs w:val="23"/>
        </w:rPr>
        <w:tab/>
        <w:t xml:space="preserve">the Goldfields Gas Pipeline comprised of the transmission pipeline between Yarraloola and Kalgoorlie in Western Australia and defined in Pipeline Licence 24 (as amended) issued under the </w:t>
      </w:r>
      <w:r>
        <w:rPr>
          <w:i/>
          <w:iCs/>
          <w:color w:val="000000"/>
          <w:sz w:val="23"/>
          <w:szCs w:val="23"/>
        </w:rPr>
        <w:t>Petroleum Pipelines Act 1969</w:t>
      </w:r>
      <w:r>
        <w:rPr>
          <w:color w:val="000000"/>
          <w:sz w:val="23"/>
          <w:szCs w:val="23"/>
        </w:rPr>
        <w:t xml:space="preserve"> of Western Australia, including an extension to or expansion of the capacity of, that pipeline.</w:t>
      </w:r>
    </w:p>
    <w:p>
      <w:pPr>
        <w:pStyle w:val="Footnotesection"/>
      </w:pPr>
      <w:r>
        <w:tab/>
        <w:t>[Section 134 inserted: see SA Act No. 26 of 2023 s. 18 and WA Gazette 24 Jan 2024 p. 91-2; WA Act Sch. 1 cl. 18(10).]</w:t>
      </w:r>
    </w:p>
    <w:p>
      <w:pPr>
        <w:pStyle w:val="Heading5"/>
        <w:rPr>
          <w:b w:val="0"/>
        </w:rPr>
      </w:pPr>
      <w:bookmarkStart w:id="1185" w:name="_Toc158375317"/>
      <w:r>
        <w:rPr>
          <w:rStyle w:val="CharSectno"/>
        </w:rPr>
        <w:t>135</w:t>
      </w:r>
      <w:r>
        <w:t>.</w:t>
      </w:r>
      <w:r>
        <w:rPr>
          <w:rStyle w:val="CharSectno"/>
        </w:rPr>
        <w:tab/>
      </w:r>
      <w:r>
        <w:t>Application of national gas objective to particular matters in progress on start day</w:t>
      </w:r>
      <w:bookmarkEnd w:id="1185"/>
    </w:p>
    <w:p>
      <w:pPr>
        <w:keepNext/>
        <w:keepLines/>
        <w:tabs>
          <w:tab w:val="center" w:pos="1191"/>
          <w:tab w:val="left" w:pos="1588"/>
        </w:tabs>
        <w:autoSpaceDE w:val="0"/>
        <w:autoSpaceDN w:val="0"/>
        <w:adjustRightInd w:val="0"/>
        <w:spacing w:before="120"/>
        <w:ind w:left="1588" w:hanging="794"/>
        <w:rPr>
          <w:color w:val="000000"/>
          <w:sz w:val="23"/>
          <w:szCs w:val="23"/>
        </w:rPr>
      </w:pPr>
      <w:bookmarkStart w:id="1186" w:name="id3865e079_e36a_4b6d_9786_cd37e8dbbe39_2"/>
      <w:r>
        <w:rPr>
          <w:color w:val="000000"/>
          <w:sz w:val="23"/>
          <w:szCs w:val="23"/>
        </w:rPr>
        <w:tab/>
        <w:t>(1)</w:t>
      </w:r>
      <w:r>
        <w:rPr>
          <w:color w:val="000000"/>
          <w:sz w:val="23"/>
          <w:szCs w:val="23"/>
        </w:rPr>
        <w:tab/>
        <w:t>This clause applies if—</w:t>
      </w:r>
      <w:bookmarkEnd w:id="1186"/>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r>
      <w:r>
        <w:t>before</w:t>
      </w:r>
      <w:r>
        <w:rPr>
          <w:color w:val="000000"/>
          <w:sz w:val="23"/>
          <w:szCs w:val="23"/>
        </w:rPr>
        <w:t xml:space="preserve"> the start day, a person or body had started, or was required or permitted to start, doing a thing;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r>
      <w:r>
        <w:t>on</w:t>
      </w:r>
      <w:r>
        <w:rPr>
          <w:color w:val="000000"/>
          <w:sz w:val="23"/>
          <w:szCs w:val="23"/>
        </w:rPr>
        <w:t xml:space="preserve"> the start day—</w:t>
      </w:r>
    </w:p>
    <w:p>
      <w:pPr>
        <w:keepLines/>
        <w:tabs>
          <w:tab w:val="center" w:pos="2835"/>
          <w:tab w:val="left" w:pos="3119"/>
        </w:tabs>
        <w:autoSpaceDE w:val="0"/>
        <w:autoSpaceDN w:val="0"/>
        <w:adjustRightInd w:val="0"/>
        <w:spacing w:before="120"/>
        <w:ind w:left="3119" w:hanging="709"/>
        <w:rPr>
          <w:color w:val="000000"/>
          <w:sz w:val="23"/>
          <w:szCs w:val="23"/>
        </w:rPr>
      </w:pPr>
      <w:r>
        <w:rPr>
          <w:color w:val="000000"/>
          <w:sz w:val="23"/>
          <w:szCs w:val="23"/>
        </w:rPr>
        <w:tab/>
        <w:t>(i)</w:t>
      </w:r>
      <w:r>
        <w:rPr>
          <w:color w:val="000000"/>
          <w:sz w:val="23"/>
          <w:szCs w:val="23"/>
        </w:rPr>
        <w:tab/>
        <w:t>the person or body has not finished doing the thing; or</w:t>
      </w:r>
    </w:p>
    <w:p>
      <w:pPr>
        <w:keepLines/>
        <w:tabs>
          <w:tab w:val="center" w:pos="2835"/>
          <w:tab w:val="left" w:pos="3119"/>
        </w:tabs>
        <w:autoSpaceDE w:val="0"/>
        <w:autoSpaceDN w:val="0"/>
        <w:adjustRightInd w:val="0"/>
        <w:spacing w:before="120"/>
        <w:ind w:left="3119" w:hanging="709"/>
        <w:rPr>
          <w:color w:val="000000"/>
          <w:sz w:val="23"/>
          <w:szCs w:val="23"/>
        </w:rPr>
      </w:pPr>
      <w:r>
        <w:rPr>
          <w:color w:val="000000"/>
          <w:sz w:val="23"/>
          <w:szCs w:val="23"/>
        </w:rPr>
        <w:tab/>
        <w:t>(ii)</w:t>
      </w:r>
      <w:r>
        <w:rPr>
          <w:color w:val="000000"/>
          <w:sz w:val="23"/>
          <w:szCs w:val="23"/>
        </w:rPr>
        <w:tab/>
        <w:t>the period within which the thing is required or permitted to be done has not ended;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in doing the thing the person or body is </w:t>
      </w:r>
      <w:r>
        <w:t>required</w:t>
      </w:r>
      <w:r>
        <w:rPr>
          <w:color w:val="000000"/>
          <w:sz w:val="23"/>
          <w:szCs w:val="23"/>
        </w:rPr>
        <w:t xml:space="preserve"> to consider or apply the national gas objective by, for example—</w:t>
      </w:r>
    </w:p>
    <w:p>
      <w:pPr>
        <w:keepLines/>
        <w:tabs>
          <w:tab w:val="center" w:pos="2835"/>
          <w:tab w:val="left" w:pos="3119"/>
        </w:tabs>
        <w:autoSpaceDE w:val="0"/>
        <w:autoSpaceDN w:val="0"/>
        <w:adjustRightInd w:val="0"/>
        <w:spacing w:before="120"/>
        <w:ind w:left="3119" w:hanging="709"/>
        <w:rPr>
          <w:color w:val="000000"/>
          <w:sz w:val="23"/>
          <w:szCs w:val="23"/>
        </w:rPr>
      </w:pPr>
      <w:r>
        <w:rPr>
          <w:color w:val="000000"/>
          <w:sz w:val="23"/>
          <w:szCs w:val="23"/>
        </w:rPr>
        <w:tab/>
        <w:t>(i)</w:t>
      </w:r>
      <w:r>
        <w:rPr>
          <w:color w:val="000000"/>
          <w:sz w:val="23"/>
          <w:szCs w:val="23"/>
        </w:rPr>
        <w:tab/>
        <w:t>having regard to the national gas objective; or</w:t>
      </w:r>
    </w:p>
    <w:p>
      <w:pPr>
        <w:keepLines/>
        <w:tabs>
          <w:tab w:val="center" w:pos="2835"/>
          <w:tab w:val="left" w:pos="3119"/>
        </w:tabs>
        <w:autoSpaceDE w:val="0"/>
        <w:autoSpaceDN w:val="0"/>
        <w:adjustRightInd w:val="0"/>
        <w:spacing w:before="120"/>
        <w:ind w:left="3119" w:hanging="709"/>
        <w:rPr>
          <w:color w:val="000000"/>
          <w:sz w:val="23"/>
          <w:szCs w:val="23"/>
        </w:rPr>
      </w:pPr>
      <w:r>
        <w:rPr>
          <w:color w:val="000000"/>
          <w:sz w:val="23"/>
          <w:szCs w:val="23"/>
        </w:rPr>
        <w:tab/>
        <w:t>(ii)</w:t>
      </w:r>
      <w:r>
        <w:rPr>
          <w:color w:val="000000"/>
          <w:sz w:val="23"/>
          <w:szCs w:val="23"/>
        </w:rPr>
        <w:tab/>
        <w:t>doing the thing in a manner that will or is likely to contribute to the achievement of the national gas objective.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lastRenderedPageBreak/>
        <w:tab/>
        <w:t>(2)</w:t>
      </w:r>
      <w:r>
        <w:rPr>
          <w:color w:val="000000"/>
          <w:sz w:val="23"/>
          <w:szCs w:val="23"/>
        </w:rPr>
        <w:tab/>
        <w:t xml:space="preserve">The national gas objective as in force before the </w:t>
      </w:r>
      <w:r>
        <w:t xml:space="preserve">coming into operation of the adopting clause, </w:t>
      </w:r>
      <w:r>
        <w:rPr>
          <w:color w:val="000000"/>
          <w:sz w:val="23"/>
          <w:szCs w:val="23"/>
        </w:rPr>
        <w:t>and as continued in effect under clause 134 until the start day, continues to apply in relation to the doing of the thing.</w:t>
      </w:r>
    </w:p>
    <w:p>
      <w:pPr>
        <w:keepLines/>
        <w:tabs>
          <w:tab w:val="center" w:pos="1191"/>
          <w:tab w:val="left" w:pos="1588"/>
        </w:tabs>
        <w:autoSpaceDE w:val="0"/>
        <w:autoSpaceDN w:val="0"/>
        <w:adjustRightInd w:val="0"/>
        <w:spacing w:before="120"/>
        <w:ind w:left="1588" w:hanging="794"/>
        <w:rPr>
          <w:color w:val="000000"/>
          <w:sz w:val="23"/>
          <w:szCs w:val="23"/>
        </w:rPr>
      </w:pPr>
      <w:bookmarkStart w:id="1187" w:name="id1ace0c4c_6d87_4c9a_b20f_b8e3df31d2ba_a"/>
      <w:r>
        <w:rPr>
          <w:color w:val="000000"/>
          <w:sz w:val="23"/>
          <w:szCs w:val="23"/>
        </w:rPr>
        <w:tab/>
        <w:t>(3)</w:t>
      </w:r>
      <w:r>
        <w:rPr>
          <w:color w:val="000000"/>
          <w:sz w:val="23"/>
          <w:szCs w:val="23"/>
        </w:rPr>
        <w:tab/>
        <w:t>However, a government or regulatory entity may decide to consider or apply the amended objective in relation to the doing of the thing.</w:t>
      </w:r>
      <w:bookmarkEnd w:id="1187"/>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For subclause (1), a matter relating to an access arrangement is taken not to have been started, or required or permitted to have been started, before the start day if, on the start day, the access arrangement proposal for the access arrangement has not been submitted for the AER’s approval under Rule 46 of the Rules.</w:t>
      </w:r>
    </w:p>
    <w:p>
      <w:pPr>
        <w:pStyle w:val="Footnotesection"/>
      </w:pPr>
      <w:r>
        <w:tab/>
        <w:t>[Section 135 inserted: see SA Act No. 26 of 2023 s. 18 and WA Gazette 24 Jan 2024 p. 91-2; WA Act Sch. 1 cl. 18(11).]</w:t>
      </w:r>
    </w:p>
    <w:p>
      <w:pPr>
        <w:pStyle w:val="Heading5"/>
        <w:rPr>
          <w:b w:val="0"/>
        </w:rPr>
      </w:pPr>
      <w:bookmarkStart w:id="1188" w:name="_Toc158375318"/>
      <w:r>
        <w:rPr>
          <w:rStyle w:val="CharSectno"/>
        </w:rPr>
        <w:t>136</w:t>
      </w:r>
      <w:r>
        <w:t>.</w:t>
      </w:r>
      <w:r>
        <w:rPr>
          <w:rStyle w:val="CharSectno"/>
        </w:rPr>
        <w:tab/>
      </w:r>
      <w:r>
        <w:t>Administrative guidance for decisions under clause 135(3)</w:t>
      </w:r>
      <w:bookmarkEnd w:id="1188"/>
    </w:p>
    <w:p>
      <w:pPr>
        <w:tabs>
          <w:tab w:val="center" w:pos="1191"/>
          <w:tab w:val="left" w:pos="1588"/>
        </w:tabs>
        <w:autoSpaceDE w:val="0"/>
        <w:autoSpaceDN w:val="0"/>
        <w:adjustRightInd w:val="0"/>
        <w:spacing w:before="120"/>
        <w:ind w:left="1588" w:hanging="794"/>
        <w:rPr>
          <w:color w:val="000000"/>
          <w:sz w:val="23"/>
          <w:szCs w:val="23"/>
        </w:rPr>
      </w:pPr>
      <w:bookmarkStart w:id="1189" w:name="id12f6ea1c_5f93_4f9c_992c_c3d70668a60e_8"/>
      <w:r>
        <w:rPr>
          <w:color w:val="000000"/>
          <w:sz w:val="23"/>
          <w:szCs w:val="23"/>
        </w:rPr>
        <w:tab/>
        <w:t>(1)</w:t>
      </w:r>
      <w:r>
        <w:rPr>
          <w:color w:val="000000"/>
          <w:sz w:val="23"/>
          <w:szCs w:val="23"/>
        </w:rPr>
        <w:tab/>
        <w:t xml:space="preserve">If a government or regulatory entity, other than the AER, proposes to exercise a discretion under clause 135(3), the entity must use its best endeavours to ensure that within 45 days after the </w:t>
      </w:r>
      <w:r>
        <w:t xml:space="preserve">coming into operation of the adopting clause, </w:t>
      </w:r>
      <w:r>
        <w:rPr>
          <w:color w:val="000000"/>
          <w:sz w:val="23"/>
          <w:szCs w:val="23"/>
        </w:rPr>
        <w:t>it issues administrative guidance about the matters the entity is likely to have regard to in deciding whether to consider or apply the amended objective in doing a thing.</w:t>
      </w:r>
      <w:bookmarkEnd w:id="118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The AER must, within 45 days after the </w:t>
      </w:r>
      <w:r>
        <w:t xml:space="preserve">coming into operation of the adopting clause, </w:t>
      </w:r>
      <w:r>
        <w:rPr>
          <w:color w:val="000000"/>
          <w:sz w:val="23"/>
          <w:szCs w:val="23"/>
        </w:rPr>
        <w:t>issue administrative guidance about the matters the AER is likely to have regard to in deciding whether to consider or apply the amended objective in doing a thing.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failure to comply with this section does not prevent a government or regulatory entity from exercising a discretion under clause 135(3).</w:t>
      </w:r>
    </w:p>
    <w:p>
      <w:pPr>
        <w:pStyle w:val="Footnotesection"/>
      </w:pPr>
      <w:r>
        <w:tab/>
        <w:t>[Section 136 inserted: see SA Act No. 26 of 2023 s. 18 and WA Gazette 24 Jan 2024 p. 91-2; WA Act Sch. 1 cl. 18(12).]</w:t>
      </w:r>
    </w:p>
    <w:p>
      <w:pPr>
        <w:pStyle w:val="Heading5"/>
        <w:rPr>
          <w:b w:val="0"/>
        </w:rPr>
      </w:pPr>
      <w:bookmarkStart w:id="1190" w:name="_Toc158375319"/>
      <w:r>
        <w:rPr>
          <w:rStyle w:val="CharSectno"/>
        </w:rPr>
        <w:lastRenderedPageBreak/>
        <w:t>137</w:t>
      </w:r>
      <w:r>
        <w:t>.</w:t>
      </w:r>
      <w:r>
        <w:rPr>
          <w:rStyle w:val="CharSectno"/>
        </w:rPr>
        <w:tab/>
      </w:r>
      <w:r>
        <w:t>Administrative guidance about value of greenhouse gas</w:t>
      </w:r>
      <w:r>
        <w:rPr>
          <w:b w:val="0"/>
          <w:bCs/>
          <w:color w:val="000000"/>
          <w:sz w:val="26"/>
          <w:szCs w:val="26"/>
        </w:rPr>
        <w:t xml:space="preserve"> </w:t>
      </w:r>
      <w:r>
        <w:t>emissions</w:t>
      </w:r>
      <w:bookmarkEnd w:id="1190"/>
    </w:p>
    <w:p>
      <w:pPr>
        <w:keepNext/>
        <w:keepLines/>
        <w:tabs>
          <w:tab w:val="center" w:pos="1191"/>
          <w:tab w:val="left" w:pos="1588"/>
        </w:tabs>
        <w:autoSpaceDE w:val="0"/>
        <w:autoSpaceDN w:val="0"/>
        <w:adjustRightInd w:val="0"/>
        <w:spacing w:before="120"/>
        <w:ind w:left="1588" w:hanging="794"/>
        <w:rPr>
          <w:color w:val="000000"/>
          <w:sz w:val="23"/>
          <w:szCs w:val="23"/>
        </w:rPr>
      </w:pPr>
      <w:bookmarkStart w:id="1191" w:name="idd64a52b3_8889_4bc2_86e2_66e6e48e9279_4"/>
      <w:r>
        <w:rPr>
          <w:color w:val="000000"/>
          <w:sz w:val="23"/>
          <w:szCs w:val="23"/>
        </w:rPr>
        <w:tab/>
        <w:t>(1)</w:t>
      </w:r>
      <w:r>
        <w:rPr>
          <w:color w:val="000000"/>
          <w:sz w:val="23"/>
          <w:szCs w:val="23"/>
        </w:rPr>
        <w:tab/>
        <w:t>This clause applies if—</w:t>
      </w:r>
      <w:bookmarkEnd w:id="1191"/>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r>
      <w:r>
        <w:t>administrative</w:t>
      </w:r>
      <w:r>
        <w:rPr>
          <w:color w:val="000000"/>
          <w:sz w:val="23"/>
          <w:szCs w:val="23"/>
        </w:rPr>
        <w:t xml:space="preserve"> guidance is issued by a government or regulatory entity about considering or applying the amended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guidance includes the value, or a method of working out the value, of </w:t>
      </w:r>
      <w:r>
        <w:t>greenhouse</w:t>
      </w:r>
      <w:r>
        <w:rPr>
          <w:color w:val="000000"/>
          <w:sz w:val="23"/>
          <w:szCs w:val="23"/>
        </w:rPr>
        <w:t xml:space="preserve"> gas emissions or greenhouse gas emissions reduction;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guidance is consistent with any MCE statement.</w:t>
      </w:r>
    </w:p>
    <w:p>
      <w:pPr>
        <w:keepNext/>
        <w:tabs>
          <w:tab w:val="center" w:pos="1191"/>
          <w:tab w:val="left" w:pos="1588"/>
        </w:tabs>
        <w:autoSpaceDE w:val="0"/>
        <w:autoSpaceDN w:val="0"/>
        <w:adjustRightInd w:val="0"/>
        <w:spacing w:before="120"/>
        <w:ind w:left="1588" w:hanging="794"/>
        <w:rPr>
          <w:color w:val="000000"/>
          <w:sz w:val="23"/>
          <w:szCs w:val="23"/>
        </w:rPr>
      </w:pPr>
      <w:bookmarkStart w:id="1192" w:name="idb84c930c_f7da_44bb_8922_c64ed3c49250_6"/>
      <w:r>
        <w:rPr>
          <w:color w:val="000000"/>
          <w:sz w:val="23"/>
          <w:szCs w:val="23"/>
        </w:rPr>
        <w:tab/>
        <w:t>(2)</w:t>
      </w:r>
      <w:r>
        <w:rPr>
          <w:color w:val="000000"/>
          <w:sz w:val="23"/>
          <w:szCs w:val="23"/>
        </w:rPr>
        <w:tab/>
        <w:t>The value or method stated in the administrative guidance must be complied with by the government or regulatory entity in considering or applying the amended objective.</w:t>
      </w:r>
      <w:bookmarkEnd w:id="1192"/>
    </w:p>
    <w:p>
      <w:pPr>
        <w:keepNext/>
        <w:tabs>
          <w:tab w:val="center" w:pos="1191"/>
          <w:tab w:val="left" w:pos="1588"/>
        </w:tabs>
        <w:autoSpaceDE w:val="0"/>
        <w:autoSpaceDN w:val="0"/>
        <w:adjustRightInd w:val="0"/>
        <w:spacing w:before="120"/>
        <w:ind w:left="1588" w:hanging="794"/>
        <w:rPr>
          <w:color w:val="000000"/>
          <w:sz w:val="23"/>
          <w:szCs w:val="23"/>
        </w:rPr>
      </w:pPr>
      <w:bookmarkStart w:id="1193" w:name="id49659f8d_d8d4_416b_81e1_f227b0a59eb3_7"/>
      <w:r>
        <w:rPr>
          <w:color w:val="000000"/>
          <w:sz w:val="23"/>
          <w:szCs w:val="23"/>
        </w:rPr>
        <w:tab/>
        <w:t>(3)</w:t>
      </w:r>
      <w:r>
        <w:rPr>
          <w:color w:val="000000"/>
          <w:sz w:val="23"/>
          <w:szCs w:val="23"/>
        </w:rPr>
        <w:tab/>
        <w:t>This clause applies until a Regulation or Rule takes effect for the matter described in subclause (1).</w:t>
      </w:r>
      <w:bookmarkEnd w:id="1193"/>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clause—</w:t>
      </w:r>
    </w:p>
    <w:p>
      <w:pPr>
        <w:keepNext/>
        <w:autoSpaceDE w:val="0"/>
        <w:autoSpaceDN w:val="0"/>
        <w:adjustRightInd w:val="0"/>
        <w:spacing w:before="120"/>
        <w:ind w:left="1588"/>
        <w:rPr>
          <w:color w:val="000000"/>
          <w:sz w:val="23"/>
          <w:szCs w:val="23"/>
        </w:rPr>
      </w:pPr>
      <w:r>
        <w:rPr>
          <w:b/>
          <w:bCs/>
          <w:i/>
          <w:iCs/>
          <w:color w:val="000000"/>
          <w:sz w:val="23"/>
          <w:szCs w:val="23"/>
        </w:rPr>
        <w:t>MCE statement</w:t>
      </w:r>
      <w:r>
        <w:rPr>
          <w:color w:val="000000"/>
          <w:sz w:val="23"/>
          <w:szCs w:val="23"/>
        </w:rPr>
        <w:t xml:space="preserve"> means a statement issued by the MCE that states the value, or a method of or guidance for working out the value, of greenhouse gas emissions or greenhouse gas emissions reduction, that is to be used by a government or regulatory entity in considering or applying the amended objective until a Regulation or Rule mentioned in subclause (3) takes effect.</w:t>
      </w:r>
    </w:p>
    <w:p>
      <w:pPr>
        <w:pStyle w:val="Footnotesection"/>
      </w:pPr>
      <w:r>
        <w:tab/>
        <w:t>[Section 137 inserted: see SA Act No. 26 of 2023 s. 18 and WA Gazette 24 Jan 2024 p. 91-2.]</w:t>
      </w:r>
    </w:p>
    <w:p>
      <w:pPr>
        <w:pStyle w:val="Heading5"/>
        <w:rPr>
          <w:b w:val="0"/>
        </w:rPr>
      </w:pPr>
      <w:bookmarkStart w:id="1194" w:name="_Toc158375320"/>
      <w:r>
        <w:rPr>
          <w:rStyle w:val="CharSectno"/>
        </w:rPr>
        <w:lastRenderedPageBreak/>
        <w:t>138</w:t>
      </w:r>
      <w:r>
        <w:t>.</w:t>
      </w:r>
      <w:r>
        <w:rPr>
          <w:rStyle w:val="CharSectno"/>
        </w:rPr>
        <w:tab/>
      </w:r>
      <w:r>
        <w:t>Validation of things done in relation to Rules before commencement</w:t>
      </w:r>
      <w:bookmarkEnd w:id="119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This clause applies if, before the </w:t>
      </w:r>
      <w:r>
        <w:t>coming into operation of the adopting clause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MCE or a Minister of a participating </w:t>
      </w:r>
      <w:r>
        <w:t>jurisdiction</w:t>
      </w:r>
      <w:r>
        <w:rPr>
          <w:color w:val="000000"/>
          <w:sz w:val="23"/>
          <w:szCs w:val="23"/>
        </w:rPr>
        <w:t xml:space="preserve"> had requested a Rule under section 295(1) in relation to the national gas objective as if the amended objective were in force;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AEMC had done a thing under Chapter 9, other than sections 313 to 315, in </w:t>
      </w:r>
      <w:r>
        <w:t>relation</w:t>
      </w:r>
      <w:r>
        <w:rPr>
          <w:color w:val="000000"/>
          <w:sz w:val="23"/>
          <w:szCs w:val="23"/>
        </w:rPr>
        <w:t xml:space="preserve"> to the request.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On the </w:t>
      </w:r>
      <w:r>
        <w:t>coming into operation of the adopting clause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r>
      <w:r>
        <w:t>the</w:t>
      </w:r>
      <w:r>
        <w:rPr>
          <w:color w:val="000000"/>
          <w:sz w:val="23"/>
          <w:szCs w:val="23"/>
        </w:rPr>
        <w:t xml:space="preserve"> thing is taken to have been validly done under Chapter 9; and</w:t>
      </w:r>
    </w:p>
    <w:p>
      <w:pPr>
        <w:keepLines/>
        <w:tabs>
          <w:tab w:val="center" w:pos="1985"/>
          <w:tab w:val="left" w:pos="2382"/>
        </w:tabs>
        <w:autoSpaceDE w:val="0"/>
        <w:autoSpaceDN w:val="0"/>
        <w:adjustRightInd w:val="0"/>
        <w:spacing w:before="120"/>
        <w:ind w:left="2382" w:hanging="794"/>
      </w:pPr>
      <w:r>
        <w:rPr>
          <w:color w:val="000000"/>
          <w:sz w:val="23"/>
          <w:szCs w:val="23"/>
        </w:rPr>
        <w:tab/>
        <w:t>(b)</w:t>
      </w:r>
      <w:r>
        <w:rPr>
          <w:color w:val="000000"/>
          <w:sz w:val="23"/>
          <w:szCs w:val="23"/>
        </w:rPr>
        <w:tab/>
        <w:t>the AEMC is taken to have satisfied a requirement under the Law to apply the national gas objective in relation to the thing.</w:t>
      </w:r>
    </w:p>
    <w:p>
      <w:pPr>
        <w:pStyle w:val="Footnotesection"/>
      </w:pPr>
      <w:r>
        <w:tab/>
        <w:t>[Section 138 inserted: see SA Act No. 26 of 2023 s. 18 and WA Gazette 24 Jan 2024 p. 91-2; WA Act Sch. 1 cl. 18(13).]</w:t>
      </w:r>
    </w:p>
    <w:p>
      <w:pPr>
        <w:pStyle w:val="Footnotesection"/>
      </w:pPr>
    </w:p>
    <w:p>
      <w:pPr>
        <w:sectPr>
          <w:headerReference w:type="even" r:id="rId40"/>
          <w:headerReference w:type="default" r:id="rId41"/>
          <w:endnotePr>
            <w:numFmt w:val="decimal"/>
          </w:endnotePr>
          <w:pgSz w:w="11907" w:h="16840" w:code="9"/>
          <w:pgMar w:top="2381" w:right="2410" w:bottom="3544" w:left="2410" w:header="720" w:footer="3544" w:gutter="0"/>
          <w:cols w:space="720"/>
          <w:docGrid w:linePitch="326"/>
        </w:sectPr>
      </w:pPr>
    </w:p>
    <w:p>
      <w:pPr>
        <w:pStyle w:val="nHeading2"/>
      </w:pPr>
      <w:bookmarkStart w:id="1195" w:name="_Toc156819674"/>
      <w:bookmarkStart w:id="1196" w:name="_Toc156991101"/>
      <w:bookmarkStart w:id="1197" w:name="_Toc158375321"/>
      <w:r>
        <w:lastRenderedPageBreak/>
        <w:t>Notes about the Western Australian National Gas Access Law text</w:t>
      </w:r>
      <w:bookmarkEnd w:id="1195"/>
      <w:bookmarkEnd w:id="1196"/>
      <w:bookmarkEnd w:id="1197"/>
    </w:p>
    <w:p>
      <w:pPr>
        <w:pStyle w:val="nHeading3"/>
        <w:rPr>
          <w:snapToGrid w:val="0"/>
        </w:rPr>
      </w:pPr>
      <w:bookmarkStart w:id="1198" w:name="_Toc158375322"/>
      <w:r>
        <w:rPr>
          <w:snapToGrid w:val="0"/>
        </w:rPr>
        <w:t>Compilation table</w:t>
      </w:r>
      <w:bookmarkEnd w:id="1198"/>
    </w:p>
    <w:p>
      <w:pPr>
        <w:pStyle w:val="nStatement"/>
      </w:pPr>
      <w:r>
        <w:t xml:space="preserve">The Western Australian National Gas Access Law text is the text that results from modifying the National Gas Law, as set out in the Schedule to the </w:t>
      </w:r>
      <w:r>
        <w:rPr>
          <w:i/>
          <w:iCs/>
        </w:rPr>
        <w:t>National Gas (South Australia) Act 2008</w:t>
      </w:r>
      <w:r>
        <w:t xml:space="preserve"> (South Australia) for the time being in force (the SA Schedule), as shown in the </w:t>
      </w:r>
      <w:r>
        <w:rPr>
          <w:i/>
          <w:iCs/>
          <w:szCs w:val="24"/>
        </w:rPr>
        <w:t>National Gas Access (WA) Act 2009</w:t>
      </w:r>
      <w:r>
        <w:t xml:space="preserve"> Schedule 1 (WA Schedule 1) and to reflect that, because of the </w:t>
      </w:r>
      <w:r>
        <w:rPr>
          <w:i/>
          <w:iCs/>
          <w:szCs w:val="24"/>
        </w:rPr>
        <w:t>National Gas Access (WA) Act 2009</w:t>
      </w:r>
      <w:r>
        <w:t xml:space="preserve"> s. 7A, amendments to the SA Schedule only affect the Western Australian National Gas Access Law text to the extent that they are declared under that section to be relevant to that text.</w:t>
      </w:r>
    </w:p>
    <w:p>
      <w:pPr>
        <w:pStyle w:val="nNote"/>
        <w:tabs>
          <w:tab w:val="left" w:pos="0"/>
        </w:tabs>
        <w:ind w:left="0" w:firstLine="0"/>
        <w:rPr>
          <w:b/>
          <w:bCs/>
        </w:rPr>
      </w:pPr>
    </w:p>
    <w:tbl>
      <w:tblPr>
        <w:tblW w:w="7080" w:type="dxa"/>
        <w:tblInd w:w="60" w:type="dxa"/>
        <w:tblLayout w:type="fixed"/>
        <w:tblCellMar>
          <w:left w:w="60" w:type="dxa"/>
          <w:right w:w="60" w:type="dxa"/>
        </w:tblCellMar>
        <w:tblLook w:val="0000" w:firstRow="0" w:lastRow="0" w:firstColumn="0" w:lastColumn="0" w:noHBand="0" w:noVBand="0"/>
      </w:tblPr>
      <w:tblGrid>
        <w:gridCol w:w="2410"/>
        <w:gridCol w:w="2030"/>
        <w:gridCol w:w="2640"/>
      </w:tblGrid>
      <w:tr>
        <w:trPr>
          <w:cantSplit/>
          <w:tblHeader/>
        </w:trPr>
        <w:tc>
          <w:tcPr>
            <w:tcW w:w="2410" w:type="dxa"/>
            <w:tcBorders>
              <w:top w:val="single" w:sz="4" w:space="0" w:color="auto"/>
              <w:bottom w:val="single" w:sz="4" w:space="0" w:color="auto"/>
            </w:tcBorders>
          </w:tcPr>
          <w:p>
            <w:pPr>
              <w:keepNext/>
              <w:autoSpaceDE w:val="0"/>
              <w:autoSpaceDN w:val="0"/>
              <w:adjustRightInd w:val="0"/>
              <w:spacing w:before="80"/>
              <w:rPr>
                <w:b/>
                <w:bCs/>
                <w:color w:val="000000"/>
                <w:sz w:val="20"/>
              </w:rPr>
            </w:pPr>
            <w:r>
              <w:rPr>
                <w:b/>
                <w:bCs/>
                <w:color w:val="000000"/>
                <w:sz w:val="20"/>
              </w:rPr>
              <w:t>Source</w:t>
            </w:r>
          </w:p>
        </w:tc>
        <w:tc>
          <w:tcPr>
            <w:tcW w:w="2030" w:type="dxa"/>
            <w:tcBorders>
              <w:top w:val="single" w:sz="4" w:space="0" w:color="auto"/>
              <w:bottom w:val="single" w:sz="4" w:space="0" w:color="auto"/>
            </w:tcBorders>
          </w:tcPr>
          <w:p>
            <w:pPr>
              <w:keepNext/>
              <w:autoSpaceDE w:val="0"/>
              <w:autoSpaceDN w:val="0"/>
              <w:adjustRightInd w:val="0"/>
              <w:spacing w:before="80"/>
              <w:rPr>
                <w:b/>
                <w:bCs/>
                <w:color w:val="000000"/>
                <w:sz w:val="20"/>
              </w:rPr>
            </w:pPr>
            <w:r>
              <w:rPr>
                <w:b/>
                <w:bCs/>
                <w:color w:val="000000"/>
                <w:sz w:val="20"/>
              </w:rPr>
              <w:t>Published</w:t>
            </w:r>
          </w:p>
        </w:tc>
        <w:tc>
          <w:tcPr>
            <w:tcW w:w="2640" w:type="dxa"/>
            <w:tcBorders>
              <w:top w:val="single" w:sz="4" w:space="0" w:color="auto"/>
              <w:bottom w:val="single" w:sz="4" w:space="0" w:color="auto"/>
            </w:tcBorders>
          </w:tcPr>
          <w:p>
            <w:pPr>
              <w:keepNext/>
              <w:autoSpaceDE w:val="0"/>
              <w:autoSpaceDN w:val="0"/>
              <w:adjustRightInd w:val="0"/>
              <w:spacing w:before="80"/>
              <w:rPr>
                <w:b/>
                <w:bCs/>
                <w:color w:val="000000"/>
                <w:sz w:val="20"/>
              </w:rPr>
            </w:pPr>
            <w:r>
              <w:rPr>
                <w:b/>
                <w:bCs/>
                <w:color w:val="000000"/>
                <w:sz w:val="20"/>
              </w:rPr>
              <w:t>Commencement</w:t>
            </w:r>
          </w:p>
        </w:tc>
      </w:tr>
      <w:tr>
        <w:trPr>
          <w:cantSplit/>
        </w:trPr>
        <w:tc>
          <w:tcPr>
            <w:tcW w:w="2410" w:type="dxa"/>
            <w:tcBorders>
              <w:top w:val="single" w:sz="4" w:space="0" w:color="auto"/>
            </w:tcBorders>
          </w:tcPr>
          <w:p>
            <w:pPr>
              <w:autoSpaceDE w:val="0"/>
              <w:autoSpaceDN w:val="0"/>
              <w:adjustRightInd w:val="0"/>
              <w:spacing w:before="80"/>
              <w:rPr>
                <w:color w:val="000000"/>
                <w:sz w:val="20"/>
                <w:vertAlign w:val="superscript"/>
              </w:rPr>
            </w:pPr>
            <w:r>
              <w:rPr>
                <w:i/>
                <w:iCs/>
                <w:color w:val="000000"/>
                <w:sz w:val="20"/>
              </w:rPr>
              <w:t xml:space="preserve">National Gas (South Australia) Act 2008 </w:t>
            </w:r>
            <w:r>
              <w:rPr>
                <w:color w:val="000000"/>
                <w:sz w:val="20"/>
              </w:rPr>
              <w:t xml:space="preserve">Schedule (as modified by the </w:t>
            </w:r>
            <w:r>
              <w:rPr>
                <w:i/>
                <w:iCs/>
                <w:color w:val="000000"/>
                <w:sz w:val="20"/>
              </w:rPr>
              <w:t>National Gas Access (WA) Act 2009</w:t>
            </w:r>
            <w:r>
              <w:rPr>
                <w:color w:val="000000"/>
                <w:sz w:val="20"/>
              </w:rPr>
              <w:t xml:space="preserve"> Sch. 1)</w:t>
            </w:r>
          </w:p>
        </w:tc>
        <w:tc>
          <w:tcPr>
            <w:tcW w:w="2030" w:type="dxa"/>
            <w:tcBorders>
              <w:top w:val="single" w:sz="4" w:space="0" w:color="auto"/>
            </w:tcBorders>
          </w:tcPr>
          <w:p>
            <w:pPr>
              <w:autoSpaceDE w:val="0"/>
              <w:autoSpaceDN w:val="0"/>
              <w:adjustRightInd w:val="0"/>
              <w:spacing w:before="80"/>
              <w:rPr>
                <w:color w:val="000000"/>
                <w:sz w:val="20"/>
              </w:rPr>
            </w:pPr>
            <w:r>
              <w:rPr>
                <w:color w:val="000000"/>
                <w:sz w:val="20"/>
              </w:rPr>
              <w:t>SA Act No. 19 of 2008</w:t>
            </w:r>
          </w:p>
        </w:tc>
        <w:tc>
          <w:tcPr>
            <w:tcW w:w="2640" w:type="dxa"/>
            <w:tcBorders>
              <w:top w:val="single" w:sz="4" w:space="0" w:color="auto"/>
            </w:tcBorders>
          </w:tcPr>
          <w:p>
            <w:pPr>
              <w:autoSpaceDE w:val="0"/>
              <w:autoSpaceDN w:val="0"/>
              <w:adjustRightInd w:val="0"/>
              <w:spacing w:before="80"/>
              <w:rPr>
                <w:color w:val="000000"/>
                <w:sz w:val="20"/>
              </w:rPr>
            </w:pPr>
            <w:r>
              <w:rPr>
                <w:color w:val="000000"/>
                <w:sz w:val="20"/>
              </w:rPr>
              <w:t xml:space="preserve">In SA: 1 Jul 2008 (see </w:t>
            </w:r>
            <w:r>
              <w:rPr>
                <w:i/>
                <w:iCs/>
                <w:color w:val="000000"/>
                <w:sz w:val="20"/>
              </w:rPr>
              <w:t>SA Gazette</w:t>
            </w:r>
            <w:r>
              <w:rPr>
                <w:color w:val="000000"/>
                <w:sz w:val="20"/>
              </w:rPr>
              <w:t xml:space="preserve"> 26 Jun 2008 p. 2553)</w:t>
            </w:r>
          </w:p>
          <w:p>
            <w:pPr>
              <w:autoSpaceDE w:val="0"/>
              <w:autoSpaceDN w:val="0"/>
              <w:adjustRightInd w:val="0"/>
              <w:spacing w:before="80"/>
              <w:rPr>
                <w:color w:val="000000"/>
                <w:sz w:val="20"/>
              </w:rPr>
            </w:pPr>
            <w:r>
              <w:rPr>
                <w:color w:val="000000"/>
                <w:sz w:val="20"/>
              </w:rPr>
              <w:t xml:space="preserve">In WA: 1 Jan 2010 (see WA Act s. 2(b) and </w:t>
            </w:r>
            <w:r>
              <w:rPr>
                <w:i/>
                <w:iCs/>
                <w:color w:val="000000"/>
                <w:sz w:val="20"/>
              </w:rPr>
              <w:t>Gazette</w:t>
            </w:r>
            <w:r>
              <w:rPr>
                <w:color w:val="000000"/>
                <w:sz w:val="20"/>
              </w:rPr>
              <w:t xml:space="preserve"> 31 Dec 2009 p. 5327)</w:t>
            </w:r>
          </w:p>
        </w:tc>
      </w:tr>
      <w:tr>
        <w:trPr>
          <w:cantSplit/>
        </w:trPr>
        <w:tc>
          <w:tcPr>
            <w:tcW w:w="2410" w:type="dxa"/>
          </w:tcPr>
          <w:p>
            <w:pPr>
              <w:autoSpaceDE w:val="0"/>
              <w:autoSpaceDN w:val="0"/>
              <w:adjustRightInd w:val="0"/>
              <w:spacing w:before="80"/>
              <w:rPr>
                <w:color w:val="000000"/>
                <w:sz w:val="20"/>
                <w:vertAlign w:val="superscript"/>
              </w:rPr>
            </w:pPr>
            <w:r>
              <w:rPr>
                <w:i/>
                <w:iCs/>
                <w:color w:val="000000"/>
                <w:sz w:val="20"/>
              </w:rPr>
              <w:t>National Gas (South Australia) (National Gas Law—Australian Energy Market Operator) Amendment Act 2009</w:t>
            </w:r>
            <w:r>
              <w:rPr>
                <w:color w:val="000000"/>
                <w:sz w:val="20"/>
              </w:rPr>
              <w:t xml:space="preserve"> s. 6</w:t>
            </w:r>
            <w:r>
              <w:rPr>
                <w:i/>
                <w:iCs/>
                <w:color w:val="000000"/>
                <w:sz w:val="20"/>
              </w:rPr>
              <w:t xml:space="preserve"> </w:t>
            </w:r>
          </w:p>
        </w:tc>
        <w:tc>
          <w:tcPr>
            <w:tcW w:w="2030" w:type="dxa"/>
          </w:tcPr>
          <w:p>
            <w:pPr>
              <w:autoSpaceDE w:val="0"/>
              <w:autoSpaceDN w:val="0"/>
              <w:adjustRightInd w:val="0"/>
              <w:spacing w:before="80"/>
              <w:rPr>
                <w:i/>
                <w:iCs/>
                <w:color w:val="000000"/>
                <w:sz w:val="20"/>
              </w:rPr>
            </w:pPr>
            <w:r>
              <w:rPr>
                <w:color w:val="000000"/>
                <w:sz w:val="20"/>
              </w:rPr>
              <w:t xml:space="preserve">SA Act No. 30 of 2009 </w:t>
            </w:r>
          </w:p>
        </w:tc>
        <w:tc>
          <w:tcPr>
            <w:tcW w:w="2640" w:type="dxa"/>
          </w:tcPr>
          <w:p>
            <w:pPr>
              <w:autoSpaceDE w:val="0"/>
              <w:autoSpaceDN w:val="0"/>
              <w:adjustRightInd w:val="0"/>
              <w:spacing w:before="80"/>
              <w:rPr>
                <w:color w:val="000000"/>
                <w:sz w:val="20"/>
              </w:rPr>
            </w:pPr>
            <w:r>
              <w:rPr>
                <w:color w:val="000000"/>
                <w:sz w:val="20"/>
              </w:rPr>
              <w:t xml:space="preserve">In SA: 1 Jul 2009 (see </w:t>
            </w:r>
            <w:r>
              <w:rPr>
                <w:i/>
                <w:iCs/>
                <w:color w:val="000000"/>
                <w:sz w:val="20"/>
              </w:rPr>
              <w:t>SA Gazette</w:t>
            </w:r>
            <w:r>
              <w:rPr>
                <w:color w:val="000000"/>
                <w:sz w:val="20"/>
              </w:rPr>
              <w:t xml:space="preserve"> 25 Jun 2008 p. 3000)</w:t>
            </w:r>
          </w:p>
          <w:p>
            <w:pPr>
              <w:autoSpaceDE w:val="0"/>
              <w:autoSpaceDN w:val="0"/>
              <w:adjustRightInd w:val="0"/>
              <w:spacing w:before="80"/>
              <w:rPr>
                <w:color w:val="000000"/>
                <w:sz w:val="20"/>
              </w:rPr>
            </w:pPr>
            <w:r>
              <w:rPr>
                <w:color w:val="000000"/>
                <w:sz w:val="20"/>
              </w:rPr>
              <w:t xml:space="preserve">In WA: 1 Jan 2010 (see </w:t>
            </w:r>
            <w:r>
              <w:rPr>
                <w:i/>
                <w:color w:val="000000"/>
                <w:sz w:val="20"/>
              </w:rPr>
              <w:t>WA Gazette</w:t>
            </w:r>
            <w:r>
              <w:rPr>
                <w:color w:val="000000"/>
                <w:sz w:val="20"/>
              </w:rPr>
              <w:t xml:space="preserve"> 18 Dec 2009 p. 5167</w:t>
            </w:r>
            <w:r>
              <w:rPr>
                <w:color w:val="000000"/>
                <w:sz w:val="20"/>
              </w:rPr>
              <w:noBreakHyphen/>
              <w:t>8)</w:t>
            </w:r>
          </w:p>
        </w:tc>
      </w:tr>
      <w:tr>
        <w:trPr>
          <w:cantSplit/>
        </w:trPr>
        <w:tc>
          <w:tcPr>
            <w:tcW w:w="2410" w:type="dxa"/>
          </w:tcPr>
          <w:p>
            <w:pPr>
              <w:autoSpaceDE w:val="0"/>
              <w:autoSpaceDN w:val="0"/>
              <w:adjustRightInd w:val="0"/>
              <w:spacing w:before="80"/>
              <w:rPr>
                <w:iCs/>
                <w:color w:val="000000"/>
                <w:sz w:val="20"/>
              </w:rPr>
            </w:pPr>
            <w:r>
              <w:rPr>
                <w:i/>
                <w:iCs/>
                <w:color w:val="000000"/>
                <w:sz w:val="20"/>
              </w:rPr>
              <w:t>Statutes Amendment (National Electricity and Gas Laws — Limited Merits Review) Act 2013</w:t>
            </w:r>
            <w:r>
              <w:rPr>
                <w:iCs/>
                <w:color w:val="000000"/>
                <w:sz w:val="20"/>
              </w:rPr>
              <w:t xml:space="preserve"> Pt. 3</w:t>
            </w:r>
          </w:p>
        </w:tc>
        <w:tc>
          <w:tcPr>
            <w:tcW w:w="2030" w:type="dxa"/>
          </w:tcPr>
          <w:p>
            <w:pPr>
              <w:autoSpaceDE w:val="0"/>
              <w:autoSpaceDN w:val="0"/>
              <w:adjustRightInd w:val="0"/>
              <w:spacing w:before="80"/>
              <w:rPr>
                <w:color w:val="000000"/>
                <w:sz w:val="20"/>
              </w:rPr>
            </w:pPr>
            <w:r>
              <w:rPr>
                <w:color w:val="000000"/>
                <w:sz w:val="20"/>
              </w:rPr>
              <w:t>SA Act No. 79 of 2013</w:t>
            </w:r>
          </w:p>
        </w:tc>
        <w:tc>
          <w:tcPr>
            <w:tcW w:w="2640" w:type="dxa"/>
          </w:tcPr>
          <w:p>
            <w:pPr>
              <w:autoSpaceDE w:val="0"/>
              <w:autoSpaceDN w:val="0"/>
              <w:adjustRightInd w:val="0"/>
              <w:spacing w:before="80"/>
              <w:rPr>
                <w:color w:val="000000"/>
                <w:sz w:val="20"/>
              </w:rPr>
            </w:pPr>
            <w:r>
              <w:rPr>
                <w:color w:val="000000"/>
                <w:sz w:val="20"/>
              </w:rPr>
              <w:t xml:space="preserve">In SA: 19 Dec 2013 (see </w:t>
            </w:r>
            <w:r>
              <w:rPr>
                <w:i/>
                <w:color w:val="000000"/>
                <w:sz w:val="20"/>
              </w:rPr>
              <w:t>SA Gazette</w:t>
            </w:r>
            <w:r>
              <w:rPr>
                <w:color w:val="000000"/>
                <w:sz w:val="20"/>
              </w:rPr>
              <w:t xml:space="preserve"> 19 Dec 2013 p. 4927)</w:t>
            </w:r>
          </w:p>
          <w:p>
            <w:pPr>
              <w:autoSpaceDE w:val="0"/>
              <w:autoSpaceDN w:val="0"/>
              <w:adjustRightInd w:val="0"/>
              <w:spacing w:before="80" w:line="260" w:lineRule="atLeast"/>
              <w:rPr>
                <w:color w:val="000000"/>
                <w:sz w:val="20"/>
              </w:rPr>
            </w:pPr>
            <w:r>
              <w:rPr>
                <w:color w:val="000000"/>
                <w:sz w:val="20"/>
              </w:rPr>
              <w:t xml:space="preserve">In WA: 15 Mar 2014 (see </w:t>
            </w:r>
            <w:r>
              <w:rPr>
                <w:i/>
                <w:color w:val="000000"/>
                <w:sz w:val="20"/>
              </w:rPr>
              <w:t>WA Gazette</w:t>
            </w:r>
            <w:r>
              <w:rPr>
                <w:color w:val="000000"/>
                <w:sz w:val="20"/>
              </w:rPr>
              <w:t xml:space="preserve"> 14 Mar 2014 p. 632)</w:t>
            </w:r>
          </w:p>
        </w:tc>
      </w:tr>
      <w:tr>
        <w:trPr>
          <w:cantSplit/>
        </w:trPr>
        <w:tc>
          <w:tcPr>
            <w:tcW w:w="2410" w:type="dxa"/>
          </w:tcPr>
          <w:p>
            <w:pPr>
              <w:autoSpaceDE w:val="0"/>
              <w:autoSpaceDN w:val="0"/>
              <w:adjustRightInd w:val="0"/>
              <w:spacing w:before="80"/>
              <w:rPr>
                <w:iCs/>
                <w:color w:val="000000"/>
                <w:sz w:val="20"/>
              </w:rPr>
            </w:pPr>
            <w:r>
              <w:rPr>
                <w:i/>
                <w:iCs/>
                <w:color w:val="000000"/>
                <w:sz w:val="20"/>
              </w:rPr>
              <w:t>National Gas (South Australia) (Pipelines Access—Arbitration) Amendment Act 2017</w:t>
            </w:r>
          </w:p>
        </w:tc>
        <w:tc>
          <w:tcPr>
            <w:tcW w:w="2030" w:type="dxa"/>
          </w:tcPr>
          <w:p>
            <w:pPr>
              <w:autoSpaceDE w:val="0"/>
              <w:autoSpaceDN w:val="0"/>
              <w:adjustRightInd w:val="0"/>
              <w:spacing w:before="80"/>
              <w:rPr>
                <w:color w:val="000000"/>
                <w:sz w:val="20"/>
              </w:rPr>
            </w:pPr>
            <w:r>
              <w:rPr>
                <w:color w:val="000000"/>
                <w:sz w:val="20"/>
              </w:rPr>
              <w:t>SA Act No. 23 of 2017</w:t>
            </w:r>
          </w:p>
        </w:tc>
        <w:tc>
          <w:tcPr>
            <w:tcW w:w="2640" w:type="dxa"/>
          </w:tcPr>
          <w:p>
            <w:pPr>
              <w:autoSpaceDE w:val="0"/>
              <w:autoSpaceDN w:val="0"/>
              <w:adjustRightInd w:val="0"/>
              <w:spacing w:before="80"/>
              <w:rPr>
                <w:i/>
                <w:color w:val="000000"/>
                <w:sz w:val="20"/>
              </w:rPr>
            </w:pPr>
            <w:r>
              <w:rPr>
                <w:color w:val="000000"/>
                <w:sz w:val="20"/>
              </w:rPr>
              <w:t xml:space="preserve">In SA: 1 Aug 2017 (see </w:t>
            </w:r>
            <w:r>
              <w:rPr>
                <w:i/>
                <w:color w:val="000000"/>
                <w:sz w:val="20"/>
              </w:rPr>
              <w:t>SA Gazette</w:t>
            </w:r>
            <w:r>
              <w:rPr>
                <w:color w:val="000000"/>
                <w:sz w:val="20"/>
              </w:rPr>
              <w:t xml:space="preserve"> 1 Aug 2017 p. 3037)</w:t>
            </w:r>
          </w:p>
          <w:p>
            <w:pPr>
              <w:autoSpaceDE w:val="0"/>
              <w:autoSpaceDN w:val="0"/>
              <w:adjustRightInd w:val="0"/>
              <w:spacing w:before="80"/>
              <w:rPr>
                <w:color w:val="000000"/>
                <w:sz w:val="20"/>
              </w:rPr>
            </w:pPr>
            <w:r>
              <w:rPr>
                <w:color w:val="000000"/>
                <w:sz w:val="20"/>
              </w:rPr>
              <w:t xml:space="preserve">In WA: 23 Dec 2017 (see </w:t>
            </w:r>
            <w:r>
              <w:rPr>
                <w:i/>
                <w:color w:val="000000"/>
                <w:sz w:val="20"/>
              </w:rPr>
              <w:t>WA Gazette</w:t>
            </w:r>
            <w:r>
              <w:rPr>
                <w:color w:val="000000"/>
                <w:sz w:val="20"/>
              </w:rPr>
              <w:t xml:space="preserve"> 22 Dec 2017 p. 5984)</w:t>
            </w:r>
          </w:p>
        </w:tc>
      </w:tr>
      <w:tr>
        <w:trPr>
          <w:cantSplit/>
        </w:trPr>
        <w:tc>
          <w:tcPr>
            <w:tcW w:w="2410" w:type="dxa"/>
          </w:tcPr>
          <w:p>
            <w:pPr>
              <w:autoSpaceDE w:val="0"/>
              <w:autoSpaceDN w:val="0"/>
              <w:adjustRightInd w:val="0"/>
              <w:spacing w:before="80"/>
              <w:rPr>
                <w:i/>
                <w:iCs/>
                <w:color w:val="000000"/>
                <w:sz w:val="20"/>
              </w:rPr>
            </w:pPr>
            <w:r>
              <w:rPr>
                <w:i/>
                <w:iCs/>
                <w:color w:val="000000"/>
                <w:sz w:val="20"/>
              </w:rPr>
              <w:lastRenderedPageBreak/>
              <w:t>Statutes Amendment (National Energy Laws) (Rules) Act 2018</w:t>
            </w:r>
          </w:p>
        </w:tc>
        <w:tc>
          <w:tcPr>
            <w:tcW w:w="2030" w:type="dxa"/>
          </w:tcPr>
          <w:p>
            <w:pPr>
              <w:autoSpaceDE w:val="0"/>
              <w:autoSpaceDN w:val="0"/>
              <w:adjustRightInd w:val="0"/>
              <w:spacing w:before="80"/>
              <w:rPr>
                <w:color w:val="000000"/>
                <w:sz w:val="20"/>
              </w:rPr>
            </w:pPr>
            <w:r>
              <w:rPr>
                <w:color w:val="000000"/>
                <w:sz w:val="20"/>
              </w:rPr>
              <w:t>SA Act No. 12 of 2018</w:t>
            </w:r>
          </w:p>
        </w:tc>
        <w:tc>
          <w:tcPr>
            <w:tcW w:w="2640" w:type="dxa"/>
          </w:tcPr>
          <w:p>
            <w:pPr>
              <w:autoSpaceDE w:val="0"/>
              <w:autoSpaceDN w:val="0"/>
              <w:adjustRightInd w:val="0"/>
              <w:spacing w:before="80"/>
              <w:rPr>
                <w:color w:val="000000"/>
                <w:sz w:val="20"/>
              </w:rPr>
            </w:pPr>
            <w:r>
              <w:rPr>
                <w:color w:val="000000"/>
                <w:sz w:val="20"/>
              </w:rPr>
              <w:t xml:space="preserve">In SA: 20 Sep 2018 (see </w:t>
            </w:r>
            <w:r>
              <w:rPr>
                <w:i/>
                <w:color w:val="000000"/>
                <w:sz w:val="20"/>
              </w:rPr>
              <w:t>SA Gazette</w:t>
            </w:r>
            <w:r>
              <w:rPr>
                <w:color w:val="000000"/>
                <w:sz w:val="20"/>
              </w:rPr>
              <w:t xml:space="preserve"> 20 Sep 2018 p. 3500)</w:t>
            </w:r>
          </w:p>
          <w:p>
            <w:pPr>
              <w:autoSpaceDE w:val="0"/>
              <w:autoSpaceDN w:val="0"/>
              <w:adjustRightInd w:val="0"/>
              <w:spacing w:before="80"/>
              <w:rPr>
                <w:color w:val="000000"/>
                <w:sz w:val="20"/>
              </w:rPr>
            </w:pPr>
            <w:r>
              <w:rPr>
                <w:color w:val="000000"/>
                <w:sz w:val="20"/>
              </w:rPr>
              <w:t>In WA: 10 Oct 2020 (see SL 2020/195 cl. 2(b))</w:t>
            </w:r>
          </w:p>
        </w:tc>
      </w:tr>
      <w:tr>
        <w:trPr>
          <w:cantSplit/>
        </w:trPr>
        <w:tc>
          <w:tcPr>
            <w:tcW w:w="2410" w:type="dxa"/>
          </w:tcPr>
          <w:p>
            <w:pPr>
              <w:keepLines/>
              <w:autoSpaceDE w:val="0"/>
              <w:autoSpaceDN w:val="0"/>
              <w:adjustRightInd w:val="0"/>
              <w:spacing w:before="80"/>
              <w:rPr>
                <w:i/>
                <w:iCs/>
                <w:color w:val="000000"/>
                <w:sz w:val="20"/>
              </w:rPr>
            </w:pPr>
            <w:r>
              <w:rPr>
                <w:i/>
                <w:iCs/>
                <w:color w:val="000000"/>
                <w:sz w:val="20"/>
              </w:rPr>
              <w:t>Statutes Amendment (National Energy Laws) (Binding Rate of Return Instrument) Act 2018</w:t>
            </w:r>
            <w:r>
              <w:rPr>
                <w:iCs/>
                <w:color w:val="000000"/>
                <w:sz w:val="20"/>
              </w:rPr>
              <w:t xml:space="preserve"> Pt. 3</w:t>
            </w:r>
          </w:p>
        </w:tc>
        <w:tc>
          <w:tcPr>
            <w:tcW w:w="2030" w:type="dxa"/>
          </w:tcPr>
          <w:p>
            <w:pPr>
              <w:keepLines/>
              <w:autoSpaceDE w:val="0"/>
              <w:autoSpaceDN w:val="0"/>
              <w:adjustRightInd w:val="0"/>
              <w:spacing w:before="80"/>
              <w:rPr>
                <w:color w:val="000000"/>
                <w:sz w:val="20"/>
              </w:rPr>
            </w:pPr>
            <w:r>
              <w:rPr>
                <w:color w:val="000000"/>
                <w:sz w:val="20"/>
              </w:rPr>
              <w:t>SA Act No. 33 of 2018</w:t>
            </w:r>
          </w:p>
        </w:tc>
        <w:tc>
          <w:tcPr>
            <w:tcW w:w="2640" w:type="dxa"/>
          </w:tcPr>
          <w:p>
            <w:pPr>
              <w:keepLines/>
              <w:autoSpaceDE w:val="0"/>
              <w:autoSpaceDN w:val="0"/>
              <w:adjustRightInd w:val="0"/>
              <w:spacing w:before="80"/>
              <w:rPr>
                <w:color w:val="000000"/>
                <w:sz w:val="20"/>
              </w:rPr>
            </w:pPr>
            <w:r>
              <w:rPr>
                <w:color w:val="000000"/>
                <w:sz w:val="20"/>
              </w:rPr>
              <w:t xml:space="preserve">In SA: 13 Dec 2018 (see </w:t>
            </w:r>
            <w:r>
              <w:rPr>
                <w:i/>
                <w:color w:val="000000"/>
                <w:sz w:val="20"/>
              </w:rPr>
              <w:t>SA Gazette</w:t>
            </w:r>
            <w:r>
              <w:rPr>
                <w:color w:val="000000"/>
                <w:sz w:val="20"/>
              </w:rPr>
              <w:t xml:space="preserve"> 13 Dec 2018 p. 4272)</w:t>
            </w:r>
          </w:p>
          <w:p>
            <w:pPr>
              <w:keepLines/>
              <w:autoSpaceDE w:val="0"/>
              <w:autoSpaceDN w:val="0"/>
              <w:adjustRightInd w:val="0"/>
              <w:spacing w:before="80"/>
              <w:rPr>
                <w:color w:val="000000"/>
                <w:sz w:val="20"/>
              </w:rPr>
            </w:pPr>
            <w:r>
              <w:rPr>
                <w:color w:val="000000"/>
                <w:sz w:val="20"/>
              </w:rPr>
              <w:t xml:space="preserve">In WA: 6 Apr 2019 (see </w:t>
            </w:r>
            <w:r>
              <w:rPr>
                <w:i/>
                <w:color w:val="000000"/>
                <w:sz w:val="20"/>
              </w:rPr>
              <w:t>WA Gazette</w:t>
            </w:r>
            <w:r>
              <w:rPr>
                <w:color w:val="000000"/>
                <w:sz w:val="20"/>
              </w:rPr>
              <w:t xml:space="preserve"> 5 Apr 2019 p. 1007)</w:t>
            </w:r>
          </w:p>
        </w:tc>
      </w:tr>
      <w:tr>
        <w:trPr>
          <w:cantSplit/>
        </w:trPr>
        <w:tc>
          <w:tcPr>
            <w:tcW w:w="2410" w:type="dxa"/>
            <w:tcBorders>
              <w:bottom w:val="single" w:sz="4" w:space="0" w:color="auto"/>
            </w:tcBorders>
          </w:tcPr>
          <w:p>
            <w:pPr>
              <w:keepLines/>
              <w:autoSpaceDE w:val="0"/>
              <w:autoSpaceDN w:val="0"/>
              <w:adjustRightInd w:val="0"/>
              <w:spacing w:before="80"/>
              <w:rPr>
                <w:i/>
                <w:iCs/>
                <w:color w:val="000000"/>
                <w:sz w:val="20"/>
              </w:rPr>
            </w:pPr>
            <w:r>
              <w:rPr>
                <w:i/>
                <w:iCs/>
                <w:color w:val="000000"/>
                <w:sz w:val="20"/>
              </w:rPr>
              <w:t>Statutes Amendment (National Energy Laws) (Emissions Reduction Objectives) Act 2023</w:t>
            </w:r>
          </w:p>
        </w:tc>
        <w:tc>
          <w:tcPr>
            <w:tcW w:w="2030" w:type="dxa"/>
            <w:tcBorders>
              <w:bottom w:val="single" w:sz="4" w:space="0" w:color="auto"/>
            </w:tcBorders>
          </w:tcPr>
          <w:p>
            <w:pPr>
              <w:keepLines/>
              <w:autoSpaceDE w:val="0"/>
              <w:autoSpaceDN w:val="0"/>
              <w:adjustRightInd w:val="0"/>
              <w:spacing w:before="80"/>
              <w:rPr>
                <w:color w:val="000000"/>
                <w:sz w:val="20"/>
              </w:rPr>
            </w:pPr>
            <w:r>
              <w:rPr>
                <w:color w:val="000000"/>
                <w:sz w:val="20"/>
              </w:rPr>
              <w:t>SA Act No. 26 of 2023</w:t>
            </w:r>
          </w:p>
        </w:tc>
        <w:tc>
          <w:tcPr>
            <w:tcW w:w="2640" w:type="dxa"/>
            <w:tcBorders>
              <w:bottom w:val="single" w:sz="4" w:space="0" w:color="auto"/>
            </w:tcBorders>
          </w:tcPr>
          <w:p>
            <w:pPr>
              <w:keepLines/>
              <w:autoSpaceDE w:val="0"/>
              <w:autoSpaceDN w:val="0"/>
              <w:adjustRightInd w:val="0"/>
              <w:spacing w:before="80"/>
              <w:rPr>
                <w:color w:val="000000"/>
                <w:sz w:val="20"/>
              </w:rPr>
            </w:pPr>
            <w:r>
              <w:rPr>
                <w:color w:val="000000"/>
                <w:sz w:val="20"/>
              </w:rPr>
              <w:t>In SA: 21 Sep 2023 (see s. 2)</w:t>
            </w:r>
          </w:p>
          <w:p>
            <w:pPr>
              <w:keepLines/>
              <w:autoSpaceDE w:val="0"/>
              <w:autoSpaceDN w:val="0"/>
              <w:adjustRightInd w:val="0"/>
              <w:spacing w:before="80"/>
              <w:rPr>
                <w:color w:val="000000"/>
                <w:sz w:val="20"/>
              </w:rPr>
            </w:pPr>
            <w:r>
              <w:rPr>
                <w:color w:val="000000"/>
                <w:sz w:val="20"/>
              </w:rPr>
              <w:t xml:space="preserve">In WA: 25 Jan 2024 (see </w:t>
            </w:r>
            <w:r>
              <w:rPr>
                <w:i/>
                <w:iCs/>
                <w:color w:val="000000"/>
                <w:sz w:val="20"/>
              </w:rPr>
              <w:t>WA Gazette</w:t>
            </w:r>
            <w:r>
              <w:rPr>
                <w:color w:val="000000"/>
                <w:sz w:val="20"/>
              </w:rPr>
              <w:t xml:space="preserve"> 24 Jan 2024 p. 91-2)</w:t>
            </w:r>
          </w:p>
        </w:tc>
      </w:tr>
    </w:tbl>
    <w:p/>
    <w:p>
      <w:pPr>
        <w:sectPr>
          <w:headerReference w:type="even" r:id="rId42"/>
          <w:headerReference w:type="default" r:id="rId43"/>
          <w:pgSz w:w="11907" w:h="16840" w:code="9"/>
          <w:pgMar w:top="2376" w:right="2405" w:bottom="3542" w:left="2405" w:header="706" w:footer="3544" w:gutter="0"/>
          <w:cols w:space="720"/>
          <w:noEndnote/>
          <w:docGrid w:linePitch="326"/>
        </w:sectPr>
      </w:pPr>
    </w:p>
    <w:p>
      <w:pPr>
        <w:keepNext/>
        <w:jc w:val="center"/>
        <w:outlineLvl w:val="1"/>
        <w:rPr>
          <w:b/>
          <w:snapToGrid w:val="0"/>
          <w:sz w:val="28"/>
        </w:rPr>
      </w:pPr>
      <w:r>
        <w:rPr>
          <w:b/>
          <w:snapToGrid w:val="0"/>
          <w:sz w:val="28"/>
        </w:rPr>
        <w:lastRenderedPageBreak/>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w:t>
      </w:r>
    </w:p>
    <w:p>
      <w:pPr>
        <w:ind w:left="850" w:right="850"/>
        <w:jc w:val="center"/>
        <w:rPr>
          <w:i/>
          <w:sz w:val="18"/>
        </w:rPr>
      </w:pPr>
      <w:r>
        <w:rPr>
          <w:i/>
          <w:sz w:val="18"/>
        </w:rPr>
        <w:t>Unless otherwise indicated references are to provisions in the Note.</w:t>
      </w:r>
    </w:p>
    <w:p>
      <w:pPr>
        <w:ind w:left="850" w:right="850"/>
        <w:jc w:val="center"/>
        <w:rPr>
          <w:i/>
          <w:sz w:val="18"/>
        </w:rPr>
      </w:pPr>
      <w:r>
        <w:rPr>
          <w:i/>
          <w:sz w:val="18"/>
        </w:rPr>
        <w:t>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tabs>
          <w:tab w:val="right" w:leader="dot" w:pos="7070"/>
        </w:tabs>
        <w:ind w:left="578" w:right="578"/>
        <w:rPr>
          <w:sz w:val="20"/>
        </w:rPr>
      </w:pPr>
      <w:r>
        <w:rPr>
          <w:sz w:val="20"/>
        </w:rPr>
        <w:t>15</w:t>
      </w:r>
      <w:r>
        <w:rPr>
          <w:sz w:val="20"/>
        </w:rPr>
        <w:noBreakHyphen/>
        <w:t>year no</w:t>
      </w:r>
      <w:r>
        <w:rPr>
          <w:sz w:val="20"/>
        </w:rPr>
        <w:noBreakHyphen/>
        <w:t>coverage determination</w:t>
      </w:r>
      <w:r>
        <w:rPr>
          <w:sz w:val="20"/>
        </w:rPr>
        <w:tab/>
        <w:t>2, 151(1)</w:t>
      </w:r>
    </w:p>
    <w:p>
      <w:pPr>
        <w:tabs>
          <w:tab w:val="right" w:leader="dot" w:pos="7070"/>
        </w:tabs>
        <w:ind w:left="578" w:right="578"/>
        <w:rPr>
          <w:sz w:val="20"/>
        </w:rPr>
      </w:pPr>
      <w:r>
        <w:rPr>
          <w:sz w:val="20"/>
        </w:rPr>
        <w:t>2013 non-binding guideline</w:t>
      </w:r>
      <w:r>
        <w:rPr>
          <w:sz w:val="20"/>
        </w:rPr>
        <w:tab/>
        <w:t>Sch. 3 cl. 95</w:t>
      </w:r>
    </w:p>
    <w:p>
      <w:pPr>
        <w:tabs>
          <w:tab w:val="right" w:leader="dot" w:pos="7070"/>
        </w:tabs>
        <w:ind w:left="578" w:right="578"/>
        <w:rPr>
          <w:sz w:val="20"/>
        </w:rPr>
      </w:pPr>
      <w:r>
        <w:rPr>
          <w:sz w:val="20"/>
        </w:rPr>
        <w:t>ACCC</w:t>
      </w:r>
      <w:r>
        <w:rPr>
          <w:sz w:val="20"/>
        </w:rPr>
        <w:tab/>
        <w:t>2</w:t>
      </w:r>
    </w:p>
    <w:p>
      <w:pPr>
        <w:tabs>
          <w:tab w:val="right" w:leader="dot" w:pos="7070"/>
        </w:tabs>
        <w:ind w:left="578" w:right="578"/>
        <w:rPr>
          <w:sz w:val="20"/>
        </w:rPr>
      </w:pPr>
      <w:r>
        <w:rPr>
          <w:sz w:val="20"/>
        </w:rPr>
        <w:t>access arrangement</w:t>
      </w:r>
      <w:r>
        <w:rPr>
          <w:sz w:val="20"/>
        </w:rPr>
        <w:tab/>
        <w:t>2</w:t>
      </w:r>
    </w:p>
    <w:p>
      <w:pPr>
        <w:tabs>
          <w:tab w:val="right" w:leader="dot" w:pos="7070"/>
        </w:tabs>
        <w:ind w:left="578" w:right="578"/>
        <w:rPr>
          <w:sz w:val="20"/>
        </w:rPr>
      </w:pPr>
      <w:r>
        <w:rPr>
          <w:sz w:val="20"/>
        </w:rPr>
        <w:t>access arrangement revision proposal</w:t>
      </w:r>
      <w:r>
        <w:rPr>
          <w:sz w:val="20"/>
        </w:rPr>
        <w:tab/>
        <w:t>Sch. 3 cl. 30</w:t>
      </w:r>
    </w:p>
    <w:p>
      <w:pPr>
        <w:tabs>
          <w:tab w:val="right" w:leader="dot" w:pos="7070"/>
        </w:tabs>
        <w:ind w:left="578" w:right="578"/>
        <w:rPr>
          <w:sz w:val="20"/>
        </w:rPr>
      </w:pPr>
      <w:r>
        <w:rPr>
          <w:sz w:val="20"/>
        </w:rPr>
        <w:t>access determination</w:t>
      </w:r>
      <w:r>
        <w:rPr>
          <w:sz w:val="20"/>
        </w:rPr>
        <w:tab/>
        <w:t>2, 216A</w:t>
      </w:r>
    </w:p>
    <w:p>
      <w:pPr>
        <w:tabs>
          <w:tab w:val="right" w:leader="dot" w:pos="7070"/>
        </w:tabs>
        <w:ind w:left="578" w:right="578"/>
        <w:rPr>
          <w:sz w:val="20"/>
        </w:rPr>
      </w:pPr>
      <w:r>
        <w:rPr>
          <w:sz w:val="20"/>
        </w:rPr>
        <w:t>access dispute</w:t>
      </w:r>
      <w:r>
        <w:rPr>
          <w:sz w:val="20"/>
        </w:rPr>
        <w:tab/>
        <w:t>178, 216A</w:t>
      </w:r>
    </w:p>
    <w:p>
      <w:pPr>
        <w:tabs>
          <w:tab w:val="right" w:leader="dot" w:pos="7070"/>
        </w:tabs>
        <w:ind w:left="578" w:right="578"/>
        <w:rPr>
          <w:sz w:val="20"/>
        </w:rPr>
      </w:pPr>
      <w:r>
        <w:rPr>
          <w:sz w:val="20"/>
        </w:rPr>
        <w:t xml:space="preserve">access dispute pipeline </w:t>
      </w:r>
      <w:r>
        <w:rPr>
          <w:sz w:val="20"/>
        </w:rPr>
        <w:tab/>
        <w:t>178</w:t>
      </w:r>
    </w:p>
    <w:p>
      <w:pPr>
        <w:tabs>
          <w:tab w:val="right" w:leader="dot" w:pos="7070"/>
        </w:tabs>
        <w:ind w:left="578" w:right="578"/>
        <w:rPr>
          <w:sz w:val="20"/>
        </w:rPr>
      </w:pPr>
      <w:r>
        <w:rPr>
          <w:sz w:val="20"/>
        </w:rPr>
        <w:t>Act</w:t>
      </w:r>
      <w:r>
        <w:rPr>
          <w:sz w:val="20"/>
        </w:rPr>
        <w:tab/>
        <w:t>Sch. 2 cl. 10</w:t>
      </w:r>
    </w:p>
    <w:p>
      <w:pPr>
        <w:tabs>
          <w:tab w:val="right" w:leader="dot" w:pos="7070"/>
        </w:tabs>
        <w:ind w:left="578" w:right="578"/>
        <w:rPr>
          <w:sz w:val="20"/>
        </w:rPr>
      </w:pPr>
      <w:r>
        <w:rPr>
          <w:sz w:val="20"/>
        </w:rPr>
        <w:t>acting SES employee</w:t>
      </w:r>
      <w:r>
        <w:rPr>
          <w:sz w:val="20"/>
        </w:rPr>
        <w:tab/>
        <w:t>Sch. 2 cl. 33</w:t>
      </w:r>
    </w:p>
    <w:p>
      <w:pPr>
        <w:tabs>
          <w:tab w:val="right" w:leader="dot" w:pos="7070"/>
        </w:tabs>
        <w:ind w:left="578" w:right="578"/>
        <w:rPr>
          <w:sz w:val="20"/>
        </w:rPr>
      </w:pPr>
      <w:r>
        <w:rPr>
          <w:sz w:val="20"/>
        </w:rPr>
        <w:t>active request</w:t>
      </w:r>
      <w:r>
        <w:rPr>
          <w:sz w:val="20"/>
        </w:rPr>
        <w:tab/>
        <w:t>301(1)</w:t>
      </w:r>
    </w:p>
    <w:p>
      <w:pPr>
        <w:tabs>
          <w:tab w:val="right" w:leader="dot" w:pos="7070"/>
        </w:tabs>
        <w:ind w:left="578" w:right="578"/>
        <w:rPr>
          <w:sz w:val="20"/>
        </w:rPr>
      </w:pPr>
      <w:r>
        <w:rPr>
          <w:sz w:val="20"/>
        </w:rPr>
        <w:t>additional instrument making power</w:t>
      </w:r>
      <w:r>
        <w:rPr>
          <w:sz w:val="20"/>
        </w:rPr>
        <w:tab/>
        <w:t>Sch. 2 cl. 27</w:t>
      </w:r>
    </w:p>
    <w:p>
      <w:pPr>
        <w:tabs>
          <w:tab w:val="right" w:leader="dot" w:pos="7070"/>
        </w:tabs>
        <w:ind w:left="578" w:right="578"/>
        <w:rPr>
          <w:sz w:val="20"/>
        </w:rPr>
      </w:pPr>
      <w:r>
        <w:rPr>
          <w:sz w:val="20"/>
        </w:rPr>
        <w:t>additional ring fencing requirement</w:t>
      </w:r>
      <w:r>
        <w:rPr>
          <w:sz w:val="20"/>
        </w:rPr>
        <w:tab/>
        <w:t>137, 143(1)</w:t>
      </w:r>
    </w:p>
    <w:p>
      <w:pPr>
        <w:tabs>
          <w:tab w:val="right" w:leader="dot" w:pos="7070"/>
        </w:tabs>
        <w:ind w:left="578" w:right="578"/>
        <w:rPr>
          <w:sz w:val="20"/>
        </w:rPr>
      </w:pPr>
      <w:r>
        <w:rPr>
          <w:sz w:val="20"/>
        </w:rPr>
        <w:t>adjacent area in respect of the State</w:t>
      </w:r>
      <w:r>
        <w:rPr>
          <w:sz w:val="20"/>
        </w:rPr>
        <w:tab/>
        <w:t>Act 5(2)</w:t>
      </w:r>
    </w:p>
    <w:p>
      <w:pPr>
        <w:tabs>
          <w:tab w:val="right" w:leader="dot" w:pos="7070"/>
        </w:tabs>
        <w:ind w:left="578" w:right="578"/>
        <w:rPr>
          <w:sz w:val="20"/>
        </w:rPr>
      </w:pPr>
      <w:r>
        <w:rPr>
          <w:sz w:val="20"/>
        </w:rPr>
        <w:t>adjacent area of another participating jurisdiction</w:t>
      </w:r>
      <w:r>
        <w:rPr>
          <w:sz w:val="20"/>
        </w:rPr>
        <w:tab/>
        <w:t>Act 9(1)</w:t>
      </w:r>
    </w:p>
    <w:p>
      <w:pPr>
        <w:tabs>
          <w:tab w:val="right" w:leader="dot" w:pos="7070"/>
        </w:tabs>
        <w:ind w:left="578" w:right="578"/>
        <w:rPr>
          <w:sz w:val="20"/>
        </w:rPr>
      </w:pPr>
      <w:r>
        <w:rPr>
          <w:sz w:val="20"/>
        </w:rPr>
        <w:t>adjacent area of this jurisdiction</w:t>
      </w:r>
      <w:r>
        <w:rPr>
          <w:sz w:val="20"/>
        </w:rPr>
        <w:tab/>
        <w:t>Act 9(1)</w:t>
      </w:r>
    </w:p>
    <w:p>
      <w:pPr>
        <w:tabs>
          <w:tab w:val="right" w:leader="dot" w:pos="7070"/>
        </w:tabs>
        <w:ind w:left="578" w:right="578"/>
        <w:rPr>
          <w:sz w:val="20"/>
        </w:rPr>
      </w:pPr>
      <w:r>
        <w:rPr>
          <w:sz w:val="20"/>
        </w:rPr>
        <w:t>AEMC</w:t>
      </w:r>
      <w:r>
        <w:rPr>
          <w:sz w:val="20"/>
        </w:rPr>
        <w:tab/>
        <w:t>2</w:t>
      </w:r>
    </w:p>
    <w:p>
      <w:pPr>
        <w:tabs>
          <w:tab w:val="right" w:leader="dot" w:pos="7070"/>
        </w:tabs>
        <w:ind w:left="578" w:right="578"/>
        <w:rPr>
          <w:sz w:val="20"/>
        </w:rPr>
      </w:pPr>
      <w:r>
        <w:rPr>
          <w:sz w:val="20"/>
        </w:rPr>
        <w:t>AEMC chief executive</w:t>
      </w:r>
      <w:r>
        <w:rPr>
          <w:sz w:val="20"/>
        </w:rPr>
        <w:tab/>
        <w:t>Sch. 2 cl. 33</w:t>
      </w:r>
    </w:p>
    <w:p>
      <w:pPr>
        <w:tabs>
          <w:tab w:val="right" w:leader="dot" w:pos="7070"/>
        </w:tabs>
        <w:ind w:left="578" w:right="578"/>
        <w:rPr>
          <w:sz w:val="20"/>
        </w:rPr>
      </w:pPr>
      <w:r>
        <w:rPr>
          <w:sz w:val="20"/>
        </w:rPr>
        <w:t>AEMC Commissioner</w:t>
      </w:r>
      <w:r>
        <w:rPr>
          <w:sz w:val="20"/>
        </w:rPr>
        <w:tab/>
        <w:t>Sch. 2 cl. 33</w:t>
      </w:r>
    </w:p>
    <w:p>
      <w:pPr>
        <w:tabs>
          <w:tab w:val="right" w:leader="dot" w:pos="7070"/>
        </w:tabs>
        <w:ind w:left="578" w:right="578"/>
        <w:rPr>
          <w:sz w:val="20"/>
        </w:rPr>
      </w:pPr>
      <w:r>
        <w:rPr>
          <w:sz w:val="20"/>
        </w:rPr>
        <w:t>AEMC initiated Rule</w:t>
      </w:r>
      <w:r>
        <w:rPr>
          <w:sz w:val="20"/>
        </w:rPr>
        <w:tab/>
        <w:t>290</w:t>
      </w:r>
    </w:p>
    <w:p>
      <w:pPr>
        <w:tabs>
          <w:tab w:val="right" w:leader="dot" w:pos="7070"/>
        </w:tabs>
        <w:ind w:left="578" w:right="578"/>
        <w:rPr>
          <w:sz w:val="20"/>
        </w:rPr>
      </w:pPr>
      <w:r>
        <w:rPr>
          <w:sz w:val="20"/>
        </w:rPr>
        <w:t>AEMC official</w:t>
      </w:r>
      <w:r>
        <w:rPr>
          <w:sz w:val="20"/>
        </w:rPr>
        <w:tab/>
        <w:t>86(3)</w:t>
      </w:r>
    </w:p>
    <w:p>
      <w:pPr>
        <w:tabs>
          <w:tab w:val="right" w:leader="dot" w:pos="7070"/>
        </w:tabs>
        <w:ind w:left="578" w:right="578"/>
        <w:rPr>
          <w:sz w:val="20"/>
        </w:rPr>
      </w:pPr>
      <w:r>
        <w:rPr>
          <w:sz w:val="20"/>
        </w:rPr>
        <w:t>AEMC Rule review</w:t>
      </w:r>
      <w:r>
        <w:rPr>
          <w:sz w:val="20"/>
        </w:rPr>
        <w:tab/>
        <w:t>290</w:t>
      </w:r>
    </w:p>
    <w:p>
      <w:pPr>
        <w:tabs>
          <w:tab w:val="right" w:leader="dot" w:pos="7070"/>
        </w:tabs>
        <w:ind w:left="578" w:right="578"/>
        <w:rPr>
          <w:sz w:val="20"/>
        </w:rPr>
      </w:pPr>
      <w:r>
        <w:rPr>
          <w:sz w:val="20"/>
        </w:rPr>
        <w:t>AER</w:t>
      </w:r>
      <w:r>
        <w:rPr>
          <w:sz w:val="20"/>
        </w:rPr>
        <w:tab/>
        <w:t>2</w:t>
      </w:r>
    </w:p>
    <w:p>
      <w:pPr>
        <w:tabs>
          <w:tab w:val="right" w:leader="dot" w:pos="7070"/>
        </w:tabs>
        <w:ind w:left="578" w:right="578"/>
        <w:rPr>
          <w:sz w:val="20"/>
        </w:rPr>
      </w:pPr>
      <w:r>
        <w:rPr>
          <w:sz w:val="20"/>
        </w:rPr>
        <w:t>AER breach investigation</w:t>
      </w:r>
      <w:r>
        <w:rPr>
          <w:sz w:val="20"/>
        </w:rPr>
        <w:tab/>
        <w:t>Sch. 3 cl. 45</w:t>
      </w:r>
    </w:p>
    <w:p>
      <w:pPr>
        <w:tabs>
          <w:tab w:val="right" w:leader="dot" w:pos="7070"/>
        </w:tabs>
        <w:ind w:left="578" w:right="578"/>
        <w:rPr>
          <w:sz w:val="20"/>
        </w:rPr>
      </w:pPr>
      <w:r>
        <w:rPr>
          <w:sz w:val="20"/>
        </w:rPr>
        <w:t>AER economic regulatory decision</w:t>
      </w:r>
      <w:r>
        <w:rPr>
          <w:sz w:val="20"/>
        </w:rPr>
        <w:tab/>
        <w:t>2</w:t>
      </w:r>
    </w:p>
    <w:p>
      <w:pPr>
        <w:tabs>
          <w:tab w:val="right" w:leader="dot" w:pos="7070"/>
        </w:tabs>
        <w:ind w:left="578" w:right="578"/>
        <w:rPr>
          <w:sz w:val="20"/>
        </w:rPr>
      </w:pPr>
      <w:r>
        <w:rPr>
          <w:sz w:val="20"/>
        </w:rPr>
        <w:t>AER economic regulatory function or power</w:t>
      </w:r>
      <w:r>
        <w:rPr>
          <w:sz w:val="20"/>
        </w:rPr>
        <w:tab/>
        <w:t>2</w:t>
      </w:r>
    </w:p>
    <w:p>
      <w:pPr>
        <w:tabs>
          <w:tab w:val="right" w:leader="dot" w:pos="7070"/>
        </w:tabs>
        <w:ind w:left="578" w:right="578"/>
        <w:rPr>
          <w:sz w:val="20"/>
        </w:rPr>
      </w:pPr>
      <w:r>
        <w:rPr>
          <w:sz w:val="20"/>
        </w:rPr>
        <w:t>AER information disclosure decision</w:t>
      </w:r>
      <w:r>
        <w:rPr>
          <w:sz w:val="20"/>
        </w:rPr>
        <w:tab/>
        <w:t>244</w:t>
      </w:r>
    </w:p>
    <w:p>
      <w:pPr>
        <w:tabs>
          <w:tab w:val="right" w:leader="dot" w:pos="7070"/>
        </w:tabs>
        <w:ind w:left="578" w:right="578"/>
        <w:rPr>
          <w:sz w:val="20"/>
        </w:rPr>
      </w:pPr>
      <w:r>
        <w:rPr>
          <w:sz w:val="20"/>
        </w:rPr>
        <w:t>AER member</w:t>
      </w:r>
      <w:r>
        <w:rPr>
          <w:sz w:val="20"/>
        </w:rPr>
        <w:tab/>
        <w:t>Sch. 2 cl. 33</w:t>
      </w:r>
    </w:p>
    <w:p>
      <w:pPr>
        <w:tabs>
          <w:tab w:val="right" w:leader="dot" w:pos="7070"/>
        </w:tabs>
        <w:ind w:left="578" w:right="578"/>
        <w:rPr>
          <w:sz w:val="20"/>
        </w:rPr>
      </w:pPr>
      <w:r>
        <w:rPr>
          <w:sz w:val="20"/>
        </w:rPr>
        <w:t>AER ring fencing determination</w:t>
      </w:r>
      <w:r>
        <w:rPr>
          <w:sz w:val="20"/>
        </w:rPr>
        <w:tab/>
        <w:t>2</w:t>
      </w:r>
    </w:p>
    <w:p>
      <w:pPr>
        <w:tabs>
          <w:tab w:val="right" w:leader="dot" w:pos="7070"/>
        </w:tabs>
        <w:ind w:left="578" w:right="578"/>
        <w:rPr>
          <w:sz w:val="20"/>
        </w:rPr>
      </w:pPr>
      <w:r>
        <w:rPr>
          <w:sz w:val="20"/>
        </w:rPr>
        <w:t>affected access arrangement decision</w:t>
      </w:r>
      <w:r>
        <w:rPr>
          <w:sz w:val="20"/>
        </w:rPr>
        <w:tab/>
        <w:t>Sch. 2 cl. 53A</w:t>
      </w:r>
    </w:p>
    <w:p>
      <w:pPr>
        <w:tabs>
          <w:tab w:val="right" w:leader="dot" w:pos="7070"/>
        </w:tabs>
        <w:ind w:left="578" w:right="578"/>
        <w:rPr>
          <w:sz w:val="20"/>
        </w:rPr>
      </w:pPr>
      <w:r>
        <w:rPr>
          <w:sz w:val="20"/>
        </w:rPr>
        <w:t>affected or interested person or body</w:t>
      </w:r>
      <w:r>
        <w:rPr>
          <w:sz w:val="20"/>
        </w:rPr>
        <w:tab/>
        <w:t>244, 250</w:t>
      </w:r>
    </w:p>
    <w:p>
      <w:pPr>
        <w:tabs>
          <w:tab w:val="right" w:leader="dot" w:pos="7070"/>
        </w:tabs>
        <w:ind w:left="578" w:right="578"/>
        <w:rPr>
          <w:sz w:val="20"/>
        </w:rPr>
      </w:pPr>
      <w:r>
        <w:rPr>
          <w:sz w:val="20"/>
        </w:rPr>
        <w:t>affidavit</w:t>
      </w:r>
      <w:r>
        <w:rPr>
          <w:sz w:val="20"/>
        </w:rPr>
        <w:tab/>
        <w:t>Sch. 2 cl. 10</w:t>
      </w:r>
    </w:p>
    <w:p>
      <w:pPr>
        <w:tabs>
          <w:tab w:val="right" w:leader="dot" w:pos="7070"/>
        </w:tabs>
        <w:ind w:left="578" w:right="578"/>
        <w:rPr>
          <w:sz w:val="20"/>
        </w:rPr>
      </w:pPr>
      <w:r>
        <w:rPr>
          <w:sz w:val="20"/>
        </w:rPr>
        <w:t>amend</w:t>
      </w:r>
      <w:r>
        <w:rPr>
          <w:sz w:val="20"/>
        </w:rPr>
        <w:tab/>
        <w:t>Sch. 2 cl. 10</w:t>
      </w:r>
    </w:p>
    <w:p>
      <w:pPr>
        <w:tabs>
          <w:tab w:val="right" w:leader="dot" w:pos="7070"/>
        </w:tabs>
        <w:ind w:left="578" w:right="578"/>
        <w:rPr>
          <w:sz w:val="20"/>
        </w:rPr>
      </w:pPr>
      <w:r>
        <w:rPr>
          <w:sz w:val="20"/>
        </w:rPr>
        <w:t>amended Law</w:t>
      </w:r>
      <w:r>
        <w:rPr>
          <w:sz w:val="20"/>
        </w:rPr>
        <w:tab/>
        <w:t>Sch. 3 cl. 98</w:t>
      </w:r>
    </w:p>
    <w:p>
      <w:pPr>
        <w:tabs>
          <w:tab w:val="right" w:leader="dot" w:pos="7070"/>
        </w:tabs>
        <w:ind w:left="578" w:right="578"/>
        <w:rPr>
          <w:sz w:val="20"/>
        </w:rPr>
      </w:pPr>
      <w:r>
        <w:rPr>
          <w:sz w:val="20"/>
        </w:rPr>
        <w:t>amended objective</w:t>
      </w:r>
      <w:r>
        <w:rPr>
          <w:sz w:val="20"/>
        </w:rPr>
        <w:tab/>
        <w:t>294FC, Sch. 3 cl. 133</w:t>
      </w:r>
    </w:p>
    <w:p>
      <w:pPr>
        <w:tabs>
          <w:tab w:val="right" w:leader="dot" w:pos="7070"/>
        </w:tabs>
        <w:ind w:left="578" w:right="578"/>
        <w:rPr>
          <w:sz w:val="20"/>
        </w:rPr>
      </w:pPr>
      <w:r>
        <w:rPr>
          <w:sz w:val="20"/>
        </w:rPr>
        <w:t>amending Act</w:t>
      </w:r>
      <w:r>
        <w:rPr>
          <w:sz w:val="20"/>
        </w:rPr>
        <w:tab/>
        <w:t>Sch. 3 cl. 133</w:t>
      </w:r>
    </w:p>
    <w:p>
      <w:pPr>
        <w:tabs>
          <w:tab w:val="right" w:leader="dot" w:pos="7070"/>
        </w:tabs>
        <w:ind w:left="578" w:right="578"/>
        <w:rPr>
          <w:sz w:val="20"/>
        </w:rPr>
      </w:pPr>
      <w:r>
        <w:rPr>
          <w:sz w:val="20"/>
        </w:rPr>
        <w:t>applicable access arrangement</w:t>
      </w:r>
      <w:r>
        <w:rPr>
          <w:sz w:val="20"/>
        </w:rPr>
        <w:tab/>
        <w:t>2</w:t>
      </w:r>
    </w:p>
    <w:p>
      <w:pPr>
        <w:tabs>
          <w:tab w:val="right" w:leader="dot" w:pos="7070"/>
        </w:tabs>
        <w:ind w:left="578" w:right="578"/>
        <w:rPr>
          <w:sz w:val="20"/>
        </w:rPr>
      </w:pPr>
      <w:r>
        <w:rPr>
          <w:sz w:val="20"/>
        </w:rPr>
        <w:t>applicable access arrangement decision</w:t>
      </w:r>
      <w:r>
        <w:rPr>
          <w:sz w:val="20"/>
        </w:rPr>
        <w:tab/>
        <w:t>2</w:t>
      </w:r>
    </w:p>
    <w:p>
      <w:pPr>
        <w:tabs>
          <w:tab w:val="right" w:leader="dot" w:pos="7070"/>
        </w:tabs>
        <w:ind w:left="578" w:right="578"/>
        <w:rPr>
          <w:sz w:val="20"/>
        </w:rPr>
      </w:pPr>
      <w:r>
        <w:rPr>
          <w:sz w:val="20"/>
        </w:rPr>
        <w:lastRenderedPageBreak/>
        <w:t>applicant</w:t>
      </w:r>
      <w:r>
        <w:rPr>
          <w:sz w:val="20"/>
        </w:rPr>
        <w:tab/>
        <w:t>244</w:t>
      </w:r>
    </w:p>
    <w:p>
      <w:pPr>
        <w:tabs>
          <w:tab w:val="right" w:leader="dot" w:pos="7070"/>
        </w:tabs>
        <w:ind w:left="578" w:right="578"/>
        <w:rPr>
          <w:sz w:val="20"/>
        </w:rPr>
      </w:pPr>
      <w:r>
        <w:rPr>
          <w:sz w:val="20"/>
        </w:rPr>
        <w:t>appoint</w:t>
      </w:r>
      <w:r>
        <w:rPr>
          <w:sz w:val="20"/>
        </w:rPr>
        <w:tab/>
        <w:t>Sch. 2 cl. 10</w:t>
      </w:r>
    </w:p>
    <w:p>
      <w:pPr>
        <w:tabs>
          <w:tab w:val="right" w:leader="dot" w:pos="7070"/>
        </w:tabs>
        <w:ind w:left="578" w:right="578"/>
        <w:rPr>
          <w:sz w:val="20"/>
        </w:rPr>
      </w:pPr>
      <w:r>
        <w:rPr>
          <w:sz w:val="20"/>
        </w:rPr>
        <w:t>approved associate contract</w:t>
      </w:r>
      <w:r>
        <w:rPr>
          <w:sz w:val="20"/>
        </w:rPr>
        <w:tab/>
        <w:t>2</w:t>
      </w:r>
    </w:p>
    <w:p>
      <w:pPr>
        <w:tabs>
          <w:tab w:val="right" w:leader="dot" w:pos="7070"/>
        </w:tabs>
        <w:ind w:left="578" w:right="578"/>
        <w:rPr>
          <w:sz w:val="20"/>
        </w:rPr>
      </w:pPr>
      <w:r>
        <w:rPr>
          <w:sz w:val="20"/>
        </w:rPr>
        <w:t>associate</w:t>
      </w:r>
      <w:r>
        <w:rPr>
          <w:sz w:val="20"/>
        </w:rPr>
        <w:tab/>
        <w:t>2</w:t>
      </w:r>
    </w:p>
    <w:p>
      <w:pPr>
        <w:tabs>
          <w:tab w:val="right" w:leader="dot" w:pos="7070"/>
        </w:tabs>
        <w:ind w:left="578" w:right="578"/>
        <w:rPr>
          <w:sz w:val="20"/>
        </w:rPr>
      </w:pPr>
      <w:r>
        <w:rPr>
          <w:sz w:val="20"/>
        </w:rPr>
        <w:t>associate contract</w:t>
      </w:r>
      <w:r>
        <w:rPr>
          <w:sz w:val="20"/>
        </w:rPr>
        <w:tab/>
        <w:t>2</w:t>
      </w:r>
    </w:p>
    <w:p>
      <w:pPr>
        <w:tabs>
          <w:tab w:val="right" w:leader="dot" w:pos="7070"/>
        </w:tabs>
        <w:ind w:left="578" w:right="578"/>
        <w:rPr>
          <w:sz w:val="20"/>
        </w:rPr>
      </w:pPr>
      <w:r>
        <w:rPr>
          <w:sz w:val="20"/>
        </w:rPr>
        <w:t>associate contract decision</w:t>
      </w:r>
      <w:r>
        <w:rPr>
          <w:sz w:val="20"/>
        </w:rPr>
        <w:tab/>
        <w:t>2</w:t>
      </w:r>
    </w:p>
    <w:p>
      <w:pPr>
        <w:tabs>
          <w:tab w:val="right" w:leader="dot" w:pos="7070"/>
        </w:tabs>
        <w:ind w:left="578" w:right="578"/>
        <w:rPr>
          <w:sz w:val="20"/>
        </w:rPr>
      </w:pPr>
      <w:r>
        <w:rPr>
          <w:sz w:val="20"/>
        </w:rPr>
        <w:t>associate pipeline service</w:t>
      </w:r>
      <w:r>
        <w:rPr>
          <w:sz w:val="20"/>
        </w:rPr>
        <w:tab/>
        <w:t>2</w:t>
      </w:r>
    </w:p>
    <w:p>
      <w:pPr>
        <w:tabs>
          <w:tab w:val="right" w:leader="dot" w:pos="7070"/>
        </w:tabs>
        <w:ind w:left="578" w:right="578"/>
        <w:rPr>
          <w:sz w:val="20"/>
        </w:rPr>
      </w:pPr>
      <w:r>
        <w:rPr>
          <w:sz w:val="20"/>
        </w:rPr>
        <w:t>authorised person</w:t>
      </w:r>
      <w:r>
        <w:rPr>
          <w:sz w:val="20"/>
        </w:rPr>
        <w:tab/>
        <w:t>31</w:t>
      </w:r>
    </w:p>
    <w:p>
      <w:pPr>
        <w:tabs>
          <w:tab w:val="right" w:leader="dot" w:pos="7070"/>
        </w:tabs>
        <w:ind w:left="578" w:right="578"/>
        <w:rPr>
          <w:sz w:val="20"/>
        </w:rPr>
      </w:pPr>
      <w:r>
        <w:rPr>
          <w:sz w:val="20"/>
        </w:rPr>
        <w:t>average annual regulated revenue</w:t>
      </w:r>
      <w:r>
        <w:rPr>
          <w:sz w:val="20"/>
        </w:rPr>
        <w:tab/>
        <w:t>244</w:t>
      </w:r>
    </w:p>
    <w:p>
      <w:pPr>
        <w:tabs>
          <w:tab w:val="right" w:leader="dot" w:pos="7070"/>
        </w:tabs>
        <w:ind w:left="578" w:right="578"/>
        <w:rPr>
          <w:sz w:val="20"/>
        </w:rPr>
      </w:pPr>
      <w:r>
        <w:rPr>
          <w:sz w:val="20"/>
        </w:rPr>
        <w:t>basic instrument making power</w:t>
      </w:r>
      <w:r>
        <w:rPr>
          <w:sz w:val="20"/>
        </w:rPr>
        <w:tab/>
        <w:t>Sch. 2 cl. 27</w:t>
      </w:r>
    </w:p>
    <w:p>
      <w:pPr>
        <w:tabs>
          <w:tab w:val="right" w:leader="dot" w:pos="7070"/>
        </w:tabs>
        <w:ind w:left="578" w:right="578"/>
        <w:rPr>
          <w:sz w:val="20"/>
        </w:rPr>
      </w:pPr>
      <w:r>
        <w:rPr>
          <w:sz w:val="20"/>
        </w:rPr>
        <w:t>binding no</w:t>
      </w:r>
      <w:r>
        <w:rPr>
          <w:sz w:val="20"/>
        </w:rPr>
        <w:noBreakHyphen/>
        <w:t>coverage determination</w:t>
      </w:r>
      <w:r>
        <w:rPr>
          <w:sz w:val="20"/>
        </w:rPr>
        <w:tab/>
        <w:t>Sch. 3 cl. 1</w:t>
      </w:r>
    </w:p>
    <w:p>
      <w:pPr>
        <w:tabs>
          <w:tab w:val="right" w:leader="dot" w:pos="7070"/>
        </w:tabs>
        <w:ind w:left="578" w:right="578"/>
        <w:rPr>
          <w:sz w:val="20"/>
        </w:rPr>
      </w:pPr>
      <w:r>
        <w:rPr>
          <w:sz w:val="20"/>
        </w:rPr>
        <w:t>breach</w:t>
      </w:r>
      <w:r>
        <w:rPr>
          <w:sz w:val="20"/>
        </w:rPr>
        <w:tab/>
        <w:t>Sch. 2 cl. 10</w:t>
      </w:r>
    </w:p>
    <w:p>
      <w:pPr>
        <w:tabs>
          <w:tab w:val="right" w:leader="dot" w:pos="7070"/>
        </w:tabs>
        <w:ind w:left="578" w:right="578"/>
        <w:rPr>
          <w:sz w:val="20"/>
        </w:rPr>
      </w:pPr>
      <w:r>
        <w:rPr>
          <w:sz w:val="20"/>
        </w:rPr>
        <w:t>breach provision</w:t>
      </w:r>
      <w:r>
        <w:rPr>
          <w:sz w:val="20"/>
        </w:rPr>
        <w:tab/>
        <w:t>287</w:t>
      </w:r>
    </w:p>
    <w:p>
      <w:pPr>
        <w:tabs>
          <w:tab w:val="right" w:leader="dot" w:pos="7070"/>
        </w:tabs>
        <w:ind w:left="578" w:right="578"/>
        <w:rPr>
          <w:sz w:val="20"/>
        </w:rPr>
      </w:pPr>
      <w:r>
        <w:rPr>
          <w:sz w:val="20"/>
        </w:rPr>
        <w:t>Bulletin Board information</w:t>
      </w:r>
      <w:r>
        <w:rPr>
          <w:sz w:val="20"/>
        </w:rPr>
        <w:tab/>
        <w:t>2</w:t>
      </w:r>
    </w:p>
    <w:p>
      <w:pPr>
        <w:tabs>
          <w:tab w:val="right" w:leader="dot" w:pos="7070"/>
        </w:tabs>
        <w:ind w:left="578" w:right="578"/>
        <w:rPr>
          <w:sz w:val="20"/>
        </w:rPr>
      </w:pPr>
      <w:r>
        <w:rPr>
          <w:sz w:val="20"/>
        </w:rPr>
        <w:t>Bulletin Board operator</w:t>
      </w:r>
      <w:r>
        <w:rPr>
          <w:sz w:val="20"/>
        </w:rPr>
        <w:tab/>
        <w:t>2</w:t>
      </w:r>
    </w:p>
    <w:p>
      <w:pPr>
        <w:tabs>
          <w:tab w:val="right" w:leader="dot" w:pos="7070"/>
        </w:tabs>
        <w:ind w:left="578" w:right="578"/>
        <w:rPr>
          <w:sz w:val="20"/>
        </w:rPr>
      </w:pPr>
      <w:r>
        <w:rPr>
          <w:sz w:val="20"/>
        </w:rPr>
        <w:t>business day</w:t>
      </w:r>
      <w:r>
        <w:rPr>
          <w:sz w:val="20"/>
        </w:rPr>
        <w:tab/>
        <w:t>Sch. 2 cl. 10</w:t>
      </w:r>
    </w:p>
    <w:p>
      <w:pPr>
        <w:tabs>
          <w:tab w:val="right" w:leader="dot" w:pos="7070"/>
        </w:tabs>
        <w:ind w:left="578" w:right="578"/>
        <w:rPr>
          <w:sz w:val="20"/>
        </w:rPr>
      </w:pPr>
      <w:r>
        <w:rPr>
          <w:sz w:val="20"/>
        </w:rPr>
        <w:t>business unit A</w:t>
      </w:r>
      <w:r>
        <w:rPr>
          <w:sz w:val="20"/>
        </w:rPr>
        <w:tab/>
        <w:t>143(2)</w:t>
      </w:r>
    </w:p>
    <w:p>
      <w:pPr>
        <w:tabs>
          <w:tab w:val="right" w:leader="dot" w:pos="7070"/>
        </w:tabs>
        <w:ind w:left="578" w:right="578"/>
        <w:rPr>
          <w:sz w:val="20"/>
        </w:rPr>
      </w:pPr>
      <w:r>
        <w:rPr>
          <w:sz w:val="20"/>
        </w:rPr>
        <w:t>business unit B</w:t>
      </w:r>
      <w:r>
        <w:rPr>
          <w:sz w:val="20"/>
        </w:rPr>
        <w:tab/>
        <w:t>143(2)</w:t>
      </w:r>
    </w:p>
    <w:p>
      <w:pPr>
        <w:tabs>
          <w:tab w:val="right" w:leader="dot" w:pos="7070"/>
        </w:tabs>
        <w:ind w:left="578" w:right="578"/>
        <w:rPr>
          <w:sz w:val="20"/>
        </w:rPr>
      </w:pPr>
      <w:r>
        <w:rPr>
          <w:sz w:val="20"/>
        </w:rPr>
        <w:t>calendar month</w:t>
      </w:r>
      <w:r>
        <w:rPr>
          <w:sz w:val="20"/>
        </w:rPr>
        <w:tab/>
        <w:t>Sch. 2 cl. 10</w:t>
      </w:r>
    </w:p>
    <w:p>
      <w:pPr>
        <w:tabs>
          <w:tab w:val="right" w:leader="dot" w:pos="7070"/>
        </w:tabs>
        <w:ind w:left="578" w:right="578"/>
        <w:rPr>
          <w:sz w:val="20"/>
        </w:rPr>
      </w:pPr>
      <w:r>
        <w:rPr>
          <w:sz w:val="20"/>
        </w:rPr>
        <w:t>calendar year</w:t>
      </w:r>
      <w:r>
        <w:rPr>
          <w:sz w:val="20"/>
        </w:rPr>
        <w:tab/>
        <w:t>Sch. 2 cl. 10</w:t>
      </w:r>
    </w:p>
    <w:p>
      <w:pPr>
        <w:tabs>
          <w:tab w:val="right" w:leader="dot" w:pos="7070"/>
        </w:tabs>
        <w:ind w:left="578" w:right="578"/>
        <w:rPr>
          <w:sz w:val="20"/>
        </w:rPr>
      </w:pPr>
      <w:r>
        <w:rPr>
          <w:sz w:val="20"/>
        </w:rPr>
        <w:t>charge</w:t>
      </w:r>
      <w:r>
        <w:rPr>
          <w:sz w:val="20"/>
        </w:rPr>
        <w:tab/>
        <w:t>2</w:t>
      </w:r>
    </w:p>
    <w:p>
      <w:pPr>
        <w:tabs>
          <w:tab w:val="right" w:leader="dot" w:pos="7070"/>
        </w:tabs>
        <w:ind w:left="578" w:right="578"/>
        <w:rPr>
          <w:sz w:val="20"/>
        </w:rPr>
      </w:pPr>
      <w:r>
        <w:rPr>
          <w:sz w:val="20"/>
        </w:rPr>
        <w:t>civil monetary liability</w:t>
      </w:r>
      <w:r>
        <w:rPr>
          <w:sz w:val="20"/>
        </w:rPr>
        <w:tab/>
        <w:t>221(6), 226(5)</w:t>
      </w:r>
    </w:p>
    <w:p>
      <w:pPr>
        <w:tabs>
          <w:tab w:val="right" w:leader="dot" w:pos="7070"/>
        </w:tabs>
        <w:ind w:left="578" w:right="578"/>
        <w:rPr>
          <w:sz w:val="20"/>
        </w:rPr>
      </w:pPr>
      <w:r>
        <w:rPr>
          <w:sz w:val="20"/>
        </w:rPr>
        <w:t>civil penalty</w:t>
      </w:r>
      <w:r>
        <w:rPr>
          <w:sz w:val="20"/>
        </w:rPr>
        <w:tab/>
        <w:t>2</w:t>
      </w:r>
    </w:p>
    <w:p>
      <w:pPr>
        <w:tabs>
          <w:tab w:val="right" w:leader="dot" w:pos="7070"/>
        </w:tabs>
        <w:ind w:left="578" w:right="578"/>
        <w:rPr>
          <w:sz w:val="20"/>
        </w:rPr>
      </w:pPr>
      <w:r>
        <w:rPr>
          <w:sz w:val="20"/>
        </w:rPr>
        <w:t>civil penalty provision</w:t>
      </w:r>
      <w:r>
        <w:rPr>
          <w:sz w:val="20"/>
        </w:rPr>
        <w:tab/>
        <w:t>2</w:t>
      </w:r>
    </w:p>
    <w:p>
      <w:pPr>
        <w:tabs>
          <w:tab w:val="right" w:leader="dot" w:pos="7070"/>
        </w:tabs>
        <w:ind w:left="578" w:right="578"/>
        <w:rPr>
          <w:sz w:val="20"/>
        </w:rPr>
      </w:pPr>
      <w:r>
        <w:rPr>
          <w:sz w:val="20"/>
        </w:rPr>
        <w:t>classification decision under the Rules</w:t>
      </w:r>
      <w:r>
        <w:rPr>
          <w:sz w:val="20"/>
        </w:rPr>
        <w:tab/>
        <w:t>2</w:t>
      </w:r>
    </w:p>
    <w:p>
      <w:pPr>
        <w:tabs>
          <w:tab w:val="right" w:leader="dot" w:pos="7070"/>
        </w:tabs>
        <w:ind w:left="578" w:right="578"/>
        <w:rPr>
          <w:sz w:val="20"/>
        </w:rPr>
      </w:pPr>
      <w:r>
        <w:rPr>
          <w:sz w:val="20"/>
        </w:rPr>
        <w:t>coastal waters</w:t>
      </w:r>
      <w:r>
        <w:rPr>
          <w:sz w:val="20"/>
        </w:rPr>
        <w:tab/>
        <w:t>Act 5(2)</w:t>
      </w:r>
    </w:p>
    <w:p>
      <w:pPr>
        <w:tabs>
          <w:tab w:val="right" w:leader="dot" w:pos="7070"/>
        </w:tabs>
        <w:ind w:left="578" w:right="578"/>
        <w:rPr>
          <w:sz w:val="20"/>
        </w:rPr>
      </w:pPr>
      <w:r>
        <w:rPr>
          <w:sz w:val="20"/>
        </w:rPr>
        <w:t>commencement</w:t>
      </w:r>
      <w:r>
        <w:rPr>
          <w:sz w:val="20"/>
        </w:rPr>
        <w:tab/>
        <w:t>Sch. 2 cl. 10, Sch. 3 cl. 95</w:t>
      </w:r>
    </w:p>
    <w:p>
      <w:pPr>
        <w:tabs>
          <w:tab w:val="right" w:leader="dot" w:pos="7070"/>
        </w:tabs>
        <w:ind w:left="578" w:right="578"/>
        <w:rPr>
          <w:sz w:val="20"/>
        </w:rPr>
      </w:pPr>
      <w:r>
        <w:rPr>
          <w:sz w:val="20"/>
        </w:rPr>
        <w:t>commencement day</w:t>
      </w:r>
      <w:r>
        <w:rPr>
          <w:sz w:val="20"/>
        </w:rPr>
        <w:tab/>
        <w:t>Sch. 3 cl. 1</w:t>
      </w:r>
    </w:p>
    <w:p>
      <w:pPr>
        <w:tabs>
          <w:tab w:val="right" w:leader="dot" w:pos="7070"/>
        </w:tabs>
        <w:ind w:left="578" w:right="578"/>
        <w:rPr>
          <w:sz w:val="20"/>
        </w:rPr>
      </w:pPr>
      <w:r>
        <w:rPr>
          <w:sz w:val="20"/>
        </w:rPr>
        <w:t>commission</w:t>
      </w:r>
      <w:r>
        <w:rPr>
          <w:sz w:val="20"/>
        </w:rPr>
        <w:tab/>
        <w:t>2</w:t>
      </w:r>
    </w:p>
    <w:p>
      <w:pPr>
        <w:tabs>
          <w:tab w:val="right" w:leader="dot" w:pos="7070"/>
        </w:tabs>
        <w:ind w:left="578" w:right="578"/>
        <w:rPr>
          <w:sz w:val="20"/>
        </w:rPr>
      </w:pPr>
      <w:r>
        <w:rPr>
          <w:sz w:val="20"/>
        </w:rPr>
        <w:t>Commonwealth bodies</w:t>
      </w:r>
      <w:r>
        <w:rPr>
          <w:sz w:val="20"/>
        </w:rPr>
        <w:tab/>
        <w:t>Act 12(2)</w:t>
      </w:r>
    </w:p>
    <w:p>
      <w:pPr>
        <w:tabs>
          <w:tab w:val="right" w:leader="dot" w:pos="7070"/>
        </w:tabs>
        <w:ind w:left="578" w:right="578"/>
        <w:rPr>
          <w:sz w:val="20"/>
        </w:rPr>
      </w:pPr>
      <w:r>
        <w:rPr>
          <w:sz w:val="20"/>
        </w:rPr>
        <w:t>Commonwealth Minister</w:t>
      </w:r>
      <w:r>
        <w:rPr>
          <w:sz w:val="20"/>
        </w:rPr>
        <w:tab/>
        <w:t>2</w:t>
      </w:r>
    </w:p>
    <w:p>
      <w:pPr>
        <w:tabs>
          <w:tab w:val="right" w:leader="dot" w:pos="7070"/>
        </w:tabs>
        <w:ind w:left="578" w:right="578"/>
        <w:rPr>
          <w:sz w:val="20"/>
        </w:rPr>
      </w:pPr>
      <w:r>
        <w:rPr>
          <w:sz w:val="20"/>
        </w:rPr>
        <w:t>compliance date</w:t>
      </w:r>
      <w:r>
        <w:rPr>
          <w:sz w:val="20"/>
        </w:rPr>
        <w:tab/>
        <w:t>137</w:t>
      </w:r>
    </w:p>
    <w:p>
      <w:pPr>
        <w:tabs>
          <w:tab w:val="right" w:leader="dot" w:pos="7070"/>
        </w:tabs>
        <w:ind w:left="578" w:right="578"/>
        <w:rPr>
          <w:sz w:val="20"/>
        </w:rPr>
      </w:pPr>
      <w:r>
        <w:rPr>
          <w:sz w:val="20"/>
        </w:rPr>
        <w:t>complying service provider</w:t>
      </w:r>
      <w:r>
        <w:rPr>
          <w:sz w:val="20"/>
        </w:rPr>
        <w:tab/>
        <w:t>10(2)</w:t>
      </w:r>
    </w:p>
    <w:p>
      <w:pPr>
        <w:tabs>
          <w:tab w:val="right" w:leader="dot" w:pos="7070"/>
        </w:tabs>
        <w:ind w:left="578" w:right="578"/>
        <w:rPr>
          <w:sz w:val="20"/>
        </w:rPr>
      </w:pPr>
      <w:r>
        <w:rPr>
          <w:sz w:val="20"/>
        </w:rPr>
        <w:t>conduct provision</w:t>
      </w:r>
      <w:r>
        <w:rPr>
          <w:sz w:val="20"/>
        </w:rPr>
        <w:tab/>
        <w:t>2</w:t>
      </w:r>
    </w:p>
    <w:p>
      <w:pPr>
        <w:tabs>
          <w:tab w:val="right" w:leader="dot" w:pos="7070"/>
        </w:tabs>
        <w:ind w:left="578" w:right="578"/>
        <w:rPr>
          <w:sz w:val="20"/>
        </w:rPr>
      </w:pPr>
      <w:r>
        <w:rPr>
          <w:sz w:val="20"/>
        </w:rPr>
        <w:t>confer</w:t>
      </w:r>
      <w:r>
        <w:rPr>
          <w:sz w:val="20"/>
        </w:rPr>
        <w:tab/>
        <w:t>Sch. 2 cl. 10</w:t>
      </w:r>
    </w:p>
    <w:p>
      <w:pPr>
        <w:tabs>
          <w:tab w:val="right" w:leader="dot" w:pos="7070"/>
        </w:tabs>
        <w:ind w:left="578" w:right="578"/>
        <w:rPr>
          <w:sz w:val="20"/>
        </w:rPr>
      </w:pPr>
      <w:r>
        <w:rPr>
          <w:sz w:val="20"/>
        </w:rPr>
        <w:t>consolidated Rule request</w:t>
      </w:r>
      <w:r>
        <w:rPr>
          <w:sz w:val="20"/>
        </w:rPr>
        <w:tab/>
        <w:t>300</w:t>
      </w:r>
    </w:p>
    <w:p>
      <w:pPr>
        <w:tabs>
          <w:tab w:val="right" w:leader="dot" w:pos="7070"/>
        </w:tabs>
        <w:ind w:left="578" w:right="578"/>
        <w:rPr>
          <w:sz w:val="20"/>
        </w:rPr>
      </w:pPr>
      <w:r>
        <w:rPr>
          <w:sz w:val="20"/>
        </w:rPr>
        <w:t>constituent components</w:t>
      </w:r>
      <w:r>
        <w:rPr>
          <w:sz w:val="20"/>
        </w:rPr>
        <w:tab/>
        <w:t>2</w:t>
      </w:r>
    </w:p>
    <w:p>
      <w:pPr>
        <w:tabs>
          <w:tab w:val="right" w:leader="dot" w:pos="7070"/>
        </w:tabs>
        <w:ind w:left="578" w:right="578"/>
        <w:rPr>
          <w:sz w:val="20"/>
        </w:rPr>
      </w:pPr>
      <w:r>
        <w:rPr>
          <w:sz w:val="20"/>
        </w:rPr>
        <w:t>consumer reference group</w:t>
      </w:r>
      <w:r>
        <w:rPr>
          <w:sz w:val="20"/>
        </w:rPr>
        <w:tab/>
        <w:t>30A, 30H</w:t>
      </w:r>
    </w:p>
    <w:p>
      <w:pPr>
        <w:tabs>
          <w:tab w:val="right" w:leader="dot" w:pos="7070"/>
        </w:tabs>
        <w:ind w:left="578" w:right="578"/>
        <w:rPr>
          <w:sz w:val="20"/>
        </w:rPr>
      </w:pPr>
      <w:r>
        <w:rPr>
          <w:sz w:val="20"/>
        </w:rPr>
        <w:t>contravene</w:t>
      </w:r>
      <w:r>
        <w:rPr>
          <w:sz w:val="20"/>
        </w:rPr>
        <w:tab/>
        <w:t>Sch. 2 cl. 10</w:t>
      </w:r>
    </w:p>
    <w:p>
      <w:pPr>
        <w:tabs>
          <w:tab w:val="right" w:leader="dot" w:pos="7070"/>
        </w:tabs>
        <w:ind w:left="578" w:right="578"/>
        <w:rPr>
          <w:sz w:val="20"/>
        </w:rPr>
      </w:pPr>
      <w:r>
        <w:rPr>
          <w:sz w:val="20"/>
        </w:rPr>
        <w:t>contributing service</w:t>
      </w:r>
      <w:r>
        <w:rPr>
          <w:sz w:val="20"/>
        </w:rPr>
        <w:tab/>
        <w:t>43</w:t>
      </w:r>
    </w:p>
    <w:p>
      <w:pPr>
        <w:tabs>
          <w:tab w:val="right" w:leader="dot" w:pos="7070"/>
        </w:tabs>
        <w:ind w:left="578" w:right="578"/>
        <w:rPr>
          <w:sz w:val="20"/>
        </w:rPr>
      </w:pPr>
      <w:r>
        <w:rPr>
          <w:sz w:val="20"/>
        </w:rPr>
        <w:t>controlling pipeline activity</w:t>
      </w:r>
      <w:r>
        <w:rPr>
          <w:sz w:val="20"/>
        </w:rPr>
        <w:tab/>
        <w:t>10(5)</w:t>
      </w:r>
    </w:p>
    <w:p>
      <w:pPr>
        <w:tabs>
          <w:tab w:val="right" w:leader="dot" w:pos="7070"/>
        </w:tabs>
        <w:ind w:left="578" w:right="578"/>
        <w:rPr>
          <w:sz w:val="20"/>
        </w:rPr>
      </w:pPr>
      <w:r>
        <w:rPr>
          <w:sz w:val="20"/>
        </w:rPr>
        <w:t>Councillor</w:t>
      </w:r>
      <w:r>
        <w:rPr>
          <w:sz w:val="20"/>
        </w:rPr>
        <w:tab/>
        <w:t>90(9)</w:t>
      </w:r>
    </w:p>
    <w:p>
      <w:pPr>
        <w:tabs>
          <w:tab w:val="right" w:leader="dot" w:pos="7070"/>
        </w:tabs>
        <w:ind w:left="578" w:right="578"/>
        <w:rPr>
          <w:sz w:val="20"/>
        </w:rPr>
      </w:pPr>
      <w:r>
        <w:rPr>
          <w:sz w:val="20"/>
        </w:rPr>
        <w:t>Court</w:t>
      </w:r>
      <w:r>
        <w:rPr>
          <w:sz w:val="20"/>
        </w:rPr>
        <w:tab/>
        <w:t>Act 9(1)</w:t>
      </w:r>
    </w:p>
    <w:p>
      <w:pPr>
        <w:tabs>
          <w:tab w:val="right" w:leader="dot" w:pos="7070"/>
        </w:tabs>
        <w:ind w:left="578" w:right="578"/>
        <w:rPr>
          <w:sz w:val="20"/>
        </w:rPr>
      </w:pPr>
      <w:r>
        <w:rPr>
          <w:sz w:val="20"/>
        </w:rPr>
        <w:t>coverage determination</w:t>
      </w:r>
      <w:r>
        <w:rPr>
          <w:sz w:val="20"/>
        </w:rPr>
        <w:tab/>
        <w:t>2, 92(1)</w:t>
      </w:r>
    </w:p>
    <w:p>
      <w:pPr>
        <w:tabs>
          <w:tab w:val="right" w:leader="dot" w:pos="7070"/>
        </w:tabs>
        <w:ind w:left="578" w:right="578"/>
        <w:rPr>
          <w:sz w:val="20"/>
        </w:rPr>
      </w:pPr>
      <w:r>
        <w:rPr>
          <w:sz w:val="20"/>
        </w:rPr>
        <w:lastRenderedPageBreak/>
        <w:t>coverage recommendation</w:t>
      </w:r>
      <w:r>
        <w:rPr>
          <w:sz w:val="20"/>
        </w:rPr>
        <w:tab/>
        <w:t>2</w:t>
      </w:r>
    </w:p>
    <w:p>
      <w:pPr>
        <w:tabs>
          <w:tab w:val="right" w:leader="dot" w:pos="7070"/>
        </w:tabs>
        <w:ind w:left="578" w:right="578"/>
        <w:rPr>
          <w:sz w:val="20"/>
        </w:rPr>
      </w:pPr>
      <w:r>
        <w:rPr>
          <w:sz w:val="20"/>
        </w:rPr>
        <w:t>coverage related light regulation decision</w:t>
      </w:r>
      <w:r>
        <w:rPr>
          <w:sz w:val="20"/>
        </w:rPr>
        <w:tab/>
        <w:t>244</w:t>
      </w:r>
    </w:p>
    <w:p>
      <w:pPr>
        <w:tabs>
          <w:tab w:val="right" w:leader="dot" w:pos="7070"/>
        </w:tabs>
        <w:ind w:left="578" w:right="578"/>
        <w:rPr>
          <w:sz w:val="20"/>
        </w:rPr>
      </w:pPr>
      <w:r>
        <w:rPr>
          <w:sz w:val="20"/>
        </w:rPr>
        <w:t>coverage revocation determination</w:t>
      </w:r>
      <w:r>
        <w:rPr>
          <w:sz w:val="20"/>
        </w:rPr>
        <w:tab/>
        <w:t>2, 102(1)</w:t>
      </w:r>
    </w:p>
    <w:p>
      <w:pPr>
        <w:tabs>
          <w:tab w:val="right" w:leader="dot" w:pos="7070"/>
        </w:tabs>
        <w:ind w:left="578" w:right="578"/>
        <w:rPr>
          <w:sz w:val="20"/>
        </w:rPr>
      </w:pPr>
      <w:r>
        <w:rPr>
          <w:sz w:val="20"/>
        </w:rPr>
        <w:t>coverage revocation recommendation</w:t>
      </w:r>
      <w:r>
        <w:rPr>
          <w:sz w:val="20"/>
        </w:rPr>
        <w:tab/>
        <w:t>2</w:t>
      </w:r>
    </w:p>
    <w:p>
      <w:pPr>
        <w:tabs>
          <w:tab w:val="right" w:leader="dot" w:pos="7070"/>
        </w:tabs>
        <w:ind w:left="578" w:right="578"/>
        <w:rPr>
          <w:sz w:val="20"/>
        </w:rPr>
      </w:pPr>
      <w:r>
        <w:rPr>
          <w:sz w:val="20"/>
        </w:rPr>
        <w:t>covered pipeline</w:t>
      </w:r>
      <w:r>
        <w:rPr>
          <w:sz w:val="20"/>
        </w:rPr>
        <w:tab/>
        <w:t>2</w:t>
      </w:r>
    </w:p>
    <w:p>
      <w:pPr>
        <w:tabs>
          <w:tab w:val="right" w:leader="dot" w:pos="7070"/>
        </w:tabs>
        <w:ind w:left="578" w:right="578"/>
        <w:rPr>
          <w:sz w:val="20"/>
        </w:rPr>
      </w:pPr>
      <w:r>
        <w:rPr>
          <w:sz w:val="20"/>
        </w:rPr>
        <w:t>covered pipeline service provider</w:t>
      </w:r>
      <w:r>
        <w:rPr>
          <w:sz w:val="20"/>
        </w:rPr>
        <w:tab/>
        <w:t>2</w:t>
      </w:r>
    </w:p>
    <w:p>
      <w:pPr>
        <w:tabs>
          <w:tab w:val="right" w:leader="dot" w:pos="7070"/>
        </w:tabs>
        <w:ind w:left="578" w:right="578"/>
        <w:rPr>
          <w:sz w:val="20"/>
        </w:rPr>
      </w:pPr>
      <w:r>
        <w:rPr>
          <w:sz w:val="20"/>
        </w:rPr>
        <w:t>cross boundary distribution pipeline</w:t>
      </w:r>
      <w:r>
        <w:rPr>
          <w:sz w:val="20"/>
        </w:rPr>
        <w:tab/>
        <w:t>2</w:t>
      </w:r>
    </w:p>
    <w:p>
      <w:pPr>
        <w:tabs>
          <w:tab w:val="right" w:leader="dot" w:pos="7070"/>
        </w:tabs>
        <w:ind w:left="578" w:right="578"/>
        <w:rPr>
          <w:sz w:val="20"/>
        </w:rPr>
      </w:pPr>
      <w:r>
        <w:rPr>
          <w:sz w:val="20"/>
        </w:rPr>
        <w:t>cross boundary pipeline</w:t>
      </w:r>
      <w:r>
        <w:rPr>
          <w:sz w:val="20"/>
        </w:rPr>
        <w:tab/>
        <w:t>Act 16(4)</w:t>
      </w:r>
    </w:p>
    <w:p>
      <w:pPr>
        <w:tabs>
          <w:tab w:val="right" w:leader="dot" w:pos="7070"/>
        </w:tabs>
        <w:ind w:left="578" w:right="578"/>
        <w:rPr>
          <w:sz w:val="20"/>
        </w:rPr>
      </w:pPr>
      <w:r>
        <w:rPr>
          <w:sz w:val="20"/>
        </w:rPr>
        <w:t>cross boundary transmission pipeline</w:t>
      </w:r>
      <w:r>
        <w:rPr>
          <w:sz w:val="20"/>
        </w:rPr>
        <w:tab/>
        <w:t>2</w:t>
      </w:r>
    </w:p>
    <w:p>
      <w:pPr>
        <w:tabs>
          <w:tab w:val="right" w:leader="dot" w:pos="7070"/>
        </w:tabs>
        <w:ind w:left="578" w:right="578"/>
        <w:rPr>
          <w:sz w:val="20"/>
        </w:rPr>
      </w:pPr>
      <w:r>
        <w:rPr>
          <w:sz w:val="20"/>
        </w:rPr>
        <w:t>current access arrangement</w:t>
      </w:r>
      <w:r>
        <w:rPr>
          <w:sz w:val="20"/>
        </w:rPr>
        <w:tab/>
        <w:t>Sch. 3 cl. 1</w:t>
      </w:r>
    </w:p>
    <w:p>
      <w:pPr>
        <w:tabs>
          <w:tab w:val="right" w:leader="dot" w:pos="7070"/>
        </w:tabs>
        <w:ind w:left="578" w:right="578"/>
        <w:rPr>
          <w:sz w:val="20"/>
        </w:rPr>
      </w:pPr>
      <w:r>
        <w:rPr>
          <w:sz w:val="20"/>
        </w:rPr>
        <w:t>current access arrangement modification Rules</w:t>
      </w:r>
      <w:r>
        <w:rPr>
          <w:sz w:val="20"/>
        </w:rPr>
        <w:tab/>
        <w:t>Sch. 3 cl. 30</w:t>
      </w:r>
    </w:p>
    <w:p>
      <w:pPr>
        <w:tabs>
          <w:tab w:val="right" w:leader="dot" w:pos="7070"/>
        </w:tabs>
        <w:ind w:left="578" w:right="578"/>
        <w:rPr>
          <w:sz w:val="20"/>
        </w:rPr>
      </w:pPr>
      <w:r>
        <w:rPr>
          <w:sz w:val="20"/>
        </w:rPr>
        <w:t>deal with</w:t>
      </w:r>
      <w:r>
        <w:rPr>
          <w:sz w:val="20"/>
        </w:rPr>
        <w:tab/>
        <w:t>Sch. 2 cl. 53A</w:t>
      </w:r>
    </w:p>
    <w:p>
      <w:pPr>
        <w:tabs>
          <w:tab w:val="right" w:leader="dot" w:pos="7070"/>
        </w:tabs>
        <w:ind w:left="578" w:right="578"/>
        <w:rPr>
          <w:sz w:val="20"/>
        </w:rPr>
      </w:pPr>
      <w:r>
        <w:rPr>
          <w:sz w:val="20"/>
        </w:rPr>
        <w:t>decision maker</w:t>
      </w:r>
      <w:r>
        <w:rPr>
          <w:sz w:val="20"/>
        </w:rPr>
        <w:tab/>
        <w:t>Sch. 2 cl. 31</w:t>
      </w:r>
    </w:p>
    <w:p>
      <w:pPr>
        <w:tabs>
          <w:tab w:val="right" w:leader="dot" w:pos="7070"/>
        </w:tabs>
        <w:ind w:left="578" w:right="578"/>
        <w:rPr>
          <w:sz w:val="20"/>
        </w:rPr>
      </w:pPr>
      <w:r>
        <w:rPr>
          <w:sz w:val="20"/>
        </w:rPr>
        <w:t>decision related matter</w:t>
      </w:r>
      <w:r>
        <w:rPr>
          <w:sz w:val="20"/>
        </w:rPr>
        <w:tab/>
        <w:t>68C</w:t>
      </w:r>
    </w:p>
    <w:p>
      <w:pPr>
        <w:tabs>
          <w:tab w:val="right" w:leader="dot" w:pos="7070"/>
        </w:tabs>
        <w:ind w:left="578" w:right="578"/>
        <w:rPr>
          <w:sz w:val="20"/>
        </w:rPr>
      </w:pPr>
      <w:r>
        <w:rPr>
          <w:sz w:val="20"/>
        </w:rPr>
        <w:t>definition</w:t>
      </w:r>
      <w:r>
        <w:rPr>
          <w:sz w:val="20"/>
        </w:rPr>
        <w:tab/>
        <w:t>Sch. 2 cl. 10</w:t>
      </w:r>
    </w:p>
    <w:p>
      <w:pPr>
        <w:tabs>
          <w:tab w:val="right" w:leader="dot" w:pos="7070"/>
        </w:tabs>
        <w:ind w:left="578" w:right="578"/>
        <w:rPr>
          <w:sz w:val="20"/>
        </w:rPr>
      </w:pPr>
      <w:r>
        <w:rPr>
          <w:sz w:val="20"/>
        </w:rPr>
        <w:t>designated Minister</w:t>
      </w:r>
      <w:r>
        <w:rPr>
          <w:sz w:val="20"/>
        </w:rPr>
        <w:tab/>
        <w:t>Act 9(1)</w:t>
      </w:r>
    </w:p>
    <w:p>
      <w:pPr>
        <w:tabs>
          <w:tab w:val="right" w:leader="dot" w:pos="7070"/>
        </w:tabs>
        <w:ind w:left="578" w:right="578"/>
        <w:rPr>
          <w:sz w:val="20"/>
        </w:rPr>
      </w:pPr>
      <w:r>
        <w:rPr>
          <w:sz w:val="20"/>
        </w:rPr>
        <w:t>designated pipeline</w:t>
      </w:r>
      <w:r>
        <w:rPr>
          <w:sz w:val="20"/>
        </w:rPr>
        <w:tab/>
        <w:t>2</w:t>
      </w:r>
    </w:p>
    <w:p>
      <w:pPr>
        <w:tabs>
          <w:tab w:val="right" w:leader="dot" w:pos="7070"/>
        </w:tabs>
        <w:ind w:left="578" w:right="578"/>
        <w:rPr>
          <w:sz w:val="20"/>
        </w:rPr>
      </w:pPr>
      <w:r>
        <w:rPr>
          <w:sz w:val="20"/>
        </w:rPr>
        <w:t>designated reviewable regulatory decision</w:t>
      </w:r>
      <w:r>
        <w:rPr>
          <w:sz w:val="20"/>
        </w:rPr>
        <w:tab/>
        <w:t>2</w:t>
      </w:r>
    </w:p>
    <w:p>
      <w:pPr>
        <w:tabs>
          <w:tab w:val="right" w:leader="dot" w:pos="7070"/>
        </w:tabs>
        <w:ind w:left="578" w:right="578"/>
        <w:rPr>
          <w:sz w:val="20"/>
        </w:rPr>
      </w:pPr>
      <w:r>
        <w:rPr>
          <w:sz w:val="20"/>
        </w:rPr>
        <w:t>developable capacity</w:t>
      </w:r>
      <w:r>
        <w:rPr>
          <w:sz w:val="20"/>
        </w:rPr>
        <w:tab/>
        <w:t>2</w:t>
      </w:r>
    </w:p>
    <w:p>
      <w:pPr>
        <w:tabs>
          <w:tab w:val="right" w:leader="dot" w:pos="7070"/>
        </w:tabs>
        <w:ind w:left="578" w:right="578"/>
        <w:rPr>
          <w:sz w:val="20"/>
        </w:rPr>
      </w:pPr>
      <w:r>
        <w:rPr>
          <w:sz w:val="20"/>
        </w:rPr>
        <w:t>dispute hearing</w:t>
      </w:r>
      <w:r>
        <w:rPr>
          <w:sz w:val="20"/>
        </w:rPr>
        <w:tab/>
        <w:t>178, 216A</w:t>
      </w:r>
    </w:p>
    <w:p>
      <w:pPr>
        <w:tabs>
          <w:tab w:val="right" w:leader="dot" w:pos="7070"/>
        </w:tabs>
        <w:ind w:left="578" w:right="578"/>
        <w:rPr>
          <w:sz w:val="20"/>
        </w:rPr>
      </w:pPr>
      <w:r>
        <w:rPr>
          <w:sz w:val="20"/>
        </w:rPr>
        <w:t>dispute resolution body</w:t>
      </w:r>
      <w:r>
        <w:rPr>
          <w:sz w:val="20"/>
        </w:rPr>
        <w:tab/>
        <w:t>Act 9(1), Note 2</w:t>
      </w:r>
    </w:p>
    <w:p>
      <w:pPr>
        <w:tabs>
          <w:tab w:val="right" w:leader="dot" w:pos="7070"/>
        </w:tabs>
        <w:ind w:left="578" w:right="578"/>
        <w:rPr>
          <w:sz w:val="20"/>
        </w:rPr>
      </w:pPr>
      <w:r>
        <w:rPr>
          <w:sz w:val="20"/>
        </w:rPr>
        <w:t>distribution pipeline</w:t>
      </w:r>
      <w:r>
        <w:rPr>
          <w:sz w:val="20"/>
        </w:rPr>
        <w:tab/>
        <w:t>2, 216A</w:t>
      </w:r>
    </w:p>
    <w:p>
      <w:pPr>
        <w:tabs>
          <w:tab w:val="right" w:leader="dot" w:pos="7070"/>
        </w:tabs>
        <w:ind w:left="578" w:right="578"/>
        <w:rPr>
          <w:sz w:val="20"/>
        </w:rPr>
      </w:pPr>
      <w:r>
        <w:rPr>
          <w:sz w:val="20"/>
        </w:rPr>
        <w:t>document</w:t>
      </w:r>
      <w:r>
        <w:rPr>
          <w:sz w:val="20"/>
        </w:rPr>
        <w:tab/>
        <w:t>Sch. 2 cl. 10</w:t>
      </w:r>
    </w:p>
    <w:p>
      <w:pPr>
        <w:tabs>
          <w:tab w:val="right" w:leader="dot" w:pos="7070"/>
        </w:tabs>
        <w:ind w:left="578" w:right="578"/>
        <w:rPr>
          <w:sz w:val="20"/>
        </w:rPr>
      </w:pPr>
      <w:r>
        <w:rPr>
          <w:sz w:val="20"/>
        </w:rPr>
        <w:t>draft Rule determination</w:t>
      </w:r>
      <w:r>
        <w:rPr>
          <w:sz w:val="20"/>
        </w:rPr>
        <w:tab/>
        <w:t>2</w:t>
      </w:r>
    </w:p>
    <w:p>
      <w:pPr>
        <w:tabs>
          <w:tab w:val="right" w:leader="dot" w:pos="7070"/>
        </w:tabs>
        <w:ind w:left="578" w:right="578"/>
        <w:rPr>
          <w:sz w:val="20"/>
        </w:rPr>
      </w:pPr>
      <w:r>
        <w:rPr>
          <w:sz w:val="20"/>
        </w:rPr>
        <w:t>eligible expert</w:t>
      </w:r>
      <w:r>
        <w:rPr>
          <w:sz w:val="20"/>
        </w:rPr>
        <w:tab/>
        <w:t>30H</w:t>
      </w:r>
    </w:p>
    <w:p>
      <w:pPr>
        <w:tabs>
          <w:tab w:val="right" w:leader="dot" w:pos="7070"/>
        </w:tabs>
        <w:ind w:left="578" w:right="578"/>
        <w:rPr>
          <w:sz w:val="20"/>
        </w:rPr>
      </w:pPr>
      <w:r>
        <w:rPr>
          <w:sz w:val="20"/>
        </w:rPr>
        <w:t>empowering provision</w:t>
      </w:r>
      <w:r>
        <w:rPr>
          <w:sz w:val="20"/>
        </w:rPr>
        <w:tab/>
        <w:t>Sch. 2 cl. 27</w:t>
      </w:r>
    </w:p>
    <w:p>
      <w:pPr>
        <w:tabs>
          <w:tab w:val="right" w:leader="dot" w:pos="7070"/>
        </w:tabs>
        <w:ind w:left="578" w:right="578"/>
        <w:rPr>
          <w:sz w:val="20"/>
        </w:rPr>
      </w:pPr>
      <w:r>
        <w:rPr>
          <w:sz w:val="20"/>
        </w:rPr>
        <w:t>end user</w:t>
      </w:r>
      <w:r>
        <w:rPr>
          <w:sz w:val="20"/>
        </w:rPr>
        <w:tab/>
        <w:t>2, 244</w:t>
      </w:r>
    </w:p>
    <w:p>
      <w:pPr>
        <w:tabs>
          <w:tab w:val="right" w:leader="dot" w:pos="7070"/>
        </w:tabs>
        <w:ind w:left="578" w:right="578"/>
        <w:rPr>
          <w:sz w:val="20"/>
        </w:rPr>
      </w:pPr>
      <w:r>
        <w:rPr>
          <w:sz w:val="20"/>
        </w:rPr>
        <w:t>ERA</w:t>
      </w:r>
      <w:r>
        <w:rPr>
          <w:sz w:val="20"/>
        </w:rPr>
        <w:tab/>
        <w:t>2</w:t>
      </w:r>
    </w:p>
    <w:p>
      <w:pPr>
        <w:tabs>
          <w:tab w:val="right" w:leader="dot" w:pos="7070"/>
        </w:tabs>
        <w:ind w:left="578" w:right="578"/>
        <w:rPr>
          <w:sz w:val="20"/>
        </w:rPr>
      </w:pPr>
      <w:r>
        <w:rPr>
          <w:sz w:val="20"/>
        </w:rPr>
        <w:t>ERA pipeline</w:t>
      </w:r>
      <w:r>
        <w:rPr>
          <w:sz w:val="20"/>
        </w:rPr>
        <w:tab/>
        <w:t>Act 9(1)</w:t>
      </w:r>
    </w:p>
    <w:p>
      <w:pPr>
        <w:tabs>
          <w:tab w:val="right" w:leader="dot" w:pos="7070"/>
        </w:tabs>
        <w:ind w:left="578" w:right="578"/>
        <w:rPr>
          <w:sz w:val="20"/>
        </w:rPr>
      </w:pPr>
      <w:r>
        <w:rPr>
          <w:sz w:val="20"/>
        </w:rPr>
        <w:t>estate</w:t>
      </w:r>
      <w:r>
        <w:rPr>
          <w:sz w:val="20"/>
        </w:rPr>
        <w:tab/>
        <w:t>Sch. 2 cl. 10</w:t>
      </w:r>
    </w:p>
    <w:p>
      <w:pPr>
        <w:tabs>
          <w:tab w:val="right" w:leader="dot" w:pos="7070"/>
        </w:tabs>
        <w:ind w:left="578" w:right="578"/>
        <w:rPr>
          <w:sz w:val="20"/>
        </w:rPr>
      </w:pPr>
      <w:r>
        <w:rPr>
          <w:sz w:val="20"/>
        </w:rPr>
        <w:t>excluded infrastructure</w:t>
      </w:r>
      <w:r>
        <w:rPr>
          <w:sz w:val="20"/>
        </w:rPr>
        <w:tab/>
        <w:t>149</w:t>
      </w:r>
    </w:p>
    <w:p>
      <w:pPr>
        <w:tabs>
          <w:tab w:val="right" w:leader="dot" w:pos="7070"/>
        </w:tabs>
        <w:ind w:left="578" w:right="578"/>
        <w:rPr>
          <w:sz w:val="20"/>
        </w:rPr>
      </w:pPr>
      <w:r>
        <w:rPr>
          <w:sz w:val="20"/>
        </w:rPr>
        <w:t>exempt contract</w:t>
      </w:r>
      <w:r>
        <w:rPr>
          <w:sz w:val="20"/>
        </w:rPr>
        <w:tab/>
        <w:t>Act 19(3)</w:t>
      </w:r>
    </w:p>
    <w:p>
      <w:pPr>
        <w:tabs>
          <w:tab w:val="right" w:leader="dot" w:pos="7070"/>
        </w:tabs>
        <w:ind w:left="578" w:right="578"/>
        <w:rPr>
          <w:sz w:val="20"/>
        </w:rPr>
      </w:pPr>
      <w:r>
        <w:rPr>
          <w:sz w:val="20"/>
        </w:rPr>
        <w:t>exempt matter</w:t>
      </w:r>
      <w:r>
        <w:rPr>
          <w:sz w:val="20"/>
        </w:rPr>
        <w:tab/>
        <w:t>Act 15(2)</w:t>
      </w:r>
    </w:p>
    <w:p>
      <w:pPr>
        <w:tabs>
          <w:tab w:val="right" w:leader="dot" w:pos="7070"/>
        </w:tabs>
        <w:ind w:left="578" w:right="578"/>
        <w:rPr>
          <w:sz w:val="20"/>
        </w:rPr>
      </w:pPr>
      <w:r>
        <w:rPr>
          <w:sz w:val="20"/>
        </w:rPr>
        <w:t>expire</w:t>
      </w:r>
      <w:r>
        <w:rPr>
          <w:sz w:val="20"/>
        </w:rPr>
        <w:tab/>
        <w:t>Sch. 2 cl. 10</w:t>
      </w:r>
    </w:p>
    <w:p>
      <w:pPr>
        <w:tabs>
          <w:tab w:val="right" w:leader="dot" w:pos="7070"/>
        </w:tabs>
        <w:ind w:left="578" w:right="578"/>
        <w:rPr>
          <w:sz w:val="20"/>
        </w:rPr>
      </w:pPr>
      <w:r>
        <w:rPr>
          <w:sz w:val="20"/>
        </w:rPr>
        <w:t>explanatory information</w:t>
      </w:r>
      <w:r>
        <w:rPr>
          <w:sz w:val="20"/>
        </w:rPr>
        <w:tab/>
        <w:t>30A</w:t>
      </w:r>
    </w:p>
    <w:p>
      <w:pPr>
        <w:tabs>
          <w:tab w:val="right" w:leader="dot" w:pos="7070"/>
        </w:tabs>
        <w:ind w:left="578" w:right="578"/>
        <w:rPr>
          <w:sz w:val="20"/>
        </w:rPr>
      </w:pPr>
      <w:r>
        <w:rPr>
          <w:sz w:val="20"/>
        </w:rPr>
        <w:t>extension and expansion requirements</w:t>
      </w:r>
      <w:r>
        <w:rPr>
          <w:sz w:val="20"/>
        </w:rPr>
        <w:tab/>
        <w:t>2</w:t>
      </w:r>
    </w:p>
    <w:p>
      <w:pPr>
        <w:tabs>
          <w:tab w:val="right" w:leader="dot" w:pos="7070"/>
        </w:tabs>
        <w:ind w:left="578" w:right="578"/>
        <w:rPr>
          <w:sz w:val="20"/>
        </w:rPr>
      </w:pPr>
      <w:r>
        <w:rPr>
          <w:sz w:val="20"/>
        </w:rPr>
        <w:t>fail</w:t>
      </w:r>
      <w:r>
        <w:rPr>
          <w:sz w:val="20"/>
        </w:rPr>
        <w:tab/>
        <w:t>Sch. 2 cl. 10</w:t>
      </w:r>
    </w:p>
    <w:p>
      <w:pPr>
        <w:tabs>
          <w:tab w:val="right" w:leader="dot" w:pos="7070"/>
        </w:tabs>
        <w:ind w:left="578" w:right="578"/>
        <w:rPr>
          <w:sz w:val="20"/>
        </w:rPr>
      </w:pPr>
      <w:r>
        <w:rPr>
          <w:sz w:val="20"/>
        </w:rPr>
        <w:t>final Rule determination</w:t>
      </w:r>
      <w:r>
        <w:rPr>
          <w:sz w:val="20"/>
        </w:rPr>
        <w:tab/>
        <w:t>2</w:t>
      </w:r>
    </w:p>
    <w:p>
      <w:pPr>
        <w:tabs>
          <w:tab w:val="right" w:leader="dot" w:pos="7070"/>
        </w:tabs>
        <w:ind w:left="578" w:right="578"/>
        <w:rPr>
          <w:sz w:val="20"/>
        </w:rPr>
      </w:pPr>
      <w:r>
        <w:rPr>
          <w:sz w:val="20"/>
        </w:rPr>
        <w:t>financial year</w:t>
      </w:r>
      <w:r>
        <w:rPr>
          <w:sz w:val="20"/>
        </w:rPr>
        <w:tab/>
        <w:t>Sch. 2 cl. 10</w:t>
      </w:r>
    </w:p>
    <w:p>
      <w:pPr>
        <w:tabs>
          <w:tab w:val="right" w:leader="dot" w:pos="7070"/>
        </w:tabs>
        <w:ind w:left="578" w:right="578"/>
        <w:rPr>
          <w:sz w:val="20"/>
        </w:rPr>
      </w:pPr>
      <w:r>
        <w:rPr>
          <w:sz w:val="20"/>
        </w:rPr>
        <w:t>foreign company</w:t>
      </w:r>
      <w:r>
        <w:rPr>
          <w:sz w:val="20"/>
        </w:rPr>
        <w:tab/>
        <w:t>2</w:t>
      </w:r>
    </w:p>
    <w:p>
      <w:pPr>
        <w:tabs>
          <w:tab w:val="right" w:leader="dot" w:pos="7070"/>
        </w:tabs>
        <w:ind w:left="578" w:right="578"/>
        <w:rPr>
          <w:sz w:val="20"/>
        </w:rPr>
      </w:pPr>
      <w:r>
        <w:rPr>
          <w:sz w:val="20"/>
        </w:rPr>
        <w:t>foreign source</w:t>
      </w:r>
      <w:r>
        <w:rPr>
          <w:sz w:val="20"/>
        </w:rPr>
        <w:tab/>
        <w:t>2</w:t>
      </w:r>
    </w:p>
    <w:p>
      <w:pPr>
        <w:tabs>
          <w:tab w:val="right" w:leader="dot" w:pos="7070"/>
        </w:tabs>
        <w:ind w:left="578" w:right="578"/>
        <w:rPr>
          <w:sz w:val="20"/>
        </w:rPr>
      </w:pPr>
      <w:r>
        <w:rPr>
          <w:sz w:val="20"/>
        </w:rPr>
        <w:t>form of regulation factors</w:t>
      </w:r>
      <w:r>
        <w:rPr>
          <w:sz w:val="20"/>
        </w:rPr>
        <w:tab/>
        <w:t>2</w:t>
      </w:r>
    </w:p>
    <w:p>
      <w:pPr>
        <w:tabs>
          <w:tab w:val="right" w:leader="dot" w:pos="7070"/>
        </w:tabs>
        <w:ind w:left="578" w:right="578"/>
        <w:rPr>
          <w:sz w:val="20"/>
        </w:rPr>
      </w:pPr>
      <w:r>
        <w:rPr>
          <w:sz w:val="20"/>
        </w:rPr>
        <w:t>full access arrangement</w:t>
      </w:r>
      <w:r>
        <w:rPr>
          <w:sz w:val="20"/>
        </w:rPr>
        <w:tab/>
        <w:t>2</w:t>
      </w:r>
    </w:p>
    <w:p>
      <w:pPr>
        <w:tabs>
          <w:tab w:val="right" w:leader="dot" w:pos="7070"/>
        </w:tabs>
        <w:ind w:left="578" w:right="578"/>
        <w:rPr>
          <w:sz w:val="20"/>
        </w:rPr>
      </w:pPr>
      <w:r>
        <w:rPr>
          <w:sz w:val="20"/>
        </w:rPr>
        <w:t>full access arrangement decision</w:t>
      </w:r>
      <w:r>
        <w:rPr>
          <w:sz w:val="20"/>
        </w:rPr>
        <w:tab/>
        <w:t>2</w:t>
      </w:r>
    </w:p>
    <w:p>
      <w:pPr>
        <w:keepNext/>
        <w:tabs>
          <w:tab w:val="right" w:leader="dot" w:pos="7070"/>
        </w:tabs>
        <w:ind w:left="578" w:right="578"/>
        <w:rPr>
          <w:sz w:val="20"/>
        </w:rPr>
      </w:pPr>
      <w:r>
        <w:rPr>
          <w:sz w:val="20"/>
        </w:rPr>
        <w:lastRenderedPageBreak/>
        <w:t>function</w:t>
      </w:r>
      <w:r>
        <w:rPr>
          <w:sz w:val="20"/>
        </w:rPr>
        <w:tab/>
        <w:t>Sch. 2 cl. 10</w:t>
      </w:r>
    </w:p>
    <w:p>
      <w:pPr>
        <w:keepNext/>
        <w:tabs>
          <w:tab w:val="right" w:leader="dot" w:pos="7070"/>
        </w:tabs>
        <w:ind w:left="578" w:right="578"/>
        <w:rPr>
          <w:sz w:val="20"/>
        </w:rPr>
      </w:pPr>
      <w:r>
        <w:rPr>
          <w:sz w:val="20"/>
        </w:rPr>
        <w:t>further disclosure notice</w:t>
      </w:r>
      <w:r>
        <w:rPr>
          <w:sz w:val="20"/>
        </w:rPr>
        <w:tab/>
        <w:t>329(6)</w:t>
      </w:r>
    </w:p>
    <w:p>
      <w:pPr>
        <w:tabs>
          <w:tab w:val="right" w:leader="dot" w:pos="7070"/>
        </w:tabs>
        <w:ind w:left="578" w:right="578"/>
        <w:rPr>
          <w:sz w:val="20"/>
        </w:rPr>
      </w:pPr>
      <w:r>
        <w:rPr>
          <w:sz w:val="20"/>
        </w:rPr>
        <w:t>Gas Code</w:t>
      </w:r>
      <w:r>
        <w:rPr>
          <w:sz w:val="20"/>
        </w:rPr>
        <w:tab/>
        <w:t>2</w:t>
      </w:r>
    </w:p>
    <w:p>
      <w:pPr>
        <w:tabs>
          <w:tab w:val="right" w:leader="dot" w:pos="7070"/>
        </w:tabs>
        <w:ind w:left="578" w:right="578"/>
        <w:rPr>
          <w:sz w:val="20"/>
        </w:rPr>
      </w:pPr>
      <w:r>
        <w:rPr>
          <w:sz w:val="20"/>
        </w:rPr>
        <w:t>gas market operator</w:t>
      </w:r>
      <w:r>
        <w:rPr>
          <w:sz w:val="20"/>
        </w:rPr>
        <w:tab/>
        <w:t>2</w:t>
      </w:r>
    </w:p>
    <w:p>
      <w:pPr>
        <w:tabs>
          <w:tab w:val="right" w:leader="dot" w:pos="7070"/>
        </w:tabs>
        <w:ind w:left="578" w:right="578"/>
        <w:rPr>
          <w:sz w:val="20"/>
        </w:rPr>
      </w:pPr>
      <w:r>
        <w:rPr>
          <w:sz w:val="20"/>
        </w:rPr>
        <w:t>gas market regulatory body</w:t>
      </w:r>
      <w:r>
        <w:rPr>
          <w:sz w:val="20"/>
        </w:rPr>
        <w:tab/>
        <w:t>290</w:t>
      </w:r>
    </w:p>
    <w:p>
      <w:pPr>
        <w:tabs>
          <w:tab w:val="right" w:leader="dot" w:pos="7070"/>
        </w:tabs>
        <w:ind w:left="578" w:right="578"/>
        <w:rPr>
          <w:sz w:val="20"/>
        </w:rPr>
      </w:pPr>
      <w:r>
        <w:rPr>
          <w:sz w:val="20"/>
        </w:rPr>
        <w:t>gas other than natural gas</w:t>
      </w:r>
      <w:r>
        <w:rPr>
          <w:sz w:val="20"/>
        </w:rPr>
        <w:tab/>
        <w:t>Act 6A(3)</w:t>
      </w:r>
    </w:p>
    <w:p>
      <w:pPr>
        <w:tabs>
          <w:tab w:val="right" w:leader="dot" w:pos="7070"/>
        </w:tabs>
        <w:ind w:left="578" w:right="578"/>
        <w:rPr>
          <w:sz w:val="20"/>
        </w:rPr>
      </w:pPr>
      <w:r>
        <w:rPr>
          <w:sz w:val="20"/>
        </w:rPr>
        <w:t>Gas Pipelines Access Law</w:t>
      </w:r>
      <w:r>
        <w:rPr>
          <w:sz w:val="20"/>
        </w:rPr>
        <w:tab/>
        <w:t>Act 11(4)</w:t>
      </w:r>
    </w:p>
    <w:p>
      <w:pPr>
        <w:tabs>
          <w:tab w:val="right" w:leader="dot" w:pos="7070"/>
        </w:tabs>
        <w:ind w:left="578" w:right="578"/>
        <w:rPr>
          <w:sz w:val="20"/>
        </w:rPr>
      </w:pPr>
      <w:r>
        <w:rPr>
          <w:sz w:val="20"/>
        </w:rPr>
        <w:t>Gazette</w:t>
      </w:r>
      <w:r>
        <w:rPr>
          <w:sz w:val="20"/>
        </w:rPr>
        <w:tab/>
        <w:t>Sch. 2 cl. 10</w:t>
      </w:r>
    </w:p>
    <w:p>
      <w:pPr>
        <w:tabs>
          <w:tab w:val="right" w:leader="dot" w:pos="7070"/>
        </w:tabs>
        <w:ind w:left="578" w:right="578"/>
        <w:rPr>
          <w:sz w:val="20"/>
        </w:rPr>
      </w:pPr>
      <w:r>
        <w:rPr>
          <w:sz w:val="20"/>
        </w:rPr>
        <w:t>general regulatory information order</w:t>
      </w:r>
      <w:r>
        <w:rPr>
          <w:sz w:val="20"/>
        </w:rPr>
        <w:tab/>
        <w:t>2</w:t>
      </w:r>
    </w:p>
    <w:p>
      <w:pPr>
        <w:tabs>
          <w:tab w:val="right" w:leader="dot" w:pos="7070"/>
        </w:tabs>
        <w:ind w:left="578" w:right="578"/>
        <w:rPr>
          <w:sz w:val="20"/>
        </w:rPr>
      </w:pPr>
      <w:r>
        <w:rPr>
          <w:sz w:val="20"/>
        </w:rPr>
        <w:t>government or regulatory entity</w:t>
      </w:r>
      <w:r>
        <w:rPr>
          <w:sz w:val="20"/>
        </w:rPr>
        <w:tab/>
        <w:t>Sch. 3 cl. 133</w:t>
      </w:r>
    </w:p>
    <w:p>
      <w:pPr>
        <w:tabs>
          <w:tab w:val="right" w:leader="dot" w:pos="7070"/>
        </w:tabs>
        <w:ind w:left="578" w:right="578"/>
        <w:rPr>
          <w:sz w:val="20"/>
        </w:rPr>
      </w:pPr>
      <w:r>
        <w:rPr>
          <w:sz w:val="20"/>
        </w:rPr>
        <w:t>GMCo</w:t>
      </w:r>
      <w:r>
        <w:rPr>
          <w:sz w:val="20"/>
        </w:rPr>
        <w:tab/>
        <w:t>290</w:t>
      </w:r>
    </w:p>
    <w:p>
      <w:pPr>
        <w:tabs>
          <w:tab w:val="right" w:leader="dot" w:pos="7070"/>
        </w:tabs>
        <w:ind w:left="578" w:right="578"/>
        <w:rPr>
          <w:sz w:val="20"/>
        </w:rPr>
      </w:pPr>
      <w:r>
        <w:rPr>
          <w:sz w:val="20"/>
        </w:rPr>
        <w:t>greenfields pipeline incentive</w:t>
      </w:r>
      <w:r>
        <w:rPr>
          <w:sz w:val="20"/>
        </w:rPr>
        <w:tab/>
        <w:t>2</w:t>
      </w:r>
    </w:p>
    <w:p>
      <w:pPr>
        <w:tabs>
          <w:tab w:val="right" w:leader="dot" w:pos="7070"/>
        </w:tabs>
        <w:ind w:left="578" w:right="578"/>
        <w:rPr>
          <w:sz w:val="20"/>
        </w:rPr>
      </w:pPr>
      <w:r>
        <w:rPr>
          <w:sz w:val="20"/>
        </w:rPr>
        <w:t>greenfields pipeline project</w:t>
      </w:r>
      <w:r>
        <w:rPr>
          <w:sz w:val="20"/>
        </w:rPr>
        <w:tab/>
        <w:t>149</w:t>
      </w:r>
    </w:p>
    <w:p>
      <w:pPr>
        <w:tabs>
          <w:tab w:val="right" w:leader="dot" w:pos="7070"/>
        </w:tabs>
        <w:ind w:left="578" w:right="578"/>
        <w:rPr>
          <w:sz w:val="20"/>
        </w:rPr>
      </w:pPr>
      <w:r>
        <w:rPr>
          <w:sz w:val="20"/>
        </w:rPr>
        <w:t>haulage</w:t>
      </w:r>
      <w:r>
        <w:rPr>
          <w:sz w:val="20"/>
        </w:rPr>
        <w:tab/>
        <w:t>2</w:t>
      </w:r>
    </w:p>
    <w:p>
      <w:pPr>
        <w:tabs>
          <w:tab w:val="right" w:leader="dot" w:pos="7070"/>
        </w:tabs>
        <w:ind w:left="578" w:right="578"/>
        <w:rPr>
          <w:sz w:val="20"/>
        </w:rPr>
      </w:pPr>
      <w:r>
        <w:rPr>
          <w:sz w:val="20"/>
        </w:rPr>
        <w:t>information</w:t>
      </w:r>
      <w:r>
        <w:rPr>
          <w:sz w:val="20"/>
        </w:rPr>
        <w:tab/>
        <w:t>30T</w:t>
      </w:r>
    </w:p>
    <w:p>
      <w:pPr>
        <w:tabs>
          <w:tab w:val="right" w:leader="dot" w:pos="7070"/>
        </w:tabs>
        <w:ind w:left="578" w:right="578"/>
        <w:rPr>
          <w:sz w:val="20"/>
        </w:rPr>
      </w:pPr>
      <w:r>
        <w:rPr>
          <w:sz w:val="20"/>
        </w:rPr>
        <w:t>initial classification decision</w:t>
      </w:r>
      <w:r>
        <w:rPr>
          <w:sz w:val="20"/>
        </w:rPr>
        <w:tab/>
        <w:t>2, 98(1), 155(1)</w:t>
      </w:r>
    </w:p>
    <w:p>
      <w:pPr>
        <w:tabs>
          <w:tab w:val="right" w:leader="dot" w:pos="7070"/>
        </w:tabs>
        <w:ind w:left="578" w:right="578"/>
        <w:rPr>
          <w:sz w:val="20"/>
        </w:rPr>
      </w:pPr>
      <w:r>
        <w:rPr>
          <w:sz w:val="20"/>
        </w:rPr>
        <w:t>initial disclosure notice</w:t>
      </w:r>
      <w:r>
        <w:rPr>
          <w:sz w:val="20"/>
        </w:rPr>
        <w:tab/>
        <w:t>329(2), (3)</w:t>
      </w:r>
    </w:p>
    <w:p>
      <w:pPr>
        <w:tabs>
          <w:tab w:val="right" w:leader="dot" w:pos="7070"/>
        </w:tabs>
        <w:ind w:left="578" w:right="578"/>
        <w:rPr>
          <w:sz w:val="20"/>
        </w:rPr>
      </w:pPr>
      <w:r>
        <w:rPr>
          <w:sz w:val="20"/>
        </w:rPr>
        <w:t>initial National Gas Rules</w:t>
      </w:r>
      <w:r>
        <w:rPr>
          <w:sz w:val="20"/>
        </w:rPr>
        <w:tab/>
        <w:t>2</w:t>
      </w:r>
    </w:p>
    <w:p>
      <w:pPr>
        <w:tabs>
          <w:tab w:val="right" w:leader="dot" w:pos="7070"/>
        </w:tabs>
        <w:ind w:left="578" w:right="578"/>
        <w:rPr>
          <w:sz w:val="20"/>
        </w:rPr>
      </w:pPr>
      <w:r>
        <w:rPr>
          <w:sz w:val="20"/>
        </w:rPr>
        <w:t>instrument</w:t>
      </w:r>
      <w:r>
        <w:rPr>
          <w:sz w:val="20"/>
        </w:rPr>
        <w:tab/>
        <w:t>Sch. 2 cl. 10</w:t>
      </w:r>
    </w:p>
    <w:p>
      <w:pPr>
        <w:tabs>
          <w:tab w:val="right" w:leader="dot" w:pos="7070"/>
        </w:tabs>
        <w:ind w:left="578" w:right="578"/>
        <w:rPr>
          <w:sz w:val="20"/>
        </w:rPr>
      </w:pPr>
      <w:r>
        <w:rPr>
          <w:sz w:val="20"/>
        </w:rPr>
        <w:t>interest</w:t>
      </w:r>
      <w:r>
        <w:rPr>
          <w:sz w:val="20"/>
        </w:rPr>
        <w:tab/>
        <w:t>Sch. 2 cl. 10</w:t>
      </w:r>
    </w:p>
    <w:p>
      <w:pPr>
        <w:tabs>
          <w:tab w:val="right" w:leader="dot" w:pos="7070"/>
        </w:tabs>
        <w:ind w:left="578" w:right="578"/>
        <w:rPr>
          <w:sz w:val="20"/>
        </w:rPr>
      </w:pPr>
      <w:r>
        <w:rPr>
          <w:sz w:val="20"/>
        </w:rPr>
        <w:t>international pipeline</w:t>
      </w:r>
      <w:r>
        <w:rPr>
          <w:sz w:val="20"/>
        </w:rPr>
        <w:tab/>
        <w:t>2</w:t>
      </w:r>
    </w:p>
    <w:p>
      <w:pPr>
        <w:tabs>
          <w:tab w:val="right" w:leader="dot" w:pos="7070"/>
        </w:tabs>
        <w:ind w:left="578" w:right="578"/>
        <w:rPr>
          <w:sz w:val="20"/>
        </w:rPr>
      </w:pPr>
      <w:r>
        <w:rPr>
          <w:sz w:val="20"/>
        </w:rPr>
        <w:t>intervener</w:t>
      </w:r>
      <w:r>
        <w:rPr>
          <w:sz w:val="20"/>
        </w:rPr>
        <w:tab/>
        <w:t>244</w:t>
      </w:r>
    </w:p>
    <w:p>
      <w:pPr>
        <w:tabs>
          <w:tab w:val="right" w:leader="dot" w:pos="7070"/>
        </w:tabs>
        <w:ind w:left="578" w:right="578"/>
        <w:rPr>
          <w:sz w:val="20"/>
        </w:rPr>
      </w:pPr>
      <w:r>
        <w:rPr>
          <w:sz w:val="20"/>
        </w:rPr>
        <w:t>jurisdictional determination criteria</w:t>
      </w:r>
      <w:r>
        <w:rPr>
          <w:sz w:val="20"/>
        </w:rPr>
        <w:tab/>
        <w:t>2</w:t>
      </w:r>
    </w:p>
    <w:p>
      <w:pPr>
        <w:tabs>
          <w:tab w:val="right" w:leader="dot" w:pos="7070"/>
        </w:tabs>
        <w:ind w:left="578" w:right="578"/>
        <w:rPr>
          <w:sz w:val="20"/>
        </w:rPr>
      </w:pPr>
      <w:r>
        <w:rPr>
          <w:sz w:val="20"/>
        </w:rPr>
        <w:t>jurisdictional gas legislation</w:t>
      </w:r>
      <w:r>
        <w:rPr>
          <w:sz w:val="20"/>
        </w:rPr>
        <w:tab/>
        <w:t>2</w:t>
      </w:r>
    </w:p>
    <w:p>
      <w:pPr>
        <w:tabs>
          <w:tab w:val="right" w:leader="dot" w:pos="7070"/>
        </w:tabs>
        <w:ind w:left="578" w:right="578"/>
        <w:rPr>
          <w:sz w:val="20"/>
        </w:rPr>
      </w:pPr>
      <w:r>
        <w:rPr>
          <w:sz w:val="20"/>
        </w:rPr>
        <w:t>Law extrinsic material</w:t>
      </w:r>
      <w:r>
        <w:rPr>
          <w:sz w:val="20"/>
        </w:rPr>
        <w:tab/>
        <w:t>Sch. 2 cl. 8</w:t>
      </w:r>
    </w:p>
    <w:p>
      <w:pPr>
        <w:tabs>
          <w:tab w:val="right" w:leader="dot" w:pos="7070"/>
        </w:tabs>
        <w:ind w:left="578" w:right="578"/>
        <w:rPr>
          <w:sz w:val="20"/>
        </w:rPr>
      </w:pPr>
      <w:r>
        <w:rPr>
          <w:sz w:val="20"/>
        </w:rPr>
        <w:t>Legislature of this jurisdiction</w:t>
      </w:r>
      <w:r>
        <w:rPr>
          <w:sz w:val="20"/>
        </w:rPr>
        <w:tab/>
        <w:t>Act 9(1)</w:t>
      </w:r>
    </w:p>
    <w:p>
      <w:pPr>
        <w:tabs>
          <w:tab w:val="right" w:leader="dot" w:pos="7070"/>
        </w:tabs>
        <w:ind w:left="578" w:right="578"/>
        <w:rPr>
          <w:sz w:val="20"/>
        </w:rPr>
      </w:pPr>
      <w:r>
        <w:rPr>
          <w:sz w:val="20"/>
        </w:rPr>
        <w:t>light regulation determination</w:t>
      </w:r>
      <w:r>
        <w:rPr>
          <w:sz w:val="20"/>
        </w:rPr>
        <w:tab/>
        <w:t>2, 110(1), 112(1)</w:t>
      </w:r>
    </w:p>
    <w:p>
      <w:pPr>
        <w:tabs>
          <w:tab w:val="right" w:leader="dot" w:pos="7070"/>
        </w:tabs>
        <w:ind w:left="578" w:right="578"/>
        <w:rPr>
          <w:sz w:val="20"/>
        </w:rPr>
      </w:pPr>
      <w:r>
        <w:rPr>
          <w:sz w:val="20"/>
        </w:rPr>
        <w:t>light regulation services</w:t>
      </w:r>
      <w:r>
        <w:rPr>
          <w:sz w:val="20"/>
        </w:rPr>
        <w:tab/>
        <w:t>2</w:t>
      </w:r>
    </w:p>
    <w:p>
      <w:pPr>
        <w:tabs>
          <w:tab w:val="right" w:leader="dot" w:pos="7070"/>
        </w:tabs>
        <w:ind w:left="578" w:right="578"/>
        <w:rPr>
          <w:sz w:val="20"/>
        </w:rPr>
      </w:pPr>
      <w:r>
        <w:rPr>
          <w:sz w:val="20"/>
        </w:rPr>
        <w:t>limited access arrangement</w:t>
      </w:r>
      <w:r>
        <w:rPr>
          <w:sz w:val="20"/>
        </w:rPr>
        <w:tab/>
        <w:t>2</w:t>
      </w:r>
    </w:p>
    <w:p>
      <w:pPr>
        <w:tabs>
          <w:tab w:val="right" w:leader="dot" w:pos="7070"/>
        </w:tabs>
        <w:ind w:left="578" w:right="578"/>
        <w:rPr>
          <w:sz w:val="20"/>
        </w:rPr>
      </w:pPr>
      <w:r>
        <w:rPr>
          <w:sz w:val="20"/>
        </w:rPr>
        <w:t>limited access arrangement decision</w:t>
      </w:r>
      <w:r>
        <w:rPr>
          <w:sz w:val="20"/>
        </w:rPr>
        <w:tab/>
        <w:t>2</w:t>
      </w:r>
    </w:p>
    <w:p>
      <w:pPr>
        <w:tabs>
          <w:tab w:val="right" w:leader="dot" w:pos="7070"/>
        </w:tabs>
        <w:ind w:left="578" w:right="578"/>
        <w:rPr>
          <w:sz w:val="20"/>
        </w:rPr>
      </w:pPr>
      <w:r>
        <w:rPr>
          <w:sz w:val="20"/>
        </w:rPr>
        <w:t>make</w:t>
      </w:r>
      <w:r>
        <w:rPr>
          <w:sz w:val="20"/>
        </w:rPr>
        <w:tab/>
        <w:t>Sch. 2 cl. 10</w:t>
      </w:r>
    </w:p>
    <w:p>
      <w:pPr>
        <w:tabs>
          <w:tab w:val="right" w:leader="dot" w:pos="7070"/>
        </w:tabs>
        <w:ind w:left="578" w:right="578"/>
        <w:rPr>
          <w:sz w:val="20"/>
        </w:rPr>
      </w:pPr>
      <w:r>
        <w:rPr>
          <w:sz w:val="20"/>
        </w:rPr>
        <w:t>market initiated proposed Rule</w:t>
      </w:r>
      <w:r>
        <w:rPr>
          <w:sz w:val="20"/>
        </w:rPr>
        <w:tab/>
        <w:t>290</w:t>
      </w:r>
    </w:p>
    <w:p>
      <w:pPr>
        <w:tabs>
          <w:tab w:val="right" w:leader="dot" w:pos="7070"/>
        </w:tabs>
        <w:ind w:left="578" w:right="578"/>
        <w:rPr>
          <w:sz w:val="20"/>
        </w:rPr>
      </w:pPr>
      <w:r>
        <w:rPr>
          <w:sz w:val="20"/>
        </w:rPr>
        <w:t>marketing staff</w:t>
      </w:r>
      <w:r>
        <w:rPr>
          <w:sz w:val="20"/>
        </w:rPr>
        <w:tab/>
        <w:t>137</w:t>
      </w:r>
    </w:p>
    <w:p>
      <w:pPr>
        <w:tabs>
          <w:tab w:val="right" w:leader="dot" w:pos="7070"/>
        </w:tabs>
        <w:ind w:left="578" w:right="578"/>
        <w:rPr>
          <w:sz w:val="20"/>
        </w:rPr>
      </w:pPr>
      <w:r>
        <w:rPr>
          <w:sz w:val="20"/>
        </w:rPr>
        <w:t>materially preferable designated NGO decision</w:t>
      </w:r>
      <w:r>
        <w:rPr>
          <w:sz w:val="20"/>
        </w:rPr>
        <w:tab/>
        <w:t>244, 259</w:t>
      </w:r>
    </w:p>
    <w:p>
      <w:pPr>
        <w:tabs>
          <w:tab w:val="right" w:leader="dot" w:pos="7070"/>
        </w:tabs>
        <w:ind w:left="578" w:right="578"/>
        <w:rPr>
          <w:sz w:val="20"/>
        </w:rPr>
      </w:pPr>
      <w:r>
        <w:rPr>
          <w:sz w:val="20"/>
        </w:rPr>
        <w:t>matters of a transitional nature</w:t>
      </w:r>
      <w:r>
        <w:rPr>
          <w:sz w:val="20"/>
        </w:rPr>
        <w:tab/>
        <w:t>Act 11(4)</w:t>
      </w:r>
    </w:p>
    <w:p>
      <w:pPr>
        <w:tabs>
          <w:tab w:val="right" w:leader="dot" w:pos="7070"/>
        </w:tabs>
        <w:ind w:left="578" w:right="578"/>
        <w:rPr>
          <w:sz w:val="20"/>
        </w:rPr>
      </w:pPr>
      <w:r>
        <w:rPr>
          <w:sz w:val="20"/>
        </w:rPr>
        <w:t>MCE</w:t>
      </w:r>
      <w:r>
        <w:rPr>
          <w:sz w:val="20"/>
        </w:rPr>
        <w:tab/>
        <w:t>2</w:t>
      </w:r>
    </w:p>
    <w:p>
      <w:pPr>
        <w:tabs>
          <w:tab w:val="right" w:leader="dot" w:pos="7070"/>
        </w:tabs>
        <w:ind w:left="578" w:right="578"/>
        <w:rPr>
          <w:sz w:val="20"/>
        </w:rPr>
      </w:pPr>
      <w:r>
        <w:rPr>
          <w:sz w:val="20"/>
        </w:rPr>
        <w:t>MCE directed review</w:t>
      </w:r>
      <w:r>
        <w:rPr>
          <w:sz w:val="20"/>
        </w:rPr>
        <w:tab/>
        <w:t>2</w:t>
      </w:r>
    </w:p>
    <w:p>
      <w:pPr>
        <w:tabs>
          <w:tab w:val="right" w:leader="dot" w:pos="7070"/>
        </w:tabs>
        <w:ind w:left="578" w:right="578"/>
        <w:rPr>
          <w:sz w:val="20"/>
        </w:rPr>
      </w:pPr>
      <w:r>
        <w:rPr>
          <w:sz w:val="20"/>
        </w:rPr>
        <w:t>MCE statement</w:t>
      </w:r>
      <w:r>
        <w:rPr>
          <w:sz w:val="20"/>
        </w:rPr>
        <w:tab/>
        <w:t>Sch. 3 cl. 137</w:t>
      </w:r>
    </w:p>
    <w:p>
      <w:pPr>
        <w:tabs>
          <w:tab w:val="right" w:leader="dot" w:pos="7070"/>
        </w:tabs>
        <w:ind w:left="578" w:right="578"/>
        <w:rPr>
          <w:sz w:val="20"/>
        </w:rPr>
      </w:pPr>
      <w:r>
        <w:rPr>
          <w:sz w:val="20"/>
        </w:rPr>
        <w:t>MCE statement of policy principles</w:t>
      </w:r>
      <w:r>
        <w:rPr>
          <w:sz w:val="20"/>
        </w:rPr>
        <w:tab/>
        <w:t>2</w:t>
      </w:r>
    </w:p>
    <w:p>
      <w:pPr>
        <w:tabs>
          <w:tab w:val="right" w:leader="dot" w:pos="7070"/>
        </w:tabs>
        <w:ind w:left="578" w:right="578"/>
        <w:rPr>
          <w:sz w:val="20"/>
        </w:rPr>
      </w:pPr>
      <w:r>
        <w:rPr>
          <w:sz w:val="20"/>
        </w:rPr>
        <w:t>minimum ring fencing requirement</w:t>
      </w:r>
      <w:r>
        <w:rPr>
          <w:sz w:val="20"/>
        </w:rPr>
        <w:tab/>
        <w:t>2</w:t>
      </w:r>
    </w:p>
    <w:p>
      <w:pPr>
        <w:tabs>
          <w:tab w:val="right" w:leader="dot" w:pos="7070"/>
        </w:tabs>
        <w:ind w:left="578" w:right="578"/>
        <w:rPr>
          <w:sz w:val="20"/>
        </w:rPr>
      </w:pPr>
      <w:r>
        <w:rPr>
          <w:sz w:val="20"/>
        </w:rPr>
        <w:t>Minister of a participating jurisdiction</w:t>
      </w:r>
      <w:r>
        <w:rPr>
          <w:sz w:val="20"/>
        </w:rPr>
        <w:tab/>
        <w:t>2</w:t>
      </w:r>
    </w:p>
    <w:p>
      <w:pPr>
        <w:tabs>
          <w:tab w:val="right" w:leader="dot" w:pos="7070"/>
        </w:tabs>
        <w:ind w:left="578" w:right="578"/>
        <w:rPr>
          <w:sz w:val="20"/>
        </w:rPr>
      </w:pPr>
      <w:r>
        <w:rPr>
          <w:sz w:val="20"/>
        </w:rPr>
        <w:t>Minister of this participating jurisdiction</w:t>
      </w:r>
      <w:r>
        <w:rPr>
          <w:sz w:val="20"/>
        </w:rPr>
        <w:tab/>
        <w:t>87(3)</w:t>
      </w:r>
    </w:p>
    <w:p>
      <w:pPr>
        <w:tabs>
          <w:tab w:val="right" w:leader="dot" w:pos="7070"/>
        </w:tabs>
        <w:ind w:left="578" w:right="578"/>
        <w:rPr>
          <w:sz w:val="20"/>
        </w:rPr>
      </w:pPr>
      <w:r>
        <w:rPr>
          <w:sz w:val="20"/>
        </w:rPr>
        <w:t>Ministerial coverage decision</w:t>
      </w:r>
      <w:r>
        <w:rPr>
          <w:sz w:val="20"/>
        </w:rPr>
        <w:tab/>
        <w:t>2</w:t>
      </w:r>
    </w:p>
    <w:p>
      <w:pPr>
        <w:tabs>
          <w:tab w:val="right" w:leader="dot" w:pos="7070"/>
        </w:tabs>
        <w:ind w:left="578" w:right="578"/>
        <w:rPr>
          <w:sz w:val="20"/>
        </w:rPr>
      </w:pPr>
      <w:r>
        <w:rPr>
          <w:sz w:val="20"/>
        </w:rPr>
        <w:t>Ministerial or NCC scheme decision</w:t>
      </w:r>
      <w:r>
        <w:rPr>
          <w:sz w:val="20"/>
        </w:rPr>
        <w:tab/>
        <w:t>333(3)</w:t>
      </w:r>
    </w:p>
    <w:p>
      <w:pPr>
        <w:keepNext/>
        <w:tabs>
          <w:tab w:val="right" w:leader="dot" w:pos="7070"/>
        </w:tabs>
        <w:ind w:left="578" w:right="578"/>
        <w:rPr>
          <w:sz w:val="20"/>
        </w:rPr>
      </w:pPr>
      <w:r>
        <w:rPr>
          <w:sz w:val="20"/>
        </w:rPr>
        <w:lastRenderedPageBreak/>
        <w:t>minor</w:t>
      </w:r>
      <w:r>
        <w:rPr>
          <w:sz w:val="20"/>
        </w:rPr>
        <w:tab/>
        <w:t>Sch. 2 cl. 10</w:t>
      </w:r>
    </w:p>
    <w:p>
      <w:pPr>
        <w:keepNext/>
        <w:tabs>
          <w:tab w:val="right" w:leader="dot" w:pos="7070"/>
        </w:tabs>
        <w:ind w:left="578" w:right="578"/>
        <w:rPr>
          <w:sz w:val="20"/>
        </w:rPr>
      </w:pPr>
      <w:r>
        <w:rPr>
          <w:sz w:val="20"/>
        </w:rPr>
        <w:t>modification</w:t>
      </w:r>
      <w:r>
        <w:rPr>
          <w:sz w:val="20"/>
        </w:rPr>
        <w:tab/>
        <w:t>Sch. 2 cl. 10</w:t>
      </w:r>
    </w:p>
    <w:p>
      <w:pPr>
        <w:tabs>
          <w:tab w:val="right" w:leader="dot" w:pos="7070"/>
        </w:tabs>
        <w:ind w:left="578" w:right="578"/>
        <w:rPr>
          <w:sz w:val="20"/>
        </w:rPr>
      </w:pPr>
      <w:r>
        <w:rPr>
          <w:sz w:val="20"/>
        </w:rPr>
        <w:t>month</w:t>
      </w:r>
      <w:r>
        <w:rPr>
          <w:sz w:val="20"/>
        </w:rPr>
        <w:tab/>
        <w:t>Sch. 2 cl. 10</w:t>
      </w:r>
    </w:p>
    <w:p>
      <w:pPr>
        <w:tabs>
          <w:tab w:val="right" w:leader="dot" w:pos="7070"/>
        </w:tabs>
        <w:ind w:left="578" w:right="578"/>
        <w:rPr>
          <w:sz w:val="20"/>
        </w:rPr>
      </w:pPr>
      <w:r>
        <w:rPr>
          <w:sz w:val="20"/>
        </w:rPr>
        <w:t>more preferable Rule</w:t>
      </w:r>
      <w:r>
        <w:rPr>
          <w:sz w:val="20"/>
        </w:rPr>
        <w:tab/>
        <w:t>290, 296</w:t>
      </w:r>
    </w:p>
    <w:p>
      <w:pPr>
        <w:tabs>
          <w:tab w:val="right" w:leader="dot" w:pos="7070"/>
        </w:tabs>
        <w:ind w:left="578" w:right="578"/>
        <w:rPr>
          <w:sz w:val="20"/>
        </w:rPr>
      </w:pPr>
      <w:r>
        <w:rPr>
          <w:sz w:val="20"/>
        </w:rPr>
        <w:t>named month</w:t>
      </w:r>
      <w:r>
        <w:rPr>
          <w:sz w:val="20"/>
        </w:rPr>
        <w:tab/>
        <w:t>Sch. 2 cl. 10</w:t>
      </w:r>
    </w:p>
    <w:p>
      <w:pPr>
        <w:tabs>
          <w:tab w:val="right" w:leader="dot" w:pos="7070"/>
        </w:tabs>
        <w:ind w:left="578" w:right="578"/>
        <w:rPr>
          <w:sz w:val="20"/>
        </w:rPr>
      </w:pPr>
      <w:r>
        <w:rPr>
          <w:sz w:val="20"/>
        </w:rPr>
        <w:t>National Gas Access (Western Australia) Law</w:t>
      </w:r>
      <w:r>
        <w:rPr>
          <w:sz w:val="20"/>
        </w:rPr>
        <w:tab/>
        <w:t>Act 3(1), 11(4)</w:t>
      </w:r>
    </w:p>
    <w:p>
      <w:pPr>
        <w:tabs>
          <w:tab w:val="right" w:leader="dot" w:pos="7070"/>
        </w:tabs>
        <w:ind w:left="578" w:right="578"/>
        <w:rPr>
          <w:sz w:val="20"/>
        </w:rPr>
      </w:pPr>
      <w:r>
        <w:rPr>
          <w:sz w:val="20"/>
        </w:rPr>
        <w:t>National Gas Access (Western Australia) Regulations</w:t>
      </w:r>
      <w:r>
        <w:rPr>
          <w:sz w:val="20"/>
        </w:rPr>
        <w:tab/>
        <w:t>Act 3(1)</w:t>
      </w:r>
    </w:p>
    <w:p>
      <w:pPr>
        <w:tabs>
          <w:tab w:val="right" w:leader="dot" w:pos="7070"/>
        </w:tabs>
        <w:ind w:left="578" w:right="578"/>
        <w:rPr>
          <w:sz w:val="20"/>
        </w:rPr>
      </w:pPr>
      <w:r>
        <w:rPr>
          <w:sz w:val="20"/>
        </w:rPr>
        <w:t>National Gas Law</w:t>
      </w:r>
      <w:r>
        <w:rPr>
          <w:sz w:val="20"/>
        </w:rPr>
        <w:tab/>
        <w:t>Act 9(1)</w:t>
      </w:r>
    </w:p>
    <w:p>
      <w:pPr>
        <w:tabs>
          <w:tab w:val="right" w:leader="dot" w:pos="7070"/>
        </w:tabs>
        <w:ind w:left="578" w:right="578"/>
        <w:rPr>
          <w:sz w:val="20"/>
        </w:rPr>
      </w:pPr>
      <w:r>
        <w:rPr>
          <w:sz w:val="20"/>
        </w:rPr>
        <w:t>national gas legislation</w:t>
      </w:r>
      <w:r>
        <w:rPr>
          <w:sz w:val="20"/>
        </w:rPr>
        <w:tab/>
        <w:t>2</w:t>
      </w:r>
    </w:p>
    <w:p>
      <w:pPr>
        <w:tabs>
          <w:tab w:val="right" w:leader="dot" w:pos="7070"/>
        </w:tabs>
        <w:ind w:left="578" w:right="578"/>
        <w:rPr>
          <w:sz w:val="20"/>
        </w:rPr>
      </w:pPr>
      <w:r>
        <w:rPr>
          <w:sz w:val="20"/>
        </w:rPr>
        <w:t>national gas objective</w:t>
      </w:r>
      <w:r>
        <w:rPr>
          <w:sz w:val="20"/>
        </w:rPr>
        <w:tab/>
        <w:t>2</w:t>
      </w:r>
    </w:p>
    <w:p>
      <w:pPr>
        <w:tabs>
          <w:tab w:val="right" w:leader="dot" w:pos="7070"/>
        </w:tabs>
        <w:ind w:left="578" w:right="578"/>
        <w:rPr>
          <w:sz w:val="20"/>
        </w:rPr>
      </w:pPr>
      <w:r>
        <w:rPr>
          <w:sz w:val="20"/>
        </w:rPr>
        <w:t>National Gas Rules</w:t>
      </w:r>
      <w:r>
        <w:rPr>
          <w:sz w:val="20"/>
        </w:rPr>
        <w:tab/>
        <w:t>2</w:t>
      </w:r>
    </w:p>
    <w:p>
      <w:pPr>
        <w:tabs>
          <w:tab w:val="right" w:leader="dot" w:pos="7070"/>
        </w:tabs>
        <w:ind w:left="578" w:right="578"/>
        <w:rPr>
          <w:sz w:val="20"/>
        </w:rPr>
      </w:pPr>
      <w:r>
        <w:rPr>
          <w:sz w:val="20"/>
        </w:rPr>
        <w:t>national provisions</w:t>
      </w:r>
      <w:r>
        <w:rPr>
          <w:sz w:val="20"/>
        </w:rPr>
        <w:tab/>
        <w:t>Act 19(3)</w:t>
      </w:r>
    </w:p>
    <w:p>
      <w:pPr>
        <w:tabs>
          <w:tab w:val="right" w:leader="dot" w:pos="7070"/>
        </w:tabs>
        <w:ind w:left="578" w:right="578"/>
        <w:rPr>
          <w:sz w:val="20"/>
        </w:rPr>
      </w:pPr>
      <w:r>
        <w:rPr>
          <w:sz w:val="20"/>
        </w:rPr>
        <w:t>natural gas</w:t>
      </w:r>
      <w:r>
        <w:rPr>
          <w:sz w:val="20"/>
        </w:rPr>
        <w:tab/>
        <w:t>2</w:t>
      </w:r>
    </w:p>
    <w:p>
      <w:pPr>
        <w:tabs>
          <w:tab w:val="right" w:leader="dot" w:pos="7070"/>
        </w:tabs>
        <w:ind w:left="578" w:right="578"/>
        <w:rPr>
          <w:sz w:val="20"/>
        </w:rPr>
      </w:pPr>
      <w:r>
        <w:rPr>
          <w:sz w:val="20"/>
        </w:rPr>
        <w:t>natural gas service</w:t>
      </w:r>
      <w:r>
        <w:rPr>
          <w:sz w:val="20"/>
        </w:rPr>
        <w:tab/>
        <w:t>2</w:t>
      </w:r>
    </w:p>
    <w:p>
      <w:pPr>
        <w:tabs>
          <w:tab w:val="right" w:leader="dot" w:pos="7070"/>
        </w:tabs>
        <w:ind w:left="578" w:right="578"/>
        <w:rPr>
          <w:sz w:val="20"/>
        </w:rPr>
      </w:pPr>
      <w:r>
        <w:rPr>
          <w:sz w:val="20"/>
        </w:rPr>
        <w:t>Natural Gas Services Bulletin Board</w:t>
      </w:r>
      <w:r>
        <w:rPr>
          <w:sz w:val="20"/>
        </w:rPr>
        <w:tab/>
        <w:t>2</w:t>
      </w:r>
    </w:p>
    <w:p>
      <w:pPr>
        <w:tabs>
          <w:tab w:val="right" w:leader="dot" w:pos="7070"/>
        </w:tabs>
        <w:ind w:left="578" w:right="578"/>
        <w:rPr>
          <w:sz w:val="20"/>
        </w:rPr>
      </w:pPr>
      <w:r>
        <w:rPr>
          <w:sz w:val="20"/>
        </w:rPr>
        <w:t>NCC</w:t>
      </w:r>
      <w:r>
        <w:rPr>
          <w:sz w:val="20"/>
        </w:rPr>
        <w:tab/>
        <w:t>2</w:t>
      </w:r>
    </w:p>
    <w:p>
      <w:pPr>
        <w:tabs>
          <w:tab w:val="right" w:leader="dot" w:pos="7070"/>
        </w:tabs>
        <w:ind w:left="578" w:right="578"/>
        <w:rPr>
          <w:sz w:val="20"/>
        </w:rPr>
      </w:pPr>
      <w:r>
        <w:rPr>
          <w:sz w:val="20"/>
        </w:rPr>
        <w:t>NCC member</w:t>
      </w:r>
      <w:r>
        <w:rPr>
          <w:sz w:val="20"/>
        </w:rPr>
        <w:tab/>
        <w:t>Sch. 2 cl. 33</w:t>
      </w:r>
    </w:p>
    <w:p>
      <w:pPr>
        <w:tabs>
          <w:tab w:val="right" w:leader="dot" w:pos="7070"/>
        </w:tabs>
        <w:ind w:left="578" w:right="578"/>
        <w:rPr>
          <w:sz w:val="20"/>
        </w:rPr>
      </w:pPr>
      <w:r>
        <w:rPr>
          <w:sz w:val="20"/>
        </w:rPr>
        <w:t>NCC recommendation</w:t>
      </w:r>
      <w:r>
        <w:rPr>
          <w:sz w:val="20"/>
        </w:rPr>
        <w:tab/>
        <w:t>244</w:t>
      </w:r>
    </w:p>
    <w:p>
      <w:pPr>
        <w:tabs>
          <w:tab w:val="right" w:leader="dot" w:pos="7070"/>
        </w:tabs>
        <w:ind w:left="578" w:right="578"/>
        <w:rPr>
          <w:sz w:val="20"/>
        </w:rPr>
      </w:pPr>
      <w:r>
        <w:rPr>
          <w:sz w:val="20"/>
        </w:rPr>
        <w:t>NCC recommendation or decision</w:t>
      </w:r>
      <w:r>
        <w:rPr>
          <w:sz w:val="20"/>
        </w:rPr>
        <w:tab/>
        <w:t>2</w:t>
      </w:r>
    </w:p>
    <w:p>
      <w:pPr>
        <w:tabs>
          <w:tab w:val="right" w:leader="dot" w:pos="7070"/>
        </w:tabs>
        <w:ind w:left="578" w:right="578"/>
        <w:rPr>
          <w:sz w:val="20"/>
        </w:rPr>
      </w:pPr>
      <w:r>
        <w:rPr>
          <w:sz w:val="20"/>
        </w:rPr>
        <w:t>new application Act</w:t>
      </w:r>
      <w:r>
        <w:rPr>
          <w:sz w:val="20"/>
        </w:rPr>
        <w:tab/>
        <w:t>Sch. 3 cl. 1</w:t>
      </w:r>
    </w:p>
    <w:p>
      <w:pPr>
        <w:tabs>
          <w:tab w:val="right" w:leader="dot" w:pos="7070"/>
        </w:tabs>
        <w:ind w:left="578" w:right="578"/>
        <w:rPr>
          <w:sz w:val="20"/>
        </w:rPr>
      </w:pPr>
      <w:r>
        <w:rPr>
          <w:sz w:val="20"/>
        </w:rPr>
        <w:t>new facility</w:t>
      </w:r>
      <w:r>
        <w:rPr>
          <w:sz w:val="20"/>
        </w:rPr>
        <w:tab/>
        <w:t>2</w:t>
      </w:r>
    </w:p>
    <w:p>
      <w:pPr>
        <w:tabs>
          <w:tab w:val="right" w:leader="dot" w:pos="7070"/>
        </w:tabs>
        <w:ind w:left="578" w:right="578"/>
        <w:rPr>
          <w:sz w:val="20"/>
        </w:rPr>
      </w:pPr>
      <w:r>
        <w:rPr>
          <w:sz w:val="20"/>
        </w:rPr>
        <w:t>new scheme revisions commencement date</w:t>
      </w:r>
      <w:r>
        <w:rPr>
          <w:sz w:val="20"/>
        </w:rPr>
        <w:tab/>
        <w:t>Sch. 3 cl. 31</w:t>
      </w:r>
    </w:p>
    <w:p>
      <w:pPr>
        <w:tabs>
          <w:tab w:val="right" w:leader="dot" w:pos="7070"/>
        </w:tabs>
        <w:ind w:left="578" w:right="578"/>
        <w:rPr>
          <w:sz w:val="20"/>
        </w:rPr>
      </w:pPr>
      <w:r>
        <w:rPr>
          <w:sz w:val="20"/>
        </w:rPr>
        <w:t>no</w:t>
      </w:r>
      <w:r>
        <w:rPr>
          <w:sz w:val="20"/>
        </w:rPr>
        <w:noBreakHyphen/>
        <w:t>coverage recommendation</w:t>
      </w:r>
      <w:r>
        <w:rPr>
          <w:sz w:val="20"/>
        </w:rPr>
        <w:tab/>
        <w:t>2</w:t>
      </w:r>
    </w:p>
    <w:p>
      <w:pPr>
        <w:tabs>
          <w:tab w:val="right" w:leader="dot" w:pos="7070"/>
        </w:tabs>
        <w:ind w:left="578" w:right="578"/>
        <w:rPr>
          <w:sz w:val="20"/>
        </w:rPr>
      </w:pPr>
      <w:r>
        <w:rPr>
          <w:sz w:val="20"/>
        </w:rPr>
        <w:t>nominated disputes</w:t>
      </w:r>
      <w:r>
        <w:rPr>
          <w:sz w:val="20"/>
        </w:rPr>
        <w:tab/>
        <w:t>208, 209(2)</w:t>
      </w:r>
    </w:p>
    <w:p>
      <w:pPr>
        <w:tabs>
          <w:tab w:val="right" w:leader="dot" w:pos="7070"/>
        </w:tabs>
        <w:ind w:left="578" w:right="578"/>
        <w:rPr>
          <w:sz w:val="20"/>
        </w:rPr>
      </w:pPr>
      <w:r>
        <w:rPr>
          <w:sz w:val="20"/>
        </w:rPr>
        <w:t>non scheme pipeline user</w:t>
      </w:r>
      <w:r>
        <w:rPr>
          <w:sz w:val="20"/>
        </w:rPr>
        <w:tab/>
        <w:t>2</w:t>
      </w:r>
    </w:p>
    <w:p>
      <w:pPr>
        <w:tabs>
          <w:tab w:val="right" w:leader="dot" w:pos="7070"/>
        </w:tabs>
        <w:ind w:left="578" w:right="578"/>
        <w:rPr>
          <w:sz w:val="20"/>
        </w:rPr>
      </w:pPr>
      <w:r>
        <w:rPr>
          <w:sz w:val="20"/>
        </w:rPr>
        <w:t>non</w:t>
      </w:r>
      <w:r>
        <w:rPr>
          <w:sz w:val="20"/>
        </w:rPr>
        <w:noBreakHyphen/>
        <w:t>controversial Rule</w:t>
      </w:r>
      <w:r>
        <w:rPr>
          <w:sz w:val="20"/>
        </w:rPr>
        <w:tab/>
        <w:t>290</w:t>
      </w:r>
    </w:p>
    <w:p>
      <w:pPr>
        <w:tabs>
          <w:tab w:val="right" w:leader="dot" w:pos="7070"/>
        </w:tabs>
        <w:ind w:left="578" w:right="578"/>
        <w:rPr>
          <w:sz w:val="20"/>
        </w:rPr>
      </w:pPr>
      <w:r>
        <w:rPr>
          <w:sz w:val="20"/>
        </w:rPr>
        <w:t>non</w:t>
      </w:r>
      <w:r>
        <w:rPr>
          <w:sz w:val="20"/>
        </w:rPr>
        <w:noBreakHyphen/>
        <w:t>finalised access dispute</w:t>
      </w:r>
      <w:r>
        <w:rPr>
          <w:sz w:val="20"/>
        </w:rPr>
        <w:tab/>
        <w:t>Sch. 3 cl. 42</w:t>
      </w:r>
    </w:p>
    <w:p>
      <w:pPr>
        <w:tabs>
          <w:tab w:val="right" w:leader="dot" w:pos="7070"/>
        </w:tabs>
        <w:ind w:left="578" w:right="578"/>
        <w:rPr>
          <w:sz w:val="20"/>
        </w:rPr>
      </w:pPr>
      <w:r>
        <w:rPr>
          <w:sz w:val="20"/>
        </w:rPr>
        <w:t>non-scheme pipeline</w:t>
      </w:r>
      <w:r>
        <w:rPr>
          <w:sz w:val="20"/>
        </w:rPr>
        <w:tab/>
        <w:t>83A, 216A</w:t>
      </w:r>
    </w:p>
    <w:p>
      <w:pPr>
        <w:tabs>
          <w:tab w:val="right" w:leader="dot" w:pos="7070"/>
        </w:tabs>
        <w:ind w:left="578" w:right="578"/>
        <w:rPr>
          <w:sz w:val="20"/>
        </w:rPr>
      </w:pPr>
      <w:r>
        <w:rPr>
          <w:sz w:val="20"/>
        </w:rPr>
        <w:t>notified compliance date</w:t>
      </w:r>
      <w:r>
        <w:rPr>
          <w:sz w:val="20"/>
        </w:rPr>
        <w:tab/>
        <w:t>143(4)</w:t>
      </w:r>
    </w:p>
    <w:p>
      <w:pPr>
        <w:tabs>
          <w:tab w:val="right" w:leader="dot" w:pos="7070"/>
        </w:tabs>
        <w:ind w:left="578" w:right="578"/>
        <w:rPr>
          <w:sz w:val="20"/>
        </w:rPr>
      </w:pPr>
      <w:r>
        <w:rPr>
          <w:sz w:val="20"/>
        </w:rPr>
        <w:t>number</w:t>
      </w:r>
      <w:r>
        <w:rPr>
          <w:sz w:val="20"/>
        </w:rPr>
        <w:tab/>
        <w:t>Sch. 2 cl. 10</w:t>
      </w:r>
    </w:p>
    <w:p>
      <w:pPr>
        <w:tabs>
          <w:tab w:val="right" w:leader="dot" w:pos="7070"/>
        </w:tabs>
        <w:ind w:left="578" w:right="578"/>
        <w:rPr>
          <w:sz w:val="20"/>
        </w:rPr>
      </w:pPr>
      <w:r>
        <w:rPr>
          <w:sz w:val="20"/>
        </w:rPr>
        <w:t>oath</w:t>
      </w:r>
      <w:r>
        <w:rPr>
          <w:sz w:val="20"/>
        </w:rPr>
        <w:tab/>
        <w:t>Sch. 2 cl. 10</w:t>
      </w:r>
    </w:p>
    <w:p>
      <w:pPr>
        <w:tabs>
          <w:tab w:val="right" w:leader="dot" w:pos="7070"/>
        </w:tabs>
        <w:ind w:left="578" w:right="578"/>
        <w:rPr>
          <w:sz w:val="20"/>
        </w:rPr>
      </w:pPr>
      <w:r>
        <w:rPr>
          <w:sz w:val="20"/>
        </w:rPr>
        <w:t>offence provision</w:t>
      </w:r>
      <w:r>
        <w:rPr>
          <w:sz w:val="20"/>
        </w:rPr>
        <w:tab/>
        <w:t>2</w:t>
      </w:r>
    </w:p>
    <w:p>
      <w:pPr>
        <w:tabs>
          <w:tab w:val="right" w:leader="dot" w:pos="7070"/>
        </w:tabs>
        <w:ind w:left="578" w:right="578"/>
        <w:rPr>
          <w:sz w:val="20"/>
        </w:rPr>
      </w:pPr>
      <w:r>
        <w:rPr>
          <w:sz w:val="20"/>
        </w:rPr>
        <w:t>office</w:t>
      </w:r>
      <w:r>
        <w:rPr>
          <w:sz w:val="20"/>
        </w:rPr>
        <w:tab/>
        <w:t>Sch. 2 cl. 10</w:t>
      </w:r>
    </w:p>
    <w:p>
      <w:pPr>
        <w:tabs>
          <w:tab w:val="right" w:leader="dot" w:pos="7070"/>
        </w:tabs>
        <w:ind w:left="578" w:right="578"/>
        <w:rPr>
          <w:sz w:val="20"/>
        </w:rPr>
      </w:pPr>
      <w:r>
        <w:rPr>
          <w:sz w:val="20"/>
        </w:rPr>
        <w:t>officer</w:t>
      </w:r>
      <w:r>
        <w:rPr>
          <w:sz w:val="20"/>
        </w:rPr>
        <w:tab/>
        <w:t>2</w:t>
      </w:r>
    </w:p>
    <w:p>
      <w:pPr>
        <w:tabs>
          <w:tab w:val="right" w:leader="dot" w:pos="7070"/>
        </w:tabs>
        <w:ind w:left="578" w:right="578"/>
        <w:rPr>
          <w:sz w:val="20"/>
        </w:rPr>
      </w:pPr>
      <w:r>
        <w:rPr>
          <w:sz w:val="20"/>
        </w:rPr>
        <w:t>old access law</w:t>
      </w:r>
      <w:r>
        <w:rPr>
          <w:sz w:val="20"/>
        </w:rPr>
        <w:tab/>
        <w:t>2</w:t>
      </w:r>
    </w:p>
    <w:p>
      <w:pPr>
        <w:tabs>
          <w:tab w:val="right" w:leader="dot" w:pos="7070"/>
        </w:tabs>
        <w:ind w:left="578" w:right="578"/>
        <w:rPr>
          <w:sz w:val="20"/>
        </w:rPr>
      </w:pPr>
      <w:r>
        <w:rPr>
          <w:sz w:val="20"/>
        </w:rPr>
        <w:t>old scheme classification and scheme participant determination</w:t>
      </w:r>
      <w:r>
        <w:rPr>
          <w:sz w:val="20"/>
        </w:rPr>
        <w:tab/>
        <w:t>Sch. 3 cl. 53</w:t>
      </w:r>
    </w:p>
    <w:p>
      <w:pPr>
        <w:tabs>
          <w:tab w:val="right" w:leader="dot" w:pos="7070"/>
        </w:tabs>
        <w:ind w:left="578" w:right="578"/>
        <w:rPr>
          <w:sz w:val="20"/>
        </w:rPr>
      </w:pPr>
      <w:r>
        <w:rPr>
          <w:sz w:val="20"/>
        </w:rPr>
        <w:t>old scheme classification or determination</w:t>
      </w:r>
      <w:r>
        <w:rPr>
          <w:sz w:val="20"/>
        </w:rPr>
        <w:tab/>
        <w:t>2</w:t>
      </w:r>
    </w:p>
    <w:p>
      <w:pPr>
        <w:tabs>
          <w:tab w:val="right" w:leader="dot" w:pos="7070"/>
        </w:tabs>
        <w:ind w:left="578" w:right="578"/>
        <w:rPr>
          <w:sz w:val="20"/>
        </w:rPr>
      </w:pPr>
      <w:r>
        <w:rPr>
          <w:sz w:val="20"/>
        </w:rPr>
        <w:t>old scheme coverage application</w:t>
      </w:r>
      <w:r>
        <w:rPr>
          <w:sz w:val="20"/>
        </w:rPr>
        <w:tab/>
        <w:t>Sch. 3 cl. 1</w:t>
      </w:r>
    </w:p>
    <w:p>
      <w:pPr>
        <w:tabs>
          <w:tab w:val="right" w:leader="dot" w:pos="7070"/>
        </w:tabs>
        <w:ind w:left="578" w:right="578"/>
        <w:rPr>
          <w:sz w:val="20"/>
        </w:rPr>
      </w:pPr>
      <w:r>
        <w:rPr>
          <w:sz w:val="20"/>
        </w:rPr>
        <w:t>old scheme coverage determination</w:t>
      </w:r>
      <w:r>
        <w:rPr>
          <w:sz w:val="20"/>
        </w:rPr>
        <w:tab/>
        <w:t>Sch. 3 cl. 1</w:t>
      </w:r>
    </w:p>
    <w:p>
      <w:pPr>
        <w:tabs>
          <w:tab w:val="right" w:leader="dot" w:pos="7070"/>
        </w:tabs>
        <w:ind w:left="578" w:right="578"/>
        <w:rPr>
          <w:sz w:val="20"/>
        </w:rPr>
      </w:pPr>
      <w:r>
        <w:rPr>
          <w:sz w:val="20"/>
        </w:rPr>
        <w:t>old scheme coverage revocation application</w:t>
      </w:r>
      <w:r>
        <w:rPr>
          <w:sz w:val="20"/>
        </w:rPr>
        <w:tab/>
        <w:t>Sch. 3 cl. 1</w:t>
      </w:r>
    </w:p>
    <w:p>
      <w:pPr>
        <w:tabs>
          <w:tab w:val="right" w:leader="dot" w:pos="7070"/>
        </w:tabs>
        <w:ind w:left="578" w:right="578"/>
        <w:rPr>
          <w:sz w:val="20"/>
        </w:rPr>
      </w:pPr>
      <w:r>
        <w:rPr>
          <w:sz w:val="20"/>
        </w:rPr>
        <w:t>old scheme coverage revocation determination</w:t>
      </w:r>
      <w:r>
        <w:rPr>
          <w:sz w:val="20"/>
        </w:rPr>
        <w:tab/>
        <w:t>Sch. 3 cl. 1</w:t>
      </w:r>
    </w:p>
    <w:p>
      <w:pPr>
        <w:tabs>
          <w:tab w:val="right" w:leader="dot" w:pos="7070"/>
        </w:tabs>
        <w:ind w:left="578" w:right="578"/>
        <w:rPr>
          <w:sz w:val="20"/>
        </w:rPr>
      </w:pPr>
      <w:r>
        <w:rPr>
          <w:sz w:val="20"/>
        </w:rPr>
        <w:t>old scheme covered pipeline</w:t>
      </w:r>
      <w:r>
        <w:rPr>
          <w:sz w:val="20"/>
        </w:rPr>
        <w:tab/>
        <w:t>Sch. 3 cl. 1</w:t>
      </w:r>
    </w:p>
    <w:p>
      <w:pPr>
        <w:tabs>
          <w:tab w:val="right" w:leader="dot" w:pos="7070"/>
        </w:tabs>
        <w:ind w:left="578" w:right="578"/>
        <w:rPr>
          <w:sz w:val="20"/>
        </w:rPr>
      </w:pPr>
      <w:r>
        <w:rPr>
          <w:sz w:val="20"/>
        </w:rPr>
        <w:t>old scheme distribution pipeline</w:t>
      </w:r>
      <w:r>
        <w:rPr>
          <w:sz w:val="20"/>
        </w:rPr>
        <w:tab/>
        <w:t>2</w:t>
      </w:r>
    </w:p>
    <w:p>
      <w:pPr>
        <w:tabs>
          <w:tab w:val="right" w:leader="dot" w:pos="7070"/>
        </w:tabs>
        <w:ind w:left="578" w:right="578"/>
        <w:rPr>
          <w:sz w:val="20"/>
        </w:rPr>
      </w:pPr>
      <w:r>
        <w:rPr>
          <w:sz w:val="20"/>
        </w:rPr>
        <w:t>old scheme limited access arrangement</w:t>
      </w:r>
      <w:r>
        <w:rPr>
          <w:sz w:val="20"/>
        </w:rPr>
        <w:tab/>
        <w:t>Sch. 3 cl. 1</w:t>
      </w:r>
    </w:p>
    <w:p>
      <w:pPr>
        <w:tabs>
          <w:tab w:val="right" w:leader="dot" w:pos="7070"/>
        </w:tabs>
        <w:ind w:left="578" w:right="578"/>
        <w:rPr>
          <w:sz w:val="20"/>
        </w:rPr>
      </w:pPr>
      <w:r>
        <w:rPr>
          <w:sz w:val="20"/>
        </w:rPr>
        <w:lastRenderedPageBreak/>
        <w:t>old scheme price regulation exemption</w:t>
      </w:r>
      <w:r>
        <w:rPr>
          <w:sz w:val="20"/>
        </w:rPr>
        <w:tab/>
        <w:t>Sch. 3 cl. 1</w:t>
      </w:r>
    </w:p>
    <w:p>
      <w:pPr>
        <w:tabs>
          <w:tab w:val="right" w:leader="dot" w:pos="7070"/>
        </w:tabs>
        <w:ind w:left="578" w:right="578"/>
        <w:rPr>
          <w:sz w:val="20"/>
        </w:rPr>
      </w:pPr>
      <w:r>
        <w:rPr>
          <w:sz w:val="20"/>
        </w:rPr>
        <w:t>old scheme relevant Minister</w:t>
      </w:r>
      <w:r>
        <w:rPr>
          <w:sz w:val="20"/>
        </w:rPr>
        <w:tab/>
        <w:t>Sch. 3 cl. 1</w:t>
      </w:r>
    </w:p>
    <w:p>
      <w:pPr>
        <w:tabs>
          <w:tab w:val="right" w:leader="dot" w:pos="7070"/>
        </w:tabs>
        <w:ind w:left="578" w:right="578"/>
        <w:rPr>
          <w:sz w:val="20"/>
        </w:rPr>
      </w:pPr>
      <w:r>
        <w:rPr>
          <w:sz w:val="20"/>
        </w:rPr>
        <w:t>old scheme ring fencing requirement</w:t>
      </w:r>
      <w:r>
        <w:rPr>
          <w:sz w:val="20"/>
        </w:rPr>
        <w:tab/>
        <w:t>Sch. 3 cl. 38</w:t>
      </w:r>
    </w:p>
    <w:p>
      <w:pPr>
        <w:tabs>
          <w:tab w:val="right" w:leader="dot" w:pos="7070"/>
        </w:tabs>
        <w:ind w:left="578" w:right="578"/>
        <w:rPr>
          <w:sz w:val="20"/>
        </w:rPr>
      </w:pPr>
      <w:r>
        <w:rPr>
          <w:sz w:val="20"/>
        </w:rPr>
        <w:t>old scheme transmission pipeline</w:t>
      </w:r>
      <w:r>
        <w:rPr>
          <w:sz w:val="20"/>
        </w:rPr>
        <w:tab/>
        <w:t>2</w:t>
      </w:r>
    </w:p>
    <w:p>
      <w:pPr>
        <w:tabs>
          <w:tab w:val="right" w:leader="dot" w:pos="7070"/>
        </w:tabs>
        <w:ind w:left="578" w:right="578"/>
        <w:rPr>
          <w:sz w:val="20"/>
        </w:rPr>
      </w:pPr>
      <w:r>
        <w:rPr>
          <w:sz w:val="20"/>
        </w:rPr>
        <w:t>omit</w:t>
      </w:r>
      <w:r>
        <w:rPr>
          <w:sz w:val="20"/>
        </w:rPr>
        <w:tab/>
        <w:t>Sch. 2 cl. 10</w:t>
      </w:r>
    </w:p>
    <w:p>
      <w:pPr>
        <w:tabs>
          <w:tab w:val="right" w:leader="dot" w:pos="7070"/>
        </w:tabs>
        <w:ind w:left="578" w:right="578"/>
        <w:rPr>
          <w:sz w:val="20"/>
        </w:rPr>
      </w:pPr>
      <w:r>
        <w:rPr>
          <w:sz w:val="20"/>
        </w:rPr>
        <w:t>ordinary meaning</w:t>
      </w:r>
      <w:r>
        <w:rPr>
          <w:sz w:val="20"/>
        </w:rPr>
        <w:tab/>
        <w:t>Sch. 2 cl. 8</w:t>
      </w:r>
    </w:p>
    <w:p>
      <w:pPr>
        <w:tabs>
          <w:tab w:val="right" w:leader="dot" w:pos="7070"/>
        </w:tabs>
        <w:ind w:left="578" w:right="578"/>
        <w:rPr>
          <w:sz w:val="20"/>
        </w:rPr>
      </w:pPr>
      <w:r>
        <w:rPr>
          <w:sz w:val="20"/>
        </w:rPr>
        <w:t>original decision maker</w:t>
      </w:r>
      <w:r>
        <w:rPr>
          <w:sz w:val="20"/>
        </w:rPr>
        <w:tab/>
        <w:t>244</w:t>
      </w:r>
    </w:p>
    <w:p>
      <w:pPr>
        <w:tabs>
          <w:tab w:val="right" w:leader="dot" w:pos="7070"/>
        </w:tabs>
        <w:ind w:left="578" w:right="578"/>
        <w:rPr>
          <w:sz w:val="20"/>
        </w:rPr>
      </w:pPr>
      <w:r>
        <w:rPr>
          <w:sz w:val="20"/>
        </w:rPr>
        <w:t>participating jurisdiction</w:t>
      </w:r>
      <w:r>
        <w:rPr>
          <w:sz w:val="20"/>
        </w:rPr>
        <w:tab/>
        <w:t>2</w:t>
      </w:r>
    </w:p>
    <w:p>
      <w:pPr>
        <w:tabs>
          <w:tab w:val="right" w:leader="dot" w:pos="7070"/>
        </w:tabs>
        <w:ind w:left="578" w:right="578"/>
        <w:rPr>
          <w:sz w:val="20"/>
        </w:rPr>
      </w:pPr>
      <w:r>
        <w:rPr>
          <w:sz w:val="20"/>
        </w:rPr>
        <w:t>party</w:t>
      </w:r>
      <w:r>
        <w:rPr>
          <w:sz w:val="20"/>
        </w:rPr>
        <w:tab/>
        <w:t>178, 216A, Sch. 2 cl. 10</w:t>
      </w:r>
    </w:p>
    <w:p>
      <w:pPr>
        <w:tabs>
          <w:tab w:val="right" w:leader="dot" w:pos="7070"/>
        </w:tabs>
        <w:ind w:left="578" w:right="578"/>
        <w:rPr>
          <w:sz w:val="20"/>
        </w:rPr>
      </w:pPr>
      <w:r>
        <w:rPr>
          <w:sz w:val="20"/>
        </w:rPr>
        <w:t>penalty</w:t>
      </w:r>
      <w:r>
        <w:rPr>
          <w:sz w:val="20"/>
        </w:rPr>
        <w:tab/>
        <w:t>Sch. 2 cl. 10</w:t>
      </w:r>
    </w:p>
    <w:p>
      <w:pPr>
        <w:tabs>
          <w:tab w:val="right" w:leader="dot" w:pos="7070"/>
        </w:tabs>
        <w:ind w:left="578" w:right="578"/>
        <w:rPr>
          <w:sz w:val="20"/>
        </w:rPr>
      </w:pPr>
      <w:r>
        <w:rPr>
          <w:sz w:val="20"/>
        </w:rPr>
        <w:t>pending old scheme coverage determination</w:t>
      </w:r>
      <w:r>
        <w:rPr>
          <w:sz w:val="20"/>
        </w:rPr>
        <w:tab/>
        <w:t>Sch. 3 cl. 1</w:t>
      </w:r>
    </w:p>
    <w:p>
      <w:pPr>
        <w:tabs>
          <w:tab w:val="right" w:leader="dot" w:pos="7070"/>
        </w:tabs>
        <w:ind w:left="578" w:right="578"/>
        <w:rPr>
          <w:sz w:val="20"/>
        </w:rPr>
      </w:pPr>
      <w:r>
        <w:rPr>
          <w:sz w:val="20"/>
        </w:rPr>
        <w:t>pending old scheme coverage non</w:t>
      </w:r>
      <w:r>
        <w:rPr>
          <w:sz w:val="20"/>
        </w:rPr>
        <w:noBreakHyphen/>
        <w:t>revocation determination</w:t>
      </w:r>
      <w:r>
        <w:rPr>
          <w:sz w:val="20"/>
        </w:rPr>
        <w:tab/>
        <w:t>Sch. 3 cl. 1</w:t>
      </w:r>
    </w:p>
    <w:p>
      <w:pPr>
        <w:tabs>
          <w:tab w:val="right" w:leader="dot" w:pos="7070"/>
        </w:tabs>
        <w:ind w:left="578" w:right="578"/>
        <w:rPr>
          <w:sz w:val="20"/>
        </w:rPr>
      </w:pPr>
      <w:r>
        <w:rPr>
          <w:sz w:val="20"/>
        </w:rPr>
        <w:t>pending old scheme coverage revocation determination</w:t>
      </w:r>
      <w:r>
        <w:rPr>
          <w:sz w:val="20"/>
        </w:rPr>
        <w:tab/>
        <w:t>Sch. 3 cl. 1</w:t>
      </w:r>
    </w:p>
    <w:p>
      <w:pPr>
        <w:tabs>
          <w:tab w:val="right" w:leader="dot" w:pos="7070"/>
        </w:tabs>
        <w:ind w:left="578" w:right="578"/>
        <w:rPr>
          <w:sz w:val="20"/>
        </w:rPr>
      </w:pPr>
      <w:r>
        <w:rPr>
          <w:sz w:val="20"/>
        </w:rPr>
        <w:t>pending old scheme no</w:t>
      </w:r>
      <w:r>
        <w:rPr>
          <w:sz w:val="20"/>
        </w:rPr>
        <w:noBreakHyphen/>
        <w:t>coverage determination</w:t>
      </w:r>
      <w:r>
        <w:rPr>
          <w:sz w:val="20"/>
        </w:rPr>
        <w:tab/>
        <w:t>Sch. 3 cl. 1</w:t>
      </w:r>
    </w:p>
    <w:p>
      <w:pPr>
        <w:tabs>
          <w:tab w:val="right" w:leader="dot" w:pos="7070"/>
        </w:tabs>
        <w:ind w:left="578" w:right="578"/>
        <w:rPr>
          <w:sz w:val="20"/>
        </w:rPr>
      </w:pPr>
      <w:r>
        <w:rPr>
          <w:sz w:val="20"/>
        </w:rPr>
        <w:t>person</w:t>
      </w:r>
      <w:r>
        <w:rPr>
          <w:sz w:val="20"/>
        </w:rPr>
        <w:tab/>
        <w:t>Sch. 2 cl. 10</w:t>
      </w:r>
    </w:p>
    <w:p>
      <w:pPr>
        <w:tabs>
          <w:tab w:val="right" w:leader="dot" w:pos="7070"/>
        </w:tabs>
        <w:ind w:left="578" w:right="578"/>
        <w:rPr>
          <w:sz w:val="20"/>
        </w:rPr>
      </w:pPr>
      <w:r>
        <w:rPr>
          <w:sz w:val="20"/>
        </w:rPr>
        <w:t>person aggrieved</w:t>
      </w:r>
      <w:r>
        <w:rPr>
          <w:sz w:val="20"/>
        </w:rPr>
        <w:tab/>
        <w:t>241</w:t>
      </w:r>
    </w:p>
    <w:p>
      <w:pPr>
        <w:tabs>
          <w:tab w:val="right" w:leader="dot" w:pos="7070"/>
        </w:tabs>
        <w:ind w:left="578" w:right="578"/>
        <w:rPr>
          <w:sz w:val="20"/>
        </w:rPr>
      </w:pPr>
      <w:r>
        <w:rPr>
          <w:sz w:val="20"/>
        </w:rPr>
        <w:t>pipeline</w:t>
      </w:r>
      <w:r>
        <w:rPr>
          <w:sz w:val="20"/>
        </w:rPr>
        <w:tab/>
        <w:t>2</w:t>
      </w:r>
    </w:p>
    <w:p>
      <w:pPr>
        <w:tabs>
          <w:tab w:val="right" w:leader="dot" w:pos="7070"/>
        </w:tabs>
        <w:ind w:left="578" w:right="578"/>
        <w:rPr>
          <w:sz w:val="20"/>
        </w:rPr>
      </w:pPr>
      <w:r>
        <w:rPr>
          <w:sz w:val="20"/>
        </w:rPr>
        <w:t>pipeline classification criterion</w:t>
      </w:r>
      <w:r>
        <w:rPr>
          <w:sz w:val="20"/>
        </w:rPr>
        <w:tab/>
        <w:t>2</w:t>
      </w:r>
    </w:p>
    <w:p>
      <w:pPr>
        <w:tabs>
          <w:tab w:val="right" w:leader="dot" w:pos="7070"/>
        </w:tabs>
        <w:ind w:left="578" w:right="578"/>
        <w:rPr>
          <w:sz w:val="20"/>
        </w:rPr>
      </w:pPr>
      <w:r>
        <w:rPr>
          <w:sz w:val="20"/>
        </w:rPr>
        <w:t>pipeline coverage criteria</w:t>
      </w:r>
      <w:r>
        <w:rPr>
          <w:sz w:val="20"/>
        </w:rPr>
        <w:tab/>
        <w:t>2</w:t>
      </w:r>
    </w:p>
    <w:p>
      <w:pPr>
        <w:tabs>
          <w:tab w:val="right" w:leader="dot" w:pos="7070"/>
        </w:tabs>
        <w:ind w:left="578" w:right="578"/>
        <w:rPr>
          <w:sz w:val="20"/>
        </w:rPr>
      </w:pPr>
      <w:r>
        <w:rPr>
          <w:sz w:val="20"/>
        </w:rPr>
        <w:t>pipeline reliability standard</w:t>
      </w:r>
      <w:r>
        <w:rPr>
          <w:sz w:val="20"/>
        </w:rPr>
        <w:tab/>
        <w:t>2</w:t>
      </w:r>
    </w:p>
    <w:p>
      <w:pPr>
        <w:tabs>
          <w:tab w:val="right" w:leader="dot" w:pos="7070"/>
        </w:tabs>
        <w:ind w:left="578" w:right="578"/>
        <w:rPr>
          <w:sz w:val="20"/>
        </w:rPr>
      </w:pPr>
      <w:r>
        <w:rPr>
          <w:sz w:val="20"/>
        </w:rPr>
        <w:t>pipeline safety duty</w:t>
      </w:r>
      <w:r>
        <w:rPr>
          <w:sz w:val="20"/>
        </w:rPr>
        <w:tab/>
        <w:t>2</w:t>
      </w:r>
    </w:p>
    <w:p>
      <w:pPr>
        <w:tabs>
          <w:tab w:val="right" w:leader="dot" w:pos="7070"/>
        </w:tabs>
        <w:ind w:left="578" w:right="578"/>
        <w:rPr>
          <w:sz w:val="20"/>
        </w:rPr>
      </w:pPr>
      <w:r>
        <w:rPr>
          <w:sz w:val="20"/>
        </w:rPr>
        <w:t>pipeline service</w:t>
      </w:r>
      <w:r>
        <w:rPr>
          <w:sz w:val="20"/>
        </w:rPr>
        <w:tab/>
        <w:t>2</w:t>
      </w:r>
    </w:p>
    <w:p>
      <w:pPr>
        <w:tabs>
          <w:tab w:val="right" w:leader="dot" w:pos="7070"/>
        </w:tabs>
        <w:ind w:left="578" w:right="578"/>
        <w:rPr>
          <w:sz w:val="20"/>
        </w:rPr>
      </w:pPr>
      <w:r>
        <w:rPr>
          <w:sz w:val="20"/>
        </w:rPr>
        <w:t>pipeline service standard</w:t>
      </w:r>
      <w:r>
        <w:rPr>
          <w:sz w:val="20"/>
        </w:rPr>
        <w:tab/>
        <w:t>2</w:t>
      </w:r>
    </w:p>
    <w:p>
      <w:pPr>
        <w:tabs>
          <w:tab w:val="right" w:leader="dot" w:pos="7070"/>
        </w:tabs>
        <w:ind w:left="578" w:right="578"/>
        <w:rPr>
          <w:sz w:val="20"/>
        </w:rPr>
      </w:pPr>
      <w:r>
        <w:rPr>
          <w:sz w:val="20"/>
        </w:rPr>
        <w:t>Pipelines Access/Arbitration amendments</w:t>
      </w:r>
      <w:r>
        <w:rPr>
          <w:sz w:val="20"/>
        </w:rPr>
        <w:tab/>
        <w:t>294F</w:t>
      </w:r>
    </w:p>
    <w:p>
      <w:pPr>
        <w:tabs>
          <w:tab w:val="right" w:leader="dot" w:pos="7070"/>
        </w:tabs>
        <w:ind w:left="578" w:right="578"/>
        <w:rPr>
          <w:sz w:val="20"/>
        </w:rPr>
      </w:pPr>
      <w:r>
        <w:rPr>
          <w:sz w:val="20"/>
        </w:rPr>
        <w:t>power</w:t>
      </w:r>
      <w:r>
        <w:rPr>
          <w:sz w:val="20"/>
        </w:rPr>
        <w:tab/>
        <w:t>Sch. 2 cl. 10</w:t>
      </w:r>
    </w:p>
    <w:p>
      <w:pPr>
        <w:tabs>
          <w:tab w:val="right" w:leader="dot" w:pos="7070"/>
        </w:tabs>
        <w:ind w:left="578" w:right="578"/>
        <w:rPr>
          <w:sz w:val="20"/>
        </w:rPr>
      </w:pPr>
      <w:r>
        <w:rPr>
          <w:sz w:val="20"/>
        </w:rPr>
        <w:t>pre</w:t>
      </w:r>
      <w:r>
        <w:rPr>
          <w:sz w:val="20"/>
        </w:rPr>
        <w:noBreakHyphen/>
        <w:t>notification right</w:t>
      </w:r>
      <w:r>
        <w:rPr>
          <w:sz w:val="20"/>
        </w:rPr>
        <w:tab/>
        <w:t>188(2), 216N</w:t>
      </w:r>
    </w:p>
    <w:p>
      <w:pPr>
        <w:tabs>
          <w:tab w:val="right" w:leader="dot" w:pos="7070"/>
        </w:tabs>
        <w:ind w:left="578" w:right="578"/>
        <w:rPr>
          <w:sz w:val="20"/>
        </w:rPr>
      </w:pPr>
      <w:r>
        <w:rPr>
          <w:sz w:val="20"/>
        </w:rPr>
        <w:t>prescribed</w:t>
      </w:r>
      <w:r>
        <w:rPr>
          <w:sz w:val="20"/>
        </w:rPr>
        <w:tab/>
        <w:t>Sch. 2 cl. 10</w:t>
      </w:r>
    </w:p>
    <w:p>
      <w:pPr>
        <w:tabs>
          <w:tab w:val="right" w:leader="dot" w:pos="7070"/>
        </w:tabs>
        <w:ind w:left="578" w:right="578"/>
        <w:rPr>
          <w:sz w:val="20"/>
        </w:rPr>
      </w:pPr>
      <w:r>
        <w:rPr>
          <w:sz w:val="20"/>
        </w:rPr>
        <w:t>price or revenue regulation</w:t>
      </w:r>
      <w:r>
        <w:rPr>
          <w:sz w:val="20"/>
        </w:rPr>
        <w:tab/>
        <w:t>2</w:t>
      </w:r>
    </w:p>
    <w:p>
      <w:pPr>
        <w:tabs>
          <w:tab w:val="right" w:leader="dot" w:pos="7070"/>
        </w:tabs>
        <w:ind w:left="578" w:right="578"/>
        <w:rPr>
          <w:sz w:val="20"/>
        </w:rPr>
      </w:pPr>
      <w:r>
        <w:rPr>
          <w:sz w:val="20"/>
        </w:rPr>
        <w:t>price regulation exemption</w:t>
      </w:r>
      <w:r>
        <w:rPr>
          <w:sz w:val="20"/>
        </w:rPr>
        <w:tab/>
        <w:t>2</w:t>
      </w:r>
    </w:p>
    <w:p>
      <w:pPr>
        <w:tabs>
          <w:tab w:val="right" w:leader="dot" w:pos="7070"/>
        </w:tabs>
        <w:ind w:left="578" w:right="578"/>
        <w:rPr>
          <w:sz w:val="20"/>
        </w:rPr>
      </w:pPr>
      <w:r>
        <w:rPr>
          <w:sz w:val="20"/>
        </w:rPr>
        <w:t>price regulation exemption recommendation</w:t>
      </w:r>
      <w:r>
        <w:rPr>
          <w:sz w:val="20"/>
        </w:rPr>
        <w:tab/>
        <w:t>2</w:t>
      </w:r>
    </w:p>
    <w:p>
      <w:pPr>
        <w:tabs>
          <w:tab w:val="right" w:leader="dot" w:pos="7070"/>
        </w:tabs>
        <w:ind w:left="578" w:right="578"/>
        <w:rPr>
          <w:sz w:val="20"/>
        </w:rPr>
      </w:pPr>
      <w:r>
        <w:rPr>
          <w:sz w:val="20"/>
        </w:rPr>
        <w:t>principal decision maker</w:t>
      </w:r>
      <w:r>
        <w:rPr>
          <w:sz w:val="20"/>
        </w:rPr>
        <w:tab/>
        <w:t>331(2)</w:t>
      </w:r>
    </w:p>
    <w:p>
      <w:pPr>
        <w:tabs>
          <w:tab w:val="right" w:leader="dot" w:pos="7070"/>
        </w:tabs>
        <w:ind w:left="578" w:right="578"/>
        <w:rPr>
          <w:sz w:val="20"/>
        </w:rPr>
      </w:pPr>
      <w:r>
        <w:rPr>
          <w:sz w:val="20"/>
        </w:rPr>
        <w:t>printed</w:t>
      </w:r>
      <w:r>
        <w:rPr>
          <w:sz w:val="20"/>
        </w:rPr>
        <w:tab/>
        <w:t>Sch. 2 cl. 10</w:t>
      </w:r>
    </w:p>
    <w:p>
      <w:pPr>
        <w:tabs>
          <w:tab w:val="right" w:leader="dot" w:pos="7070"/>
        </w:tabs>
        <w:ind w:left="578" w:right="578"/>
        <w:rPr>
          <w:sz w:val="20"/>
        </w:rPr>
      </w:pPr>
      <w:r>
        <w:rPr>
          <w:sz w:val="20"/>
        </w:rPr>
        <w:t>proceeding</w:t>
      </w:r>
      <w:r>
        <w:rPr>
          <w:sz w:val="20"/>
        </w:rPr>
        <w:tab/>
        <w:t>Sch. 2 cl. 10</w:t>
      </w:r>
    </w:p>
    <w:p>
      <w:pPr>
        <w:tabs>
          <w:tab w:val="right" w:leader="dot" w:pos="7070"/>
        </w:tabs>
        <w:ind w:left="578" w:right="578"/>
        <w:rPr>
          <w:sz w:val="20"/>
        </w:rPr>
      </w:pPr>
      <w:r>
        <w:rPr>
          <w:sz w:val="20"/>
        </w:rPr>
        <w:t>processable gas</w:t>
      </w:r>
      <w:r>
        <w:rPr>
          <w:sz w:val="20"/>
        </w:rPr>
        <w:tab/>
        <w:t>2</w:t>
      </w:r>
    </w:p>
    <w:p>
      <w:pPr>
        <w:tabs>
          <w:tab w:val="right" w:leader="dot" w:pos="7070"/>
        </w:tabs>
        <w:ind w:left="578" w:right="578"/>
        <w:rPr>
          <w:sz w:val="20"/>
        </w:rPr>
      </w:pPr>
      <w:r>
        <w:rPr>
          <w:sz w:val="20"/>
        </w:rPr>
        <w:t>producer</w:t>
      </w:r>
      <w:r>
        <w:rPr>
          <w:sz w:val="20"/>
        </w:rPr>
        <w:tab/>
        <w:t>2</w:t>
      </w:r>
    </w:p>
    <w:p>
      <w:pPr>
        <w:tabs>
          <w:tab w:val="right" w:leader="dot" w:pos="7070"/>
        </w:tabs>
        <w:ind w:left="578" w:right="578"/>
        <w:rPr>
          <w:sz w:val="20"/>
        </w:rPr>
      </w:pPr>
      <w:r>
        <w:rPr>
          <w:sz w:val="20"/>
        </w:rPr>
        <w:t>property</w:t>
      </w:r>
      <w:r>
        <w:rPr>
          <w:sz w:val="20"/>
        </w:rPr>
        <w:tab/>
        <w:t>Sch. 2 cl. 10</w:t>
      </w:r>
    </w:p>
    <w:p>
      <w:pPr>
        <w:tabs>
          <w:tab w:val="right" w:leader="dot" w:pos="7070"/>
        </w:tabs>
        <w:ind w:left="578" w:right="578"/>
        <w:rPr>
          <w:sz w:val="20"/>
        </w:rPr>
      </w:pPr>
      <w:r>
        <w:rPr>
          <w:sz w:val="20"/>
        </w:rPr>
        <w:t>proposed Rule</w:t>
      </w:r>
      <w:r>
        <w:rPr>
          <w:sz w:val="20"/>
        </w:rPr>
        <w:tab/>
        <w:t>290</w:t>
      </w:r>
    </w:p>
    <w:p>
      <w:pPr>
        <w:tabs>
          <w:tab w:val="right" w:leader="dot" w:pos="7070"/>
        </w:tabs>
        <w:ind w:left="578" w:right="578"/>
        <w:rPr>
          <w:sz w:val="20"/>
        </w:rPr>
      </w:pPr>
      <w:r>
        <w:rPr>
          <w:sz w:val="20"/>
        </w:rPr>
        <w:t>prospective user</w:t>
      </w:r>
      <w:r>
        <w:rPr>
          <w:sz w:val="20"/>
        </w:rPr>
        <w:tab/>
        <w:t>2, 216A</w:t>
      </w:r>
    </w:p>
    <w:p>
      <w:pPr>
        <w:tabs>
          <w:tab w:val="right" w:leader="dot" w:pos="7070"/>
        </w:tabs>
        <w:ind w:left="578" w:right="578"/>
        <w:rPr>
          <w:sz w:val="20"/>
        </w:rPr>
      </w:pPr>
      <w:r>
        <w:rPr>
          <w:sz w:val="20"/>
        </w:rPr>
        <w:t>provision</w:t>
      </w:r>
      <w:r>
        <w:rPr>
          <w:sz w:val="20"/>
        </w:rPr>
        <w:tab/>
        <w:t>Sch. 2 cl. 10</w:t>
      </w:r>
    </w:p>
    <w:p>
      <w:pPr>
        <w:tabs>
          <w:tab w:val="right" w:leader="dot" w:pos="7070"/>
        </w:tabs>
        <w:ind w:left="578" w:right="578"/>
        <w:rPr>
          <w:sz w:val="20"/>
        </w:rPr>
      </w:pPr>
      <w:r>
        <w:rPr>
          <w:sz w:val="20"/>
        </w:rPr>
        <w:t>publish</w:t>
      </w:r>
      <w:r>
        <w:rPr>
          <w:sz w:val="20"/>
        </w:rPr>
        <w:tab/>
        <w:t>290</w:t>
      </w:r>
    </w:p>
    <w:p>
      <w:pPr>
        <w:tabs>
          <w:tab w:val="right" w:leader="dot" w:pos="7070"/>
        </w:tabs>
        <w:ind w:left="578" w:right="578"/>
        <w:rPr>
          <w:sz w:val="20"/>
        </w:rPr>
      </w:pPr>
      <w:r>
        <w:rPr>
          <w:sz w:val="20"/>
        </w:rPr>
        <w:t>queuing requirements</w:t>
      </w:r>
      <w:r>
        <w:rPr>
          <w:sz w:val="20"/>
        </w:rPr>
        <w:tab/>
        <w:t>2</w:t>
      </w:r>
    </w:p>
    <w:p>
      <w:pPr>
        <w:tabs>
          <w:tab w:val="right" w:leader="dot" w:pos="7070"/>
        </w:tabs>
        <w:ind w:left="578" w:right="578"/>
        <w:rPr>
          <w:sz w:val="20"/>
        </w:rPr>
      </w:pPr>
      <w:r>
        <w:rPr>
          <w:sz w:val="20"/>
        </w:rPr>
        <w:t>rate of return instrument</w:t>
      </w:r>
      <w:r>
        <w:rPr>
          <w:sz w:val="20"/>
        </w:rPr>
        <w:tab/>
        <w:t>2, 30D</w:t>
      </w:r>
    </w:p>
    <w:p>
      <w:pPr>
        <w:tabs>
          <w:tab w:val="right" w:leader="dot" w:pos="7070"/>
        </w:tabs>
        <w:ind w:left="578" w:right="578"/>
        <w:rPr>
          <w:sz w:val="20"/>
        </w:rPr>
      </w:pPr>
      <w:r>
        <w:rPr>
          <w:sz w:val="20"/>
        </w:rPr>
        <w:t>reclassification decision</w:t>
      </w:r>
      <w:r>
        <w:rPr>
          <w:sz w:val="20"/>
        </w:rPr>
        <w:tab/>
        <w:t>2, 129</w:t>
      </w:r>
    </w:p>
    <w:p>
      <w:pPr>
        <w:tabs>
          <w:tab w:val="right" w:leader="dot" w:pos="7070"/>
        </w:tabs>
        <w:ind w:left="578" w:right="578"/>
        <w:rPr>
          <w:sz w:val="20"/>
        </w:rPr>
      </w:pPr>
      <w:r>
        <w:rPr>
          <w:sz w:val="20"/>
        </w:rPr>
        <w:t>record</w:t>
      </w:r>
      <w:r>
        <w:rPr>
          <w:sz w:val="20"/>
        </w:rPr>
        <w:tab/>
        <w:t>Sch. 2 cl. 10</w:t>
      </w:r>
    </w:p>
    <w:p>
      <w:pPr>
        <w:tabs>
          <w:tab w:val="right" w:leader="dot" w:pos="7070"/>
        </w:tabs>
        <w:ind w:left="578" w:right="578"/>
        <w:rPr>
          <w:sz w:val="20"/>
        </w:rPr>
      </w:pPr>
      <w:r>
        <w:rPr>
          <w:sz w:val="20"/>
        </w:rPr>
        <w:lastRenderedPageBreak/>
        <w:t>reference service</w:t>
      </w:r>
      <w:r>
        <w:rPr>
          <w:sz w:val="20"/>
        </w:rPr>
        <w:tab/>
        <w:t>2</w:t>
      </w:r>
    </w:p>
    <w:p>
      <w:pPr>
        <w:tabs>
          <w:tab w:val="right" w:leader="dot" w:pos="7070"/>
        </w:tabs>
        <w:ind w:left="578" w:right="578"/>
        <w:rPr>
          <w:sz w:val="20"/>
        </w:rPr>
      </w:pPr>
      <w:r>
        <w:rPr>
          <w:sz w:val="20"/>
        </w:rPr>
        <w:t>reference tariff</w:t>
      </w:r>
      <w:r>
        <w:rPr>
          <w:sz w:val="20"/>
        </w:rPr>
        <w:tab/>
        <w:t>2</w:t>
      </w:r>
    </w:p>
    <w:p>
      <w:pPr>
        <w:tabs>
          <w:tab w:val="right" w:leader="dot" w:pos="7070"/>
        </w:tabs>
        <w:ind w:left="578" w:right="578"/>
        <w:rPr>
          <w:sz w:val="20"/>
        </w:rPr>
      </w:pPr>
      <w:r>
        <w:rPr>
          <w:sz w:val="20"/>
        </w:rPr>
        <w:t>Reference Tariff</w:t>
      </w:r>
      <w:r>
        <w:rPr>
          <w:sz w:val="20"/>
        </w:rPr>
        <w:tab/>
        <w:t>Sch. 3 cl. 31</w:t>
      </w:r>
    </w:p>
    <w:p>
      <w:pPr>
        <w:tabs>
          <w:tab w:val="right" w:leader="dot" w:pos="7070"/>
        </w:tabs>
        <w:ind w:left="578" w:right="578"/>
        <w:rPr>
          <w:sz w:val="20"/>
        </w:rPr>
      </w:pPr>
      <w:r>
        <w:rPr>
          <w:sz w:val="20"/>
        </w:rPr>
        <w:t>regulated revenue</w:t>
      </w:r>
      <w:r>
        <w:rPr>
          <w:sz w:val="20"/>
        </w:rPr>
        <w:tab/>
        <w:t>244</w:t>
      </w:r>
    </w:p>
    <w:p>
      <w:pPr>
        <w:tabs>
          <w:tab w:val="right" w:leader="dot" w:pos="7070"/>
        </w:tabs>
        <w:ind w:left="578" w:right="578"/>
        <w:rPr>
          <w:sz w:val="20"/>
        </w:rPr>
      </w:pPr>
      <w:r>
        <w:rPr>
          <w:sz w:val="20"/>
        </w:rPr>
        <w:t>Regulations</w:t>
      </w:r>
      <w:r>
        <w:rPr>
          <w:sz w:val="20"/>
        </w:rPr>
        <w:tab/>
        <w:t>2</w:t>
      </w:r>
    </w:p>
    <w:p>
      <w:pPr>
        <w:tabs>
          <w:tab w:val="right" w:leader="dot" w:pos="7070"/>
        </w:tabs>
        <w:ind w:left="578" w:right="578"/>
        <w:rPr>
          <w:sz w:val="20"/>
        </w:rPr>
      </w:pPr>
      <w:r>
        <w:rPr>
          <w:sz w:val="20"/>
        </w:rPr>
        <w:t>Regulations or Rules of a savings and transitional nature</w:t>
      </w:r>
      <w:r>
        <w:rPr>
          <w:sz w:val="20"/>
        </w:rPr>
        <w:tab/>
        <w:t>Sch. 3 cl. 2</w:t>
      </w:r>
    </w:p>
    <w:p>
      <w:pPr>
        <w:tabs>
          <w:tab w:val="right" w:leader="dot" w:pos="7070"/>
        </w:tabs>
        <w:ind w:left="578" w:right="578"/>
        <w:rPr>
          <w:sz w:val="20"/>
        </w:rPr>
      </w:pPr>
      <w:r>
        <w:rPr>
          <w:sz w:val="20"/>
        </w:rPr>
        <w:t>regulator</w:t>
      </w:r>
      <w:r>
        <w:rPr>
          <w:sz w:val="20"/>
        </w:rPr>
        <w:tab/>
        <w:t>Act 9(1), Note 2</w:t>
      </w:r>
    </w:p>
    <w:p>
      <w:pPr>
        <w:tabs>
          <w:tab w:val="right" w:leader="dot" w:pos="7070"/>
        </w:tabs>
        <w:ind w:left="578" w:right="578"/>
        <w:rPr>
          <w:sz w:val="20"/>
        </w:rPr>
      </w:pPr>
      <w:r>
        <w:rPr>
          <w:sz w:val="20"/>
        </w:rPr>
        <w:t>regulatory information instrument</w:t>
      </w:r>
      <w:r>
        <w:rPr>
          <w:sz w:val="20"/>
        </w:rPr>
        <w:tab/>
        <w:t>2</w:t>
      </w:r>
    </w:p>
    <w:p>
      <w:pPr>
        <w:tabs>
          <w:tab w:val="right" w:leader="dot" w:pos="7070"/>
        </w:tabs>
        <w:ind w:left="578" w:right="578"/>
        <w:rPr>
          <w:sz w:val="20"/>
        </w:rPr>
      </w:pPr>
      <w:r>
        <w:rPr>
          <w:sz w:val="20"/>
        </w:rPr>
        <w:t xml:space="preserve">regulatory information notice </w:t>
      </w:r>
      <w:r>
        <w:rPr>
          <w:sz w:val="20"/>
        </w:rPr>
        <w:tab/>
        <w:t>2</w:t>
      </w:r>
    </w:p>
    <w:p>
      <w:pPr>
        <w:tabs>
          <w:tab w:val="right" w:leader="dot" w:pos="7070"/>
        </w:tabs>
        <w:ind w:left="578" w:right="578"/>
        <w:rPr>
          <w:sz w:val="20"/>
        </w:rPr>
      </w:pPr>
      <w:r>
        <w:rPr>
          <w:sz w:val="20"/>
        </w:rPr>
        <w:t>regulatory obligation or requirement</w:t>
      </w:r>
      <w:r>
        <w:rPr>
          <w:sz w:val="20"/>
        </w:rPr>
        <w:tab/>
        <w:t>2</w:t>
      </w:r>
    </w:p>
    <w:p>
      <w:pPr>
        <w:tabs>
          <w:tab w:val="right" w:leader="dot" w:pos="7070"/>
        </w:tabs>
        <w:ind w:left="578" w:right="578"/>
        <w:rPr>
          <w:sz w:val="20"/>
        </w:rPr>
      </w:pPr>
      <w:r>
        <w:rPr>
          <w:sz w:val="20"/>
        </w:rPr>
        <w:t xml:space="preserve">regulatory payment </w:t>
      </w:r>
      <w:r>
        <w:rPr>
          <w:sz w:val="20"/>
        </w:rPr>
        <w:tab/>
        <w:t>2</w:t>
      </w:r>
    </w:p>
    <w:p>
      <w:pPr>
        <w:tabs>
          <w:tab w:val="right" w:leader="dot" w:pos="7070"/>
        </w:tabs>
        <w:ind w:left="578" w:right="578"/>
        <w:rPr>
          <w:sz w:val="20"/>
        </w:rPr>
      </w:pPr>
      <w:r>
        <w:rPr>
          <w:sz w:val="20"/>
        </w:rPr>
        <w:t>regulatory period</w:t>
      </w:r>
      <w:r>
        <w:rPr>
          <w:sz w:val="20"/>
        </w:rPr>
        <w:tab/>
        <w:t>244</w:t>
      </w:r>
    </w:p>
    <w:p>
      <w:pPr>
        <w:tabs>
          <w:tab w:val="right" w:leader="dot" w:pos="7070"/>
        </w:tabs>
        <w:ind w:left="578" w:right="578"/>
        <w:rPr>
          <w:sz w:val="20"/>
        </w:rPr>
      </w:pPr>
      <w:r>
        <w:rPr>
          <w:sz w:val="20"/>
        </w:rPr>
        <w:t>regulatory scheme decision maker</w:t>
      </w:r>
      <w:r>
        <w:rPr>
          <w:sz w:val="20"/>
        </w:rPr>
        <w:tab/>
        <w:t>332(3)</w:t>
      </w:r>
    </w:p>
    <w:p>
      <w:pPr>
        <w:tabs>
          <w:tab w:val="right" w:leader="dot" w:pos="7070"/>
        </w:tabs>
        <w:ind w:left="578" w:right="578"/>
        <w:rPr>
          <w:sz w:val="20"/>
        </w:rPr>
      </w:pPr>
      <w:r>
        <w:rPr>
          <w:sz w:val="20"/>
        </w:rPr>
        <w:t>related business</w:t>
      </w:r>
      <w:r>
        <w:rPr>
          <w:sz w:val="20"/>
        </w:rPr>
        <w:tab/>
        <w:t>137</w:t>
      </w:r>
    </w:p>
    <w:p>
      <w:pPr>
        <w:tabs>
          <w:tab w:val="right" w:leader="dot" w:pos="7070"/>
        </w:tabs>
        <w:ind w:left="578" w:right="578"/>
        <w:rPr>
          <w:sz w:val="20"/>
        </w:rPr>
      </w:pPr>
      <w:r>
        <w:rPr>
          <w:sz w:val="20"/>
        </w:rPr>
        <w:t>related provider</w:t>
      </w:r>
      <w:r>
        <w:rPr>
          <w:sz w:val="20"/>
        </w:rPr>
        <w:tab/>
        <w:t>43</w:t>
      </w:r>
    </w:p>
    <w:p>
      <w:pPr>
        <w:tabs>
          <w:tab w:val="right" w:leader="dot" w:pos="7070"/>
        </w:tabs>
        <w:ind w:left="578" w:right="578"/>
        <w:rPr>
          <w:sz w:val="20"/>
        </w:rPr>
      </w:pPr>
      <w:r>
        <w:rPr>
          <w:sz w:val="20"/>
        </w:rPr>
        <w:t>relevant access arrangement</w:t>
      </w:r>
      <w:r>
        <w:rPr>
          <w:sz w:val="20"/>
        </w:rPr>
        <w:tab/>
        <w:t>Sch. 3 cl. 134</w:t>
      </w:r>
    </w:p>
    <w:p>
      <w:pPr>
        <w:tabs>
          <w:tab w:val="right" w:leader="dot" w:pos="7070"/>
        </w:tabs>
        <w:ind w:left="578" w:right="578"/>
        <w:rPr>
          <w:sz w:val="20"/>
        </w:rPr>
      </w:pPr>
      <w:r>
        <w:rPr>
          <w:sz w:val="20"/>
        </w:rPr>
        <w:t>relevant appeals body</w:t>
      </w:r>
      <w:r>
        <w:rPr>
          <w:sz w:val="20"/>
        </w:rPr>
        <w:tab/>
        <w:t>Sch. 3 cl. 1</w:t>
      </w:r>
    </w:p>
    <w:p>
      <w:pPr>
        <w:tabs>
          <w:tab w:val="right" w:leader="dot" w:pos="7070"/>
        </w:tabs>
        <w:ind w:left="578" w:right="578"/>
        <w:rPr>
          <w:sz w:val="20"/>
        </w:rPr>
      </w:pPr>
      <w:r>
        <w:rPr>
          <w:sz w:val="20"/>
        </w:rPr>
        <w:t>relevant decision maker</w:t>
      </w:r>
      <w:r>
        <w:rPr>
          <w:sz w:val="20"/>
        </w:rPr>
        <w:tab/>
        <w:t>330</w:t>
      </w:r>
    </w:p>
    <w:p>
      <w:pPr>
        <w:tabs>
          <w:tab w:val="right" w:leader="dot" w:pos="7070"/>
        </w:tabs>
        <w:ind w:left="578" w:right="578"/>
        <w:rPr>
          <w:sz w:val="20"/>
        </w:rPr>
      </w:pPr>
      <w:r>
        <w:rPr>
          <w:sz w:val="20"/>
        </w:rPr>
        <w:t>relevant decision or document</w:t>
      </w:r>
      <w:r>
        <w:rPr>
          <w:sz w:val="20"/>
        </w:rPr>
        <w:tab/>
        <w:t>Sch. 2 cl. 31</w:t>
      </w:r>
    </w:p>
    <w:p>
      <w:pPr>
        <w:tabs>
          <w:tab w:val="right" w:leader="dot" w:pos="7070"/>
        </w:tabs>
        <w:ind w:left="578" w:right="578"/>
        <w:rPr>
          <w:sz w:val="20"/>
        </w:rPr>
      </w:pPr>
      <w:r>
        <w:rPr>
          <w:sz w:val="20"/>
        </w:rPr>
        <w:t>relevant exclusivity right</w:t>
      </w:r>
      <w:r>
        <w:rPr>
          <w:sz w:val="20"/>
        </w:rPr>
        <w:tab/>
        <w:t>188(2), 216N, 321(2)</w:t>
      </w:r>
    </w:p>
    <w:p>
      <w:pPr>
        <w:tabs>
          <w:tab w:val="right" w:leader="dot" w:pos="7070"/>
        </w:tabs>
        <w:ind w:left="578" w:right="578"/>
        <w:rPr>
          <w:sz w:val="20"/>
        </w:rPr>
      </w:pPr>
      <w:r>
        <w:rPr>
          <w:sz w:val="20"/>
        </w:rPr>
        <w:t>relevant Minister</w:t>
      </w:r>
      <w:r>
        <w:rPr>
          <w:sz w:val="20"/>
        </w:rPr>
        <w:tab/>
        <w:t>2</w:t>
      </w:r>
    </w:p>
    <w:p>
      <w:pPr>
        <w:tabs>
          <w:tab w:val="right" w:leader="dot" w:pos="7070"/>
        </w:tabs>
        <w:ind w:left="578" w:right="578"/>
        <w:rPr>
          <w:sz w:val="20"/>
        </w:rPr>
      </w:pPr>
      <w:r>
        <w:rPr>
          <w:sz w:val="20"/>
        </w:rPr>
        <w:t>relevant national provisions</w:t>
      </w:r>
      <w:r>
        <w:rPr>
          <w:sz w:val="20"/>
        </w:rPr>
        <w:tab/>
        <w:t>Act 19(3)</w:t>
      </w:r>
    </w:p>
    <w:p>
      <w:pPr>
        <w:tabs>
          <w:tab w:val="right" w:leader="dot" w:pos="7070"/>
        </w:tabs>
        <w:ind w:left="578" w:right="578"/>
        <w:rPr>
          <w:sz w:val="20"/>
        </w:rPr>
      </w:pPr>
      <w:r>
        <w:rPr>
          <w:sz w:val="20"/>
        </w:rPr>
        <w:t>relevant notice</w:t>
      </w:r>
      <w:r>
        <w:rPr>
          <w:sz w:val="20"/>
        </w:rPr>
        <w:tab/>
        <w:t>42(1), Sch. 2 cl. 31, 33</w:t>
      </w:r>
    </w:p>
    <w:p>
      <w:pPr>
        <w:tabs>
          <w:tab w:val="right" w:leader="dot" w:pos="7070"/>
        </w:tabs>
        <w:ind w:left="578" w:right="578"/>
        <w:rPr>
          <w:sz w:val="20"/>
        </w:rPr>
      </w:pPr>
      <w:r>
        <w:rPr>
          <w:sz w:val="20"/>
        </w:rPr>
        <w:t>relevant pipeline description</w:t>
      </w:r>
      <w:r>
        <w:rPr>
          <w:sz w:val="20"/>
        </w:rPr>
        <w:tab/>
        <w:t>171(3)</w:t>
      </w:r>
    </w:p>
    <w:p>
      <w:pPr>
        <w:tabs>
          <w:tab w:val="right" w:leader="dot" w:pos="7070"/>
        </w:tabs>
        <w:ind w:left="578" w:right="578"/>
        <w:rPr>
          <w:sz w:val="20"/>
        </w:rPr>
      </w:pPr>
      <w:r>
        <w:rPr>
          <w:sz w:val="20"/>
        </w:rPr>
        <w:t>relevant protected contractual right</w:t>
      </w:r>
      <w:r>
        <w:rPr>
          <w:sz w:val="20"/>
        </w:rPr>
        <w:tab/>
        <w:t>188(2), 216N, 321(2)</w:t>
      </w:r>
    </w:p>
    <w:p>
      <w:pPr>
        <w:tabs>
          <w:tab w:val="right" w:leader="dot" w:pos="7070"/>
        </w:tabs>
        <w:ind w:left="578" w:right="578"/>
        <w:rPr>
          <w:sz w:val="20"/>
        </w:rPr>
      </w:pPr>
      <w:r>
        <w:rPr>
          <w:sz w:val="20"/>
        </w:rPr>
        <w:t>relevant provision</w:t>
      </w:r>
      <w:r>
        <w:rPr>
          <w:sz w:val="20"/>
        </w:rPr>
        <w:tab/>
        <w:t>31</w:t>
      </w:r>
    </w:p>
    <w:p>
      <w:pPr>
        <w:tabs>
          <w:tab w:val="right" w:leader="dot" w:pos="7070"/>
        </w:tabs>
        <w:ind w:left="578" w:right="578"/>
        <w:rPr>
          <w:sz w:val="20"/>
        </w:rPr>
      </w:pPr>
      <w:r>
        <w:rPr>
          <w:sz w:val="20"/>
        </w:rPr>
        <w:t>relevant Regulator</w:t>
      </w:r>
      <w:r>
        <w:rPr>
          <w:sz w:val="20"/>
        </w:rPr>
        <w:tab/>
        <w:t>2</w:t>
      </w:r>
    </w:p>
    <w:p>
      <w:pPr>
        <w:tabs>
          <w:tab w:val="right" w:leader="dot" w:pos="7070"/>
        </w:tabs>
        <w:ind w:left="578" w:right="578"/>
        <w:rPr>
          <w:sz w:val="20"/>
        </w:rPr>
      </w:pPr>
      <w:r>
        <w:rPr>
          <w:sz w:val="20"/>
        </w:rPr>
        <w:t>relevant Regulator investigation</w:t>
      </w:r>
      <w:r>
        <w:rPr>
          <w:sz w:val="20"/>
        </w:rPr>
        <w:tab/>
        <w:t>Sch. 3 cl. 43</w:t>
      </w:r>
    </w:p>
    <w:p>
      <w:pPr>
        <w:tabs>
          <w:tab w:val="right" w:leader="dot" w:pos="7070"/>
        </w:tabs>
        <w:ind w:left="578" w:right="578"/>
        <w:rPr>
          <w:sz w:val="20"/>
        </w:rPr>
      </w:pPr>
      <w:r>
        <w:rPr>
          <w:sz w:val="20"/>
        </w:rPr>
        <w:t>relevant transition date</w:t>
      </w:r>
      <w:r>
        <w:rPr>
          <w:sz w:val="20"/>
        </w:rPr>
        <w:tab/>
        <w:t>Sch. 3 cl. 9, 16, 24</w:t>
      </w:r>
    </w:p>
    <w:p>
      <w:pPr>
        <w:tabs>
          <w:tab w:val="right" w:leader="dot" w:pos="7070"/>
        </w:tabs>
        <w:ind w:left="578" w:right="578"/>
        <w:rPr>
          <w:sz w:val="20"/>
        </w:rPr>
      </w:pPr>
      <w:r>
        <w:rPr>
          <w:sz w:val="20"/>
        </w:rPr>
        <w:t>relevant transition period</w:t>
      </w:r>
      <w:r>
        <w:rPr>
          <w:sz w:val="20"/>
        </w:rPr>
        <w:tab/>
        <w:t>Sch. 3 cl. 31, 38</w:t>
      </w:r>
    </w:p>
    <w:p>
      <w:pPr>
        <w:tabs>
          <w:tab w:val="right" w:leader="dot" w:pos="7070"/>
        </w:tabs>
        <w:ind w:left="578" w:right="578"/>
        <w:rPr>
          <w:sz w:val="20"/>
        </w:rPr>
      </w:pPr>
      <w:r>
        <w:rPr>
          <w:sz w:val="20"/>
        </w:rPr>
        <w:t>REMCo</w:t>
      </w:r>
      <w:r>
        <w:rPr>
          <w:sz w:val="20"/>
        </w:rPr>
        <w:tab/>
        <w:t>290</w:t>
      </w:r>
    </w:p>
    <w:p>
      <w:pPr>
        <w:tabs>
          <w:tab w:val="right" w:leader="dot" w:pos="7070"/>
        </w:tabs>
        <w:ind w:left="578" w:right="578"/>
        <w:rPr>
          <w:sz w:val="20"/>
        </w:rPr>
      </w:pPr>
      <w:r>
        <w:rPr>
          <w:sz w:val="20"/>
        </w:rPr>
        <w:t>repeal</w:t>
      </w:r>
      <w:r>
        <w:rPr>
          <w:sz w:val="20"/>
        </w:rPr>
        <w:tab/>
        <w:t>Sch. 2 cl. 10</w:t>
      </w:r>
    </w:p>
    <w:p>
      <w:pPr>
        <w:tabs>
          <w:tab w:val="right" w:leader="dot" w:pos="7070"/>
        </w:tabs>
        <w:ind w:left="578" w:right="578"/>
        <w:rPr>
          <w:sz w:val="20"/>
        </w:rPr>
      </w:pPr>
      <w:r>
        <w:rPr>
          <w:sz w:val="20"/>
        </w:rPr>
        <w:t>report trigger date</w:t>
      </w:r>
      <w:r>
        <w:rPr>
          <w:sz w:val="20"/>
        </w:rPr>
        <w:tab/>
        <w:t>320(1)</w:t>
      </w:r>
    </w:p>
    <w:p>
      <w:pPr>
        <w:tabs>
          <w:tab w:val="right" w:leader="dot" w:pos="7070"/>
        </w:tabs>
        <w:ind w:left="578" w:right="578"/>
        <w:rPr>
          <w:sz w:val="20"/>
        </w:rPr>
      </w:pPr>
      <w:r>
        <w:rPr>
          <w:sz w:val="20"/>
        </w:rPr>
        <w:t>restricted period</w:t>
      </w:r>
      <w:r>
        <w:rPr>
          <w:sz w:val="20"/>
        </w:rPr>
        <w:tab/>
        <w:t>329(8)</w:t>
      </w:r>
    </w:p>
    <w:p>
      <w:pPr>
        <w:tabs>
          <w:tab w:val="right" w:leader="dot" w:pos="7070"/>
        </w:tabs>
        <w:ind w:left="578" w:right="578"/>
        <w:rPr>
          <w:sz w:val="20"/>
        </w:rPr>
      </w:pPr>
      <w:r>
        <w:rPr>
          <w:sz w:val="20"/>
        </w:rPr>
        <w:t>revenue and pricing principles</w:t>
      </w:r>
      <w:r>
        <w:rPr>
          <w:sz w:val="20"/>
        </w:rPr>
        <w:tab/>
        <w:t>2</w:t>
      </w:r>
    </w:p>
    <w:p>
      <w:pPr>
        <w:tabs>
          <w:tab w:val="right" w:leader="dot" w:pos="7070"/>
        </w:tabs>
        <w:ind w:left="578" w:right="578"/>
        <w:rPr>
          <w:sz w:val="20"/>
        </w:rPr>
      </w:pPr>
      <w:r>
        <w:rPr>
          <w:sz w:val="20"/>
        </w:rPr>
        <w:t>review</w:t>
      </w:r>
      <w:r>
        <w:rPr>
          <w:sz w:val="20"/>
        </w:rPr>
        <w:tab/>
        <w:t>Sch. 3 cl. 95</w:t>
      </w:r>
    </w:p>
    <w:p>
      <w:pPr>
        <w:tabs>
          <w:tab w:val="right" w:leader="dot" w:pos="7070"/>
        </w:tabs>
        <w:ind w:left="578" w:right="578"/>
        <w:rPr>
          <w:sz w:val="20"/>
        </w:rPr>
      </w:pPr>
      <w:r>
        <w:rPr>
          <w:sz w:val="20"/>
        </w:rPr>
        <w:t xml:space="preserve">review related matter </w:t>
      </w:r>
      <w:r>
        <w:rPr>
          <w:sz w:val="20"/>
        </w:rPr>
        <w:tab/>
        <w:t>261(7)</w:t>
      </w:r>
    </w:p>
    <w:p>
      <w:pPr>
        <w:tabs>
          <w:tab w:val="right" w:leader="dot" w:pos="7070"/>
        </w:tabs>
        <w:ind w:left="578" w:right="578"/>
        <w:rPr>
          <w:sz w:val="20"/>
        </w:rPr>
      </w:pPr>
      <w:r>
        <w:rPr>
          <w:sz w:val="20"/>
        </w:rPr>
        <w:t>review under this Part</w:t>
      </w:r>
      <w:r>
        <w:rPr>
          <w:sz w:val="20"/>
        </w:rPr>
        <w:tab/>
        <w:t>244</w:t>
      </w:r>
    </w:p>
    <w:p>
      <w:pPr>
        <w:tabs>
          <w:tab w:val="right" w:leader="dot" w:pos="7070"/>
        </w:tabs>
        <w:ind w:left="578" w:right="578"/>
        <w:rPr>
          <w:sz w:val="20"/>
        </w:rPr>
      </w:pPr>
      <w:r>
        <w:rPr>
          <w:sz w:val="20"/>
        </w:rPr>
        <w:t>reviewable regulatory decision</w:t>
      </w:r>
      <w:r>
        <w:rPr>
          <w:sz w:val="20"/>
        </w:rPr>
        <w:tab/>
        <w:t>2, 244, Sch. 3 cl. 31</w:t>
      </w:r>
    </w:p>
    <w:p>
      <w:pPr>
        <w:tabs>
          <w:tab w:val="right" w:leader="dot" w:pos="7070"/>
        </w:tabs>
        <w:ind w:left="578" w:right="578"/>
        <w:rPr>
          <w:sz w:val="20"/>
        </w:rPr>
      </w:pPr>
      <w:r>
        <w:rPr>
          <w:sz w:val="20"/>
        </w:rPr>
        <w:t>reviewable regulatory decision process participant</w:t>
      </w:r>
      <w:r>
        <w:rPr>
          <w:sz w:val="20"/>
        </w:rPr>
        <w:tab/>
        <w:t>254(2)</w:t>
      </w:r>
    </w:p>
    <w:p>
      <w:pPr>
        <w:tabs>
          <w:tab w:val="right" w:leader="dot" w:pos="7070"/>
        </w:tabs>
        <w:ind w:left="578" w:right="578"/>
        <w:rPr>
          <w:sz w:val="20"/>
        </w:rPr>
      </w:pPr>
      <w:r>
        <w:rPr>
          <w:sz w:val="20"/>
        </w:rPr>
        <w:t>ring fencing decision</w:t>
      </w:r>
      <w:r>
        <w:rPr>
          <w:sz w:val="20"/>
        </w:rPr>
        <w:tab/>
        <w:t>2</w:t>
      </w:r>
    </w:p>
    <w:p>
      <w:pPr>
        <w:tabs>
          <w:tab w:val="right" w:leader="dot" w:pos="7070"/>
        </w:tabs>
        <w:ind w:left="578" w:right="578"/>
        <w:rPr>
          <w:sz w:val="20"/>
        </w:rPr>
      </w:pPr>
      <w:r>
        <w:rPr>
          <w:sz w:val="20"/>
        </w:rPr>
        <w:t>Rule extrinsic material</w:t>
      </w:r>
      <w:r>
        <w:rPr>
          <w:sz w:val="20"/>
        </w:rPr>
        <w:tab/>
        <w:t>Sch. 2 cl. 8</w:t>
      </w:r>
    </w:p>
    <w:p>
      <w:pPr>
        <w:tabs>
          <w:tab w:val="right" w:leader="dot" w:pos="7070"/>
        </w:tabs>
        <w:ind w:left="578" w:right="578"/>
        <w:rPr>
          <w:sz w:val="20"/>
        </w:rPr>
      </w:pPr>
      <w:r>
        <w:rPr>
          <w:sz w:val="20"/>
        </w:rPr>
        <w:t>Rules</w:t>
      </w:r>
      <w:r>
        <w:rPr>
          <w:sz w:val="20"/>
        </w:rPr>
        <w:tab/>
        <w:t>2</w:t>
      </w:r>
    </w:p>
    <w:p>
      <w:pPr>
        <w:tabs>
          <w:tab w:val="right" w:leader="dot" w:pos="7070"/>
        </w:tabs>
        <w:ind w:left="578" w:right="578"/>
        <w:rPr>
          <w:sz w:val="20"/>
        </w:rPr>
      </w:pPr>
      <w:r>
        <w:rPr>
          <w:sz w:val="20"/>
        </w:rPr>
        <w:t>SA Schedule amendment</w:t>
      </w:r>
      <w:r>
        <w:rPr>
          <w:sz w:val="20"/>
        </w:rPr>
        <w:tab/>
        <w:t>Act 7A(1)</w:t>
      </w:r>
    </w:p>
    <w:p>
      <w:pPr>
        <w:tabs>
          <w:tab w:val="right" w:leader="dot" w:pos="7070"/>
        </w:tabs>
        <w:ind w:left="578" w:right="578"/>
        <w:rPr>
          <w:sz w:val="20"/>
        </w:rPr>
      </w:pPr>
      <w:r>
        <w:rPr>
          <w:sz w:val="20"/>
        </w:rPr>
        <w:lastRenderedPageBreak/>
        <w:t>scheme administrator</w:t>
      </w:r>
      <w:r>
        <w:rPr>
          <w:sz w:val="20"/>
        </w:rPr>
        <w:tab/>
        <w:t>216A</w:t>
      </w:r>
    </w:p>
    <w:p>
      <w:pPr>
        <w:tabs>
          <w:tab w:val="right" w:leader="dot" w:pos="7070"/>
        </w:tabs>
        <w:ind w:left="578" w:right="578"/>
        <w:rPr>
          <w:sz w:val="20"/>
        </w:rPr>
      </w:pPr>
      <w:r>
        <w:rPr>
          <w:sz w:val="20"/>
        </w:rPr>
        <w:t>scheme decision</w:t>
      </w:r>
      <w:r>
        <w:rPr>
          <w:sz w:val="20"/>
        </w:rPr>
        <w:tab/>
        <w:t>330</w:t>
      </w:r>
    </w:p>
    <w:p>
      <w:pPr>
        <w:tabs>
          <w:tab w:val="right" w:leader="dot" w:pos="7070"/>
        </w:tabs>
        <w:ind w:left="578" w:right="578"/>
        <w:rPr>
          <w:sz w:val="20"/>
        </w:rPr>
      </w:pPr>
      <w:r>
        <w:rPr>
          <w:sz w:val="20"/>
        </w:rPr>
        <w:t>scheme pipeline</w:t>
      </w:r>
      <w:r>
        <w:rPr>
          <w:sz w:val="20"/>
        </w:rPr>
        <w:tab/>
        <w:t>2</w:t>
      </w:r>
    </w:p>
    <w:p>
      <w:pPr>
        <w:tabs>
          <w:tab w:val="right" w:leader="dot" w:pos="7070"/>
        </w:tabs>
        <w:ind w:left="578" w:right="578"/>
        <w:rPr>
          <w:sz w:val="20"/>
        </w:rPr>
      </w:pPr>
      <w:r>
        <w:rPr>
          <w:sz w:val="20"/>
        </w:rPr>
        <w:t>scheme pipeline service provider</w:t>
      </w:r>
      <w:r>
        <w:rPr>
          <w:sz w:val="20"/>
        </w:rPr>
        <w:tab/>
        <w:t>43</w:t>
      </w:r>
    </w:p>
    <w:p>
      <w:pPr>
        <w:tabs>
          <w:tab w:val="right" w:leader="dot" w:pos="7070"/>
        </w:tabs>
        <w:ind w:left="578" w:right="578"/>
        <w:rPr>
          <w:sz w:val="20"/>
        </w:rPr>
      </w:pPr>
      <w:r>
        <w:rPr>
          <w:sz w:val="20"/>
        </w:rPr>
        <w:t>scheme procedure</w:t>
      </w:r>
      <w:r>
        <w:rPr>
          <w:sz w:val="20"/>
        </w:rPr>
        <w:tab/>
        <w:t>330</w:t>
      </w:r>
    </w:p>
    <w:p>
      <w:pPr>
        <w:tabs>
          <w:tab w:val="right" w:leader="dot" w:pos="7070"/>
        </w:tabs>
        <w:ind w:left="578" w:right="578"/>
        <w:rPr>
          <w:sz w:val="20"/>
        </w:rPr>
      </w:pPr>
      <w:r>
        <w:rPr>
          <w:sz w:val="20"/>
        </w:rPr>
        <w:t>service provider</w:t>
      </w:r>
      <w:r>
        <w:rPr>
          <w:sz w:val="20"/>
        </w:rPr>
        <w:tab/>
        <w:t>2, 151(4), 160(3)</w:t>
      </w:r>
    </w:p>
    <w:p>
      <w:pPr>
        <w:tabs>
          <w:tab w:val="right" w:leader="dot" w:pos="7070"/>
        </w:tabs>
        <w:ind w:left="578" w:right="578"/>
        <w:rPr>
          <w:sz w:val="20"/>
        </w:rPr>
      </w:pPr>
      <w:r>
        <w:rPr>
          <w:sz w:val="20"/>
        </w:rPr>
        <w:t>service provider group</w:t>
      </w:r>
      <w:r>
        <w:rPr>
          <w:sz w:val="20"/>
        </w:rPr>
        <w:tab/>
        <w:t>10(1)</w:t>
      </w:r>
    </w:p>
    <w:p>
      <w:pPr>
        <w:tabs>
          <w:tab w:val="right" w:leader="dot" w:pos="7070"/>
        </w:tabs>
        <w:ind w:left="578" w:right="578"/>
        <w:rPr>
          <w:sz w:val="20"/>
        </w:rPr>
      </w:pPr>
      <w:r>
        <w:rPr>
          <w:sz w:val="20"/>
        </w:rPr>
        <w:t>service provider performance report</w:t>
      </w:r>
      <w:r>
        <w:rPr>
          <w:sz w:val="20"/>
        </w:rPr>
        <w:tab/>
        <w:t>2</w:t>
      </w:r>
    </w:p>
    <w:p>
      <w:pPr>
        <w:tabs>
          <w:tab w:val="right" w:leader="dot" w:pos="7070"/>
        </w:tabs>
        <w:ind w:left="578" w:right="578"/>
        <w:rPr>
          <w:sz w:val="20"/>
        </w:rPr>
      </w:pPr>
      <w:r>
        <w:rPr>
          <w:sz w:val="20"/>
        </w:rPr>
        <w:t>SES employee</w:t>
      </w:r>
      <w:r>
        <w:rPr>
          <w:sz w:val="20"/>
        </w:rPr>
        <w:tab/>
        <w:t>Sch. 2 cl. 33</w:t>
      </w:r>
    </w:p>
    <w:p>
      <w:pPr>
        <w:tabs>
          <w:tab w:val="right" w:leader="dot" w:pos="7070"/>
        </w:tabs>
        <w:ind w:left="578" w:right="578"/>
        <w:rPr>
          <w:sz w:val="20"/>
        </w:rPr>
      </w:pPr>
      <w:r>
        <w:rPr>
          <w:sz w:val="20"/>
        </w:rPr>
        <w:t>sign</w:t>
      </w:r>
      <w:r>
        <w:rPr>
          <w:sz w:val="20"/>
        </w:rPr>
        <w:tab/>
        <w:t>Sch. 2 cl. 10</w:t>
      </w:r>
    </w:p>
    <w:p>
      <w:pPr>
        <w:tabs>
          <w:tab w:val="right" w:leader="dot" w:pos="7070"/>
        </w:tabs>
        <w:ind w:left="578" w:right="578"/>
        <w:rPr>
          <w:sz w:val="20"/>
        </w:rPr>
      </w:pPr>
      <w:r>
        <w:rPr>
          <w:sz w:val="20"/>
        </w:rPr>
        <w:t>small to medium user or end user</w:t>
      </w:r>
      <w:r>
        <w:rPr>
          <w:sz w:val="20"/>
        </w:rPr>
        <w:tab/>
        <w:t>244</w:t>
      </w:r>
    </w:p>
    <w:p>
      <w:pPr>
        <w:tabs>
          <w:tab w:val="right" w:leader="dot" w:pos="7070"/>
        </w:tabs>
        <w:ind w:left="578" w:right="578"/>
        <w:rPr>
          <w:sz w:val="20"/>
        </w:rPr>
      </w:pPr>
      <w:r>
        <w:rPr>
          <w:sz w:val="20"/>
        </w:rPr>
        <w:t>small/medium user or consumer intervener</w:t>
      </w:r>
      <w:r>
        <w:rPr>
          <w:sz w:val="20"/>
        </w:rPr>
        <w:tab/>
        <w:t>244</w:t>
      </w:r>
    </w:p>
    <w:p>
      <w:pPr>
        <w:tabs>
          <w:tab w:val="right" w:leader="dot" w:pos="7070"/>
        </w:tabs>
        <w:ind w:left="578" w:right="578"/>
        <w:rPr>
          <w:sz w:val="20"/>
        </w:rPr>
      </w:pPr>
      <w:r>
        <w:rPr>
          <w:sz w:val="20"/>
        </w:rPr>
        <w:t>South Australian Act</w:t>
      </w:r>
      <w:r>
        <w:rPr>
          <w:sz w:val="20"/>
        </w:rPr>
        <w:tab/>
        <w:t>Act 3(1)</w:t>
      </w:r>
    </w:p>
    <w:p>
      <w:pPr>
        <w:tabs>
          <w:tab w:val="right" w:leader="dot" w:pos="7070"/>
        </w:tabs>
        <w:ind w:left="578" w:right="578"/>
        <w:rPr>
          <w:sz w:val="20"/>
        </w:rPr>
      </w:pPr>
      <w:r>
        <w:rPr>
          <w:sz w:val="20"/>
        </w:rPr>
        <w:t>South Australian Minister</w:t>
      </w:r>
      <w:r>
        <w:rPr>
          <w:sz w:val="20"/>
        </w:rPr>
        <w:tab/>
        <w:t>294CA</w:t>
      </w:r>
    </w:p>
    <w:p>
      <w:pPr>
        <w:tabs>
          <w:tab w:val="right" w:leader="dot" w:pos="7070"/>
        </w:tabs>
        <w:ind w:left="578" w:right="578"/>
        <w:rPr>
          <w:sz w:val="20"/>
        </w:rPr>
      </w:pPr>
      <w:r>
        <w:rPr>
          <w:sz w:val="20"/>
        </w:rPr>
        <w:t>spare capacity</w:t>
      </w:r>
      <w:r>
        <w:rPr>
          <w:sz w:val="20"/>
        </w:rPr>
        <w:tab/>
        <w:t>2</w:t>
      </w:r>
    </w:p>
    <w:p>
      <w:pPr>
        <w:tabs>
          <w:tab w:val="right" w:leader="dot" w:pos="7070"/>
        </w:tabs>
        <w:ind w:left="578" w:right="578"/>
        <w:rPr>
          <w:sz w:val="20"/>
        </w:rPr>
      </w:pPr>
      <w:r>
        <w:rPr>
          <w:sz w:val="20"/>
        </w:rPr>
        <w:t>specified dispute termination circumstance</w:t>
      </w:r>
      <w:r>
        <w:rPr>
          <w:sz w:val="20"/>
        </w:rPr>
        <w:tab/>
        <w:t>186(3), 216O</w:t>
      </w:r>
    </w:p>
    <w:p>
      <w:pPr>
        <w:tabs>
          <w:tab w:val="right" w:leader="dot" w:pos="7070"/>
        </w:tabs>
        <w:ind w:left="578" w:right="578"/>
        <w:rPr>
          <w:sz w:val="20"/>
        </w:rPr>
      </w:pPr>
      <w:r>
        <w:rPr>
          <w:sz w:val="20"/>
        </w:rPr>
        <w:t>stakeholders</w:t>
      </w:r>
      <w:r>
        <w:rPr>
          <w:sz w:val="20"/>
        </w:rPr>
        <w:tab/>
        <w:t>Sch. 3 cl. 95</w:t>
      </w:r>
    </w:p>
    <w:p>
      <w:pPr>
        <w:tabs>
          <w:tab w:val="right" w:leader="dot" w:pos="7070"/>
        </w:tabs>
        <w:ind w:left="578" w:right="578"/>
        <w:rPr>
          <w:sz w:val="20"/>
        </w:rPr>
      </w:pPr>
      <w:r>
        <w:rPr>
          <w:sz w:val="20"/>
        </w:rPr>
        <w:t>standard period</w:t>
      </w:r>
      <w:r>
        <w:rPr>
          <w:sz w:val="20"/>
        </w:rPr>
        <w:tab/>
        <w:t>260(1)</w:t>
      </w:r>
    </w:p>
    <w:p>
      <w:pPr>
        <w:tabs>
          <w:tab w:val="right" w:leader="dot" w:pos="7070"/>
        </w:tabs>
        <w:ind w:left="578" w:right="578"/>
        <w:rPr>
          <w:sz w:val="20"/>
        </w:rPr>
      </w:pPr>
      <w:r>
        <w:rPr>
          <w:sz w:val="20"/>
        </w:rPr>
        <w:t>start dat</w:t>
      </w:r>
      <w:r>
        <w:rPr>
          <w:sz w:val="20"/>
        </w:rPr>
        <w:tab/>
        <w:t>Sch. 3 cl. 133</w:t>
      </w:r>
    </w:p>
    <w:p>
      <w:pPr>
        <w:tabs>
          <w:tab w:val="right" w:leader="dot" w:pos="7070"/>
        </w:tabs>
        <w:ind w:left="578" w:right="578"/>
        <w:rPr>
          <w:sz w:val="20"/>
        </w:rPr>
      </w:pPr>
      <w:r>
        <w:rPr>
          <w:sz w:val="20"/>
        </w:rPr>
        <w:t>statutory declaration</w:t>
      </w:r>
      <w:r>
        <w:rPr>
          <w:sz w:val="20"/>
        </w:rPr>
        <w:tab/>
        <w:t>Sch. 2 cl. 10</w:t>
      </w:r>
    </w:p>
    <w:p>
      <w:pPr>
        <w:tabs>
          <w:tab w:val="right" w:leader="dot" w:pos="7070"/>
        </w:tabs>
        <w:ind w:left="578" w:right="578"/>
        <w:rPr>
          <w:sz w:val="20"/>
        </w:rPr>
      </w:pPr>
      <w:r>
        <w:rPr>
          <w:sz w:val="20"/>
        </w:rPr>
        <w:t>statutory instrument</w:t>
      </w:r>
      <w:r>
        <w:rPr>
          <w:sz w:val="20"/>
        </w:rPr>
        <w:tab/>
        <w:t>Sch. 2 cl. 10, 21, 51</w:t>
      </w:r>
    </w:p>
    <w:p>
      <w:pPr>
        <w:tabs>
          <w:tab w:val="right" w:leader="dot" w:pos="7070"/>
        </w:tabs>
        <w:ind w:left="578" w:right="578"/>
        <w:rPr>
          <w:sz w:val="20"/>
        </w:rPr>
      </w:pPr>
      <w:r>
        <w:rPr>
          <w:sz w:val="20"/>
        </w:rPr>
        <w:t>storage provider</w:t>
      </w:r>
      <w:r>
        <w:rPr>
          <w:sz w:val="20"/>
        </w:rPr>
        <w:tab/>
        <w:t>2</w:t>
      </w:r>
    </w:p>
    <w:p>
      <w:pPr>
        <w:tabs>
          <w:tab w:val="right" w:leader="dot" w:pos="7070"/>
        </w:tabs>
        <w:ind w:left="578" w:right="578"/>
        <w:rPr>
          <w:sz w:val="20"/>
        </w:rPr>
      </w:pPr>
      <w:r>
        <w:rPr>
          <w:sz w:val="20"/>
        </w:rPr>
        <w:t>subsequent service provider</w:t>
      </w:r>
      <w:r>
        <w:rPr>
          <w:sz w:val="20"/>
        </w:rPr>
        <w:tab/>
        <w:t>215(2)</w:t>
      </w:r>
    </w:p>
    <w:p>
      <w:pPr>
        <w:tabs>
          <w:tab w:val="right" w:leader="dot" w:pos="7070"/>
        </w:tabs>
        <w:ind w:left="578" w:right="578"/>
        <w:rPr>
          <w:sz w:val="20"/>
        </w:rPr>
      </w:pPr>
      <w:r>
        <w:rPr>
          <w:sz w:val="20"/>
        </w:rPr>
        <w:t>supply</w:t>
      </w:r>
      <w:r>
        <w:rPr>
          <w:sz w:val="20"/>
        </w:rPr>
        <w:tab/>
        <w:t>2</w:t>
      </w:r>
    </w:p>
    <w:p>
      <w:pPr>
        <w:tabs>
          <w:tab w:val="right" w:leader="dot" w:pos="7070"/>
        </w:tabs>
        <w:ind w:left="578" w:right="578"/>
        <w:rPr>
          <w:sz w:val="20"/>
        </w:rPr>
      </w:pPr>
      <w:r>
        <w:rPr>
          <w:sz w:val="20"/>
        </w:rPr>
        <w:t>swear</w:t>
      </w:r>
      <w:r>
        <w:rPr>
          <w:sz w:val="20"/>
        </w:rPr>
        <w:tab/>
        <w:t>Sch. 2 cl. 10</w:t>
      </w:r>
    </w:p>
    <w:p>
      <w:pPr>
        <w:tabs>
          <w:tab w:val="right" w:leader="dot" w:pos="7070"/>
        </w:tabs>
        <w:ind w:left="578" w:right="578"/>
        <w:rPr>
          <w:sz w:val="20"/>
        </w:rPr>
      </w:pPr>
      <w:r>
        <w:rPr>
          <w:sz w:val="20"/>
        </w:rPr>
        <w:t>target statement</w:t>
      </w:r>
      <w:r>
        <w:rPr>
          <w:sz w:val="20"/>
        </w:rPr>
        <w:tab/>
        <w:t>72A</w:t>
      </w:r>
    </w:p>
    <w:p>
      <w:pPr>
        <w:tabs>
          <w:tab w:val="right" w:leader="dot" w:pos="7070"/>
        </w:tabs>
        <w:ind w:left="578" w:right="578"/>
        <w:rPr>
          <w:sz w:val="20"/>
        </w:rPr>
      </w:pPr>
      <w:r>
        <w:rPr>
          <w:sz w:val="20"/>
        </w:rPr>
        <w:t>tariff</w:t>
      </w:r>
      <w:r>
        <w:rPr>
          <w:sz w:val="20"/>
        </w:rPr>
        <w:tab/>
        <w:t>2</w:t>
      </w:r>
    </w:p>
    <w:p>
      <w:pPr>
        <w:tabs>
          <w:tab w:val="right" w:leader="dot" w:pos="7070"/>
        </w:tabs>
        <w:ind w:left="578" w:right="578"/>
        <w:rPr>
          <w:sz w:val="20"/>
        </w:rPr>
      </w:pPr>
      <w:r>
        <w:rPr>
          <w:sz w:val="20"/>
        </w:rPr>
        <w:t>tender approval decision</w:t>
      </w:r>
      <w:r>
        <w:rPr>
          <w:sz w:val="20"/>
        </w:rPr>
        <w:tab/>
        <w:t>2</w:t>
      </w:r>
    </w:p>
    <w:p>
      <w:pPr>
        <w:tabs>
          <w:tab w:val="right" w:leader="dot" w:pos="7070"/>
        </w:tabs>
        <w:ind w:left="578" w:right="578"/>
        <w:rPr>
          <w:sz w:val="20"/>
        </w:rPr>
      </w:pPr>
      <w:r>
        <w:rPr>
          <w:sz w:val="20"/>
        </w:rPr>
        <w:t>Territory</w:t>
      </w:r>
      <w:r>
        <w:rPr>
          <w:sz w:val="20"/>
        </w:rPr>
        <w:tab/>
        <w:t>2</w:t>
      </w:r>
    </w:p>
    <w:p>
      <w:pPr>
        <w:tabs>
          <w:tab w:val="right" w:leader="dot" w:pos="7070"/>
        </w:tabs>
        <w:ind w:left="578" w:right="578"/>
        <w:rPr>
          <w:sz w:val="20"/>
        </w:rPr>
      </w:pPr>
      <w:r>
        <w:rPr>
          <w:sz w:val="20"/>
        </w:rPr>
        <w:t>that other legislation</w:t>
      </w:r>
      <w:r>
        <w:rPr>
          <w:sz w:val="20"/>
        </w:rPr>
        <w:tab/>
        <w:t>Act 16(1)</w:t>
      </w:r>
    </w:p>
    <w:p>
      <w:pPr>
        <w:tabs>
          <w:tab w:val="right" w:leader="dot" w:pos="7070"/>
        </w:tabs>
        <w:ind w:left="578" w:right="578"/>
        <w:rPr>
          <w:sz w:val="20"/>
        </w:rPr>
      </w:pPr>
      <w:r>
        <w:rPr>
          <w:sz w:val="20"/>
        </w:rPr>
        <w:t>the first terms</w:t>
      </w:r>
      <w:r>
        <w:rPr>
          <w:sz w:val="20"/>
        </w:rPr>
        <w:tab/>
        <w:t>134(1)</w:t>
      </w:r>
    </w:p>
    <w:p>
      <w:pPr>
        <w:tabs>
          <w:tab w:val="right" w:leader="dot" w:pos="7070"/>
        </w:tabs>
        <w:ind w:left="578" w:right="578"/>
        <w:rPr>
          <w:sz w:val="20"/>
        </w:rPr>
      </w:pPr>
      <w:r>
        <w:rPr>
          <w:sz w:val="20"/>
        </w:rPr>
        <w:t>the second terms</w:t>
      </w:r>
      <w:r>
        <w:rPr>
          <w:sz w:val="20"/>
        </w:rPr>
        <w:tab/>
        <w:t>134(1)</w:t>
      </w:r>
    </w:p>
    <w:p>
      <w:pPr>
        <w:tabs>
          <w:tab w:val="right" w:leader="dot" w:pos="7070"/>
        </w:tabs>
        <w:ind w:left="578" w:right="578"/>
        <w:rPr>
          <w:sz w:val="20"/>
        </w:rPr>
      </w:pPr>
      <w:r>
        <w:rPr>
          <w:sz w:val="20"/>
        </w:rPr>
        <w:t>third party</w:t>
      </w:r>
      <w:r>
        <w:rPr>
          <w:sz w:val="20"/>
        </w:rPr>
        <w:tab/>
        <w:t>30S</w:t>
      </w:r>
    </w:p>
    <w:p>
      <w:pPr>
        <w:tabs>
          <w:tab w:val="right" w:leader="dot" w:pos="7070"/>
        </w:tabs>
        <w:ind w:left="578" w:right="578"/>
        <w:rPr>
          <w:sz w:val="20"/>
        </w:rPr>
      </w:pPr>
      <w:r>
        <w:rPr>
          <w:sz w:val="20"/>
        </w:rPr>
        <w:t>this jurisdiction</w:t>
      </w:r>
      <w:r>
        <w:rPr>
          <w:sz w:val="20"/>
        </w:rPr>
        <w:tab/>
        <w:t>Act 9(1)</w:t>
      </w:r>
    </w:p>
    <w:p>
      <w:pPr>
        <w:tabs>
          <w:tab w:val="right" w:leader="dot" w:pos="7070"/>
        </w:tabs>
        <w:ind w:left="578" w:right="578"/>
        <w:rPr>
          <w:sz w:val="20"/>
        </w:rPr>
      </w:pPr>
      <w:r>
        <w:rPr>
          <w:sz w:val="20"/>
        </w:rPr>
        <w:t>this law</w:t>
      </w:r>
      <w:r>
        <w:rPr>
          <w:sz w:val="20"/>
        </w:rPr>
        <w:tab/>
        <w:t>Act 9(1)</w:t>
      </w:r>
    </w:p>
    <w:p>
      <w:pPr>
        <w:tabs>
          <w:tab w:val="right" w:leader="dot" w:pos="7070"/>
        </w:tabs>
        <w:ind w:left="578" w:right="578"/>
        <w:rPr>
          <w:sz w:val="20"/>
        </w:rPr>
      </w:pPr>
      <w:r>
        <w:rPr>
          <w:sz w:val="20"/>
        </w:rPr>
        <w:t>transitional period</w:t>
      </w:r>
      <w:r>
        <w:rPr>
          <w:sz w:val="20"/>
        </w:rPr>
        <w:tab/>
        <w:t>Act 20(2)</w:t>
      </w:r>
    </w:p>
    <w:p>
      <w:pPr>
        <w:tabs>
          <w:tab w:val="right" w:leader="dot" w:pos="7070"/>
        </w:tabs>
        <w:ind w:left="578" w:right="578"/>
        <w:rPr>
          <w:sz w:val="20"/>
        </w:rPr>
      </w:pPr>
      <w:r>
        <w:rPr>
          <w:sz w:val="20"/>
        </w:rPr>
        <w:t>transitioned access arrangement</w:t>
      </w:r>
      <w:r>
        <w:rPr>
          <w:sz w:val="20"/>
        </w:rPr>
        <w:tab/>
        <w:t>Sch. 3 cl. 1</w:t>
      </w:r>
    </w:p>
    <w:p>
      <w:pPr>
        <w:tabs>
          <w:tab w:val="right" w:leader="dot" w:pos="7070"/>
        </w:tabs>
        <w:ind w:left="578" w:right="578"/>
        <w:rPr>
          <w:sz w:val="20"/>
        </w:rPr>
      </w:pPr>
      <w:r>
        <w:rPr>
          <w:sz w:val="20"/>
        </w:rPr>
        <w:t>transmission pipeline</w:t>
      </w:r>
      <w:r>
        <w:rPr>
          <w:sz w:val="20"/>
        </w:rPr>
        <w:tab/>
        <w:t>2, 216A</w:t>
      </w:r>
    </w:p>
    <w:p>
      <w:pPr>
        <w:tabs>
          <w:tab w:val="right" w:leader="dot" w:pos="7070"/>
        </w:tabs>
        <w:ind w:left="578" w:right="578"/>
        <w:rPr>
          <w:sz w:val="20"/>
        </w:rPr>
      </w:pPr>
      <w:r>
        <w:rPr>
          <w:sz w:val="20"/>
        </w:rPr>
        <w:t>Tribunal</w:t>
      </w:r>
      <w:r>
        <w:rPr>
          <w:sz w:val="20"/>
        </w:rPr>
        <w:tab/>
        <w:t>2</w:t>
      </w:r>
    </w:p>
    <w:p>
      <w:pPr>
        <w:tabs>
          <w:tab w:val="right" w:leader="dot" w:pos="7070"/>
        </w:tabs>
        <w:ind w:left="578" w:right="578"/>
        <w:rPr>
          <w:sz w:val="20"/>
        </w:rPr>
      </w:pPr>
      <w:r>
        <w:rPr>
          <w:sz w:val="20"/>
        </w:rPr>
        <w:t>underlying National Gas Law</w:t>
      </w:r>
      <w:r>
        <w:rPr>
          <w:sz w:val="20"/>
        </w:rPr>
        <w:tab/>
        <w:t>Act Sch. 1 cl. 1(2)</w:t>
      </w:r>
    </w:p>
    <w:p>
      <w:pPr>
        <w:tabs>
          <w:tab w:val="right" w:leader="dot" w:pos="7070"/>
        </w:tabs>
        <w:ind w:left="578" w:right="578"/>
        <w:rPr>
          <w:sz w:val="20"/>
        </w:rPr>
      </w:pPr>
      <w:r>
        <w:rPr>
          <w:sz w:val="20"/>
        </w:rPr>
        <w:t>urgent Rule</w:t>
      </w:r>
      <w:r>
        <w:rPr>
          <w:sz w:val="20"/>
        </w:rPr>
        <w:tab/>
        <w:t>290</w:t>
      </w:r>
    </w:p>
    <w:p>
      <w:pPr>
        <w:tabs>
          <w:tab w:val="right" w:leader="dot" w:pos="7070"/>
        </w:tabs>
        <w:ind w:left="578" w:right="578"/>
        <w:rPr>
          <w:sz w:val="20"/>
        </w:rPr>
      </w:pPr>
      <w:r>
        <w:rPr>
          <w:sz w:val="20"/>
        </w:rPr>
        <w:t>user</w:t>
      </w:r>
      <w:r>
        <w:rPr>
          <w:sz w:val="20"/>
        </w:rPr>
        <w:tab/>
        <w:t>2, 216A</w:t>
      </w:r>
    </w:p>
    <w:p>
      <w:pPr>
        <w:tabs>
          <w:tab w:val="right" w:leader="dot" w:pos="7070"/>
        </w:tabs>
        <w:ind w:left="578" w:right="578"/>
        <w:rPr>
          <w:sz w:val="20"/>
        </w:rPr>
      </w:pPr>
      <w:r>
        <w:rPr>
          <w:sz w:val="20"/>
        </w:rPr>
        <w:t>user or consumer association</w:t>
      </w:r>
      <w:r>
        <w:rPr>
          <w:sz w:val="20"/>
        </w:rPr>
        <w:tab/>
        <w:t>2, 244</w:t>
      </w:r>
    </w:p>
    <w:p>
      <w:pPr>
        <w:tabs>
          <w:tab w:val="right" w:leader="dot" w:pos="7070"/>
        </w:tabs>
        <w:ind w:left="578" w:right="578"/>
        <w:rPr>
          <w:sz w:val="20"/>
        </w:rPr>
      </w:pPr>
      <w:r>
        <w:rPr>
          <w:sz w:val="20"/>
        </w:rPr>
        <w:t>user or consumer interest group</w:t>
      </w:r>
      <w:r>
        <w:rPr>
          <w:sz w:val="20"/>
        </w:rPr>
        <w:tab/>
        <w:t>2, 244</w:t>
      </w:r>
    </w:p>
    <w:p>
      <w:pPr>
        <w:tabs>
          <w:tab w:val="right" w:leader="dot" w:pos="7070"/>
        </w:tabs>
        <w:ind w:left="578" w:right="578"/>
        <w:rPr>
          <w:sz w:val="20"/>
        </w:rPr>
      </w:pPr>
      <w:r>
        <w:rPr>
          <w:sz w:val="20"/>
        </w:rPr>
        <w:lastRenderedPageBreak/>
        <w:t xml:space="preserve">user or consumer intervener </w:t>
      </w:r>
      <w:r>
        <w:rPr>
          <w:sz w:val="20"/>
        </w:rPr>
        <w:tab/>
        <w:t>244</w:t>
      </w:r>
    </w:p>
    <w:p>
      <w:pPr>
        <w:tabs>
          <w:tab w:val="right" w:leader="dot" w:pos="7070"/>
        </w:tabs>
        <w:ind w:left="578" w:right="578"/>
        <w:rPr>
          <w:sz w:val="20"/>
        </w:rPr>
      </w:pPr>
      <w:r>
        <w:rPr>
          <w:sz w:val="20"/>
        </w:rPr>
        <w:t>VENCorp</w:t>
      </w:r>
      <w:r>
        <w:rPr>
          <w:sz w:val="20"/>
        </w:rPr>
        <w:tab/>
        <w:t>2</w:t>
      </w:r>
    </w:p>
    <w:p>
      <w:pPr>
        <w:tabs>
          <w:tab w:val="right" w:leader="dot" w:pos="7070"/>
        </w:tabs>
        <w:ind w:left="578" w:right="578"/>
        <w:rPr>
          <w:sz w:val="20"/>
        </w:rPr>
      </w:pPr>
      <w:r>
        <w:rPr>
          <w:sz w:val="20"/>
        </w:rPr>
        <w:t>WA arbitrator</w:t>
      </w:r>
      <w:r>
        <w:rPr>
          <w:sz w:val="20"/>
        </w:rPr>
        <w:tab/>
        <w:t>Act 9(1), Note 2</w:t>
      </w:r>
    </w:p>
    <w:p>
      <w:pPr>
        <w:keepNext/>
        <w:keepLines/>
        <w:tabs>
          <w:tab w:val="right" w:leader="dot" w:pos="7070"/>
        </w:tabs>
        <w:ind w:left="578" w:right="578"/>
        <w:rPr>
          <w:sz w:val="20"/>
        </w:rPr>
      </w:pPr>
      <w:r>
        <w:rPr>
          <w:sz w:val="20"/>
        </w:rPr>
        <w:t>Western Australian National Gas Access Law text</w:t>
      </w:r>
      <w:r>
        <w:rPr>
          <w:sz w:val="20"/>
        </w:rPr>
        <w:tab/>
        <w:t>Act 7(2)</w:t>
      </w:r>
    </w:p>
    <w:p>
      <w:pPr>
        <w:keepNext/>
        <w:keepLines/>
        <w:tabs>
          <w:tab w:val="right" w:leader="dot" w:pos="7070"/>
        </w:tabs>
        <w:ind w:left="578" w:right="578"/>
        <w:rPr>
          <w:sz w:val="20"/>
        </w:rPr>
      </w:pPr>
      <w:r>
        <w:rPr>
          <w:sz w:val="20"/>
        </w:rPr>
        <w:t>word</w:t>
      </w:r>
      <w:r>
        <w:rPr>
          <w:sz w:val="20"/>
        </w:rPr>
        <w:tab/>
        <w:t>Sch. 2 cl. 10</w:t>
      </w:r>
    </w:p>
    <w:p>
      <w:pPr>
        <w:keepNext/>
        <w:keepLines/>
        <w:tabs>
          <w:tab w:val="right" w:leader="dot" w:pos="7070"/>
        </w:tabs>
        <w:ind w:left="578" w:right="578"/>
        <w:rPr>
          <w:sz w:val="20"/>
        </w:rPr>
      </w:pPr>
      <w:r>
        <w:rPr>
          <w:sz w:val="20"/>
        </w:rPr>
        <w:t>writing</w:t>
      </w:r>
      <w:r>
        <w:rPr>
          <w:sz w:val="20"/>
        </w:rPr>
        <w:tab/>
        <w:t>Sch. 2 cl. 10</w:t>
      </w:r>
    </w:p>
    <w:p>
      <w:pPr>
        <w:tabs>
          <w:tab w:val="right" w:leader="dot" w:pos="7070"/>
        </w:tabs>
        <w:ind w:left="578" w:right="578"/>
      </w:pPr>
      <w:r>
        <w:rPr>
          <w:noProof/>
        </w:rPr>
        <mc:AlternateContent>
          <mc:Choice Requires="wps">
            <w:drawing>
              <wp:anchor distT="0" distB="0" distL="114300" distR="114300" simplePos="0" relativeHeight="251661312" behindDoc="0" locked="0" layoutInCell="1" allowOverlap="1">
                <wp:simplePos x="0" y="0"/>
                <wp:positionH relativeFrom="page">
                  <wp:posOffset>28575</wp:posOffset>
                </wp:positionH>
                <wp:positionV relativeFrom="page">
                  <wp:posOffset>7440295</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left:0;text-align:left;margin-left:2.25pt;margin-top:585.85pt;width:10pt;height:51pt;z-index:25166131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4"/>
      <w:headerReference w:type="default" r:id="rId45"/>
      <w:pgSz w:w="11907" w:h="16840" w:code="9"/>
      <w:pgMar w:top="2381" w:right="2409" w:bottom="3543" w:left="2409" w:header="720" w:footer="35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00-i0-01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cdxxvii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00-i0-01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cdxxvii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cdxxvii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00-i0-01</w:t>
    </w:r>
    <w:r>
      <w:rPr>
        <w:sz w:val="16"/>
      </w:rPr>
      <w:fldChar w:fldCharType="end"/>
    </w:r>
    <w:r>
      <w:rPr>
        <w:sz w:val="16"/>
      </w:rPr>
      <w:t>]</w:t>
    </w: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styleref CharSchno </w:instrText>
          </w:r>
          <w:r>
            <w:rPr>
              <w:b/>
            </w:rPr>
            <w:fldChar w:fldCharType="end"/>
          </w:r>
          <w:r>
            <w:rPr>
              <w:b/>
            </w:rPr>
            <w:t xml:space="preserve"> </w:t>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r>
      <w:trPr>
        <w:jc w:val="center"/>
      </w:trP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70" w:name="Schedule"/>
    <w:bookmarkEnd w:id="17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1548" w:type="dxa"/>
          <w:vMerge w:val="restart"/>
        </w:tcPr>
        <w:p>
          <w:pPr>
            <w:pStyle w:val="Header"/>
            <w:spacing w:before="40"/>
          </w:pPr>
          <w:r>
            <w:rPr>
              <w:b/>
            </w:rPr>
            <w:fldChar w:fldCharType="begin"/>
          </w:r>
          <w:r>
            <w:rPr>
              <w:b/>
            </w:rPr>
            <w:instrText xml:space="preserve"> STYLEREF "nHeading 2" </w:instrText>
          </w:r>
          <w:r>
            <w:rPr>
              <w:b/>
            </w:rPr>
            <w:fldChar w:fldCharType="separate"/>
          </w:r>
          <w:r>
            <w:rPr>
              <w:b/>
            </w:rPr>
            <w:t>Notes about National Gas Access (WA) Act 2009</w:t>
          </w:r>
          <w:r>
            <w:rPr>
              <w:b/>
            </w:rPr>
            <w:fldChar w:fldCharType="end"/>
          </w: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vMerge/>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Some modifications to National Gas Law as in Schedule to South Australian Act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Some modifications to National Gas Law as in Schedule to South Australian Act</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7</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separate"/>
          </w:r>
          <w:r>
            <w:rPr>
              <w:b/>
            </w:rPr>
            <w:t>Part 7</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Various Acts amended</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separate"/>
          </w:r>
          <w:r>
            <w:rPr>
              <w:b/>
            </w:rPr>
            <w:t>Division 5</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Other Acts amended</w: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294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71</w:instrText>
          </w:r>
          <w:r>
            <w:rPr>
              <w:b/>
            </w:rPr>
            <w:fldChar w:fldCharType="end"/>
          </w:r>
          <w:r>
            <w:rPr>
              <w:b/>
            </w:rPr>
            <w:instrText>"</w:instrText>
          </w:r>
          <w:r>
            <w:rPr>
              <w:b/>
            </w:rPr>
            <w:fldChar w:fldCharType="separate"/>
          </w:r>
          <w:r>
            <w:rPr>
              <w:b/>
            </w:rPr>
            <w:t>294</w:t>
          </w:r>
          <w:r>
            <w:rPr>
              <w:b/>
            </w:rPr>
            <w:fldChar w:fldCharType="end"/>
          </w: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Some modifications to National Gas Law as in Schedule to South Australian Act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r>
            <w:rPr>
              <w:b/>
            </w:rPr>
            <w:t xml:space="preserve"> </w:t>
          </w:r>
        </w:p>
      </w:tc>
    </w:tr>
    <w:tr>
      <w:trPr>
        <w:jc w:val="center"/>
      </w:trPr>
      <w:tc>
        <w:tcPr>
          <w:tcW w:w="5715" w:type="dxa"/>
        </w:tcPr>
        <w:p>
          <w:pPr>
            <w:pStyle w:val="Header"/>
            <w:spacing w:before="40"/>
            <w:jc w:val="right"/>
          </w:pPr>
          <w:r>
            <w:fldChar w:fldCharType="begin"/>
          </w:r>
          <w:r>
            <w:instrText xml:space="preserve"> styleref CharPartText </w:instrText>
          </w:r>
          <w:r>
            <w:fldChar w:fldCharType="separate"/>
          </w:r>
          <w:r>
            <w:t>Various Acts amended</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7</w: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separate"/>
          </w:r>
          <w:r>
            <w:t>Other Acts amended</w: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5</w: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294</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Some modifications to National Gas Law as in Schedule to South Australian Act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Various Acts amended</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7</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Other Acts amended</w: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5</w: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294</w:t>
          </w:r>
          <w:r>
            <w:rPr>
              <w:b/>
            </w:rPr>
            <w:fldChar w:fldCharType="end"/>
          </w:r>
        </w:p>
      </w:tc>
    </w:tr>
  </w:tbl>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Western Australian National Gas Access Law text</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Chapter 10</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Chapter 10</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Part 3</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Miscellaneous</w:t>
          </w:r>
          <w:r>
            <w:fldChar w:fldCharType="end"/>
          </w:r>
        </w:p>
      </w:tc>
    </w:tr>
    <w:tr>
      <w:trPr>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Western Australian National Gas Access Law text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Note</w:t>
          </w:r>
          <w:r>
            <w:rPr>
              <w:b/>
            </w:rPr>
            <w:fldChar w:fldCharType="end"/>
          </w:r>
          <w:r>
            <w:rPr>
              <w:b/>
            </w:rPr>
            <w:t xml:space="preserve"> </w:t>
          </w:r>
        </w:p>
      </w:tc>
    </w:tr>
    <w:tr>
      <w:trPr>
        <w:jc w:val="center"/>
      </w:trPr>
      <w:tc>
        <w:tcPr>
          <w:tcW w:w="5715" w:type="dxa"/>
        </w:tcPr>
        <w:p>
          <w:pPr>
            <w:pStyle w:val="Header"/>
            <w:spacing w:before="40"/>
            <w:jc w:val="right"/>
          </w:pPr>
          <w:r>
            <w:fldChar w:fldCharType="begin"/>
          </w:r>
          <w:r>
            <w:instrText xml:space="preserve"> styleref CharPartText </w:instrText>
          </w:r>
          <w:r>
            <w:fldChar w:fldCharType="separate"/>
          </w:r>
          <w:r>
            <w:t>General</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Chapter 10</w: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separate"/>
          </w:r>
          <w:r>
            <w:t>Miscellaneous</w: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Part 3</w: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Western Australian National Gas Access Law text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Chapter 10</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Chapter 10</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Part 3</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Miscellaneous</w:t>
          </w:r>
          <w:r>
            <w:fldChar w:fldCharType="end"/>
          </w: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Western Australian National Gas Access Law text</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Subject matter for the National Gas Rules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336</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336</w:t>
          </w:r>
          <w:r>
            <w:rPr>
              <w:b/>
            </w:rPr>
            <w:fldChar w:fldCharType="end"/>
          </w:r>
        </w:p>
      </w:tc>
    </w:tr>
  </w:tbl>
  <w:p>
    <w:pPr>
      <w:pStyle w:val="Header"/>
      <w:pBdr>
        <w:top w:val="single" w:sz="4" w:space="1" w:color="auto"/>
      </w:pBdr>
      <w:rPr>
        <w:rFonts w:ascii="Times New Roman" w:hAnsi="Times New Roman"/>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Western Australian National Gas Access Law text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Note</w:t>
          </w:r>
          <w:r>
            <w:rPr>
              <w:b/>
            </w:rPr>
            <w:fldChar w:fldCharType="end"/>
          </w:r>
          <w:r>
            <w:rPr>
              <w:b/>
            </w:rPr>
            <w:t xml:space="preserve"> </w:t>
          </w:r>
        </w:p>
      </w:tc>
    </w:tr>
    <w:tr>
      <w:trPr>
        <w:jc w:val="center"/>
      </w:trPr>
      <w:tc>
        <w:tcPr>
          <w:tcW w:w="5715" w:type="dxa"/>
        </w:tcPr>
        <w:p>
          <w:pPr>
            <w:pStyle w:val="Header"/>
            <w:spacing w:before="40"/>
            <w:jc w:val="right"/>
          </w:pPr>
          <w:r>
            <w:fldChar w:fldCharType="begin"/>
          </w:r>
          <w:r>
            <w:instrText xml:space="preserve"> styleref CharPartText </w:instrText>
          </w:r>
          <w:r>
            <w:fldChar w:fldCharType="separate"/>
          </w:r>
          <w:r>
            <w:t>Subject matter for the National Gas Rules</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336</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 about National Gas Access (WA) Act 2009</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 about National Gas Access (WA) Act 2009</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99" w:name="Compilation"/>
    <w:bookmarkEnd w:id="1199"/>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B4D5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C62F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2A66D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044C7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A61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8AAB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5D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7CC1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9033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724F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2688C9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776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122122625"/>
    <w:docVar w:name="WAFER_20140121144501" w:val="RemoveTocBookmarks,RemoveUnusedBookmarks,RemoveLanguageTags,UsedStyles,ResetPageSize,UpdateArrangement"/>
    <w:docVar w:name="WAFER_20140121144501_GUID" w:val="2421e610-76a9-4bcc-811e-970d9f352fa6"/>
    <w:docVar w:name="WAFER_20140121153745" w:val="RemoveTocBookmarks,RunningHeaders"/>
    <w:docVar w:name="WAFER_20140121153745_GUID" w:val="d0e3b08e-af4c-40c7-bec9-582b25f4b0fb"/>
    <w:docVar w:name="WAFER_20150609125120" w:val="ResetPageSize,UpdateArrangement,UpdateNTable"/>
    <w:docVar w:name="WAFER_20150609125120_GUID" w:val="8cef6168-dfa6-496c-b073-d5e6771382fb"/>
    <w:docVar w:name="WAFER_20150609125400" w:val="ResetPageSize,UpdateArrangement,UpdateNTable"/>
    <w:docVar w:name="WAFER_20150609125400_GUID" w:val="bfcf57a7-dc94-4992-b57c-8f1dd7160085"/>
    <w:docVar w:name="WAFER_20151106161541" w:val="UpdateStyles,UsedStyles"/>
    <w:docVar w:name="WAFER_20151106161541_GUID" w:val="6923cbd6-5eca-402a-8d3f-017948d0a224"/>
    <w:docVar w:name="WAFER_20151130172542" w:val="RemoveTrackChanges"/>
    <w:docVar w:name="WAFER_20151130172542_GUID" w:val="947ca104-96d2-41f7-897f-a36bac67aee9"/>
    <w:docVar w:name="WAFER_20171221105347" w:val="RemoveTocBookmarks,RemoveUnusedBookmarks,RemoveLanguageTags,UsedStyles,ResetPageSize"/>
    <w:docVar w:name="WAFER_20171221105347_GUID" w:val="74fe6d1c-7191-495e-b343-e0d61d64094b"/>
    <w:docVar w:name="WAFER_20201007090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007090330_GUID" w:val="9174df57-1353-4aaa-b7cc-e86e9d856633"/>
    <w:docVar w:name="WAFER_202401191528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119152808_GUID" w:val="4838426c-4c4e-486e-8dde-dba2238db899"/>
    <w:docVar w:name="WAFER_202401191529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40119152941_GUID" w:val="f58dca37-fe26-4a93-ac9f-24e86443d046"/>
    <w:docVar w:name="WAFER_202401221106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122110631_GUID" w:val="dc7dc17e-8bfe-445e-82ef-1549706ac327"/>
    <w:docVar w:name="WAFER_202401221138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122113847_GUID" w:val="359736f4-5609-4226-9930-b4864b81d05b"/>
    <w:docVar w:name="WAFER_202401221226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122122625_GUID" w:val="97d2749f-8a4d-47ca-9396-49df5e02ed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5:docId w15:val="{FEEBE0EC-AEEE-49F6-8DEA-6FB29FF5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yperlink" Target="http://www.legislation.sa.gov.au/index.aspx?action=legref&amp;type=act&amp;legtitle=National%20Gas%20(South%20Australia)%20Act%202008" TargetMode="Externa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yperlink" Target="http://www.legislation.sa.gov.au/index.aspx?action=legref&amp;type=act&amp;legtitle=National%20Gas%20(South%20Australia)%20Act%202008" TargetMode="External"/><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44BF2-5B87-48B1-8B13-8313CE4D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106961</Words>
  <Characters>530528</Characters>
  <Application>Microsoft Office Word</Application>
  <DocSecurity>0</DocSecurity>
  <Lines>15603</Lines>
  <Paragraphs>8279</Paragraphs>
  <ScaleCrop>false</ScaleCrop>
  <HeadingPairs>
    <vt:vector size="2" baseType="variant">
      <vt:variant>
        <vt:lpstr>Title</vt:lpstr>
      </vt:variant>
      <vt:variant>
        <vt:i4>1</vt:i4>
      </vt:variant>
    </vt:vector>
  </HeadingPairs>
  <TitlesOfParts>
    <vt:vector size="1" baseType="lpstr">
      <vt:lpstr>National Gas Access (WA) Act 2009 - 00-g0-02</vt:lpstr>
    </vt:vector>
  </TitlesOfParts>
  <Manager/>
  <Company/>
  <LinksUpToDate>false</LinksUpToDate>
  <CharactersWithSpaces>629210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Gas Access (WA) Act 2009 - 00-i0-01</dc:title>
  <dc:subject/>
  <dc:creator/>
  <cp:keywords/>
  <dc:description/>
  <cp:lastModifiedBy>Master Repository Process</cp:lastModifiedBy>
  <cp:revision>4</cp:revision>
  <cp:lastPrinted>2020-10-07T02:44:00Z</cp:lastPrinted>
  <dcterms:created xsi:type="dcterms:W3CDTF">2024-02-09T04:41:00Z</dcterms:created>
  <dcterms:modified xsi:type="dcterms:W3CDTF">2024-02-09T04:42:00Z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2009</vt:lpwstr>
  </property>
  <property fmtid="{D5CDD505-2E9C-101B-9397-08002B2CF9AE}" pid="3" name="OwlsUID">
    <vt:i4>146714</vt:i4>
  </property>
  <property fmtid="{D5CDD505-2E9C-101B-9397-08002B2CF9AE}" pid="4" name="DocumentType">
    <vt:lpwstr>Act</vt:lpwstr>
  </property>
  <property fmtid="{D5CDD505-2E9C-101B-9397-08002B2CF9AE}" pid="5" name="AsAtDate">
    <vt:lpwstr>25 Jan 2024</vt:lpwstr>
  </property>
  <property fmtid="{D5CDD505-2E9C-101B-9397-08002B2CF9AE}" pid="6" name="Suffix">
    <vt:lpwstr>00-i0-01</vt:lpwstr>
  </property>
  <property fmtid="{D5CDD505-2E9C-101B-9397-08002B2CF9AE}" pid="7" name="Official">
    <vt:lpwstr/>
  </property>
  <property fmtid="{D5CDD505-2E9C-101B-9397-08002B2CF9AE}" pid="8" name="CommencementDate">
    <vt:lpwstr>20240125</vt:lpwstr>
  </property>
  <property fmtid="{D5CDD505-2E9C-101B-9397-08002B2CF9AE}" pid="9" name="CommencementAsAt">
    <vt:filetime>2024-01-24T16:00:00Z</vt:filetime>
  </property>
  <property fmtid="{D5CDD505-2E9C-101B-9397-08002B2CF9AE}" pid="10" name="CommencementYear">
    <vt:lpwstr>2024</vt:lpwstr>
  </property>
</Properties>
</file>