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Human Tissue and Transplant Act 1982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_Toc158284551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_Toc158284552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Exempt entity (s. 29A(1))</w:t>
      </w:r>
      <w:r>
        <w:tab/>
      </w:r>
      <w:r>
        <w:fldChar w:fldCharType="begin"/>
      </w:r>
      <w:r>
        <w:instrText xml:space="preserve"> PAGEREF _Toc158284553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TGA provisions (s. 29A(4)(d) and (e))</w:t>
      </w:r>
      <w:r>
        <w:tab/>
      </w:r>
      <w:r>
        <w:fldChar w:fldCharType="begin"/>
      </w:r>
      <w:r>
        <w:instrText xml:space="preserve"> PAGEREF _Toc158284554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Tissue banks (s. 29B(1))</w:t>
      </w:r>
      <w:r>
        <w:tab/>
      </w:r>
      <w:r>
        <w:fldChar w:fldCharType="begin"/>
      </w:r>
      <w:r>
        <w:instrText xml:space="preserve"> PAGEREF _Toc158284555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Body of medical practitioners (s. 29E(3)(a))</w:t>
      </w:r>
      <w:r>
        <w:tab/>
      </w:r>
      <w:r>
        <w:fldChar w:fldCharType="begin"/>
      </w:r>
      <w:r>
        <w:instrText xml:space="preserve"> PAGEREF _Toc158284556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</w:r>
      <w:r>
        <w:rPr>
          <w:i/>
        </w:rPr>
        <w:t xml:space="preserve">Human Tissue and Transplant Regulations 2006 </w:t>
      </w:r>
      <w:r>
        <w:t>repealed</w:t>
      </w:r>
      <w:r>
        <w:tab/>
      </w:r>
      <w:r>
        <w:fldChar w:fldCharType="begin"/>
      </w:r>
      <w:r>
        <w:instrText xml:space="preserve"> PAGEREF _Toc158284557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Human Tissue and Transplant Act 1982</w:t>
      </w:r>
    </w:p>
    <w:p>
      <w:pPr>
        <w:pStyle w:val="NameofActReg"/>
      </w:pPr>
      <w:r>
        <w:t>Human Tissue and Transplant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57693544"/>
      <w:bookmarkStart w:id="3" w:name="_Toc158284551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Human Tissue and Transplant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57693545"/>
      <w:bookmarkStart w:id="6" w:name="_Toc15828455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19 February 2024.</w:t>
      </w:r>
    </w:p>
    <w:p>
      <w:pPr>
        <w:pStyle w:val="Heading5"/>
      </w:pPr>
      <w:bookmarkStart w:id="7" w:name="_Toc157693546"/>
      <w:bookmarkStart w:id="8" w:name="_Toc158284553"/>
      <w:r>
        <w:rPr>
          <w:rStyle w:val="CharSectno"/>
        </w:rPr>
        <w:t>3</w:t>
      </w:r>
      <w:r>
        <w:t>.</w:t>
      </w:r>
      <w:r>
        <w:tab/>
        <w:t>Exempt entity (s. 29A(1))</w:t>
      </w:r>
      <w:bookmarkEnd w:id="7"/>
      <w:bookmarkEnd w:id="8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exempt entity</w:t>
      </w:r>
      <w:r>
        <w:t xml:space="preserve"> in section 29A(1), the Australian Bone Marrow Donor Registry (ACN 096 625 231) is an exempt entity.</w:t>
      </w:r>
    </w:p>
    <w:p>
      <w:pPr>
        <w:pStyle w:val="Heading5"/>
      </w:pPr>
      <w:bookmarkStart w:id="9" w:name="_Toc157693547"/>
      <w:bookmarkStart w:id="10" w:name="_Toc158284554"/>
      <w:r>
        <w:rPr>
          <w:rStyle w:val="CharSectno"/>
        </w:rPr>
        <w:t>4</w:t>
      </w:r>
      <w:r>
        <w:t>.</w:t>
      </w:r>
      <w:r>
        <w:tab/>
        <w:t>TGA provisions (s. 29A(4)(d) and (e))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TGA provision</w:t>
      </w:r>
      <w:r>
        <w:t xml:space="preserve"> has the meaning given in section 29A(1).</w:t>
      </w:r>
    </w:p>
    <w:p>
      <w:pPr>
        <w:pStyle w:val="Subsection"/>
      </w:pPr>
      <w:r>
        <w:tab/>
        <w:t>(2)</w:t>
      </w:r>
      <w:r>
        <w:tab/>
        <w:t xml:space="preserve">For the purposes of section 29A(4)(d), the following TGA provisions are prescribed — </w:t>
      </w:r>
    </w:p>
    <w:p>
      <w:pPr>
        <w:pStyle w:val="Indenta"/>
      </w:pPr>
      <w:r>
        <w:tab/>
        <w:t>(a)</w:t>
      </w:r>
      <w:r>
        <w:tab/>
        <w:t>the Therapeutic Goods Act section 19(1);</w:t>
      </w:r>
    </w:p>
    <w:p>
      <w:pPr>
        <w:pStyle w:val="Indenta"/>
      </w:pPr>
      <w:r>
        <w:tab/>
        <w:t>(b)</w:t>
      </w:r>
      <w:r>
        <w:tab/>
        <w:t>the Therapeutic Goods Act section 19(5);</w:t>
      </w:r>
    </w:p>
    <w:p>
      <w:pPr>
        <w:pStyle w:val="Indenta"/>
      </w:pPr>
      <w:r>
        <w:tab/>
        <w:t>(c)</w:t>
      </w:r>
      <w:r>
        <w:tab/>
        <w:t>a rule made under the Therapeutic Goods Act section 19(7A);</w:t>
      </w:r>
    </w:p>
    <w:p>
      <w:pPr>
        <w:pStyle w:val="Indenta"/>
      </w:pPr>
      <w:r>
        <w:lastRenderedPageBreak/>
        <w:tab/>
        <w:t>(d)</w:t>
      </w:r>
      <w:r>
        <w:tab/>
        <w:t>the Therapeutic Goods Act section 32CK(1);</w:t>
      </w:r>
    </w:p>
    <w:p>
      <w:pPr>
        <w:pStyle w:val="Indenta"/>
      </w:pPr>
      <w:r>
        <w:tab/>
        <w:t>(e)</w:t>
      </w:r>
      <w:r>
        <w:tab/>
        <w:t>the Therapeutic Goods Act section 32CM(1);</w:t>
      </w:r>
    </w:p>
    <w:p>
      <w:pPr>
        <w:pStyle w:val="Indenta"/>
      </w:pPr>
      <w:r>
        <w:tab/>
        <w:t>(f)</w:t>
      </w:r>
      <w:r>
        <w:tab/>
        <w:t>a rule made under the Therapeutic Goods Act section 32CM(7A);</w:t>
      </w:r>
    </w:p>
    <w:p>
      <w:pPr>
        <w:pStyle w:val="Indenta"/>
      </w:pPr>
      <w:r>
        <w:tab/>
        <w:t>(g)</w:t>
      </w:r>
      <w:r>
        <w:tab/>
        <w:t xml:space="preserve">the Therapeutic Goods Act section 41HB(1); </w:t>
      </w:r>
    </w:p>
    <w:p>
      <w:pPr>
        <w:pStyle w:val="Indenta"/>
      </w:pPr>
      <w:r>
        <w:tab/>
        <w:t>(h)</w:t>
      </w:r>
      <w:r>
        <w:tab/>
        <w:t>the Therapeutic Goods Act section 41HC(1);</w:t>
      </w:r>
    </w:p>
    <w:p>
      <w:pPr>
        <w:pStyle w:val="Indenta"/>
      </w:pPr>
      <w:r>
        <w:tab/>
        <w:t>(i)</w:t>
      </w:r>
      <w:r>
        <w:tab/>
        <w:t>a rule made under the Therapeutic Goods Act section 41HC(6).</w:t>
      </w:r>
    </w:p>
    <w:p>
      <w:pPr>
        <w:pStyle w:val="Subsection"/>
      </w:pPr>
      <w:r>
        <w:tab/>
        <w:t>(3)</w:t>
      </w:r>
      <w:r>
        <w:tab/>
        <w:t xml:space="preserve">For the purposes of section 29A(4)(e), the following TGA provisions are prescribed — </w:t>
      </w:r>
    </w:p>
    <w:p>
      <w:pPr>
        <w:pStyle w:val="Indenta"/>
      </w:pPr>
      <w:r>
        <w:tab/>
        <w:t>(a)</w:t>
      </w:r>
      <w:r>
        <w:tab/>
        <w:t>a regulation made for the purposes of the Therapeutic Goods Act section 18(1);</w:t>
      </w:r>
    </w:p>
    <w:p>
      <w:pPr>
        <w:pStyle w:val="Indenta"/>
      </w:pPr>
      <w:r>
        <w:tab/>
        <w:t>(b)</w:t>
      </w:r>
      <w:r>
        <w:tab/>
        <w:t>the Therapeutic Goods Act section 18A(1);</w:t>
      </w:r>
    </w:p>
    <w:p>
      <w:pPr>
        <w:pStyle w:val="Indenta"/>
      </w:pPr>
      <w:r>
        <w:tab/>
        <w:t>(c)</w:t>
      </w:r>
      <w:r>
        <w:tab/>
        <w:t>a regulation made for the purposes of the Therapeutic Goods Act section 32CA(2);</w:t>
      </w:r>
    </w:p>
    <w:p>
      <w:pPr>
        <w:pStyle w:val="Indenta"/>
      </w:pPr>
      <w:r>
        <w:tab/>
        <w:t>(d)</w:t>
      </w:r>
      <w:r>
        <w:tab/>
        <w:t>the Therapeutic Goods Act section 32CB(1).</w:t>
      </w:r>
    </w:p>
    <w:p>
      <w:pPr>
        <w:pStyle w:val="Subsection"/>
      </w:pPr>
      <w:r>
        <w:tab/>
        <w:t>(4)</w:t>
      </w:r>
      <w:r>
        <w:tab/>
        <w:t xml:space="preserve">A regulation referred to in subregulation (3)(a) or (c) is not prescribed for the purposes of section 29A(4)(e) to the extent that it applies to a therapeutic good mentioned in the </w:t>
      </w:r>
      <w:r>
        <w:rPr>
          <w:i/>
        </w:rPr>
        <w:t>Therapeutic Goods Regulations 1990</w:t>
      </w:r>
      <w:r>
        <w:t xml:space="preserve"> (Commonwealth) Schedule 5 item 10.</w:t>
      </w:r>
    </w:p>
    <w:p>
      <w:pPr>
        <w:pStyle w:val="Heading5"/>
      </w:pPr>
      <w:bookmarkStart w:id="11" w:name="_Toc157693548"/>
      <w:bookmarkStart w:id="12" w:name="_Toc158284555"/>
      <w:r>
        <w:rPr>
          <w:rStyle w:val="CharSectno"/>
        </w:rPr>
        <w:t>5</w:t>
      </w:r>
      <w:r>
        <w:t>.</w:t>
      </w:r>
      <w:r>
        <w:tab/>
        <w:t>Tissue banks (s. 29B(1))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tissue bank</w:t>
      </w:r>
      <w:r>
        <w:t xml:space="preserve"> in section 29B(1), the following facilities are tissue banks — </w:t>
      </w:r>
    </w:p>
    <w:p>
      <w:pPr>
        <w:pStyle w:val="Indenta"/>
      </w:pPr>
      <w:r>
        <w:tab/>
        <w:t>(a)</w:t>
      </w:r>
      <w:r>
        <w:tab/>
        <w:t>the Perron Rotary Express Milk Bank (PREM Bank);</w:t>
      </w:r>
    </w:p>
    <w:p>
      <w:pPr>
        <w:pStyle w:val="Indenta"/>
      </w:pPr>
      <w:r>
        <w:tab/>
        <w:t>(b)</w:t>
      </w:r>
      <w:r>
        <w:tab/>
        <w:t xml:space="preserve">the branch of Australian Red Cross Lifeblood responsible for donor human milk. </w:t>
      </w:r>
    </w:p>
    <w:p>
      <w:pPr>
        <w:pStyle w:val="Heading5"/>
      </w:pPr>
      <w:bookmarkStart w:id="13" w:name="_Toc157693549"/>
      <w:bookmarkStart w:id="14" w:name="_Toc158284556"/>
      <w:r>
        <w:rPr>
          <w:rStyle w:val="CharSectno"/>
        </w:rPr>
        <w:lastRenderedPageBreak/>
        <w:t>6</w:t>
      </w:r>
      <w:r>
        <w:t>.</w:t>
      </w:r>
      <w:r>
        <w:tab/>
        <w:t>Body of medical practitioners (s. 29E(3)(a))</w:t>
      </w:r>
      <w:bookmarkEnd w:id="13"/>
      <w:bookmarkEnd w:id="14"/>
    </w:p>
    <w:p>
      <w:pPr>
        <w:pStyle w:val="Subsection"/>
      </w:pPr>
      <w:r>
        <w:tab/>
      </w:r>
      <w:r>
        <w:tab/>
        <w:t>For the purposes of section 29E(3)(a), the Western Australian Kidney Transplant Society Medical Subcommittee is a body of medical practitioners.</w:t>
      </w:r>
    </w:p>
    <w:p>
      <w:pPr>
        <w:pStyle w:val="Heading5"/>
      </w:pPr>
      <w:bookmarkStart w:id="15" w:name="_Toc157693550"/>
      <w:bookmarkStart w:id="16" w:name="_Toc158284557"/>
      <w:r>
        <w:rPr>
          <w:rStyle w:val="CharSectno"/>
        </w:rPr>
        <w:t>7</w:t>
      </w:r>
      <w:r>
        <w:t>.</w:t>
      </w:r>
      <w:r>
        <w:tab/>
      </w:r>
      <w:r>
        <w:rPr>
          <w:i/>
        </w:rPr>
        <w:t xml:space="preserve">Human Tissue and Transplant Regulations 2006 </w:t>
      </w:r>
      <w:r>
        <w:t>repealed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Human Tissue and Transplant Regulations 2006 </w:t>
      </w:r>
      <w:r>
        <w:t>are repealed.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 COLLERAN, Clerk of the Executive Council</w:t>
      </w:r>
    </w:p>
    <w:p>
      <w:pPr>
        <w:pStyle w:val="nHeading2"/>
        <w:rPr>
          <w:sz w:val="28"/>
        </w:rPr>
      </w:pPr>
      <w:bookmarkStart w:id="17" w:name="_Toc157693791"/>
      <w:bookmarkStart w:id="18" w:name="_Toc158284558"/>
      <w:r>
        <w:rPr>
          <w:sz w:val="28"/>
        </w:rPr>
        <w:lastRenderedPageBreak/>
        <w:t>Defined terms</w:t>
      </w:r>
      <w:bookmarkEnd w:id="17"/>
      <w:bookmarkEnd w:id="1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TGA provision</w:t>
      </w:r>
      <w:r>
        <w:tab/>
        <w:t>4(1)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2024/10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Feb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Defined terms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Defined terms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9" w:name="DefinedTerms"/>
    <w:bookmarkEnd w:id="1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20115240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100413380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004133804_GUID" w:val="87091af1-8b35-486c-bf5f-36825f0092a8"/>
    <w:docVar w:name="WAFER_2024011608484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116084847_GUID" w:val="4375e986-7237-4e6b-a2e7-bfcfda4ccec0"/>
    <w:docVar w:name="WAFER_2024020115240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201152409_GUID" w:val="96d88bdd-5fd9-4dca-b2bd-53a3a527721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0C8127DD-98BB-4483-854D-08ACFB54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D44A-59CC-4EE2-BAD5-9486BB45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3215</Characters>
  <Application>Microsoft Office Word</Application>
  <DocSecurity>0</DocSecurity>
  <Lines>110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and Transplant Regulations 2024 - 00-00-00</dc:title>
  <dc:subject/>
  <dc:creator/>
  <cp:keywords/>
  <dc:description/>
  <cp:lastModifiedBy>Master Repository Process</cp:lastModifiedBy>
  <cp:revision>4</cp:revision>
  <cp:lastPrinted>2023-10-04T06:33:00Z</cp:lastPrinted>
  <dcterms:created xsi:type="dcterms:W3CDTF">2024-02-08T04:14:00Z</dcterms:created>
  <dcterms:modified xsi:type="dcterms:W3CDTF">2024-02-08T04:14:00Z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54154</vt:lpwstr>
  </property>
  <property fmtid="{D5CDD505-2E9C-101B-9397-08002B2CF9AE}" pid="3" name="DocumentType">
    <vt:lpwstr>Reg</vt:lpwstr>
  </property>
  <property fmtid="{D5CDD505-2E9C-101B-9397-08002B2CF9AE}" pid="4" name="AsAtDate">
    <vt:lpwstr>09 Feb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2024/10</vt:lpwstr>
  </property>
  <property fmtid="{D5CDD505-2E9C-101B-9397-08002B2CF9AE}" pid="8" name="PublishDate">
    <vt:lpwstr>9 Feb 2024</vt:lpwstr>
  </property>
  <property fmtid="{D5CDD505-2E9C-101B-9397-08002B2CF9AE}" pid="9" name="CommencementDate">
    <vt:lpwstr>20240209</vt:lpwstr>
  </property>
  <property fmtid="{D5CDD505-2E9C-101B-9397-08002B2CF9AE}" pid="10" name="CommencementAsAt">
    <vt:filetime>2024-02-08T16:00:00Z</vt:filetime>
  </property>
  <property fmtid="{D5CDD505-2E9C-101B-9397-08002B2CF9AE}" pid="11" name="CommencementYear">
    <vt:lpwstr>2024</vt:lpwstr>
  </property>
</Properties>
</file>