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_Toc158107757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_Toc158107758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_Toc158107759 \h </w:instrText>
      </w:r>
      <w:r>
        <w:fldChar w:fldCharType="separate"/>
      </w:r>
      <w:r>
        <w:t>1</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_Toc158107760 \h </w:instrText>
      </w:r>
      <w:r>
        <w:fldChar w:fldCharType="separate"/>
      </w:r>
      <w:r>
        <w:t>1</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_Toc158107761 \h </w:instrText>
      </w:r>
      <w:r>
        <w:fldChar w:fldCharType="separate"/>
      </w:r>
      <w:r>
        <w:t>1</w:t>
      </w:r>
      <w:r>
        <w:fldChar w:fldCharType="end"/>
      </w:r>
    </w:p>
    <w:p>
      <w:pPr>
        <w:pStyle w:val="TOC8"/>
        <w:rPr>
          <w:rFonts w:asciiTheme="minorHAnsi" w:eastAsiaTheme="minorEastAsia" w:hAnsiTheme="minorHAnsi" w:cstheme="minorBidi"/>
          <w:szCs w:val="22"/>
        </w:rPr>
      </w:pPr>
      <w:r>
        <w:t>5AA.</w:t>
      </w:r>
      <w:r>
        <w:tab/>
        <w:t xml:space="preserve">Building service Act: </w:t>
      </w:r>
      <w:r>
        <w:rPr>
          <w:i/>
        </w:rPr>
        <w:t>Plumbers Licensing Act 1995</w:t>
      </w:r>
      <w:r>
        <w:t xml:space="preserve"> Parts 1 and 6</w:t>
      </w:r>
      <w:r>
        <w:tab/>
      </w:r>
      <w:r>
        <w:fldChar w:fldCharType="begin"/>
      </w:r>
      <w:r>
        <w:instrText xml:space="preserve"> PAGEREF _Toc158107762 \h </w:instrText>
      </w:r>
      <w:r>
        <w:fldChar w:fldCharType="separate"/>
      </w:r>
      <w:r>
        <w:t>1</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_Toc158107763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_Toc158107766 \h </w:instrText>
      </w:r>
      <w:r>
        <w:fldChar w:fldCharType="separate"/>
      </w:r>
      <w:r>
        <w:t>1</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_Toc158107767 \h </w:instrText>
      </w:r>
      <w:r>
        <w:fldChar w:fldCharType="separate"/>
      </w:r>
      <w:r>
        <w:t>1</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_Toc158107768 \h </w:instrText>
      </w:r>
      <w:r>
        <w:fldChar w:fldCharType="separate"/>
      </w:r>
      <w:r>
        <w:t>1</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_Toc158107769 \h </w:instrText>
      </w:r>
      <w:r>
        <w:fldChar w:fldCharType="separate"/>
      </w:r>
      <w:r>
        <w:t>1</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_Toc158107770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_Toc158107772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_Toc158107775 \h </w:instrText>
      </w:r>
      <w:r>
        <w:fldChar w:fldCharType="separate"/>
      </w:r>
      <w:r>
        <w:t>1</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_Toc158107776 \h </w:instrText>
      </w:r>
      <w:r>
        <w:fldChar w:fldCharType="separate"/>
      </w:r>
      <w:r>
        <w:t>1</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_Toc158107777 \h </w:instrText>
      </w:r>
      <w:r>
        <w:fldChar w:fldCharType="separate"/>
      </w:r>
      <w:r>
        <w:t>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_Toc158107778 \h </w:instrText>
      </w:r>
      <w:r>
        <w:fldChar w:fldCharType="separate"/>
      </w:r>
      <w:r>
        <w:t>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_Toc158107779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_Toc158107781 \h </w:instrText>
      </w:r>
      <w:r>
        <w:fldChar w:fldCharType="separate"/>
      </w:r>
      <w:r>
        <w:t>1</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_Toc158107782 \h </w:instrText>
      </w:r>
      <w:r>
        <w:fldChar w:fldCharType="separate"/>
      </w:r>
      <w:r>
        <w:t>1</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_Toc158107783 \h </w:instrText>
      </w:r>
      <w:r>
        <w:fldChar w:fldCharType="separate"/>
      </w:r>
      <w:r>
        <w:t>1</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_Toc158107784 \h </w:instrText>
      </w:r>
      <w:r>
        <w:fldChar w:fldCharType="separate"/>
      </w:r>
      <w:r>
        <w:t>1</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_Toc158107785 \h </w:instrText>
      </w:r>
      <w:r>
        <w:fldChar w:fldCharType="separate"/>
      </w:r>
      <w:r>
        <w:t>1</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_Toc158107786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_Toc158107788 \h </w:instrText>
      </w:r>
      <w:r>
        <w:fldChar w:fldCharType="separate"/>
      </w:r>
      <w:r>
        <w:t>1</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_Toc158107789 \h </w:instrText>
      </w:r>
      <w:r>
        <w:fldChar w:fldCharType="separate"/>
      </w:r>
      <w:r>
        <w:t>1</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_Toc158107790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_Toc158107792 \h </w:instrText>
      </w:r>
      <w:r>
        <w:fldChar w:fldCharType="separate"/>
      </w:r>
      <w:r>
        <w:t>1</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_Toc158107793 \h </w:instrText>
      </w:r>
      <w:r>
        <w:fldChar w:fldCharType="separate"/>
      </w:r>
      <w:r>
        <w:t>1</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_Toc158107794 \h </w:instrText>
      </w:r>
      <w:r>
        <w:fldChar w:fldCharType="separate"/>
      </w:r>
      <w:r>
        <w:t>1</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_Toc158107795 \h </w:instrText>
      </w:r>
      <w:r>
        <w:fldChar w:fldCharType="separate"/>
      </w:r>
      <w:r>
        <w:t>1</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_Toc158107796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_Toc158107800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_Toc158107801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_Toc158107802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2" w:name="_Toc158040540"/>
      <w:bookmarkStart w:id="3" w:name="_Toc158101545"/>
      <w:bookmarkStart w:id="4" w:name="_Toc15810775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810775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6" w:name="_Toc15810775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7" w:name="_Toc158107759"/>
      <w:r>
        <w:rPr>
          <w:rStyle w:val="CharSectno"/>
        </w:rPr>
        <w:t>3</w:t>
      </w:r>
      <w:r>
        <w:t>.</w:t>
      </w:r>
      <w:r>
        <w:tab/>
        <w:t>Terms used</w:t>
      </w:r>
      <w:bookmarkEnd w:id="7"/>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lastRenderedPageBreak/>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8" w:name="_Toc158107760"/>
      <w:r>
        <w:rPr>
          <w:rStyle w:val="CharSectno"/>
        </w:rPr>
        <w:t>4A</w:t>
      </w:r>
      <w:r>
        <w:t>.</w:t>
      </w:r>
      <w:r>
        <w:tab/>
        <w:t>Building services: building surveying work</w:t>
      </w:r>
      <w:bookmarkEnd w:id="8"/>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9" w:name="_Toc158107761"/>
      <w:r>
        <w:rPr>
          <w:rStyle w:val="CharSectno"/>
        </w:rPr>
        <w:t>4</w:t>
      </w:r>
      <w:r>
        <w:t>.</w:t>
      </w:r>
      <w:r>
        <w:tab/>
        <w:t>Building services: painting work</w:t>
      </w:r>
      <w:bookmarkEnd w:id="9"/>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lastRenderedPageBreak/>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0" w:name="_Toc157694559"/>
      <w:bookmarkStart w:id="11" w:name="_Toc157694806"/>
      <w:bookmarkStart w:id="12" w:name="_Toc158107762"/>
      <w:r>
        <w:rPr>
          <w:rStyle w:val="CharSectno"/>
        </w:rPr>
        <w:t>5AA</w:t>
      </w:r>
      <w:r>
        <w:t>.</w:t>
      </w:r>
      <w:r>
        <w:tab/>
        <w:t xml:space="preserve">Building service Act: </w:t>
      </w:r>
      <w:r>
        <w:rPr>
          <w:i/>
        </w:rPr>
        <w:t>Plumbers Licensing Act 1995</w:t>
      </w:r>
      <w:r>
        <w:t xml:space="preserve"> Parts 1 and 6</w:t>
      </w:r>
      <w:bookmarkEnd w:id="10"/>
      <w:bookmarkEnd w:id="11"/>
      <w:bookmarkEnd w:id="12"/>
    </w:p>
    <w:p>
      <w:pPr>
        <w:pStyle w:val="Subsection"/>
      </w:pPr>
      <w:r>
        <w:tab/>
      </w:r>
      <w:r>
        <w:tab/>
        <w:t xml:space="preserve">The </w:t>
      </w:r>
      <w:r>
        <w:rPr>
          <w:i/>
        </w:rPr>
        <w:t>Plumbers Licensing Act 1995</w:t>
      </w:r>
      <w:r>
        <w:t xml:space="preserve"> Parts 1 and 6 are prescribed for the purposes of the definition of </w:t>
      </w:r>
      <w:r>
        <w:rPr>
          <w:b/>
          <w:i/>
        </w:rPr>
        <w:t>building service Act</w:t>
      </w:r>
      <w:r>
        <w:t xml:space="preserve"> in section 3 of the Act.</w:t>
      </w:r>
    </w:p>
    <w:p>
      <w:pPr>
        <w:pStyle w:val="Footnotesection"/>
      </w:pPr>
      <w:r>
        <w:tab/>
        <w:t>[Regulation 5AA inserted: SL 2024/12 r. 72.]</w:t>
      </w:r>
    </w:p>
    <w:p>
      <w:pPr>
        <w:pStyle w:val="Heading5"/>
      </w:pPr>
      <w:bookmarkStart w:id="13" w:name="_Toc158107763"/>
      <w:r>
        <w:rPr>
          <w:rStyle w:val="CharSectno"/>
        </w:rPr>
        <w:t>5A</w:t>
      </w:r>
      <w:r>
        <w:t>.</w:t>
      </w:r>
      <w:r>
        <w:tab/>
        <w:t>Regulated building service: prescribed work</w:t>
      </w:r>
      <w:bookmarkEnd w:id="13"/>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lastRenderedPageBreak/>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4" w:name="_Toc158040547"/>
      <w:bookmarkStart w:id="15" w:name="_Toc158101553"/>
      <w:bookmarkStart w:id="16" w:name="_Toc158107764"/>
      <w:r>
        <w:rPr>
          <w:rStyle w:val="CharPartNo"/>
        </w:rPr>
        <w:lastRenderedPageBreak/>
        <w:t>Part 2</w:t>
      </w:r>
      <w:r>
        <w:t> — </w:t>
      </w:r>
      <w:r>
        <w:rPr>
          <w:rStyle w:val="CharPartText"/>
        </w:rPr>
        <w:t>Complaints</w:t>
      </w:r>
      <w:bookmarkEnd w:id="14"/>
      <w:bookmarkEnd w:id="15"/>
      <w:bookmarkEnd w:id="16"/>
    </w:p>
    <w:p>
      <w:pPr>
        <w:pStyle w:val="Heading3"/>
      </w:pPr>
      <w:bookmarkStart w:id="17" w:name="_Toc158040548"/>
      <w:bookmarkStart w:id="18" w:name="_Toc158101554"/>
      <w:bookmarkStart w:id="19" w:name="_Toc158107765"/>
      <w:r>
        <w:rPr>
          <w:rStyle w:val="CharDivNo"/>
        </w:rPr>
        <w:t>Division 1</w:t>
      </w:r>
      <w:r>
        <w:t> — </w:t>
      </w:r>
      <w:r>
        <w:rPr>
          <w:rStyle w:val="CharDivText"/>
        </w:rPr>
        <w:t>Building service complaints and HBWC complaints</w:t>
      </w:r>
      <w:bookmarkEnd w:id="17"/>
      <w:bookmarkEnd w:id="18"/>
      <w:bookmarkEnd w:id="19"/>
    </w:p>
    <w:p>
      <w:pPr>
        <w:pStyle w:val="Heading5"/>
      </w:pPr>
      <w:bookmarkStart w:id="20" w:name="_Toc158107766"/>
      <w:r>
        <w:rPr>
          <w:rStyle w:val="CharSectno"/>
        </w:rPr>
        <w:t>5</w:t>
      </w:r>
      <w:r>
        <w:t>.</w:t>
      </w:r>
      <w:r>
        <w:tab/>
        <w:t>Who can make building service complaint</w:t>
      </w:r>
      <w:bookmarkEnd w:id="20"/>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1" w:name="_Toc158107767"/>
      <w:r>
        <w:rPr>
          <w:rStyle w:val="CharSectno"/>
        </w:rPr>
        <w:t>6</w:t>
      </w:r>
      <w:r>
        <w:t>.</w:t>
      </w:r>
      <w:r>
        <w:tab/>
        <w:t>Preliminary action</w:t>
      </w:r>
      <w:bookmarkEnd w:id="21"/>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2" w:name="_Toc158107768"/>
      <w:r>
        <w:rPr>
          <w:rStyle w:val="CharSectno"/>
        </w:rPr>
        <w:lastRenderedPageBreak/>
        <w:t>7</w:t>
      </w:r>
      <w:r>
        <w:t>.</w:t>
      </w:r>
      <w:r>
        <w:tab/>
        <w:t>Criteria for determining date of completion of regulated building service</w:t>
      </w:r>
      <w:bookmarkEnd w:id="22"/>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3" w:name="_Toc158107769"/>
      <w:r>
        <w:rPr>
          <w:rStyle w:val="CharSectno"/>
        </w:rPr>
        <w:t>8</w:t>
      </w:r>
      <w:r>
        <w:t>.</w:t>
      </w:r>
      <w:r>
        <w:tab/>
        <w:t>Fees</w:t>
      </w:r>
      <w:bookmarkEnd w:id="2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lastRenderedPageBreak/>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$60.00; or</w:t>
      </w:r>
    </w:p>
    <w:p>
      <w:pPr>
        <w:pStyle w:val="Indenta"/>
      </w:pPr>
      <w:r>
        <w:tab/>
        <w:t>(b)</w:t>
      </w:r>
      <w:r>
        <w:tab/>
        <w:t>otherwise — a fee of $120.00.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 SL 2022/59 r. 8.]</w:t>
      </w:r>
    </w:p>
    <w:p>
      <w:pPr>
        <w:pStyle w:val="Heading5"/>
      </w:pPr>
      <w:bookmarkStart w:id="24" w:name="_Toc158107770"/>
      <w:r>
        <w:rPr>
          <w:rStyle w:val="CharSectno"/>
        </w:rPr>
        <w:t>9</w:t>
      </w:r>
      <w:r>
        <w:t>.</w:t>
      </w:r>
      <w:r>
        <w:tab/>
        <w:t>Building Commissioner may remit complaint fees</w:t>
      </w:r>
      <w:bookmarkEnd w:id="24"/>
    </w:p>
    <w:p>
      <w:pPr>
        <w:pStyle w:val="Subsection"/>
        <w:keepNext/>
      </w:pPr>
      <w:r>
        <w:tab/>
        <w:t>(1)</w:t>
      </w:r>
      <w:r>
        <w:tab/>
        <w:t xml:space="preserve">The Building Commissioner may, in a particular case for financial hardship or if the Building Commissioner considers it </w:t>
      </w:r>
      <w:r>
        <w:lastRenderedPageBreak/>
        <w:t xml:space="preserve">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5" w:name="_Toc158040554"/>
      <w:bookmarkStart w:id="26" w:name="_Toc158101560"/>
      <w:bookmarkStart w:id="27" w:name="_Toc158107771"/>
      <w:r>
        <w:rPr>
          <w:rStyle w:val="CharDivNo"/>
        </w:rPr>
        <w:t>Division 2</w:t>
      </w:r>
      <w:r>
        <w:t> — </w:t>
      </w:r>
      <w:r>
        <w:rPr>
          <w:rStyle w:val="CharDivText"/>
        </w:rPr>
        <w:t>Disciplinary complaints</w:t>
      </w:r>
      <w:bookmarkEnd w:id="25"/>
      <w:bookmarkEnd w:id="26"/>
      <w:bookmarkEnd w:id="27"/>
    </w:p>
    <w:p>
      <w:pPr>
        <w:pStyle w:val="Heading5"/>
      </w:pPr>
      <w:bookmarkStart w:id="28" w:name="_Toc158107772"/>
      <w:r>
        <w:rPr>
          <w:rStyle w:val="CharSectno"/>
        </w:rPr>
        <w:t>10</w:t>
      </w:r>
      <w:r>
        <w:t>.</w:t>
      </w:r>
      <w:r>
        <w:tab/>
        <w:t>Who can make a disciplinary complaint</w:t>
      </w:r>
      <w:bookmarkEnd w:id="28"/>
    </w:p>
    <w:p>
      <w:pPr>
        <w:pStyle w:val="Subsection"/>
      </w:pPr>
      <w:r>
        <w:tab/>
      </w:r>
      <w:r>
        <w:tab/>
        <w:t>A disciplinary complaint may only be made by a person who has reasonable cause to believe that a disciplinary matter has occurred or is occurring.</w:t>
      </w:r>
    </w:p>
    <w:p>
      <w:pPr>
        <w:pStyle w:val="Heading2"/>
      </w:pPr>
      <w:bookmarkStart w:id="29" w:name="_Toc158040556"/>
      <w:bookmarkStart w:id="30" w:name="_Toc158101562"/>
      <w:bookmarkStart w:id="31" w:name="_Toc158107773"/>
      <w:r>
        <w:rPr>
          <w:rStyle w:val="CharPartNo"/>
        </w:rPr>
        <w:lastRenderedPageBreak/>
        <w:t>Part 3</w:t>
      </w:r>
      <w:r>
        <w:t> — </w:t>
      </w:r>
      <w:r>
        <w:rPr>
          <w:rStyle w:val="CharPartText"/>
        </w:rPr>
        <w:t>Building services levy</w:t>
      </w:r>
      <w:bookmarkEnd w:id="29"/>
      <w:bookmarkEnd w:id="30"/>
      <w:bookmarkEnd w:id="31"/>
    </w:p>
    <w:p>
      <w:pPr>
        <w:pStyle w:val="Ednotedivision"/>
      </w:pPr>
      <w:r>
        <w:t>[Division 1 (r. 11) deleted: Gazette 12 Mar 2012 p. 986.]</w:t>
      </w:r>
    </w:p>
    <w:p>
      <w:pPr>
        <w:pStyle w:val="Heading3"/>
      </w:pPr>
      <w:bookmarkStart w:id="32" w:name="_Toc158040557"/>
      <w:bookmarkStart w:id="33" w:name="_Toc158101563"/>
      <w:bookmarkStart w:id="34" w:name="_Toc158107774"/>
      <w:r>
        <w:rPr>
          <w:rStyle w:val="CharDivNo"/>
        </w:rPr>
        <w:t>Division 2</w:t>
      </w:r>
      <w:r>
        <w:t> — </w:t>
      </w:r>
      <w:r>
        <w:rPr>
          <w:rStyle w:val="CharDivText"/>
        </w:rPr>
        <w:t>Levy in respect of building approval certificates and permits</w:t>
      </w:r>
      <w:bookmarkEnd w:id="32"/>
      <w:bookmarkEnd w:id="33"/>
      <w:bookmarkEnd w:id="34"/>
    </w:p>
    <w:p>
      <w:pPr>
        <w:pStyle w:val="Heading5"/>
        <w:spacing w:before="180"/>
      </w:pPr>
      <w:bookmarkStart w:id="35" w:name="_Toc158107775"/>
      <w:r>
        <w:rPr>
          <w:rStyle w:val="CharSectno"/>
        </w:rPr>
        <w:t>12</w:t>
      </w:r>
      <w:r>
        <w:t>.</w:t>
      </w:r>
      <w:r>
        <w:tab/>
        <w:t>Levy payable: building approval certificates and permits</w:t>
      </w:r>
      <w:bookmarkEnd w:id="35"/>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lastRenderedPageBreak/>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36" w:name="_Toc158107776"/>
      <w:r>
        <w:rPr>
          <w:rStyle w:val="CharSectno"/>
        </w:rPr>
        <w:t>13</w:t>
      </w:r>
      <w:r>
        <w:t>.</w:t>
      </w:r>
      <w:r>
        <w:tab/>
        <w:t>Adjustment of levy: under statement of value</w:t>
      </w:r>
      <w:bookmarkEnd w:id="36"/>
    </w:p>
    <w:p>
      <w:pPr>
        <w:pStyle w:val="Subsection"/>
      </w:pPr>
      <w:r>
        <w:tab/>
        <w:t>(1)</w:t>
      </w:r>
      <w:r>
        <w:tab/>
        <w:t xml:space="preserve">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w:t>
      </w:r>
      <w:r>
        <w:lastRenderedPageBreak/>
        <w:t>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7" w:name="_Toc158107777"/>
      <w:r>
        <w:rPr>
          <w:rStyle w:val="CharSectno"/>
        </w:rPr>
        <w:t>14</w:t>
      </w:r>
      <w:r>
        <w:t>.</w:t>
      </w:r>
      <w:r>
        <w:tab/>
        <w:t>Adjustment for inflation: regulation 13</w:t>
      </w:r>
      <w:bookmarkEnd w:id="37"/>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8" w:name="_Toc158107778"/>
      <w:r>
        <w:rPr>
          <w:rStyle w:val="CharSectno"/>
        </w:rPr>
        <w:lastRenderedPageBreak/>
        <w:t>15</w:t>
      </w:r>
      <w:r>
        <w:t>.</w:t>
      </w:r>
      <w:r>
        <w:tab/>
        <w:t>Waiver or reduction of levy</w:t>
      </w:r>
      <w:bookmarkEnd w:id="38"/>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9" w:name="_Toc158107779"/>
      <w:r>
        <w:rPr>
          <w:rStyle w:val="CharSectno"/>
        </w:rPr>
        <w:t>16</w:t>
      </w:r>
      <w:r>
        <w:t>.</w:t>
      </w:r>
      <w:r>
        <w:tab/>
        <w:t>Refund of levy</w:t>
      </w:r>
      <w:bookmarkEnd w:id="3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40" w:name="_Toc158040563"/>
      <w:bookmarkStart w:id="41" w:name="_Toc158101569"/>
      <w:bookmarkStart w:id="42" w:name="_Toc158107780"/>
      <w:r>
        <w:rPr>
          <w:rStyle w:val="CharDivNo"/>
        </w:rPr>
        <w:lastRenderedPageBreak/>
        <w:t>Division 3</w:t>
      </w:r>
      <w:r>
        <w:t> — </w:t>
      </w:r>
      <w:r>
        <w:rPr>
          <w:rStyle w:val="CharDivText"/>
        </w:rPr>
        <w:t>General provisions</w:t>
      </w:r>
      <w:bookmarkEnd w:id="40"/>
      <w:bookmarkEnd w:id="41"/>
      <w:bookmarkEnd w:id="42"/>
    </w:p>
    <w:p>
      <w:pPr>
        <w:pStyle w:val="Heading5"/>
      </w:pPr>
      <w:bookmarkStart w:id="43" w:name="_Toc158107781"/>
      <w:r>
        <w:rPr>
          <w:rStyle w:val="CharSectno"/>
        </w:rPr>
        <w:t>17</w:t>
      </w:r>
      <w:r>
        <w:t>.</w:t>
      </w:r>
      <w:r>
        <w:tab/>
        <w:t>Terms used</w:t>
      </w:r>
      <w:bookmarkEnd w:id="43"/>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4" w:name="_Toc158107782"/>
      <w:r>
        <w:rPr>
          <w:rStyle w:val="CharSectno"/>
        </w:rPr>
        <w:t>18</w:t>
      </w:r>
      <w:r>
        <w:t>.</w:t>
      </w:r>
      <w:r>
        <w:tab/>
        <w:t>Permit authority must remit levy, less payment, to Building Commissioner</w:t>
      </w:r>
      <w:bookmarkEnd w:id="44"/>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5" w:name="_Toc158107783"/>
      <w:r>
        <w:rPr>
          <w:rStyle w:val="CharSectno"/>
        </w:rPr>
        <w:t>19</w:t>
      </w:r>
      <w:r>
        <w:t>.</w:t>
      </w:r>
      <w:r>
        <w:tab/>
        <w:t>Failure to remit levy</w:t>
      </w:r>
      <w:bookmarkEnd w:id="45"/>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6" w:name="_Toc158107784"/>
      <w:r>
        <w:rPr>
          <w:rStyle w:val="CharSectno"/>
        </w:rPr>
        <w:t>20</w:t>
      </w:r>
      <w:r>
        <w:t>.</w:t>
      </w:r>
      <w:r>
        <w:tab/>
        <w:t>Penalty for overdue amounts</w:t>
      </w:r>
      <w:bookmarkEnd w:id="46"/>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w:t>
      </w:r>
      <w:r>
        <w:lastRenderedPageBreak/>
        <w:t xml:space="preserve">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7" w:name="_Toc158107785"/>
      <w:r>
        <w:rPr>
          <w:rStyle w:val="CharSectno"/>
        </w:rPr>
        <w:t>21</w:t>
      </w:r>
      <w:r>
        <w:t>.</w:t>
      </w:r>
      <w:r>
        <w:tab/>
        <w:t>Recovery of levy and other amounts</w:t>
      </w:r>
      <w:bookmarkEnd w:id="47"/>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8" w:name="_Toc158107786"/>
      <w:r>
        <w:rPr>
          <w:rStyle w:val="CharSectno"/>
        </w:rPr>
        <w:t>22</w:t>
      </w:r>
      <w:r>
        <w:t>.</w:t>
      </w:r>
      <w:r>
        <w:tab/>
        <w:t>Provision of information to Building Commissioner</w:t>
      </w:r>
      <w:bookmarkEnd w:id="48"/>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lastRenderedPageBreak/>
        <w:tab/>
        <w:t>(3)</w:t>
      </w:r>
      <w:r>
        <w:tab/>
        <w:t>The information must be provided in a form approved by the Building Commissioner and at such times as are directed in writing by the Building Commissioner.</w:t>
      </w:r>
    </w:p>
    <w:p>
      <w:pPr>
        <w:pStyle w:val="Heading2"/>
      </w:pPr>
      <w:bookmarkStart w:id="49" w:name="_Toc158040570"/>
      <w:bookmarkStart w:id="50" w:name="_Toc158101576"/>
      <w:bookmarkStart w:id="51" w:name="_Toc158107787"/>
      <w:r>
        <w:rPr>
          <w:rStyle w:val="CharPartNo"/>
        </w:rPr>
        <w:lastRenderedPageBreak/>
        <w:t>Part 3A</w:t>
      </w:r>
      <w:r>
        <w:rPr>
          <w:rStyle w:val="CharDivNo"/>
        </w:rPr>
        <w:t> </w:t>
      </w:r>
      <w:r>
        <w:t>—</w:t>
      </w:r>
      <w:r>
        <w:rPr>
          <w:rStyle w:val="CharDivText"/>
        </w:rPr>
        <w:t> </w:t>
      </w:r>
      <w:r>
        <w:rPr>
          <w:rStyle w:val="CharPartText"/>
        </w:rPr>
        <w:t>Infringement notices</w:t>
      </w:r>
      <w:bookmarkEnd w:id="49"/>
      <w:bookmarkEnd w:id="50"/>
      <w:bookmarkEnd w:id="51"/>
    </w:p>
    <w:p>
      <w:pPr>
        <w:pStyle w:val="Footnoteheading"/>
      </w:pPr>
      <w:r>
        <w:tab/>
        <w:t>[Heading inserted: Gazette 26 Apr 2019 p. 1211.]</w:t>
      </w:r>
    </w:p>
    <w:p>
      <w:pPr>
        <w:pStyle w:val="Heading5"/>
      </w:pPr>
      <w:bookmarkStart w:id="52" w:name="_Toc158107788"/>
      <w:r>
        <w:rPr>
          <w:rStyle w:val="CharSectno"/>
        </w:rPr>
        <w:t>22A</w:t>
      </w:r>
      <w:r>
        <w:t>.</w:t>
      </w:r>
      <w:r>
        <w:tab/>
        <w:t>Prescribed offences and modified penalties</w:t>
      </w:r>
      <w:bookmarkEnd w:id="52"/>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53" w:name="_Toc158107789"/>
      <w:r>
        <w:rPr>
          <w:rStyle w:val="CharSectno"/>
        </w:rPr>
        <w:t>22B</w:t>
      </w:r>
      <w:r>
        <w:t>.</w:t>
      </w:r>
      <w:r>
        <w:tab/>
        <w:t>Authorised officers and approved officers</w:t>
      </w:r>
      <w:bookmarkEnd w:id="53"/>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54" w:name="_Toc158107790"/>
      <w:r>
        <w:rPr>
          <w:rStyle w:val="CharSectno"/>
        </w:rPr>
        <w:t>22C</w:t>
      </w:r>
      <w:r>
        <w:t>.</w:t>
      </w:r>
      <w:r>
        <w:tab/>
        <w:t>Forms</w:t>
      </w:r>
      <w:bookmarkEnd w:id="5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55" w:name="_Toc158040574"/>
      <w:bookmarkStart w:id="56" w:name="_Toc158101580"/>
      <w:bookmarkStart w:id="57" w:name="_Toc158107791"/>
      <w:r>
        <w:rPr>
          <w:rStyle w:val="CharPartNo"/>
        </w:rPr>
        <w:lastRenderedPageBreak/>
        <w:t>Part 4</w:t>
      </w:r>
      <w:r>
        <w:rPr>
          <w:rStyle w:val="CharDivNo"/>
        </w:rPr>
        <w:t> </w:t>
      </w:r>
      <w:r>
        <w:t>—</w:t>
      </w:r>
      <w:r>
        <w:rPr>
          <w:rStyle w:val="CharDivText"/>
        </w:rPr>
        <w:t> </w:t>
      </w:r>
      <w:r>
        <w:rPr>
          <w:rStyle w:val="CharPartText"/>
        </w:rPr>
        <w:t>Transitional provisions</w:t>
      </w:r>
      <w:bookmarkEnd w:id="55"/>
      <w:bookmarkEnd w:id="56"/>
      <w:bookmarkEnd w:id="57"/>
    </w:p>
    <w:p>
      <w:pPr>
        <w:pStyle w:val="Heading5"/>
        <w:spacing w:before="180"/>
      </w:pPr>
      <w:bookmarkStart w:id="58" w:name="_Toc158107792"/>
      <w:r>
        <w:rPr>
          <w:rStyle w:val="CharSectno"/>
        </w:rPr>
        <w:t>23</w:t>
      </w:r>
      <w:r>
        <w:t>.</w:t>
      </w:r>
      <w:r>
        <w:tab/>
        <w:t>Terms used</w:t>
      </w:r>
      <w:bookmarkEnd w:id="58"/>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9" w:name="_Toc158107793"/>
      <w:r>
        <w:rPr>
          <w:rStyle w:val="CharSectno"/>
        </w:rPr>
        <w:t>24</w:t>
      </w:r>
      <w:r>
        <w:t>.</w:t>
      </w:r>
      <w:r>
        <w:tab/>
        <w:t>Inspection of building work</w:t>
      </w:r>
      <w:bookmarkEnd w:id="59"/>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60" w:name="_Toc158107794"/>
      <w:r>
        <w:rPr>
          <w:rStyle w:val="CharSectno"/>
        </w:rPr>
        <w:t>25</w:t>
      </w:r>
      <w:r>
        <w:t>.</w:t>
      </w:r>
      <w:r>
        <w:tab/>
        <w:t>Building Commissioner may exercise powers of registrar</w:t>
      </w:r>
      <w:bookmarkEnd w:id="60"/>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61" w:name="_Toc158107795"/>
      <w:r>
        <w:rPr>
          <w:rStyle w:val="CharSectno"/>
        </w:rPr>
        <w:t>26</w:t>
      </w:r>
      <w:r>
        <w:t>.</w:t>
      </w:r>
      <w:r>
        <w:tab/>
        <w:t>Building levy for deemed applications</w:t>
      </w:r>
      <w:bookmarkEnd w:id="61"/>
    </w:p>
    <w:p>
      <w:pPr>
        <w:pStyle w:val="Subsection"/>
        <w:spacing w:before="120"/>
      </w:pPr>
      <w:r>
        <w:tab/>
        <w:t>(1)</w:t>
      </w:r>
      <w:r>
        <w:tab/>
        <w:t xml:space="preserve">In this regulation — </w:t>
      </w:r>
    </w:p>
    <w:p>
      <w:pPr>
        <w:pStyle w:val="Defstart"/>
      </w:pPr>
      <w:r>
        <w:lastRenderedPageBreak/>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62" w:name="_Toc158107796"/>
      <w:r>
        <w:rPr>
          <w:rStyle w:val="CharSectno"/>
        </w:rPr>
        <w:t>27</w:t>
      </w:r>
      <w:r>
        <w:t>.</w:t>
      </w:r>
      <w:r>
        <w:tab/>
        <w:t>Enforcement of decisions of former Tribunal</w:t>
      </w:r>
      <w:bookmarkEnd w:id="62"/>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r>
        <w:tab/>
        <w:t>[Regulation 27 inserted: Gazette 14 Aug 2012 p. 3828.]</w:t>
      </w:r>
    </w:p>
    <w:p>
      <w:pPr>
        <w:pStyle w:val="yScheduleHeading"/>
      </w:pPr>
      <w:bookmarkStart w:id="63" w:name="_Toc158040580"/>
      <w:bookmarkStart w:id="64" w:name="_Toc158101586"/>
      <w:bookmarkStart w:id="65" w:name="_Toc158107797"/>
      <w:r>
        <w:rPr>
          <w:rStyle w:val="CharSchNo"/>
        </w:rPr>
        <w:lastRenderedPageBreak/>
        <w:t>Schedule 1</w:t>
      </w:r>
      <w:r>
        <w:t> — </w:t>
      </w:r>
      <w:r>
        <w:rPr>
          <w:rStyle w:val="CharSchText"/>
        </w:rPr>
        <w:t>Prescribed offences and modified penalties</w:t>
      </w:r>
      <w:bookmarkEnd w:id="63"/>
      <w:bookmarkEnd w:id="64"/>
      <w:bookmarkEnd w:id="65"/>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66" w:name="_Toc158040581"/>
      <w:bookmarkStart w:id="67" w:name="_Toc158101587"/>
      <w:bookmarkStart w:id="68" w:name="_Toc158107798"/>
      <w:r>
        <w:rPr>
          <w:rStyle w:val="CharSchNo"/>
        </w:rPr>
        <w:lastRenderedPageBreak/>
        <w:t>Schedule 2</w:t>
      </w:r>
      <w:r>
        <w:t> — </w:t>
      </w:r>
      <w:r>
        <w:rPr>
          <w:rStyle w:val="CharSchText"/>
        </w:rPr>
        <w:t>Forms</w:t>
      </w:r>
      <w:bookmarkEnd w:id="66"/>
      <w:bookmarkEnd w:id="67"/>
      <w:bookmarkEnd w:id="68"/>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lastRenderedPageBreak/>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lastRenderedPageBreak/>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lastRenderedPageBreak/>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lastRenderedPageBreak/>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endnotePr>
            <w:numFmt w:val="decimal"/>
          </w:endnotePr>
          <w:pgSz w:w="11907" w:h="16840" w:code="9"/>
          <w:pgMar w:top="2381" w:right="2410" w:bottom="3544" w:left="2410" w:header="720" w:footer="3544" w:gutter="0"/>
          <w:cols w:space="720"/>
          <w:docGrid w:linePitch="326"/>
        </w:sectPr>
      </w:pPr>
    </w:p>
    <w:p>
      <w:pPr>
        <w:pStyle w:val="nHeading2"/>
      </w:pPr>
      <w:bookmarkStart w:id="69" w:name="_Toc158040582"/>
      <w:bookmarkStart w:id="70" w:name="_Toc158101588"/>
      <w:bookmarkStart w:id="71" w:name="_Toc158107799"/>
      <w:r>
        <w:lastRenderedPageBreak/>
        <w:t>Notes</w:t>
      </w:r>
      <w:bookmarkEnd w:id="69"/>
      <w:bookmarkEnd w:id="70"/>
      <w:bookmarkEnd w:id="71"/>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158107800"/>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lastRenderedPageBreak/>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(Fees and Charges) Regulations 2022</w:t>
            </w:r>
            <w:r>
              <w:t xml:space="preserve"> Pt. 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Cs/>
              </w:rPr>
            </w:pPr>
            <w:r>
              <w:rPr>
                <w:i/>
              </w:rPr>
              <w:lastRenderedPageBreak/>
              <w:t>Commerce Regulations Amendment (Plumbing) Regulations 2024</w:t>
            </w:r>
            <w:r>
              <w:rPr>
                <w:iCs/>
              </w:rPr>
              <w:t xml:space="preserve"> Pt. 3</w:t>
            </w:r>
          </w:p>
        </w:tc>
        <w:tc>
          <w:tcPr>
            <w:tcW w:w="1276" w:type="dxa"/>
            <w:tcBorders>
              <w:top w:val="nil"/>
              <w:bottom w:val="single" w:sz="4" w:space="0" w:color="auto"/>
            </w:tcBorders>
          </w:tcPr>
          <w:p>
            <w:pPr>
              <w:pStyle w:val="nTable"/>
              <w:spacing w:after="40"/>
            </w:pPr>
            <w:r>
              <w:t>SL 2024/12 9 Feb 2024</w:t>
            </w:r>
          </w:p>
        </w:tc>
        <w:tc>
          <w:tcPr>
            <w:tcW w:w="2693" w:type="dxa"/>
            <w:tcBorders>
              <w:top w:val="nil"/>
              <w:bottom w:val="single" w:sz="4" w:space="0" w:color="auto"/>
            </w:tcBorders>
          </w:tcPr>
          <w:p>
            <w:pPr>
              <w:pStyle w:val="nTable"/>
              <w:spacing w:after="40"/>
            </w:pPr>
            <w:r>
              <w:t>10 Feb 2024 (see r. 2(d))</w:t>
            </w:r>
          </w:p>
        </w:tc>
      </w:tr>
    </w:tbl>
    <w:p>
      <w:pPr>
        <w:pStyle w:val="nHeading3"/>
      </w:pPr>
      <w:bookmarkStart w:id="73" w:name="_Toc158107801"/>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(Building Services) Regulations 2023</w:t>
            </w:r>
            <w:r>
              <w:t xml:space="preserve"> Pt. 3</w:t>
            </w:r>
          </w:p>
        </w:tc>
        <w:tc>
          <w:tcPr>
            <w:tcW w:w="1276" w:type="dxa"/>
          </w:tcPr>
          <w:p>
            <w:pPr>
              <w:pStyle w:val="nTable"/>
              <w:spacing w:after="40"/>
            </w:pPr>
            <w:r>
              <w:t>SL 2023/64 2 Jun 2023</w:t>
            </w:r>
          </w:p>
        </w:tc>
        <w:tc>
          <w:tcPr>
            <w:tcW w:w="2693" w:type="dxa"/>
          </w:tcPr>
          <w:p>
            <w:pPr>
              <w:pStyle w:val="nTable"/>
              <w:spacing w:after="40"/>
            </w:pPr>
            <w:r>
              <w:t>1 Jul 2024 (see r. 2(b))</w:t>
            </w:r>
          </w:p>
        </w:tc>
      </w:tr>
    </w:tbl>
    <w:p>
      <w:pPr>
        <w:pStyle w:val="nHeading3"/>
      </w:pPr>
      <w:bookmarkStart w:id="74" w:name="_Toc158107802"/>
      <w:r>
        <w:t>Other notes</w:t>
      </w:r>
      <w:bookmarkEnd w:id="74"/>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76" w:name="_Toc158040586"/>
      <w:bookmarkStart w:id="77" w:name="_Toc158101592"/>
      <w:bookmarkStart w:id="78" w:name="_Toc158107803"/>
      <w:r>
        <w:rPr>
          <w:sz w:val="28"/>
        </w:rPr>
        <w:lastRenderedPageBreak/>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5154708"/>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 w:name="WAFER_20220622140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0320_GUID" w:val="5ae44248-702b-4521-9245-fedd2b376db7"/>
    <w:docVar w:name="WAFER_20230530155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55634_GUID" w:val="97f0bbd9-1b6e-4abf-8085-a39c3031cc24"/>
    <w:docVar w:name="WAFER_20240205154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5154708_GUID" w:val="e50e12fb-9799-4445-8934-4d3ed9890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5761</Words>
  <Characters>29038</Characters>
  <Application>Microsoft Office Word</Application>
  <DocSecurity>0</DocSecurity>
  <Lines>1037</Lines>
  <Paragraphs>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2011 - 02-j0-00</dc:title>
  <dc:subject/>
  <dc:creator/>
  <cp:keywords/>
  <dc:description/>
  <cp:lastModifiedBy>Master Repository Process</cp:lastModifiedBy>
  <cp:revision>4</cp:revision>
  <cp:lastPrinted>2019-06-21T01:33:00Z</cp:lastPrinted>
  <dcterms:created xsi:type="dcterms:W3CDTF">2024-02-09T02:35:00Z</dcterms:created>
  <dcterms:modified xsi:type="dcterms:W3CDTF">2024-02-09T02:35:00Z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10 Feb 2024</vt:lpwstr>
  </property>
  <property fmtid="{D5CDD505-2E9C-101B-9397-08002B2CF9AE}" pid="7" name="Suffix">
    <vt:lpwstr>02-j0-00</vt:lpwstr>
  </property>
  <property fmtid="{D5CDD505-2E9C-101B-9397-08002B2CF9AE}" pid="8" name="Official">
    <vt:lpwstr/>
  </property>
  <property fmtid="{D5CDD505-2E9C-101B-9397-08002B2CF9AE}" pid="9" name="CommencementDate">
    <vt:lpwstr>20240210</vt:lpwstr>
  </property>
  <property fmtid="{D5CDD505-2E9C-101B-9397-08002B2CF9AE}" pid="10" name="CommencementAsAt">
    <vt:filetime>2024-02-09T16:00:00Z</vt:filetime>
  </property>
  <property fmtid="{D5CDD505-2E9C-101B-9397-08002B2CF9AE}" pid="11" name="CommencementYear">
    <vt:lpwstr>2024</vt:lpwstr>
  </property>
</Properties>
</file>