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(Liquor Control)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(Liquor Control)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_Toc159319621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_Toc159319622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Liquor Control (Kalumburu Restricted Area) Regulations 2018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_Toc159319624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 11 amended</w:t>
      </w:r>
      <w:r>
        <w:tab/>
      </w:r>
      <w:r>
        <w:fldChar w:fldCharType="begin"/>
      </w:r>
      <w:r>
        <w:instrText xml:space="preserve"> PAGEREF _Toc159319625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Liquor Control (Wangkatjungka Restricted Area) Regulations 2008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_Toc159319627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 9 amended</w:t>
      </w:r>
      <w:r>
        <w:tab/>
      </w:r>
      <w:r>
        <w:fldChar w:fldCharType="begin"/>
      </w:r>
      <w:r>
        <w:instrText xml:space="preserve"> PAGEREF _Toc159319628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Liquor Control (Yakanarra Restricted Area) Regulations 2010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_Toc159319630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 9 amended</w:t>
      </w:r>
      <w:r>
        <w:tab/>
      </w:r>
      <w:r>
        <w:fldChar w:fldCharType="begin"/>
      </w:r>
      <w:r>
        <w:instrText xml:space="preserve"> PAGEREF _Toc159319631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Racing and Gaming Regulations Amendment (Liquor Control) Regulations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260"/>
        <w:rPr>
          <w:rStyle w:val="CharPartText"/>
        </w:rPr>
      </w:pPr>
      <w:bookmarkStart w:id="2" w:name="_Toc158889849"/>
      <w:bookmarkStart w:id="3" w:name="_Toc158889911"/>
      <w:bookmarkStart w:id="4" w:name="_Toc158890136"/>
      <w:bookmarkStart w:id="5" w:name="_Toc15931962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</w:p>
    <w:p>
      <w:pPr>
        <w:pStyle w:val="Heading5"/>
      </w:pPr>
      <w:bookmarkStart w:id="6" w:name="_Toc158889850"/>
      <w:bookmarkStart w:id="7" w:name="_Toc158889912"/>
      <w:bookmarkStart w:id="8" w:name="_Toc159319621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</w:r>
      <w:bookmarkStart w:id="9" w:name="Start_Cursor"/>
      <w:bookmarkEnd w:id="9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Racing and Gaming Regulations Amendment (Liquor Control) Regulations 2024</w:t>
      </w:r>
      <w:r>
        <w:t>.</w:t>
      </w:r>
    </w:p>
    <w:p>
      <w:pPr>
        <w:pStyle w:val="Heading5"/>
        <w:rPr>
          <w:spacing w:val="-2"/>
        </w:rPr>
      </w:pPr>
      <w:bookmarkStart w:id="10" w:name="_Toc158889851"/>
      <w:bookmarkStart w:id="11" w:name="_Toc158889913"/>
      <w:bookmarkStart w:id="12" w:name="_Toc15931962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 1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13" w:name="_Toc158889852"/>
      <w:bookmarkStart w:id="14" w:name="_Toc158889914"/>
      <w:bookmarkStart w:id="15" w:name="_Toc158890139"/>
      <w:bookmarkStart w:id="16" w:name="_Toc159319623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(Kalumburu Restricted Area) Regulations 2018</w:t>
      </w:r>
      <w:r>
        <w:rPr>
          <w:rStyle w:val="CharPartText"/>
        </w:rPr>
        <w:t xml:space="preserve"> amended</w:t>
      </w:r>
      <w:bookmarkEnd w:id="13"/>
      <w:bookmarkEnd w:id="14"/>
      <w:bookmarkEnd w:id="15"/>
      <w:bookmarkEnd w:id="16"/>
    </w:p>
    <w:p>
      <w:pPr>
        <w:pStyle w:val="Heading5"/>
        <w:rPr>
          <w:snapToGrid w:val="0"/>
        </w:rPr>
      </w:pPr>
      <w:bookmarkStart w:id="17" w:name="_Toc158889853"/>
      <w:bookmarkStart w:id="18" w:name="_Toc158889915"/>
      <w:bookmarkStart w:id="19" w:name="_Toc15931962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Regulations amended</w:t>
      </w:r>
      <w:bookmarkEnd w:id="17"/>
      <w:bookmarkEnd w:id="18"/>
      <w:bookmarkEnd w:id="19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(Kalumburu Restricted Area) Regulations 2018</w:t>
      </w:r>
      <w:r>
        <w:t>.</w:t>
      </w:r>
    </w:p>
    <w:p>
      <w:pPr>
        <w:pStyle w:val="Heading5"/>
      </w:pPr>
      <w:bookmarkStart w:id="20" w:name="_Toc158889854"/>
      <w:bookmarkStart w:id="21" w:name="_Toc158889916"/>
      <w:bookmarkStart w:id="22" w:name="_Toc159319625"/>
      <w:r>
        <w:rPr>
          <w:rStyle w:val="CharSectno"/>
        </w:rPr>
        <w:t>4</w:t>
      </w:r>
      <w:r>
        <w:t>.</w:t>
      </w:r>
      <w:r>
        <w:tab/>
        <w:t>Regulation 11 amended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>In regulation 11 delete “2 March 2024.”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2 March 2034.</w:t>
      </w:r>
    </w:p>
    <w:p>
      <w:pPr>
        <w:pStyle w:val="BlankClose"/>
      </w:pPr>
    </w:p>
    <w:p>
      <w:pPr>
        <w:pStyle w:val="Heading2"/>
      </w:pPr>
      <w:bookmarkStart w:id="23" w:name="_Toc158889855"/>
      <w:bookmarkStart w:id="24" w:name="_Toc158889917"/>
      <w:bookmarkStart w:id="25" w:name="_Toc158890142"/>
      <w:bookmarkStart w:id="26" w:name="_Toc159319626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(Wangkatjungka Restricted Area) Regulations 2008</w:t>
      </w:r>
      <w:r>
        <w:rPr>
          <w:rStyle w:val="CharPartText"/>
        </w:rPr>
        <w:t xml:space="preserve"> amended</w:t>
      </w:r>
      <w:bookmarkEnd w:id="23"/>
      <w:bookmarkEnd w:id="24"/>
      <w:bookmarkEnd w:id="25"/>
      <w:bookmarkEnd w:id="26"/>
    </w:p>
    <w:p>
      <w:pPr>
        <w:pStyle w:val="Heading5"/>
        <w:rPr>
          <w:snapToGrid w:val="0"/>
        </w:rPr>
      </w:pPr>
      <w:bookmarkStart w:id="27" w:name="_Toc158889856"/>
      <w:bookmarkStart w:id="28" w:name="_Toc158889918"/>
      <w:bookmarkStart w:id="29" w:name="_Toc159319627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Regulations amended</w:t>
      </w:r>
      <w:bookmarkEnd w:id="27"/>
      <w:bookmarkEnd w:id="28"/>
      <w:bookmarkEnd w:id="29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(Wangkatjungka Restricted Area) Regulations 2008</w:t>
      </w:r>
      <w:r>
        <w:t>.</w:t>
      </w:r>
    </w:p>
    <w:p>
      <w:pPr>
        <w:pStyle w:val="Heading5"/>
      </w:pPr>
      <w:bookmarkStart w:id="30" w:name="_Toc158889857"/>
      <w:bookmarkStart w:id="31" w:name="_Toc158889919"/>
      <w:bookmarkStart w:id="32" w:name="_Toc159319628"/>
      <w:r>
        <w:rPr>
          <w:rStyle w:val="CharSectno"/>
        </w:rPr>
        <w:t>6</w:t>
      </w:r>
      <w:r>
        <w:t>.</w:t>
      </w:r>
      <w:r>
        <w:tab/>
        <w:t>Regulation 9 amended</w:t>
      </w:r>
      <w:bookmarkEnd w:id="30"/>
      <w:bookmarkEnd w:id="31"/>
      <w:bookmarkEnd w:id="32"/>
    </w:p>
    <w:p>
      <w:pPr>
        <w:pStyle w:val="Subsection"/>
      </w:pPr>
      <w:r>
        <w:tab/>
      </w:r>
      <w:r>
        <w:tab/>
        <w:t>In regulation 9 delete “22 April 2024.”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22 April 2025.</w:t>
      </w:r>
    </w:p>
    <w:p>
      <w:pPr>
        <w:pStyle w:val="BlankClose"/>
      </w:pPr>
    </w:p>
    <w:p>
      <w:pPr>
        <w:pStyle w:val="Heading2"/>
      </w:pPr>
      <w:bookmarkStart w:id="33" w:name="_Toc158889858"/>
      <w:bookmarkStart w:id="34" w:name="_Toc158889920"/>
      <w:bookmarkStart w:id="35" w:name="_Toc158890145"/>
      <w:bookmarkStart w:id="36" w:name="_Toc159319629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(Yakanarra Restricted Area) Regulations 2010</w:t>
      </w:r>
      <w:r>
        <w:rPr>
          <w:rStyle w:val="CharPartText"/>
        </w:rPr>
        <w:t xml:space="preserve"> amended</w:t>
      </w:r>
      <w:bookmarkEnd w:id="33"/>
      <w:bookmarkEnd w:id="34"/>
      <w:bookmarkEnd w:id="35"/>
      <w:bookmarkEnd w:id="36"/>
    </w:p>
    <w:p>
      <w:pPr>
        <w:pStyle w:val="Heading5"/>
        <w:rPr>
          <w:snapToGrid w:val="0"/>
        </w:rPr>
      </w:pPr>
      <w:bookmarkStart w:id="37" w:name="_Toc158889859"/>
      <w:bookmarkStart w:id="38" w:name="_Toc158889921"/>
      <w:bookmarkStart w:id="39" w:name="_Toc159319630"/>
      <w:r>
        <w:rPr>
          <w:rStyle w:val="CharSectno"/>
        </w:rPr>
        <w:t>7</w:t>
      </w:r>
      <w:r>
        <w:t>.</w:t>
      </w:r>
      <w:r>
        <w:tab/>
      </w:r>
      <w:r>
        <w:rPr>
          <w:snapToGrid w:val="0"/>
        </w:rPr>
        <w:t>Regulations amended</w:t>
      </w:r>
      <w:bookmarkEnd w:id="37"/>
      <w:bookmarkEnd w:id="38"/>
      <w:bookmarkEnd w:id="39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(Yakanarra Restricted Area) Regulations 2010</w:t>
      </w:r>
      <w:r>
        <w:t>.</w:t>
      </w:r>
    </w:p>
    <w:p>
      <w:pPr>
        <w:pStyle w:val="Heading5"/>
      </w:pPr>
      <w:bookmarkStart w:id="40" w:name="_Toc158889860"/>
      <w:bookmarkStart w:id="41" w:name="_Toc158889922"/>
      <w:bookmarkStart w:id="42" w:name="_Toc159319631"/>
      <w:r>
        <w:rPr>
          <w:rStyle w:val="CharSectno"/>
        </w:rPr>
        <w:t>8</w:t>
      </w:r>
      <w:r>
        <w:t>.</w:t>
      </w:r>
      <w:r>
        <w:tab/>
        <w:t>Regulation 9 amended</w:t>
      </w:r>
      <w:bookmarkEnd w:id="40"/>
      <w:bookmarkEnd w:id="41"/>
      <w:bookmarkEnd w:id="42"/>
    </w:p>
    <w:p>
      <w:pPr>
        <w:pStyle w:val="Subsection"/>
      </w:pPr>
      <w:r>
        <w:tab/>
      </w:r>
      <w:r>
        <w:tab/>
        <w:t>In regulation 9 delete “30 April 2024.”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30 April 2034.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 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43" w:name="Coversheet"/>
    <w:bookmarkEnd w:id="4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40215114302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1313230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13132302_GUID" w:val="527f63fc-ecb9-4006-a14f-37c1264975b2"/>
    <w:docVar w:name="WAFER_2024021316332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13163320_GUID" w:val="93628e64-b289-4a17-9295-4e0aa41242ba"/>
    <w:docVar w:name="WAFER_2024021511430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5114302_GUID" w:val="8effb1be-7f06-41d0-97a4-2b11c44688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C0DF16-C935-414F-A5F8-63FE7671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2323</Characters>
  <Application>Microsoft Office Word</Application>
  <DocSecurity>0</DocSecurity>
  <Lines>105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and Gaming Regulations Amendment (Liquor Control)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2024-02-20T05:31:00Z</dcterms:created>
  <dcterms:modified xsi:type="dcterms:W3CDTF">2024-02-20T05:31:00Z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54714</vt:lpwstr>
  </property>
  <property fmtid="{D5CDD505-2E9C-101B-9397-08002B2CF9AE}" pid="3" name="DocumentType">
    <vt:lpwstr>Reg</vt:lpwstr>
  </property>
  <property fmtid="{D5CDD505-2E9C-101B-9397-08002B2CF9AE}" pid="4" name="SLAPId">
    <vt:lpwstr>2024/13</vt:lpwstr>
  </property>
  <property fmtid="{D5CDD505-2E9C-101B-9397-08002B2CF9AE}" pid="5" name="PublishDate">
    <vt:lpwstr>21 Feb 2024</vt:lpwstr>
  </property>
  <property fmtid="{D5CDD505-2E9C-101B-9397-08002B2CF9AE}" pid="6" name="CommencementDate">
    <vt:lpwstr>20240221</vt:lpwstr>
  </property>
  <property fmtid="{D5CDD505-2E9C-101B-9397-08002B2CF9AE}" pid="7" name="CommencementAsAt">
    <vt:filetime>2024-02-20T16:00:00Z</vt:filetime>
  </property>
  <property fmtid="{D5CDD505-2E9C-101B-9397-08002B2CF9AE}" pid="8" name="CommencementYear">
    <vt:lpwstr>2024</vt:lpwstr>
  </property>
  <property fmtid="{D5CDD505-2E9C-101B-9397-08002B2CF9AE}" pid="9" name="AsAtDate">
    <vt:lpwstr>21 Feb 2024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