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Swan Valley Planning Act 2020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_Toc159320600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_Toc159320601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Modification of </w:t>
      </w:r>
      <w:r>
        <w:rPr>
          <w:i/>
          <w:iCs/>
          <w:snapToGrid w:val="0"/>
        </w:rPr>
        <w:t>Planning and Development (Local Planning Schemes) Regulations 2015</w:t>
      </w:r>
      <w:r>
        <w:rPr>
          <w:snapToGrid w:val="0"/>
        </w:rPr>
        <w:t xml:space="preserve"> in application to Swan Valley Planning Scheme (s. 40)</w:t>
      </w:r>
      <w:r>
        <w:tab/>
      </w:r>
      <w:r>
        <w:fldChar w:fldCharType="begin"/>
      </w:r>
      <w:r>
        <w:instrText xml:space="preserve"> PAGEREF _Toc159320602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Swan Valley Planning Act 2020</w:t>
      </w:r>
    </w:p>
    <w:p>
      <w:pPr>
        <w:pStyle w:val="NameofActReg"/>
      </w:pPr>
      <w:r>
        <w:t>Swan Valley Planning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58890099"/>
      <w:bookmarkStart w:id="3" w:name="_Toc159320600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Swan Valley Planning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8890100"/>
      <w:bookmarkStart w:id="6" w:name="_Toc15932060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2024.</w:t>
      </w:r>
    </w:p>
    <w:p>
      <w:pPr>
        <w:pStyle w:val="Heading5"/>
        <w:rPr>
          <w:snapToGrid w:val="0"/>
        </w:rPr>
      </w:pPr>
      <w:bookmarkStart w:id="7" w:name="_Toc158890101"/>
      <w:bookmarkStart w:id="8" w:name="_Toc15932060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Modification of </w:t>
      </w:r>
      <w:r>
        <w:rPr>
          <w:i/>
          <w:iCs/>
          <w:snapToGrid w:val="0"/>
        </w:rPr>
        <w:t>Planning and Development (Local Planning Schemes) Regulations 2015</w:t>
      </w:r>
      <w:r>
        <w:rPr>
          <w:snapToGrid w:val="0"/>
        </w:rPr>
        <w:t xml:space="preserve"> in application to Swan Valley Planning Scheme (s. 40)</w:t>
      </w:r>
      <w:bookmarkEnd w:id="7"/>
      <w:bookmarkEnd w:id="8"/>
    </w:p>
    <w:p>
      <w:pPr>
        <w:pStyle w:val="Subsection"/>
        <w:keepNext/>
      </w:pPr>
      <w:r>
        <w:tab/>
        <w:t>(1)</w:t>
      </w:r>
      <w:r>
        <w:tab/>
        <w:t xml:space="preserve">This regulation sets out, for the purposes of section 40(3) of the Act, modifications of the </w:t>
      </w:r>
      <w:r>
        <w:rPr>
          <w:i/>
          <w:iCs/>
        </w:rPr>
        <w:t>Planning and Development (Local Planning Schemes) Regulations 2015</w:t>
      </w:r>
      <w:r>
        <w:t xml:space="preserve"> Parts 4 and 5 as they apply under section 40(2) of the Act (the </w:t>
      </w:r>
      <w:r>
        <w:rPr>
          <w:rStyle w:val="CharDefText"/>
        </w:rPr>
        <w:t>relevant applied provisions</w:t>
      </w:r>
      <w:r>
        <w:t>).</w:t>
      </w:r>
    </w:p>
    <w:p>
      <w:pPr>
        <w:pStyle w:val="Subsection"/>
      </w:pPr>
      <w:r>
        <w:tab/>
        <w:t>(2)</w:t>
      </w:r>
      <w:r>
        <w:tab/>
        <w:t xml:space="preserve">The relevant applied provisions apply as if a reference to a provision of the </w:t>
      </w:r>
      <w:r>
        <w:rPr>
          <w:i/>
          <w:iCs/>
        </w:rPr>
        <w:t>Planning and Development Act 2005</w:t>
      </w:r>
      <w:r>
        <w:t xml:space="preserve"> Part 5 were a reference to a corresponding provision in Part 2 of the Act.</w:t>
      </w:r>
    </w:p>
    <w:p>
      <w:pPr>
        <w:pStyle w:val="Subsection"/>
        <w:keepNext/>
      </w:pPr>
      <w:r>
        <w:lastRenderedPageBreak/>
        <w:tab/>
        <w:t>(3)</w:t>
      </w:r>
      <w:r>
        <w:tab/>
        <w:t xml:space="preserve">The relevant applied provisions apply as if — </w:t>
      </w:r>
    </w:p>
    <w:p>
      <w:pPr>
        <w:pStyle w:val="Indenta"/>
        <w:keepNext/>
      </w:pPr>
      <w:r>
        <w:tab/>
        <w:t>(a)</w:t>
      </w:r>
      <w:r>
        <w:tab/>
        <w:t xml:space="preserve">the following provisions relating to approval to advertise a scheme or amendment were deleted — </w:t>
      </w:r>
    </w:p>
    <w:p>
      <w:pPr>
        <w:pStyle w:val="Indenti"/>
      </w:pPr>
      <w:r>
        <w:tab/>
        <w:t>(i)</w:t>
      </w:r>
      <w:r>
        <w:tab/>
        <w:t>regulations 21 to 21B;</w:t>
      </w:r>
    </w:p>
    <w:p>
      <w:pPr>
        <w:pStyle w:val="Indenti"/>
      </w:pPr>
      <w:r>
        <w:tab/>
        <w:t>(ii)</w:t>
      </w:r>
      <w:r>
        <w:tab/>
        <w:t>regulations 37 to 37B;</w:t>
      </w:r>
    </w:p>
    <w:p>
      <w:pPr>
        <w:pStyle w:val="Indenti"/>
      </w:pPr>
      <w:r>
        <w:tab/>
        <w:t>(iii)</w:t>
      </w:r>
      <w:r>
        <w:tab/>
        <w:t>regulations 46A to 46C;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references in regulations 22(1), 38(1) and 47(1) to the Minister approving a proposed scheme or amendment for advertising were omitted.</w:t>
      </w:r>
    </w:p>
    <w:p>
      <w:pPr>
        <w:pStyle w:val="Subsection"/>
      </w:pPr>
      <w:r>
        <w:tab/>
        <w:t>(4)</w:t>
      </w:r>
      <w:r>
        <w:tab/>
        <w:t xml:space="preserve">The relevant applied provisions apply as if — </w:t>
      </w:r>
    </w:p>
    <w:p>
      <w:pPr>
        <w:pStyle w:val="Indenta"/>
      </w:pPr>
      <w:r>
        <w:tab/>
        <w:t>(a)</w:t>
      </w:r>
      <w:r>
        <w:tab/>
        <w:t>regulations 57 to 61 were deleted; and</w:t>
      </w:r>
    </w:p>
    <w:p>
      <w:pPr>
        <w:pStyle w:val="Indenta"/>
      </w:pPr>
      <w:r>
        <w:tab/>
        <w:t>(b)</w:t>
      </w:r>
      <w:r>
        <w:tab/>
        <w:t xml:space="preserve">a requirement were instead included that the Commission must — </w:t>
      </w:r>
    </w:p>
    <w:p>
      <w:pPr>
        <w:pStyle w:val="Indenti"/>
      </w:pPr>
      <w:r>
        <w:tab/>
        <w:t>(i)</w:t>
      </w:r>
      <w:r>
        <w:tab/>
        <w:t>advertise a proposed basic amendment to the Swan Valley Planning Scheme in accordance with the procedure that applies to the advertising of a proposed standard amendment under regulations 47 and 48, except that the period for making submissions on the advertised proposed basic amendment is a period of at least 14 days decided by the Commission (rather than the period referred to in regulation 47(3)); and</w:t>
      </w:r>
    </w:p>
    <w:p>
      <w:pPr>
        <w:pStyle w:val="Indenti"/>
      </w:pPr>
      <w:r>
        <w:tab/>
        <w:t>(ii)</w:t>
      </w:r>
      <w:r>
        <w:tab/>
        <w:t>consider any submissions made in response to the advertised basic amendment within that period.</w:t>
      </w:r>
    </w:p>
    <w:p>
      <w:pPr>
        <w:pStyle w:val="Subsection"/>
      </w:pPr>
      <w:r>
        <w:tab/>
        <w:t>(5)</w:t>
      </w:r>
      <w:r>
        <w:tab/>
        <w:t>This regulation does not limit the other modifications that apply to the relevant applied provisions and other relevant local planning scheme regulations under section 40(2) and (3) of the Act.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lastRenderedPageBreak/>
        <w:t>N. 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1FF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2113AED" w14:textId="5FDDC19F" w:rsidR="00C90765" w:rsidRDefault="00C9076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D21EF2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A0E5AA8" w14:textId="77777777" w:rsidR="00C90765" w:rsidRDefault="00C9076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3B8C096" w14:textId="1A4B8436" w:rsidR="00C90765" w:rsidRDefault="00C9076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D21EF2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1C1275E" w14:textId="77777777" w:rsidR="00C90765" w:rsidRDefault="00C90765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15114318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11108042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111080425_GUID" w:val="840905f0-52b3-41ae-a2dc-c5279c96af05"/>
    <w:docVar w:name="WAFER_202402060928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6092801_GUID" w:val="0ec31351-a6e6-4dc8-8a36-3ae3998901be"/>
    <w:docVar w:name="WAFER_202402151143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5114318_GUID" w:val="84c8deab-90b1-4a6f-90b4-f60e6aaa3c3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7421463-445C-4235-A511-96FAAD6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1BA-CFCD-4E87-B44C-C4F890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2662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Valley Planning Regulations 2024 - 00-00-00</dc:title>
  <dc:subject/>
  <dc:creator/>
  <cp:keywords/>
  <dc:description/>
  <cp:lastModifiedBy>Master Repository Process</cp:lastModifiedBy>
  <cp:revision>4</cp:revision>
  <cp:lastPrinted>2024-01-10T02:58:00Z</cp:lastPrinted>
  <dcterms:created xsi:type="dcterms:W3CDTF">2024-02-20T05:31:00Z</dcterms:created>
  <dcterms:modified xsi:type="dcterms:W3CDTF">2024-02-20T05:31:00Z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54657</vt:lpwstr>
  </property>
  <property fmtid="{D5CDD505-2E9C-101B-9397-08002B2CF9AE}" pid="3" name="DocumentType">
    <vt:lpwstr>Reg</vt:lpwstr>
  </property>
  <property fmtid="{D5CDD505-2E9C-101B-9397-08002B2CF9AE}" pid="4" name="AsAtDate">
    <vt:lpwstr>21 Feb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2024/14</vt:lpwstr>
  </property>
  <property fmtid="{D5CDD505-2E9C-101B-9397-08002B2CF9AE}" pid="8" name="PublishDate">
    <vt:lpwstr>21 Feb 2024</vt:lpwstr>
  </property>
  <property fmtid="{D5CDD505-2E9C-101B-9397-08002B2CF9AE}" pid="9" name="CommencementDate">
    <vt:lpwstr>20240221</vt:lpwstr>
  </property>
  <property fmtid="{D5CDD505-2E9C-101B-9397-08002B2CF9AE}" pid="10" name="CommencementAsAt">
    <vt:filetime>2024-02-20T16:00:00Z</vt:filetime>
  </property>
  <property fmtid="{D5CDD505-2E9C-101B-9397-08002B2CF9AE}" pid="11" name="CommencementYear">
    <vt:lpwstr>2024</vt:lpwstr>
  </property>
</Properties>
</file>