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(Part 11B Fees) Notice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(Part 11B Fees) Notice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_Toc158979836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_Toc158979837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_Toc158979838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_Toc158979839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Reduced fees for particular entities</w:t>
      </w:r>
      <w:r>
        <w:tab/>
      </w:r>
      <w:r>
        <w:fldChar w:fldCharType="begin"/>
      </w:r>
      <w:r>
        <w:instrText xml:space="preserve"> PAGEREF _Toc158979840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Refund of fees if application withdrawn</w:t>
      </w:r>
      <w:r>
        <w:tab/>
      </w:r>
      <w:r>
        <w:fldChar w:fldCharType="begin"/>
      </w:r>
      <w:r>
        <w:instrText xml:space="preserve"> PAGEREF _Toc158979841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Refund of fees if design review not conducted</w:t>
      </w:r>
      <w:r>
        <w:tab/>
      </w:r>
      <w:r>
        <w:fldChar w:fldCharType="begin"/>
      </w:r>
      <w:r>
        <w:instrText xml:space="preserve"> PAGEREF _Toc158979842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(Part 11B Fees) Notice 2024</w:t>
      </w:r>
    </w:p>
    <w:p>
      <w:pPr>
        <w:pStyle w:val="MadeBy"/>
      </w:pPr>
      <w:r>
        <w:t>Made by the Minister under section 171ZC of the Act.</w:t>
      </w:r>
    </w:p>
    <w:p>
      <w:pPr>
        <w:pStyle w:val="Heading5"/>
      </w:pPr>
      <w:bookmarkStart w:id="2" w:name="_Toc158979659"/>
      <w:bookmarkStart w:id="3" w:name="_Toc158979836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(Part 11B Fees) Notice 2024</w:t>
      </w:r>
      <w:r>
        <w:t>.</w:t>
      </w:r>
    </w:p>
    <w:p>
      <w:pPr>
        <w:pStyle w:val="Heading5"/>
        <w:rPr>
          <w:spacing w:val="-2"/>
        </w:rPr>
      </w:pPr>
      <w:bookmarkStart w:id="5" w:name="_Toc158979660"/>
      <w:bookmarkStart w:id="6" w:name="_Toc15897983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 xml:space="preserve">notice comes into operation on the day on which the </w:t>
      </w:r>
      <w:r>
        <w:rPr>
          <w:i/>
          <w:spacing w:val="-2"/>
        </w:rPr>
        <w:t>Planning and Development Amendment Act 2023</w:t>
      </w:r>
      <w:r>
        <w:rPr>
          <w:spacing w:val="-2"/>
        </w:rPr>
        <w:t xml:space="preserve"> section 11 comes into operation.</w:t>
      </w:r>
    </w:p>
    <w:p>
      <w:pPr>
        <w:pStyle w:val="Heading5"/>
      </w:pPr>
      <w:bookmarkStart w:id="7" w:name="_Toc158979661"/>
      <w:bookmarkStart w:id="8" w:name="_Toc158979838"/>
      <w:r>
        <w:rPr>
          <w:rStyle w:val="CharSectno"/>
        </w:rPr>
        <w:t>3</w:t>
      </w:r>
      <w:r>
        <w:t>.</w:t>
      </w:r>
      <w:r>
        <w:tab/>
        <w:t>Terms used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application to amend an approval</w:t>
      </w:r>
      <w:r>
        <w:t xml:space="preserve"> means an application made under section 171X(2)(a), (b), (c) or (d) of the Act;</w:t>
      </w:r>
    </w:p>
    <w:p>
      <w:pPr>
        <w:pStyle w:val="Defstart"/>
      </w:pPr>
      <w:r>
        <w:tab/>
      </w:r>
      <w:r>
        <w:rPr>
          <w:rStyle w:val="CharDefText"/>
        </w:rPr>
        <w:t>application to cancel an approval</w:t>
      </w:r>
      <w:r>
        <w:t xml:space="preserve"> means an application made under section 171X(2)(e) of the Act;</w:t>
      </w:r>
    </w:p>
    <w:p>
      <w:pPr>
        <w:pStyle w:val="Defstart"/>
      </w:pPr>
      <w:r>
        <w:tab/>
      </w:r>
      <w:r>
        <w:rPr>
          <w:rStyle w:val="CharDefText"/>
        </w:rPr>
        <w:t>appropriate design reviewer</w:t>
      </w:r>
      <w:r>
        <w:t xml:space="preserve"> means a committee, person or body of a kind referred to in paragraph (a) or (b) of the definition of </w:t>
      </w:r>
      <w:r>
        <w:rPr>
          <w:b/>
          <w:bCs/>
          <w:i/>
          <w:iCs/>
        </w:rPr>
        <w:t>design review</w:t>
      </w:r>
      <w:r>
        <w:t xml:space="preserve"> in section 171H(1) of the Act;</w:t>
      </w:r>
    </w:p>
    <w:p>
      <w:pPr>
        <w:pStyle w:val="Defstart"/>
      </w:pPr>
      <w:r>
        <w:tab/>
      </w:r>
      <w:r>
        <w:rPr>
          <w:rStyle w:val="CharDefText"/>
        </w:rPr>
        <w:t>design review fees</w:t>
      </w:r>
      <w:r>
        <w:t xml:space="preserve"> has the meaning given in clause 4(4);</w:t>
      </w:r>
    </w:p>
    <w:p>
      <w:pPr>
        <w:pStyle w:val="Defstart"/>
      </w:pPr>
      <w:r>
        <w:tab/>
      </w:r>
      <w:r>
        <w:rPr>
          <w:rStyle w:val="CharDefText"/>
        </w:rPr>
        <w:t>Government Architect</w:t>
      </w:r>
      <w:r>
        <w:t xml:space="preserve"> means the person holding office as the Government Architect or, during a vacancy in that office, the acting chairperson of the State Design Review Panel;</w:t>
      </w:r>
    </w:p>
    <w:p>
      <w:pPr>
        <w:pStyle w:val="Defstart"/>
        <w:keepLines/>
      </w:pPr>
      <w:r>
        <w:rPr>
          <w:rStyle w:val="DraftersNotes"/>
        </w:rPr>
        <w:lastRenderedPageBreak/>
        <w:tab/>
      </w:r>
      <w:r>
        <w:rPr>
          <w:rStyle w:val="CharDefText"/>
        </w:rPr>
        <w:t>registered community housing provider</w:t>
      </w:r>
      <w:r>
        <w:t xml:space="preserve"> means a community housing provider that is included on the register under the </w:t>
      </w:r>
      <w:r>
        <w:rPr>
          <w:i/>
          <w:iCs/>
        </w:rPr>
        <w:t xml:space="preserve">Planning and Development (Development Assessment Panels) Regulations 2011 </w:t>
      </w:r>
      <w:r>
        <w:t>regulation 50;</w:t>
      </w:r>
    </w:p>
    <w:p>
      <w:pPr>
        <w:pStyle w:val="Defstart"/>
      </w:pPr>
      <w:r>
        <w:tab/>
      </w:r>
      <w:r>
        <w:rPr>
          <w:rStyle w:val="CharDefText"/>
        </w:rPr>
        <w:t>registered not</w:t>
      </w:r>
      <w:r>
        <w:rPr>
          <w:rStyle w:val="CharDefText"/>
        </w:rPr>
        <w:noBreakHyphen/>
        <w:t>for</w:t>
      </w:r>
      <w:r>
        <w:rPr>
          <w:rStyle w:val="CharDefText"/>
        </w:rPr>
        <w:noBreakHyphen/>
        <w:t>profit entity</w:t>
      </w:r>
      <w:r>
        <w:t xml:space="preserve"> means an entity that is included on the Australian Charities and Not</w:t>
      </w:r>
      <w:r>
        <w:noBreakHyphen/>
        <w:t>for</w:t>
      </w:r>
      <w:r>
        <w:noBreakHyphen/>
        <w:t xml:space="preserve">profits Register under the </w:t>
      </w:r>
      <w:r>
        <w:rPr>
          <w:i/>
          <w:iCs/>
        </w:rPr>
        <w:t>Australian Charities and Not‑for‑profits Commission Act 2012</w:t>
      </w:r>
      <w:r>
        <w:t xml:space="preserve"> (Commonwealth) Chapter 2;</w:t>
      </w:r>
    </w:p>
    <w:p>
      <w:pPr>
        <w:pStyle w:val="Defstart"/>
      </w:pPr>
      <w:r>
        <w:tab/>
      </w:r>
      <w:r>
        <w:rPr>
          <w:rStyle w:val="CharDefText"/>
        </w:rPr>
        <w:t>State Design Review Panel</w:t>
      </w:r>
      <w:r>
        <w:t xml:space="preserve"> means the committee called the State Design Review Panel established under Schedule 2 clause 1 of the Act.</w:t>
      </w:r>
    </w:p>
    <w:p>
      <w:pPr>
        <w:pStyle w:val="Subsection"/>
      </w:pPr>
      <w:r>
        <w:tab/>
        <w:t>(2)</w:t>
      </w:r>
      <w:r>
        <w:tab/>
        <w:t>If a term used in this notice is given a meaning in section 171H(1) of the Act, it has the same meaning in this notice.</w:t>
      </w:r>
    </w:p>
    <w:p>
      <w:pPr>
        <w:pStyle w:val="Heading5"/>
      </w:pPr>
      <w:bookmarkStart w:id="9" w:name="_Toc158979662"/>
      <w:bookmarkStart w:id="10" w:name="_Toc158979839"/>
      <w:r>
        <w:rPr>
          <w:rStyle w:val="CharSectno"/>
        </w:rPr>
        <w:t>4</w:t>
      </w:r>
      <w:r>
        <w:t>.</w:t>
      </w:r>
      <w:r>
        <w:tab/>
        <w:t>Fees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The fees set out in Schedule 1 are the fees set to be charged in respect of the following applications — </w:t>
      </w:r>
    </w:p>
    <w:p>
      <w:pPr>
        <w:pStyle w:val="Indenta"/>
      </w:pPr>
      <w:r>
        <w:tab/>
        <w:t>(a)</w:t>
      </w:r>
      <w:r>
        <w:tab/>
        <w:t>a significant development application;</w:t>
      </w:r>
    </w:p>
    <w:p>
      <w:pPr>
        <w:pStyle w:val="Indenta"/>
      </w:pPr>
      <w:r>
        <w:tab/>
        <w:t>(b)</w:t>
      </w:r>
      <w:r>
        <w:tab/>
        <w:t>an application to amend an approval;</w:t>
      </w:r>
    </w:p>
    <w:p>
      <w:pPr>
        <w:pStyle w:val="Indenta"/>
      </w:pPr>
      <w:r>
        <w:tab/>
        <w:t>(c)</w:t>
      </w:r>
      <w:r>
        <w:tab/>
        <w:t>an application to cancel an approval.</w:t>
      </w:r>
    </w:p>
    <w:p>
      <w:pPr>
        <w:pStyle w:val="Subsection"/>
      </w:pPr>
      <w:r>
        <w:tab/>
        <w:t>(2)</w:t>
      </w:r>
      <w:r>
        <w:tab/>
        <w:t>A fee set under subclause (1) is payable to the Commission by the applicant.</w:t>
      </w:r>
    </w:p>
    <w:p>
      <w:pPr>
        <w:pStyle w:val="Subsection"/>
      </w:pPr>
      <w:r>
        <w:tab/>
        <w:t>(3)</w:t>
      </w:r>
      <w:r>
        <w:tab/>
        <w:t xml:space="preserve">Subclause (4) sets the fees to be charged if — </w:t>
      </w:r>
    </w:p>
    <w:p>
      <w:pPr>
        <w:pStyle w:val="Indenta"/>
      </w:pPr>
      <w:r>
        <w:tab/>
        <w:t>(a)</w:t>
      </w:r>
      <w:r>
        <w:tab/>
        <w:t xml:space="preserve">before making a significant development application, the prospective applicant requests an appropriate design reviewer to conduct a design review of the development to which the application relates under the </w:t>
      </w:r>
      <w:r>
        <w:rPr>
          <w:i/>
          <w:iCs/>
        </w:rPr>
        <w:t>Planning and Development (Significant Development) Regulations 2024</w:t>
      </w:r>
      <w:r>
        <w:t xml:space="preserve"> regulation 6(1)(b); or</w:t>
      </w:r>
    </w:p>
    <w:p>
      <w:pPr>
        <w:pStyle w:val="Indenta"/>
        <w:keepLines/>
      </w:pPr>
      <w:r>
        <w:lastRenderedPageBreak/>
        <w:tab/>
        <w:t>(b)</w:t>
      </w:r>
      <w:r>
        <w:tab/>
        <w:t>for the purposes of the Commission’s consideration of a significant development application under section 171P(1) of the Act, the Commission requests an appropriate design reviewer to conduct a design review of the development to which the application relates; or</w:t>
      </w:r>
    </w:p>
    <w:p>
      <w:pPr>
        <w:pStyle w:val="Indenta"/>
      </w:pPr>
      <w:r>
        <w:tab/>
        <w:t>(c)</w:t>
      </w:r>
      <w:r>
        <w:tab/>
        <w:t>for the purposes of the Commission’s consideration of an application to amend an approval, the Commission requests an appropriate design reviewer to conduct a design review of the development to which the application relates.</w:t>
      </w:r>
    </w:p>
    <w:p>
      <w:pPr>
        <w:pStyle w:val="Subsection"/>
      </w:pPr>
      <w:r>
        <w:tab/>
        <w:t>(4)</w:t>
      </w:r>
      <w:r>
        <w:tab/>
        <w:t xml:space="preserve">The fees (the </w:t>
      </w:r>
      <w:r>
        <w:rPr>
          <w:rStyle w:val="CharDefText"/>
        </w:rPr>
        <w:t>design review fees</w:t>
      </w:r>
      <w:r>
        <w:t xml:space="preserve">) are — </w:t>
      </w:r>
    </w:p>
    <w:p>
      <w:pPr>
        <w:pStyle w:val="Indenta"/>
      </w:pPr>
      <w:r>
        <w:tab/>
        <w:t>(a)</w:t>
      </w:r>
      <w:r>
        <w:tab/>
        <w:t xml:space="preserve">if the Commission advised the person by whom the fees are payable that the appropriate design reviewer is to be the State Design Review Panel — </w:t>
      </w:r>
    </w:p>
    <w:p>
      <w:pPr>
        <w:pStyle w:val="Indenti"/>
      </w:pPr>
      <w:r>
        <w:tab/>
        <w:t>(i)</w:t>
      </w:r>
      <w:r>
        <w:tab/>
        <w:t>$12 000; and</w:t>
      </w:r>
    </w:p>
    <w:p>
      <w:pPr>
        <w:pStyle w:val="Indenti"/>
        <w:rPr>
          <w:rStyle w:val="DraftersNotes"/>
          <w:b w:val="0"/>
          <w:i w:val="0"/>
          <w:sz w:val="24"/>
        </w:rPr>
      </w:pPr>
      <w:r>
        <w:tab/>
        <w:t>(ii)</w:t>
      </w:r>
      <w:r>
        <w:tab/>
        <w:t>if the number of design reviews is more than 3 — $6 000 per design review after the 3</w:t>
      </w:r>
      <w:r>
        <w:rPr>
          <w:vertAlign w:val="superscript"/>
        </w:rPr>
        <w:t>rd</w:t>
      </w:r>
      <w:r>
        <w:t> design review;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 xml:space="preserve">if the Commission advised the person by whom the fees are payable that the appropriate design reviewer is to be the Government Architect — </w:t>
      </w:r>
    </w:p>
    <w:p>
      <w:pPr>
        <w:pStyle w:val="Indenti"/>
      </w:pPr>
      <w:r>
        <w:tab/>
        <w:t>(i)</w:t>
      </w:r>
      <w:r>
        <w:tab/>
        <w:t>$5 000; and</w:t>
      </w:r>
    </w:p>
    <w:p>
      <w:pPr>
        <w:pStyle w:val="Indenti"/>
      </w:pPr>
      <w:r>
        <w:tab/>
        <w:t>(ii)</w:t>
      </w:r>
      <w:r>
        <w:tab/>
        <w:t>if the number of design reviews is more than 3 — $2 500 per design review after the 3</w:t>
      </w:r>
      <w:r>
        <w:rPr>
          <w:vertAlign w:val="superscript"/>
        </w:rPr>
        <w:t>rd</w:t>
      </w:r>
      <w:r>
        <w:t> design review.</w:t>
      </w:r>
    </w:p>
    <w:p>
      <w:pPr>
        <w:pStyle w:val="Subsection"/>
      </w:pPr>
      <w:r>
        <w:tab/>
        <w:t>(5)</w:t>
      </w:r>
      <w:r>
        <w:tab/>
        <w:t xml:space="preserve">However, if subclause (3)(a) and (b) apply in relation to the same significant development application — </w:t>
      </w:r>
    </w:p>
    <w:p>
      <w:pPr>
        <w:pStyle w:val="Indenta"/>
      </w:pPr>
      <w:r>
        <w:tab/>
        <w:t>(a)</w:t>
      </w:r>
      <w:r>
        <w:tab/>
        <w:t>the person by whom the design review fees are payable is liable for the fees only once in relation to the application; and</w:t>
      </w:r>
    </w:p>
    <w:p>
      <w:pPr>
        <w:pStyle w:val="Indenta"/>
      </w:pPr>
      <w:r>
        <w:lastRenderedPageBreak/>
        <w:tab/>
        <w:t>(b)</w:t>
      </w:r>
      <w:r>
        <w:tab/>
        <w:t>the design review fees are to be calculated based on the total number of design reviews of the development to which the application relates.</w:t>
      </w:r>
    </w:p>
    <w:p>
      <w:pPr>
        <w:pStyle w:val="Subsection"/>
      </w:pPr>
      <w:r>
        <w:tab/>
        <w:t>(6)</w:t>
      </w:r>
      <w:r>
        <w:tab/>
        <w:t xml:space="preserve">The design review fees are payable to the Commission by — </w:t>
      </w:r>
    </w:p>
    <w:p>
      <w:pPr>
        <w:pStyle w:val="Indenta"/>
      </w:pPr>
      <w:r>
        <w:tab/>
        <w:t>(a)</w:t>
      </w:r>
      <w:r>
        <w:tab/>
        <w:t>if subclause (3)(a) applies — the prospective applicant requesting the design review; or</w:t>
      </w:r>
    </w:p>
    <w:p>
      <w:pPr>
        <w:pStyle w:val="Indenta"/>
      </w:pPr>
      <w:r>
        <w:tab/>
        <w:t>(b)</w:t>
      </w:r>
      <w:r>
        <w:tab/>
        <w:t>if subclause (3)(b) applies — the applicant for the significant development application being considered by the Commission; or</w:t>
      </w:r>
    </w:p>
    <w:p>
      <w:pPr>
        <w:pStyle w:val="Indenta"/>
      </w:pPr>
      <w:r>
        <w:tab/>
        <w:t>(c)</w:t>
      </w:r>
      <w:r>
        <w:tab/>
        <w:t>if subclause (3)(c) applies — the applicant for the application to amend an approval.</w:t>
      </w:r>
    </w:p>
    <w:p>
      <w:pPr>
        <w:pStyle w:val="Heading5"/>
      </w:pPr>
      <w:bookmarkStart w:id="11" w:name="_Toc158979663"/>
      <w:bookmarkStart w:id="12" w:name="_Toc158979840"/>
      <w:r>
        <w:rPr>
          <w:rStyle w:val="CharSectno"/>
        </w:rPr>
        <w:t>5</w:t>
      </w:r>
      <w:r>
        <w:t>.</w:t>
      </w:r>
      <w:r>
        <w:tab/>
        <w:t>Reduced fees for particular entities</w:t>
      </w:r>
      <w:bookmarkEnd w:id="11"/>
      <w:bookmarkEnd w:id="12"/>
    </w:p>
    <w:p>
      <w:pPr>
        <w:pStyle w:val="Subsection"/>
      </w:pPr>
      <w:r>
        <w:tab/>
      </w:r>
      <w:r>
        <w:tab/>
        <w:t>A fee set under clause 4 is reduced by 50% if the fee is payable to the Commission by a registered community housing provider or a registered not</w:t>
      </w:r>
      <w:r>
        <w:noBreakHyphen/>
        <w:t>for</w:t>
      </w:r>
      <w:r>
        <w:noBreakHyphen/>
        <w:t>profit entity.</w:t>
      </w:r>
    </w:p>
    <w:p>
      <w:pPr>
        <w:pStyle w:val="Heading5"/>
      </w:pPr>
      <w:bookmarkStart w:id="13" w:name="_Toc158979664"/>
      <w:bookmarkStart w:id="14" w:name="_Toc158979841"/>
      <w:r>
        <w:rPr>
          <w:rStyle w:val="CharSectno"/>
        </w:rPr>
        <w:t>6</w:t>
      </w:r>
      <w:r>
        <w:t>.</w:t>
      </w:r>
      <w:r>
        <w:tab/>
        <w:t>Refund of fees if application withdrawn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This clause applies if an applicant withdraws any of the following applications — </w:t>
      </w:r>
    </w:p>
    <w:p>
      <w:pPr>
        <w:pStyle w:val="Indenta"/>
      </w:pPr>
      <w:r>
        <w:tab/>
        <w:t>(a)</w:t>
      </w:r>
      <w:r>
        <w:tab/>
        <w:t>a significant development application;</w:t>
      </w:r>
    </w:p>
    <w:p>
      <w:pPr>
        <w:pStyle w:val="Indenta"/>
      </w:pPr>
      <w:r>
        <w:tab/>
        <w:t>(b)</w:t>
      </w:r>
      <w:r>
        <w:tab/>
        <w:t>an application to amend an approval;</w:t>
      </w:r>
    </w:p>
    <w:p>
      <w:pPr>
        <w:pStyle w:val="Indenta"/>
      </w:pPr>
      <w:r>
        <w:tab/>
        <w:t>(c)</w:t>
      </w:r>
      <w:r>
        <w:tab/>
        <w:t>an application to cancel an approval.</w:t>
      </w:r>
    </w:p>
    <w:p>
      <w:pPr>
        <w:pStyle w:val="Subsection"/>
      </w:pPr>
      <w:r>
        <w:tab/>
        <w:t>(2)</w:t>
      </w:r>
      <w:r>
        <w:tab/>
        <w:t>If the applicant paid a fee set under clause 4(1) in respect of the application, the Commission may refund the fee (in whole or in part).</w:t>
      </w:r>
    </w:p>
    <w:p>
      <w:pPr>
        <w:pStyle w:val="Subsection"/>
      </w:pPr>
      <w:r>
        <w:tab/>
        <w:t>(3)</w:t>
      </w:r>
      <w:r>
        <w:tab/>
        <w:t xml:space="preserve">If the applicant paid the design review fee set under clause 4(4)(a)(i) or (b)(i) for up to 3 design reviews of the development to which the application relates — </w:t>
      </w:r>
    </w:p>
    <w:p>
      <w:pPr>
        <w:pStyle w:val="Indenta"/>
      </w:pPr>
      <w:r>
        <w:tab/>
        <w:t>(a)</w:t>
      </w:r>
      <w:r>
        <w:tab/>
        <w:t>the Commission must refund the fee if the Commission is satisfied that none of the design reviews were started before the application was withdrawn; or</w:t>
      </w:r>
    </w:p>
    <w:p>
      <w:pPr>
        <w:pStyle w:val="Indenta"/>
      </w:pPr>
      <w:r>
        <w:lastRenderedPageBreak/>
        <w:tab/>
        <w:t>(b)</w:t>
      </w:r>
      <w:r>
        <w:tab/>
        <w:t xml:space="preserve">the Commission may refund the fee (in whole or in part) if the Commission is satisfied that — </w:t>
      </w:r>
    </w:p>
    <w:p>
      <w:pPr>
        <w:pStyle w:val="Indenti"/>
      </w:pPr>
      <w:r>
        <w:tab/>
        <w:t>(i)</w:t>
      </w:r>
      <w:r>
        <w:tab/>
        <w:t>a design review was started before the application was withdrawn; and</w:t>
      </w:r>
    </w:p>
    <w:p>
      <w:pPr>
        <w:pStyle w:val="Indenti"/>
      </w:pPr>
      <w:r>
        <w:tab/>
        <w:t>(ii)</w:t>
      </w:r>
      <w:r>
        <w:tab/>
        <w:t>none of the design reviews were completed before the application was withdrawn.</w:t>
      </w:r>
    </w:p>
    <w:p>
      <w:pPr>
        <w:pStyle w:val="Subsection"/>
      </w:pPr>
      <w:r>
        <w:tab/>
        <w:t>(4)</w:t>
      </w:r>
      <w:r>
        <w:tab/>
        <w:t xml:space="preserve">If the applicant paid the design review fee set under clause 4(4)(a)(ii) or (b)(ii) for a design review of the development to which the application relates — </w:t>
      </w:r>
    </w:p>
    <w:p>
      <w:pPr>
        <w:pStyle w:val="Indenta"/>
      </w:pPr>
      <w:r>
        <w:tab/>
        <w:t>(a)</w:t>
      </w:r>
      <w:r>
        <w:tab/>
        <w:t>the Commission must refund the fee if the Commission is satisfied that the design review was not started before the application was withdrawn; or</w:t>
      </w:r>
    </w:p>
    <w:p>
      <w:pPr>
        <w:pStyle w:val="Indenta"/>
      </w:pPr>
      <w:r>
        <w:tab/>
        <w:t>(b)</w:t>
      </w:r>
      <w:r>
        <w:tab/>
        <w:t>the Commission may refund the fee (in whole or in part) if the Commission is satisfied that —</w:t>
      </w:r>
    </w:p>
    <w:p>
      <w:pPr>
        <w:pStyle w:val="Indenti"/>
      </w:pPr>
      <w:r>
        <w:tab/>
        <w:t>(i)</w:t>
      </w:r>
      <w:r>
        <w:tab/>
        <w:t>the design review was started before the application was withdrawn; and</w:t>
      </w:r>
    </w:p>
    <w:p>
      <w:pPr>
        <w:pStyle w:val="Indenti"/>
      </w:pPr>
      <w:r>
        <w:tab/>
        <w:t>(ii)</w:t>
      </w:r>
      <w:r>
        <w:tab/>
        <w:t>the design review was not completed before the application was withdrawn.</w:t>
      </w:r>
    </w:p>
    <w:p>
      <w:pPr>
        <w:pStyle w:val="Heading5"/>
      </w:pPr>
      <w:bookmarkStart w:id="15" w:name="_Toc158979665"/>
      <w:bookmarkStart w:id="16" w:name="_Toc158979842"/>
      <w:r>
        <w:rPr>
          <w:rStyle w:val="CharSectno"/>
        </w:rPr>
        <w:t>7</w:t>
      </w:r>
      <w:r>
        <w:t>.</w:t>
      </w:r>
      <w:r>
        <w:tab/>
        <w:t>Refund of fees if design review not conducted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This clause applies to each of the following applications — </w:t>
      </w:r>
    </w:p>
    <w:p>
      <w:pPr>
        <w:pStyle w:val="Indenta"/>
      </w:pPr>
      <w:r>
        <w:tab/>
        <w:t>(a)</w:t>
      </w:r>
      <w:r>
        <w:tab/>
        <w:t>a significant development application;</w:t>
      </w:r>
    </w:p>
    <w:p>
      <w:pPr>
        <w:pStyle w:val="Indenta"/>
      </w:pPr>
      <w:r>
        <w:tab/>
        <w:t>(b)</w:t>
      </w:r>
      <w:r>
        <w:tab/>
        <w:t>an application to amend an approval.</w:t>
      </w:r>
    </w:p>
    <w:p>
      <w:pPr>
        <w:pStyle w:val="Subsection"/>
      </w:pPr>
      <w:r>
        <w:tab/>
        <w:t>(2)</w:t>
      </w:r>
      <w:r>
        <w:tab/>
        <w:t xml:space="preserve">If the applicant paid the design review fee set under clause 4(4)(a)(i) or (b)(i) for up to 3 design reviews of the development to which the application relates, the Commission must refund the fee if the Commission is satisfied that — </w:t>
      </w:r>
    </w:p>
    <w:p>
      <w:pPr>
        <w:pStyle w:val="Indenta"/>
      </w:pPr>
      <w:r>
        <w:tab/>
        <w:t>(a)</w:t>
      </w:r>
      <w:r>
        <w:tab/>
        <w:t>none of the design reviews will be conducted; or</w:t>
      </w:r>
    </w:p>
    <w:p>
      <w:pPr>
        <w:pStyle w:val="Indenta"/>
      </w:pPr>
      <w:r>
        <w:tab/>
        <w:t>(b)</w:t>
      </w:r>
      <w:r>
        <w:tab/>
        <w:t>none of the design reviews were conducted by the time the application was determined.</w:t>
      </w:r>
    </w:p>
    <w:p>
      <w:pPr>
        <w:pStyle w:val="Subsection"/>
        <w:keepNext/>
        <w:keepLines/>
      </w:pPr>
      <w:r>
        <w:lastRenderedPageBreak/>
        <w:tab/>
        <w:t>(3)</w:t>
      </w:r>
      <w:r>
        <w:tab/>
        <w:t xml:space="preserve">If the applicant paid the design review fee set under clause 4(4)(a)(ii) or (b)(ii) for a design review of the development to which the application relates, the Commission must refund the fee if the Commission is satisfied that — </w:t>
      </w:r>
    </w:p>
    <w:p>
      <w:pPr>
        <w:pStyle w:val="Indenta"/>
      </w:pPr>
      <w:r>
        <w:tab/>
        <w:t>(a)</w:t>
      </w:r>
      <w:r>
        <w:tab/>
        <w:t>the design review will not be conducted; or</w:t>
      </w:r>
    </w:p>
    <w:p>
      <w:pPr>
        <w:pStyle w:val="Indenta"/>
      </w:pPr>
      <w:r>
        <w:tab/>
        <w:t>(b)</w:t>
      </w:r>
      <w:r>
        <w:tab/>
        <w:t>the design review was not conducted by the time the application was determined.</w:t>
      </w:r>
    </w:p>
    <w:p>
      <w:pPr>
        <w:pStyle w:val="Subsection"/>
      </w:pPr>
      <w:r>
        <w:tab/>
        <w:t>(4)</w:t>
      </w:r>
      <w:r>
        <w:tab/>
        <w:t>This clause does not apply if the applicant withdraws the application.</w:t>
      </w:r>
    </w:p>
    <w:p>
      <w:pPr>
        <w:pStyle w:val="Subsection"/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pgNumType w:start="1"/>
          <w:cols w:space="720"/>
          <w:titlePg/>
          <w:docGrid w:linePitch="326"/>
        </w:sectPr>
      </w:pPr>
    </w:p>
    <w:p>
      <w:pPr>
        <w:pStyle w:val="Subsection"/>
      </w:pPr>
    </w:p>
    <w:p>
      <w:pPr>
        <w:pStyle w:val="yScheduleHeading"/>
        <w:outlineLvl w:val="0"/>
      </w:pPr>
      <w:bookmarkStart w:id="18" w:name="_Toc158979666"/>
      <w:bookmarkStart w:id="19" w:name="_Toc15897984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8"/>
      <w:bookmarkEnd w:id="19"/>
    </w:p>
    <w:p>
      <w:pPr>
        <w:pStyle w:val="yShoulderClause"/>
      </w:pPr>
      <w:r>
        <w:t>[cl. 4]</w:t>
      </w:r>
    </w:p>
    <w:tbl>
      <w:tblPr>
        <w:tblW w:w="6271" w:type="dxa"/>
        <w:tblInd w:w="4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35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ind w:left="34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yTableNAm"/>
              <w:ind w:left="34"/>
              <w:rPr>
                <w:rStyle w:val="DraftersNotes"/>
                <w:b w:val="0"/>
                <w:i w:val="0"/>
                <w:sz w:val="22"/>
              </w:rPr>
            </w:pPr>
            <w:r>
              <w:t>Significant development application for which the estimated cost of the development is —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tabs>
                <w:tab w:val="clear" w:pos="567"/>
              </w:tabs>
              <w:ind w:right="507"/>
              <w:jc w:val="right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(a)</w:t>
            </w:r>
            <w:r>
              <w:tab/>
              <w:t>less than $2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$10 787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(b)</w:t>
            </w:r>
            <w:r>
              <w:tab/>
              <w:t>not less than $2 million but less than $5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$16 440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(c)</w:t>
            </w:r>
            <w:r>
              <w:tab/>
              <w:t>not less than $5 million but less than $10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$25 057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(d)</w:t>
            </w:r>
            <w:r>
              <w:tab/>
              <w:t>not less than $10 million but less than $15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$35 288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(e)</w:t>
            </w:r>
            <w:r>
              <w:tab/>
              <w:t>not less than $15 million but less than $20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$41 608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(f)</w:t>
            </w:r>
            <w:r>
              <w:tab/>
              <w:t>not less than $20 million but less than $50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$45 911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969" w:type="dxa"/>
          </w:tcPr>
          <w:p>
            <w:pPr>
              <w:pStyle w:val="yTableNAm"/>
              <w:tabs>
                <w:tab w:val="clear" w:pos="567"/>
                <w:tab w:val="left" w:pos="601"/>
              </w:tabs>
              <w:ind w:left="601" w:hanging="567"/>
            </w:pPr>
            <w:r>
              <w:t>(g)</w:t>
            </w:r>
            <w:r>
              <w:tab/>
              <w:t>not less than $50 million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$67 690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969" w:type="dxa"/>
          </w:tcPr>
          <w:p>
            <w:pPr>
              <w:pStyle w:val="yTableNAm"/>
              <w:ind w:left="34"/>
            </w:pPr>
            <w:r>
              <w:t>Application to amend an approval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$303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969" w:type="dxa"/>
          </w:tcPr>
          <w:p>
            <w:pPr>
              <w:pStyle w:val="yTableNAm"/>
              <w:ind w:left="34"/>
            </w:pPr>
            <w:r>
              <w:t>Application to cancel an approval</w:t>
            </w:r>
          </w:p>
        </w:tc>
        <w:tc>
          <w:tcPr>
            <w:tcW w:w="1735" w:type="dxa"/>
            <w:vAlign w:val="bottom"/>
          </w:tcPr>
          <w:p>
            <w:pPr>
              <w:pStyle w:val="yTableNAm"/>
              <w:tabs>
                <w:tab w:val="clear" w:pos="567"/>
              </w:tabs>
              <w:ind w:right="795"/>
              <w:jc w:val="right"/>
            </w:pPr>
            <w:r>
              <w:t>$303</w:t>
            </w:r>
          </w:p>
        </w:tc>
      </w:tr>
    </w:tbl>
    <w:p>
      <w:pPr>
        <w:pStyle w:val="ByCommand"/>
        <w:tabs>
          <w:tab w:val="left" w:pos="3969"/>
        </w:tabs>
      </w:pPr>
      <w:r>
        <w:t>J. CAREY, Minister for Planning</w:t>
      </w:r>
    </w:p>
    <w:p>
      <w:pPr>
        <w:sectPr>
          <w:headerReference w:type="default" r:id="rId23"/>
          <w:type w:val="continuous"/>
          <w:pgSz w:w="11907" w:h="16840" w:code="9"/>
          <w:pgMar w:top="2381" w:right="2410" w:bottom="3544" w:left="2410" w:header="720" w:footer="3544" w:gutter="0"/>
          <w:cols w:space="720"/>
          <w:titlePg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lastRenderedPageBreak/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application to amend an approval</w:t>
      </w:r>
      <w:r>
        <w:tab/>
        <w:t>3(1)</w:t>
      </w:r>
    </w:p>
    <w:p>
      <w:pPr>
        <w:pStyle w:val="DefinedTerms"/>
      </w:pPr>
      <w:r>
        <w:t>application to cancel an approval</w:t>
      </w:r>
      <w:r>
        <w:tab/>
        <w:t>3(1)</w:t>
      </w:r>
    </w:p>
    <w:p>
      <w:pPr>
        <w:pStyle w:val="DefinedTerms"/>
      </w:pPr>
      <w:r>
        <w:t>appropriate design reviewer</w:t>
      </w:r>
      <w:r>
        <w:tab/>
        <w:t>3(1)</w:t>
      </w:r>
    </w:p>
    <w:p>
      <w:pPr>
        <w:pStyle w:val="DefinedTerms"/>
      </w:pPr>
      <w:r>
        <w:t>design review fees</w:t>
      </w:r>
      <w:r>
        <w:tab/>
        <w:t>3(1), 4(4)</w:t>
      </w:r>
    </w:p>
    <w:p>
      <w:pPr>
        <w:pStyle w:val="DefinedTerms"/>
      </w:pPr>
      <w:r>
        <w:t>Government Architect</w:t>
      </w:r>
      <w:r>
        <w:tab/>
        <w:t>3(1)</w:t>
      </w:r>
    </w:p>
    <w:p>
      <w:pPr>
        <w:pStyle w:val="DefinedTerms"/>
      </w:pPr>
      <w:r>
        <w:t>registered community housing provider</w:t>
      </w:r>
      <w:r>
        <w:tab/>
        <w:t>3(1)</w:t>
      </w:r>
    </w:p>
    <w:p>
      <w:pPr>
        <w:pStyle w:val="DefinedTerms"/>
      </w:pPr>
      <w:r>
        <w:t>registered not-for-profit entity</w:t>
      </w:r>
      <w:r>
        <w:tab/>
        <w:t>3(1)</w:t>
      </w:r>
    </w:p>
    <w:p>
      <w:pPr>
        <w:pStyle w:val="DefinedTerms"/>
      </w:pPr>
      <w:r>
        <w:t>State Design Review Panel</w:t>
      </w:r>
      <w:r>
        <w:tab/>
        <w:t>3(1)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5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N8udj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cl. 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cl. 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(Part 11B Fees) Notice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6124026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050850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05085017_GUID" w:val="d386522a-f196-4e18-81b1-1a0f087a0126"/>
    <w:docVar w:name="WAFER_202402051218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5121826_GUID" w:val="a2a5296e-a162-49cb-aa7e-41e65f82e642"/>
    <w:docVar w:name="WAFER_202402071408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7140840_GUID" w:val="e861501d-ce73-4c94-a643-172c4172646c"/>
    <w:docVar w:name="WAFER_202402161240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6124026_GUID" w:val="1dc09ee0-d498-412a-8874-14a0d9d569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C223ED2F-65C1-4792-B98D-920EC88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B631-73FA-4087-B03E-E64E38B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1529</Words>
  <Characters>7677</Characters>
  <Application>Microsoft Office Word</Application>
  <DocSecurity>0</DocSecurity>
  <Lines>255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(Part 11B Fees) Notice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2024-02-20T06:07:00Z</dcterms:created>
  <dcterms:modified xsi:type="dcterms:W3CDTF">2024-02-20T06:07:00Z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54647</vt:lpwstr>
  </property>
  <property fmtid="{D5CDD505-2E9C-101B-9397-08002B2CF9AE}" pid="3" name="DocumentType">
    <vt:lpwstr>Reg</vt:lpwstr>
  </property>
  <property fmtid="{D5CDD505-2E9C-101B-9397-08002B2CF9AE}" pid="4" name="AsAtDate">
    <vt:lpwstr>21 Feb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2024/28</vt:lpwstr>
  </property>
  <property fmtid="{D5CDD505-2E9C-101B-9397-08002B2CF9AE}" pid="8" name="PublishDate">
    <vt:lpwstr>21 Feb 2024</vt:lpwstr>
  </property>
  <property fmtid="{D5CDD505-2E9C-101B-9397-08002B2CF9AE}" pid="9" name="CommencementDate">
    <vt:lpwstr>20240221</vt:lpwstr>
  </property>
  <property fmtid="{D5CDD505-2E9C-101B-9397-08002B2CF9AE}" pid="10" name="CommencementAsAt">
    <vt:filetime>2024-02-20T16:00:00Z</vt:filetime>
  </property>
  <property fmtid="{D5CDD505-2E9C-101B-9397-08002B2CF9AE}" pid="11" name="CommencementYear">
    <vt:lpwstr>2024</vt:lpwstr>
  </property>
</Properties>
</file>