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_Toc158988401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_Toc158988402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_Toc158988403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_Toc158988405 \h </w:instrText>
      </w:r>
      <w:r>
        <w:fldChar w:fldCharType="separate"/>
      </w:r>
      <w:r>
        <w:t>1</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_Toc158988406 \h </w:instrText>
      </w:r>
      <w:r>
        <w:fldChar w:fldCharType="separate"/>
      </w:r>
      <w:r>
        <w:t>1</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_Toc158988407 \h </w:instrText>
      </w:r>
      <w:r>
        <w:fldChar w:fldCharType="separate"/>
      </w:r>
      <w:r>
        <w:t>1</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_Toc158988408 \h </w:instrText>
      </w:r>
      <w:r>
        <w:fldChar w:fldCharType="separate"/>
      </w:r>
      <w:r>
        <w:t>1</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_Toc158988409 \h </w:instrText>
      </w:r>
      <w:r>
        <w:fldChar w:fldCharType="separate"/>
      </w:r>
      <w:r>
        <w:t>1</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_Toc158988410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_Toc158988412 \h </w:instrText>
      </w:r>
      <w:r>
        <w:fldChar w:fldCharType="separate"/>
      </w:r>
      <w:r>
        <w:t>1</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_Toc158988413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_Toc158988414 \h </w:instrText>
      </w:r>
      <w:r>
        <w:fldChar w:fldCharType="separate"/>
      </w:r>
      <w:r>
        <w:t>1</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_Toc158988415 \h </w:instrText>
      </w:r>
      <w:r>
        <w:fldChar w:fldCharType="separate"/>
      </w:r>
      <w:r>
        <w:t>1</w:t>
      </w:r>
      <w:r>
        <w:fldChar w:fldCharType="end"/>
      </w:r>
    </w:p>
    <w:p>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_Toc158988416 \h </w:instrText>
      </w:r>
      <w:r>
        <w:fldChar w:fldCharType="separate"/>
      </w:r>
      <w:r>
        <w:t>1</w:t>
      </w:r>
      <w:r>
        <w:fldChar w:fldCharType="end"/>
      </w:r>
    </w:p>
    <w:p>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_Toc158988417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_Toc158988419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lastRenderedPageBreak/>
        <w:t>15.</w:t>
      </w:r>
      <w:r>
        <w:rPr>
          <w:color w:val="000000"/>
        </w:rPr>
        <w:tab/>
        <w:t>Approvals — tests and training courses for drivers</w:t>
      </w:r>
      <w:r>
        <w:tab/>
      </w:r>
      <w:r>
        <w:fldChar w:fldCharType="begin"/>
      </w:r>
      <w:r>
        <w:instrText xml:space="preserve"> PAGEREF _Toc158988420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_Toc158988422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_Toc158988424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_Toc158988425 \h </w:instrText>
      </w:r>
      <w:r>
        <w:fldChar w:fldCharType="separate"/>
      </w:r>
      <w:r>
        <w:t>1</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_Toc158988426 \h </w:instrText>
      </w:r>
      <w:r>
        <w:fldChar w:fldCharType="separate"/>
      </w:r>
      <w:r>
        <w:t>1</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_Toc158988427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_Toc158988428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_Toc158988429 \h </w:instrText>
      </w:r>
      <w:r>
        <w:fldChar w:fldCharType="separate"/>
      </w:r>
      <w:r>
        <w:t>1</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_Toc158988430 \h </w:instrText>
      </w:r>
      <w:r>
        <w:fldChar w:fldCharType="separate"/>
      </w:r>
      <w:r>
        <w:t>1</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_Toc158988431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_Toc158988433 \h </w:instrText>
      </w:r>
      <w:r>
        <w:fldChar w:fldCharType="separate"/>
      </w:r>
      <w:r>
        <w:t>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_Toc158988434 \h </w:instrText>
      </w:r>
      <w:r>
        <w:fldChar w:fldCharType="separate"/>
      </w:r>
      <w:r>
        <w:t>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_Toc158988435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_Toc158988438 \h </w:instrText>
      </w:r>
      <w:r>
        <w:fldChar w:fldCharType="separate"/>
      </w:r>
      <w:r>
        <w:t>1</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_Toc158988439 \h </w:instrText>
      </w:r>
      <w:r>
        <w:fldChar w:fldCharType="separate"/>
      </w:r>
      <w:r>
        <w:t>1</w:t>
      </w:r>
      <w:r>
        <w:fldChar w:fldCharType="end"/>
      </w:r>
    </w:p>
    <w:p>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_Toc158988440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_Toc158988441 \h </w:instrText>
      </w:r>
      <w:r>
        <w:fldChar w:fldCharType="separate"/>
      </w:r>
      <w:r>
        <w:t>1</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_Toc158988442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Meaning of bulk container</w:t>
      </w:r>
      <w:r>
        <w:tab/>
      </w:r>
      <w:r>
        <w:fldChar w:fldCharType="begin"/>
      </w:r>
      <w:r>
        <w:instrText xml:space="preserve"> PAGEREF _Toc158988444 \h </w:instrText>
      </w:r>
      <w:r>
        <w:fldChar w:fldCharType="separate"/>
      </w:r>
      <w:r>
        <w:t>1</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_Toc158988445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_Toc158988446 \h </w:instrText>
      </w:r>
      <w:r>
        <w:fldChar w:fldCharType="separate"/>
      </w:r>
      <w:r>
        <w:t>1</w:t>
      </w:r>
      <w:r>
        <w:fldChar w:fldCharType="end"/>
      </w:r>
    </w:p>
    <w:p>
      <w:pPr>
        <w:pStyle w:val="TOC8"/>
        <w:rPr>
          <w:rFonts w:asciiTheme="minorHAnsi" w:eastAsiaTheme="minorEastAsia" w:hAnsiTheme="minorHAnsi" w:cstheme="minorBidi"/>
          <w:szCs w:val="22"/>
        </w:rPr>
      </w:pPr>
      <w:r>
        <w:t>36.</w:t>
      </w:r>
      <w:r>
        <w:tab/>
        <w:t>References to tank</w:t>
      </w:r>
      <w:r>
        <w:tab/>
      </w:r>
      <w:r>
        <w:fldChar w:fldCharType="begin"/>
      </w:r>
      <w:r>
        <w:instrText xml:space="preserve"> PAGEREF _Toc158988447 \h </w:instrText>
      </w:r>
      <w:r>
        <w:fldChar w:fldCharType="separate"/>
      </w:r>
      <w:r>
        <w:t>1</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_Toc158988448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_Toc158988450 \h </w:instrText>
      </w:r>
      <w:r>
        <w:fldChar w:fldCharType="separate"/>
      </w:r>
      <w:r>
        <w:t>1</w:t>
      </w:r>
      <w:r>
        <w:fldChar w:fldCharType="end"/>
      </w:r>
    </w:p>
    <w:p>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_Toc158988451 \h </w:instrText>
      </w:r>
      <w:r>
        <w:fldChar w:fldCharType="separate"/>
      </w:r>
      <w:r>
        <w:t>1</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_Toc158988452 \h </w:instrText>
      </w:r>
      <w:r>
        <w:fldChar w:fldCharType="separate"/>
      </w:r>
      <w:r>
        <w:t>1</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_Toc158988453 \h </w:instrText>
      </w:r>
      <w:r>
        <w:fldChar w:fldCharType="separate"/>
      </w:r>
      <w:r>
        <w:t>1</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_Toc158988454 \h </w:instrText>
      </w:r>
      <w:r>
        <w:fldChar w:fldCharType="separate"/>
      </w:r>
      <w:r>
        <w:t>1</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_Toc158988455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_Toc158988457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_Toc158988459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_Toc158988460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_Toc158988461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_Toc158988462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_Toc158988463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_Toc158988464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r>
      <w:r>
        <w:rPr>
          <w:color w:val="000000"/>
        </w:rPr>
        <w:t>Application of Part</w:t>
      </w:r>
      <w:r>
        <w:tab/>
      </w:r>
      <w:r>
        <w:fldChar w:fldCharType="begin"/>
      </w:r>
      <w:r>
        <w:instrText xml:space="preserve"> PAGEREF _Toc158988467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_Toc158988468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_Toc158988470 \h </w:instrText>
      </w:r>
      <w:r>
        <w:fldChar w:fldCharType="separate"/>
      </w:r>
      <w:r>
        <w:t>1</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_Toc158988471 \h </w:instrText>
      </w:r>
      <w:r>
        <w:fldChar w:fldCharType="separate"/>
      </w:r>
      <w:r>
        <w:t>1</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_Toc158988472 \h </w:instrText>
      </w:r>
      <w:r>
        <w:fldChar w:fldCharType="separate"/>
      </w:r>
      <w:r>
        <w:t>1</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_Toc158988473 \h </w:instrText>
      </w:r>
      <w:r>
        <w:fldChar w:fldCharType="separate"/>
      </w:r>
      <w:r>
        <w:t>1</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_Toc158988474 \h </w:instrText>
      </w:r>
      <w:r>
        <w:fldChar w:fldCharType="separate"/>
      </w:r>
      <w:r>
        <w:t>1</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_Toc158988475 \h </w:instrText>
      </w:r>
      <w:r>
        <w:fldChar w:fldCharType="separate"/>
      </w:r>
      <w:r>
        <w:t>1</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_Toc158988476 \h </w:instrText>
      </w:r>
      <w:r>
        <w:fldChar w:fldCharType="separate"/>
      </w:r>
      <w:r>
        <w:t>1</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_Toc158988477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_Toc158988479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_Toc158988481 \h </w:instrText>
      </w:r>
      <w:r>
        <w:fldChar w:fldCharType="separate"/>
      </w:r>
      <w:r>
        <w:t>1</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_Toc158988482 \h </w:instrText>
      </w:r>
      <w:r>
        <w:fldChar w:fldCharType="separate"/>
      </w:r>
      <w:r>
        <w:t>1</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_Toc158988483 \h </w:instrText>
      </w:r>
      <w:r>
        <w:fldChar w:fldCharType="separate"/>
      </w:r>
      <w:r>
        <w:t>1</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_Toc158988484 \h </w:instrText>
      </w:r>
      <w:r>
        <w:fldChar w:fldCharType="separate"/>
      </w:r>
      <w:r>
        <w:t>1</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_Toc158988485 \h </w:instrText>
      </w:r>
      <w:r>
        <w:fldChar w:fldCharType="separate"/>
      </w:r>
      <w:r>
        <w:t>1</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_Toc158988486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_Toc158988488 \h </w:instrText>
      </w:r>
      <w:r>
        <w:fldChar w:fldCharType="separate"/>
      </w:r>
      <w:r>
        <w:t>1</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_Toc158988489 \h </w:instrText>
      </w:r>
      <w:r>
        <w:fldChar w:fldCharType="separate"/>
      </w:r>
      <w:r>
        <w:t>1</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_Toc158988490 \h </w:instrText>
      </w:r>
      <w:r>
        <w:fldChar w:fldCharType="separate"/>
      </w:r>
      <w:r>
        <w:t>1</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_Toc158988491 \h </w:instrText>
      </w:r>
      <w:r>
        <w:fldChar w:fldCharType="separate"/>
      </w:r>
      <w:r>
        <w:t>1</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_Toc158988492 \h </w:instrText>
      </w:r>
      <w:r>
        <w:fldChar w:fldCharType="separate"/>
      </w:r>
      <w:r>
        <w:t>1</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_Toc158988493 \h </w:instrText>
      </w:r>
      <w:r>
        <w:fldChar w:fldCharType="separate"/>
      </w:r>
      <w:r>
        <w:t>1</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_Toc158988494 \h </w:instrText>
      </w:r>
      <w:r>
        <w:fldChar w:fldCharType="separate"/>
      </w:r>
      <w:r>
        <w:t>1</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_Toc158988495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_Toc158988497 \h </w:instrText>
      </w:r>
      <w:r>
        <w:fldChar w:fldCharType="separate"/>
      </w:r>
      <w:r>
        <w:t>1</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_Toc158988498 \h </w:instrText>
      </w:r>
      <w:r>
        <w:fldChar w:fldCharType="separate"/>
      </w:r>
      <w:r>
        <w:t>1</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_Toc158988499 \h </w:instrText>
      </w:r>
      <w:r>
        <w:fldChar w:fldCharType="separate"/>
      </w:r>
      <w:r>
        <w:t>1</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_Toc158988500 \h </w:instrText>
      </w:r>
      <w:r>
        <w:fldChar w:fldCharType="separate"/>
      </w:r>
      <w:r>
        <w:t>1</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_Toc158988501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_Toc158988504 \h </w:instrText>
      </w:r>
      <w:r>
        <w:fldChar w:fldCharType="separate"/>
      </w:r>
      <w:r>
        <w:t>1</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_Toc158988505 \h </w:instrText>
      </w:r>
      <w:r>
        <w:fldChar w:fldCharType="separate"/>
      </w:r>
      <w:r>
        <w:t>1</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_Toc158988506 \h </w:instrText>
      </w:r>
      <w:r>
        <w:fldChar w:fldCharType="separate"/>
      </w:r>
      <w:r>
        <w:t>1</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_Toc158988507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109A</w:t>
      </w:r>
      <w:r>
        <w:t>.</w:t>
      </w:r>
      <w:r>
        <w:tab/>
        <w:t>Further duties if dangerous goods transported in portable tank or by tank vehicle</w:t>
      </w:r>
      <w:r>
        <w:tab/>
      </w:r>
      <w:r>
        <w:fldChar w:fldCharType="begin"/>
      </w:r>
      <w:r>
        <w:instrText xml:space="preserve"> PAGEREF _Toc158988508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_Toc158988510 \h </w:instrText>
      </w:r>
      <w:r>
        <w:fldChar w:fldCharType="separate"/>
      </w:r>
      <w:r>
        <w:t>1</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_Toc158988511 \h </w:instrText>
      </w:r>
      <w:r>
        <w:fldChar w:fldCharType="separate"/>
      </w:r>
      <w:r>
        <w:t>1</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_Toc158988512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_Toc158988513 \h </w:instrText>
      </w:r>
      <w:r>
        <w:fldChar w:fldCharType="separate"/>
      </w:r>
      <w:r>
        <w:t>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_Toc158988514 \h </w:instrText>
      </w:r>
      <w:r>
        <w:fldChar w:fldCharType="separate"/>
      </w:r>
      <w:r>
        <w:t>1</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_Toc158988515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_Toc158988517 \h </w:instrText>
      </w:r>
      <w:r>
        <w:fldChar w:fldCharType="separate"/>
      </w:r>
      <w:r>
        <w:t>1</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_Toc158988518 \h </w:instrText>
      </w:r>
      <w:r>
        <w:fldChar w:fldCharType="separate"/>
      </w:r>
      <w:r>
        <w:t>1</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_Toc158988519 \h </w:instrText>
      </w:r>
      <w:r>
        <w:fldChar w:fldCharType="separate"/>
      </w:r>
      <w:r>
        <w:t>1</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_Toc158988520 \h </w:instrText>
      </w:r>
      <w:r>
        <w:fldChar w:fldCharType="separate"/>
      </w:r>
      <w:r>
        <w:t>1</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_Toc158988521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_Toc158988523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_Toc158988524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_Toc158988525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_Toc158988526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_Toc158988527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_Toc158988528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_Toc158988530 \h </w:instrText>
      </w:r>
      <w:r>
        <w:fldChar w:fldCharType="separate"/>
      </w:r>
      <w:r>
        <w:t>1</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_Toc158988531 \h </w:instrText>
      </w:r>
      <w:r>
        <w:fldChar w:fldCharType="separate"/>
      </w:r>
      <w:r>
        <w:t>1</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_Toc158988532 \h </w:instrText>
      </w:r>
      <w:r>
        <w:fldChar w:fldCharType="separate"/>
      </w:r>
      <w:r>
        <w:t>1</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_Toc158988533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_Toc158988535 \h </w:instrText>
      </w:r>
      <w:r>
        <w:fldChar w:fldCharType="separate"/>
      </w:r>
      <w:r>
        <w:t>1</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_Toc158988536 \h </w:instrText>
      </w:r>
      <w:r>
        <w:fldChar w:fldCharType="separate"/>
      </w:r>
      <w:r>
        <w:t>1</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_Toc158988537 \h </w:instrText>
      </w:r>
      <w:r>
        <w:fldChar w:fldCharType="separate"/>
      </w:r>
      <w:r>
        <w:t>1</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_Toc158988538 \h </w:instrText>
      </w:r>
      <w:r>
        <w:fldChar w:fldCharType="separate"/>
      </w:r>
      <w:r>
        <w:t>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_Toc158988539 \h </w:instrText>
      </w:r>
      <w:r>
        <w:fldChar w:fldCharType="separate"/>
      </w:r>
      <w:r>
        <w:t>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_Toc158988540 \h </w:instrText>
      </w:r>
      <w:r>
        <w:fldChar w:fldCharType="separate"/>
      </w:r>
      <w:r>
        <w:t>1</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_Toc158988541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_Toc158988542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lastRenderedPageBreak/>
        <w:t>138.</w:t>
      </w:r>
      <w:r>
        <w:rPr>
          <w:color w:val="000000"/>
        </w:rPr>
        <w:tab/>
        <w:t>Approvals — methods of segregation</w:t>
      </w:r>
      <w:r>
        <w:tab/>
      </w:r>
      <w:r>
        <w:fldChar w:fldCharType="begin"/>
      </w:r>
      <w:r>
        <w:instrText xml:space="preserve"> PAGEREF _Toc158988543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_Toc158988546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_Toc158988548 \h </w:instrText>
      </w:r>
      <w:r>
        <w:fldChar w:fldCharType="separate"/>
      </w:r>
      <w:r>
        <w:t>1</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_Toc158988549 \h </w:instrText>
      </w:r>
      <w:r>
        <w:fldChar w:fldCharType="separate"/>
      </w:r>
      <w:r>
        <w:t>1</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_Toc158988550 \h </w:instrText>
      </w:r>
      <w:r>
        <w:fldChar w:fldCharType="separate"/>
      </w:r>
      <w:r>
        <w:t>1</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_Toc158988551 \h </w:instrText>
      </w:r>
      <w:r>
        <w:fldChar w:fldCharType="separate"/>
      </w:r>
      <w:r>
        <w:t>1</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_Toc158988552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_Toc158988554 \h </w:instrText>
      </w:r>
      <w:r>
        <w:fldChar w:fldCharType="separate"/>
      </w:r>
      <w:r>
        <w:t>1</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_Toc158988555 \h </w:instrText>
      </w:r>
      <w:r>
        <w:fldChar w:fldCharType="separate"/>
      </w:r>
      <w:r>
        <w:t>1</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_Toc158988556 \h </w:instrText>
      </w:r>
      <w:r>
        <w:fldChar w:fldCharType="separate"/>
      </w:r>
      <w:r>
        <w:t>1</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_Toc158988557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_Toc158988560 \h </w:instrText>
      </w:r>
      <w:r>
        <w:fldChar w:fldCharType="separate"/>
      </w:r>
      <w:r>
        <w:t>1</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_Toc158988561 \h </w:instrText>
      </w:r>
      <w:r>
        <w:fldChar w:fldCharType="separate"/>
      </w:r>
      <w:r>
        <w:t>1</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_Toc158988562 \h </w:instrText>
      </w:r>
      <w:r>
        <w:fldChar w:fldCharType="separate"/>
      </w:r>
      <w:r>
        <w:t>1</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_Toc158988563 \h </w:instrText>
      </w:r>
      <w:r>
        <w:fldChar w:fldCharType="separate"/>
      </w:r>
      <w:r>
        <w:t>1</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_Toc158988564 \h </w:instrText>
      </w:r>
      <w:r>
        <w:fldChar w:fldCharType="separate"/>
      </w:r>
      <w:r>
        <w:t>1</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_Toc158988565 \h </w:instrText>
      </w:r>
      <w:r>
        <w:fldChar w:fldCharType="separate"/>
      </w:r>
      <w:r>
        <w:t>1</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_Toc158988566 \h </w:instrText>
      </w:r>
      <w:r>
        <w:fldChar w:fldCharType="separate"/>
      </w:r>
      <w:r>
        <w:t>1</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_Toc158988567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_Toc158988569 \h </w:instrText>
      </w:r>
      <w:r>
        <w:fldChar w:fldCharType="separate"/>
      </w:r>
      <w:r>
        <w:t>1</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_Toc158988570 \h </w:instrText>
      </w:r>
      <w:r>
        <w:fldChar w:fldCharType="separate"/>
      </w:r>
      <w:r>
        <w:t>1</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_Toc158988571 \h </w:instrText>
      </w:r>
      <w:r>
        <w:fldChar w:fldCharType="separate"/>
      </w:r>
      <w:r>
        <w:t>1</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_Toc158988572 \h </w:instrText>
      </w:r>
      <w:r>
        <w:fldChar w:fldCharType="separate"/>
      </w:r>
      <w:r>
        <w:t>1</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_Toc158988573 \h </w:instrText>
      </w:r>
      <w:r>
        <w:fldChar w:fldCharType="separate"/>
      </w:r>
      <w:r>
        <w:t>1</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_Toc158988574 \h </w:instrText>
      </w:r>
      <w:r>
        <w:fldChar w:fldCharType="separate"/>
      </w:r>
      <w:r>
        <w:t>1</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_Toc158988575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_Toc158988577 \h </w:instrText>
      </w:r>
      <w:r>
        <w:fldChar w:fldCharType="separate"/>
      </w:r>
      <w:r>
        <w:t>1</w:t>
      </w:r>
      <w:r>
        <w:fldChar w:fldCharType="end"/>
      </w:r>
    </w:p>
    <w:p>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_Toc158988578 \h </w:instrText>
      </w:r>
      <w:r>
        <w:fldChar w:fldCharType="separate"/>
      </w:r>
      <w:r>
        <w:t>1</w:t>
      </w:r>
      <w:r>
        <w:fldChar w:fldCharType="end"/>
      </w:r>
    </w:p>
    <w:p>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_Toc158988579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_Toc158988581 \h </w:instrText>
      </w:r>
      <w:r>
        <w:fldChar w:fldCharType="separate"/>
      </w:r>
      <w:r>
        <w:t>1</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_Toc158988582 \h </w:instrText>
      </w:r>
      <w:r>
        <w:fldChar w:fldCharType="separate"/>
      </w:r>
      <w:r>
        <w:t>1</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_Toc158988583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_Toc158988586 \h </w:instrText>
      </w:r>
      <w:r>
        <w:fldChar w:fldCharType="separate"/>
      </w:r>
      <w:r>
        <w:t>1</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_Toc158988587 \h </w:instrText>
      </w:r>
      <w:r>
        <w:fldChar w:fldCharType="separate"/>
      </w:r>
      <w:r>
        <w:t>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_Toc158988588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precautions: duties on drivers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_Toc158988590 \h </w:instrText>
      </w:r>
      <w:r>
        <w:fldChar w:fldCharType="separate"/>
      </w:r>
      <w:r>
        <w:t>1</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_Toc158988591 \h </w:instrText>
      </w:r>
      <w:r>
        <w:fldChar w:fldCharType="separate"/>
      </w:r>
      <w:r>
        <w:t>1</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_Toc158988592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_Toc158988593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_Toc158988594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_Toc158988595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pPr>
        <w:pStyle w:val="TOC8"/>
        <w:rPr>
          <w:rFonts w:asciiTheme="minorHAnsi" w:eastAsiaTheme="minorEastAsia" w:hAnsiTheme="minorHAnsi" w:cstheme="minorBidi"/>
          <w:szCs w:val="22"/>
        </w:rPr>
      </w:pPr>
      <w:r>
        <w:t>174A.</w:t>
      </w:r>
      <w:r>
        <w:tab/>
        <w:t>Parking</w:t>
      </w:r>
      <w:r>
        <w:tab/>
      </w:r>
      <w:r>
        <w:fldChar w:fldCharType="begin"/>
      </w:r>
      <w:r>
        <w:instrText xml:space="preserve"> PAGEREF _Toc158988597 \h </w:instrText>
      </w:r>
      <w:r>
        <w:fldChar w:fldCharType="separate"/>
      </w:r>
      <w:r>
        <w:t>1</w:t>
      </w:r>
      <w:r>
        <w:fldChar w:fldCharType="end"/>
      </w:r>
    </w:p>
    <w:p>
      <w:pPr>
        <w:pStyle w:val="TOC8"/>
        <w:rPr>
          <w:rFonts w:asciiTheme="minorHAnsi" w:eastAsiaTheme="minorEastAsia" w:hAnsiTheme="minorHAnsi" w:cstheme="minorBidi"/>
          <w:szCs w:val="22"/>
        </w:rPr>
      </w:pPr>
      <w:r>
        <w:t>174B.</w:t>
      </w:r>
      <w:r>
        <w:tab/>
        <w:t>Unloading</w:t>
      </w:r>
      <w:r>
        <w:tab/>
      </w:r>
      <w:r>
        <w:fldChar w:fldCharType="begin"/>
      </w:r>
      <w:r>
        <w:instrText xml:space="preserve"> PAGEREF _Toc158988598 \h </w:instrText>
      </w:r>
      <w:r>
        <w:fldChar w:fldCharType="separate"/>
      </w:r>
      <w:r>
        <w:t>1</w:t>
      </w:r>
      <w:r>
        <w:fldChar w:fldCharType="end"/>
      </w:r>
    </w:p>
    <w:p>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_Toc158988599 \h </w:instrText>
      </w:r>
      <w:r>
        <w:fldChar w:fldCharType="separate"/>
      </w:r>
      <w:r>
        <w:t>1</w:t>
      </w:r>
      <w:r>
        <w:fldChar w:fldCharType="end"/>
      </w:r>
    </w:p>
    <w:p>
      <w:pPr>
        <w:pStyle w:val="TOC8"/>
        <w:rPr>
          <w:rFonts w:asciiTheme="minorHAnsi" w:eastAsiaTheme="minorEastAsia" w:hAnsiTheme="minorHAnsi" w:cstheme="minorBidi"/>
          <w:szCs w:val="22"/>
        </w:rPr>
      </w:pPr>
      <w:r>
        <w:t>174D.</w:t>
      </w:r>
      <w:r>
        <w:tab/>
      </w:r>
      <w:r>
        <w:rPr>
          <w:color w:val="000000"/>
        </w:rPr>
        <w:t>Road tank vehicle equipped with burner</w:t>
      </w:r>
      <w:r>
        <w:tab/>
      </w:r>
      <w:r>
        <w:fldChar w:fldCharType="begin"/>
      </w:r>
      <w:r>
        <w:instrText xml:space="preserve"> PAGEREF _Toc158988600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_Toc158988603 \h </w:instrText>
      </w:r>
      <w:r>
        <w:fldChar w:fldCharType="separate"/>
      </w:r>
      <w:r>
        <w:t>1</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_Toc158988604 \h </w:instrText>
      </w:r>
      <w:r>
        <w:fldChar w:fldCharType="separate"/>
      </w:r>
      <w:r>
        <w:t>1</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_Toc158988605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178.</w:t>
      </w:r>
      <w:r>
        <w:tab/>
        <w:t>Prime contractors, rail operators and drivers to inform Chief Officer</w:t>
      </w:r>
      <w:r>
        <w:tab/>
      </w:r>
      <w:r>
        <w:fldChar w:fldCharType="begin"/>
      </w:r>
      <w:r>
        <w:instrText xml:space="preserve"> PAGEREF _Toc158988606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_Toc158988608 \h </w:instrText>
      </w:r>
      <w:r>
        <w:fldChar w:fldCharType="separate"/>
      </w:r>
      <w:r>
        <w:t>1</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_Toc158988609 \h </w:instrText>
      </w:r>
      <w:r>
        <w:fldChar w:fldCharType="separate"/>
      </w:r>
      <w:r>
        <w:t>1</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_Toc158988610 \h </w:instrText>
      </w:r>
      <w:r>
        <w:fldChar w:fldCharType="separate"/>
      </w:r>
      <w:r>
        <w:t>1</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_Toc158988611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_Toc158988613 \h </w:instrText>
      </w:r>
      <w:r>
        <w:fldChar w:fldCharType="separate"/>
      </w:r>
      <w:r>
        <w:t>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_Toc158988614 \h </w:instrText>
      </w:r>
      <w:r>
        <w:fldChar w:fldCharType="separate"/>
      </w:r>
      <w:r>
        <w:t>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_Toc158988615 \h </w:instrText>
      </w:r>
      <w:r>
        <w:fldChar w:fldCharType="separate"/>
      </w:r>
      <w:r>
        <w:t>1</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_Toc158988616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_Toc158988619 \h </w:instrText>
      </w:r>
      <w:r>
        <w:fldChar w:fldCharType="separate"/>
      </w:r>
      <w:r>
        <w:t>1</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_Toc158988620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_Toc158988622 \h </w:instrText>
      </w:r>
      <w:r>
        <w:fldChar w:fldCharType="separate"/>
      </w:r>
      <w:r>
        <w:t>1</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_Toc158988623 \h </w:instrText>
      </w:r>
      <w:r>
        <w:fldChar w:fldCharType="separate"/>
      </w:r>
      <w:r>
        <w:t>1</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_Toc158988624 \h </w:instrText>
      </w:r>
      <w:r>
        <w:fldChar w:fldCharType="separate"/>
      </w:r>
      <w:r>
        <w:t>1</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_Toc158988625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_Toc158988628 \h </w:instrText>
      </w:r>
      <w:r>
        <w:fldChar w:fldCharType="separate"/>
      </w:r>
      <w:r>
        <w:t>1</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_Toc158988629 \h </w:instrText>
      </w:r>
      <w:r>
        <w:fldChar w:fldCharType="separate"/>
      </w:r>
      <w:r>
        <w:t>1</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_Toc158988630 \h </w:instrText>
      </w:r>
      <w:r>
        <w:fldChar w:fldCharType="separate"/>
      </w:r>
      <w:r>
        <w:t>1</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_Toc158988631 \h </w:instrText>
      </w:r>
      <w:r>
        <w:fldChar w:fldCharType="separate"/>
      </w:r>
      <w:r>
        <w:t>1</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_Toc158988632 \h </w:instrText>
      </w:r>
      <w:r>
        <w:fldChar w:fldCharType="separate"/>
      </w:r>
      <w:r>
        <w:t>1</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_Toc158988633 \h </w:instrText>
      </w:r>
      <w:r>
        <w:fldChar w:fldCharType="separate"/>
      </w:r>
      <w:r>
        <w:t>1</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_Toc158988634 \h </w:instrText>
      </w:r>
      <w:r>
        <w:fldChar w:fldCharType="separate"/>
      </w:r>
      <w:r>
        <w:t>1</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_Toc158988635 \h </w:instrText>
      </w:r>
      <w:r>
        <w:fldChar w:fldCharType="separate"/>
      </w:r>
      <w:r>
        <w:t>1</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_Toc158988636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_Toc158988638 \h </w:instrText>
      </w:r>
      <w:r>
        <w:fldChar w:fldCharType="separate"/>
      </w:r>
      <w:r>
        <w:t>1</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_Toc158988639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_Toc158988641 \h </w:instrText>
      </w:r>
      <w:r>
        <w:fldChar w:fldCharType="separate"/>
      </w:r>
      <w:r>
        <w:t>1</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_Toc158988642 \h </w:instrText>
      </w:r>
      <w:r>
        <w:fldChar w:fldCharType="separate"/>
      </w:r>
      <w:r>
        <w:t>1</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_Toc158988643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_Toc158988645 \h </w:instrText>
      </w:r>
      <w:r>
        <w:fldChar w:fldCharType="separate"/>
      </w:r>
      <w:r>
        <w:t>1</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_Toc158988646 \h </w:instrText>
      </w:r>
      <w:r>
        <w:fldChar w:fldCharType="separate"/>
      </w:r>
      <w:r>
        <w:t>1</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_Toc158988647 \h </w:instrText>
      </w:r>
      <w:r>
        <w:fldChar w:fldCharType="separate"/>
      </w:r>
      <w:r>
        <w:t>1</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_Toc158988648 \h </w:instrText>
      </w:r>
      <w:r>
        <w:fldChar w:fldCharType="separate"/>
      </w:r>
      <w:r>
        <w:t>1</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_Toc158988649 \h </w:instrText>
      </w:r>
      <w:r>
        <w:fldChar w:fldCharType="separate"/>
      </w:r>
      <w:r>
        <w:t>1</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_Toc158988650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_Toc158988652 \h </w:instrText>
      </w:r>
      <w:r>
        <w:fldChar w:fldCharType="separate"/>
      </w:r>
      <w:r>
        <w:t>1</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_Toc158988653 \h </w:instrText>
      </w:r>
      <w:r>
        <w:fldChar w:fldCharType="separate"/>
      </w:r>
      <w:r>
        <w:t>1</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_Toc158988654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r>
      <w:r>
        <w:t>Terms used</w:t>
      </w:r>
      <w:r>
        <w:tab/>
      </w:r>
      <w:r>
        <w:fldChar w:fldCharType="begin"/>
      </w:r>
      <w:r>
        <w:instrText xml:space="preserve"> PAGEREF _Toc158988657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_Toc158988658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_Toc158988660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_Toc158988661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_Toc158988662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_Toc158988663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_Toc158988665 \h </w:instrText>
      </w:r>
      <w:r>
        <w:fldChar w:fldCharType="separate"/>
      </w:r>
      <w:r>
        <w:t>1</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_Toc158988666 \h </w:instrText>
      </w:r>
      <w:r>
        <w:fldChar w:fldCharType="separate"/>
      </w:r>
      <w:r>
        <w:t>1</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_Toc158988667 \h </w:instrText>
      </w:r>
      <w:r>
        <w:fldChar w:fldCharType="separate"/>
      </w:r>
      <w:r>
        <w:t>1</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_Toc158988668 \h </w:instrText>
      </w:r>
      <w:r>
        <w:fldChar w:fldCharType="separate"/>
      </w:r>
      <w:r>
        <w:t>1</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_Toc158988669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223.</w:t>
      </w:r>
      <w:r>
        <w:tab/>
        <w:t>Applications for renewal of licences</w:t>
      </w:r>
      <w:r>
        <w:tab/>
      </w:r>
      <w:r>
        <w:fldChar w:fldCharType="begin"/>
      </w:r>
      <w:r>
        <w:instrText xml:space="preserve"> PAGEREF _Toc158988670 \h </w:instrText>
      </w:r>
      <w:r>
        <w:fldChar w:fldCharType="separate"/>
      </w:r>
      <w:r>
        <w:t>1</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_Toc158988671 \h </w:instrText>
      </w:r>
      <w:r>
        <w:fldChar w:fldCharType="separate"/>
      </w:r>
      <w:r>
        <w:t>1</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_Toc158988672 \h </w:instrText>
      </w:r>
      <w:r>
        <w:fldChar w:fldCharType="separate"/>
      </w:r>
      <w:r>
        <w:t>1</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_Toc158988673 \h </w:instrText>
      </w:r>
      <w:r>
        <w:fldChar w:fldCharType="separate"/>
      </w:r>
      <w:r>
        <w:t>1</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_Toc158988674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_Toc158988675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Terms used</w:t>
      </w:r>
      <w:r>
        <w:tab/>
      </w:r>
      <w:r>
        <w:fldChar w:fldCharType="begin"/>
      </w:r>
      <w:r>
        <w:instrText xml:space="preserve"> PAGEREF _Toc158988677 \h </w:instrText>
      </w:r>
      <w:r>
        <w:fldChar w:fldCharType="separate"/>
      </w:r>
      <w:r>
        <w:t>1</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_Toc158988678 \h </w:instrText>
      </w:r>
      <w:r>
        <w:fldChar w:fldCharType="separate"/>
      </w:r>
      <w:r>
        <w:t>1</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_Toc158988679 \h </w:instrText>
      </w:r>
      <w:r>
        <w:fldChar w:fldCharType="separate"/>
      </w:r>
      <w:r>
        <w:t>1</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_Toc158988680 \h </w:instrText>
      </w:r>
      <w:r>
        <w:fldChar w:fldCharType="separate"/>
      </w:r>
      <w:r>
        <w:t>1</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_Toc158988681 \h </w:instrText>
      </w:r>
      <w:r>
        <w:fldChar w:fldCharType="separate"/>
      </w:r>
      <w:r>
        <w:t>1</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_Toc158988682 \h </w:instrText>
      </w:r>
      <w:r>
        <w:fldChar w:fldCharType="separate"/>
      </w:r>
      <w:r>
        <w:t>1</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_Toc158988683 \h </w:instrText>
      </w:r>
      <w:r>
        <w:fldChar w:fldCharType="separate"/>
      </w:r>
      <w:r>
        <w:t>1</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_Toc158988684 \h </w:instrText>
      </w:r>
      <w:r>
        <w:fldChar w:fldCharType="separate"/>
      </w:r>
      <w:r>
        <w:t>1</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_Toc158988685 \h </w:instrText>
      </w:r>
      <w:r>
        <w:fldChar w:fldCharType="separate"/>
      </w:r>
      <w:r>
        <w:t>1</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_Toc158988686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_Toc158988688 \h </w:instrText>
      </w:r>
      <w:r>
        <w:fldChar w:fldCharType="separate"/>
      </w:r>
      <w:r>
        <w:t>1</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_Toc158988689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_Toc158988691 \h </w:instrText>
      </w:r>
      <w:r>
        <w:fldChar w:fldCharType="separate"/>
      </w:r>
      <w:r>
        <w:t>1</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_Toc158988692 \h </w:instrText>
      </w:r>
      <w:r>
        <w:fldChar w:fldCharType="separate"/>
      </w:r>
      <w:r>
        <w:t>1</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_Toc158988693 \h </w:instrText>
      </w:r>
      <w:r>
        <w:fldChar w:fldCharType="separate"/>
      </w:r>
      <w:r>
        <w:t>1</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_Toc158988694 \h </w:instrText>
      </w:r>
      <w:r>
        <w:fldChar w:fldCharType="separate"/>
      </w:r>
      <w:r>
        <w:t>1</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_Toc158988695 \h </w:instrText>
      </w:r>
      <w:r>
        <w:fldChar w:fldCharType="separate"/>
      </w:r>
      <w:r>
        <w:t>1</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_Toc158988696 \h </w:instrText>
      </w:r>
      <w:r>
        <w:fldChar w:fldCharType="separate"/>
      </w:r>
      <w:r>
        <w:t>1</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_Toc158988697 \h </w:instrText>
      </w:r>
      <w:r>
        <w:fldChar w:fldCharType="separate"/>
      </w:r>
      <w:r>
        <w:t>1</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_Toc158988698 \h </w:instrText>
      </w:r>
      <w:r>
        <w:fldChar w:fldCharType="separate"/>
      </w:r>
      <w:r>
        <w:t>1</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_Toc158988699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_Toc158988701 \h </w:instrText>
      </w:r>
      <w:r>
        <w:fldChar w:fldCharType="separate"/>
      </w:r>
      <w:r>
        <w:t>1</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_Toc158988702 \h </w:instrText>
      </w:r>
      <w:r>
        <w:fldChar w:fldCharType="separate"/>
      </w:r>
      <w:r>
        <w:t>1</w:t>
      </w:r>
      <w:r>
        <w:fldChar w:fldCharType="end"/>
      </w:r>
    </w:p>
    <w:p>
      <w:pPr>
        <w:pStyle w:val="TOC8"/>
        <w:rPr>
          <w:rFonts w:asciiTheme="minorHAnsi" w:eastAsiaTheme="minorEastAsia" w:hAnsiTheme="minorHAnsi" w:cstheme="minorBidi"/>
          <w:szCs w:val="22"/>
        </w:rPr>
      </w:pPr>
      <w:r>
        <w:lastRenderedPageBreak/>
        <w:t>252.</w:t>
      </w:r>
      <w:r>
        <w:tab/>
        <w:t>Cancellation and suspension giving effect to court orders</w:t>
      </w:r>
      <w:r>
        <w:tab/>
      </w:r>
      <w:r>
        <w:fldChar w:fldCharType="begin"/>
      </w:r>
      <w:r>
        <w:instrText xml:space="preserve"> PAGEREF _Toc158988703 \h </w:instrText>
      </w:r>
      <w:r>
        <w:fldChar w:fldCharType="separate"/>
      </w:r>
      <w:r>
        <w:t>1</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_Toc158988704 \h </w:instrText>
      </w:r>
      <w:r>
        <w:fldChar w:fldCharType="separate"/>
      </w:r>
      <w:r>
        <w:t>1</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_Toc158988705 \h </w:instrText>
      </w:r>
      <w:r>
        <w:fldChar w:fldCharType="separate"/>
      </w:r>
      <w:r>
        <w:t>1</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_Toc158988706 \h </w:instrText>
      </w:r>
      <w:r>
        <w:fldChar w:fldCharType="separate"/>
      </w:r>
      <w:r>
        <w:t>1</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_Toc158988707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_Toc158988709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_Toc158988710 \h </w:instrText>
      </w:r>
      <w:r>
        <w:fldChar w:fldCharType="separate"/>
      </w:r>
      <w:r>
        <w:t>1</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_Toc158988711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_Toc158988712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_Toc158988715 \h </w:instrText>
      </w:r>
      <w:r>
        <w:fldChar w:fldCharType="separate"/>
      </w:r>
      <w:r>
        <w:t>1</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_Toc158988716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_Toc158988718 \h </w:instrText>
      </w:r>
      <w:r>
        <w:fldChar w:fldCharType="separate"/>
      </w:r>
      <w:r>
        <w:t>1</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_Toc158988719 \h </w:instrText>
      </w:r>
      <w:r>
        <w:fldChar w:fldCharType="separate"/>
      </w:r>
      <w:r>
        <w:t>1</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_Toc158988720 \h </w:instrText>
      </w:r>
      <w:r>
        <w:fldChar w:fldCharType="separate"/>
      </w:r>
      <w:r>
        <w:t>1</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_Toc158988721 \h </w:instrText>
      </w:r>
      <w:r>
        <w:fldChar w:fldCharType="separate"/>
      </w:r>
      <w:r>
        <w:t>1</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_Toc158988722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_Toc158988724 \h </w:instrText>
      </w:r>
      <w:r>
        <w:fldChar w:fldCharType="separate"/>
      </w:r>
      <w:r>
        <w:t>1</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_Toc158988725 \h </w:instrText>
      </w:r>
      <w:r>
        <w:fldChar w:fldCharType="separate"/>
      </w:r>
      <w:r>
        <w:t>1</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_Toc158988726 \h </w:instrText>
      </w:r>
      <w:r>
        <w:fldChar w:fldCharType="separate"/>
      </w:r>
      <w:r>
        <w:t>1</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_Toc158988727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_Toc158988729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_Toc158988731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22A</w:t>
      </w:r>
      <w:r>
        <w:rPr>
          <w:b w:val="0"/>
        </w:rPr>
        <w:t> </w:t>
      </w:r>
      <w:r>
        <w:t>—</w:t>
      </w:r>
      <w:r>
        <w:rPr>
          <w:b w:val="0"/>
        </w:rPr>
        <w:t> </w:t>
      </w:r>
      <w:r>
        <w:t>Miscellaneous</w:t>
      </w:r>
    </w:p>
    <w:p>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_Toc158988733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_Toc158988736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_Toc158988737 \h </w:instrText>
      </w:r>
      <w:r>
        <w:fldChar w:fldCharType="separate"/>
      </w:r>
      <w:r>
        <w:t>1</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_Toc158988738 \h </w:instrText>
      </w:r>
      <w:r>
        <w:fldChar w:fldCharType="separate"/>
      </w:r>
      <w:r>
        <w:t>1</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_Toc158988739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_Toc158988740 \h </w:instrText>
      </w:r>
      <w:r>
        <w:fldChar w:fldCharType="separate"/>
      </w:r>
      <w:r>
        <w:t>1</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_Toc158988741 \h </w:instrText>
      </w:r>
      <w:r>
        <w:fldChar w:fldCharType="separate"/>
      </w:r>
      <w:r>
        <w:t>1</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_Toc158988742 \h </w:instrText>
      </w:r>
      <w:r>
        <w:fldChar w:fldCharType="separate"/>
      </w:r>
      <w:r>
        <w:t>1</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_Toc158988743 \h </w:instrText>
      </w:r>
      <w:r>
        <w:fldChar w:fldCharType="separate"/>
      </w:r>
      <w:r>
        <w:t>1</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_Toc158988744 \h </w:instrText>
      </w:r>
      <w:r>
        <w:fldChar w:fldCharType="separate"/>
      </w:r>
      <w:r>
        <w:t>1</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_Toc158988745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_Toc158988747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_Toc158988749 \h </w:instrText>
      </w:r>
      <w:r>
        <w:fldChar w:fldCharType="separate"/>
      </w:r>
      <w:r>
        <w:t>1</w:t>
      </w:r>
      <w:r>
        <w:fldChar w:fldCharType="end"/>
      </w:r>
    </w:p>
    <w:p>
      <w:pPr>
        <w:pStyle w:val="TOC4"/>
        <w:keepLines/>
        <w:tabs>
          <w:tab w:val="right" w:leader="dot" w:pos="7077"/>
        </w:tabs>
        <w:rPr>
          <w:rFonts w:asciiTheme="minorHAnsi" w:eastAsiaTheme="minorEastAsia" w:hAnsiTheme="minorHAnsi" w:cstheme="minorBidi"/>
          <w:b w:val="0"/>
          <w:szCs w:val="22"/>
        </w:rPr>
      </w:pPr>
      <w:r>
        <w:lastRenderedPageBreak/>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_Toc158988751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Provisions for </w:t>
      </w:r>
      <w:r>
        <w:rPr>
          <w:i/>
        </w:rPr>
        <w:t>Dangerous Goods Safety (Road and Rail Transport of Non</w:t>
      </w:r>
      <w:r>
        <w:rPr>
          <w:i/>
        </w:rPr>
        <w:noBreakHyphen/>
        <w:t>explosives) Amendment Regulations 2017</w:t>
      </w:r>
    </w:p>
    <w:p>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_Toc158988753 \h </w:instrText>
      </w:r>
      <w:r>
        <w:fldChar w:fldCharType="separate"/>
      </w:r>
      <w:r>
        <w:t>1</w:t>
      </w:r>
      <w:r>
        <w:fldChar w:fldCharType="end"/>
      </w:r>
    </w:p>
    <w:p>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_Toc158988754 \h </w:instrText>
      </w:r>
      <w:r>
        <w:fldChar w:fldCharType="separate"/>
      </w:r>
      <w:r>
        <w:t>1</w:t>
      </w:r>
      <w:r>
        <w:fldChar w:fldCharType="end"/>
      </w:r>
    </w:p>
    <w:p>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_Toc158988755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_Toc158988757 \h </w:instrText>
      </w:r>
      <w:r>
        <w:fldChar w:fldCharType="separate"/>
      </w:r>
      <w:r>
        <w:t>1</w:t>
      </w:r>
      <w:r>
        <w:fldChar w:fldCharType="end"/>
      </w:r>
    </w:p>
    <w:p>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_Toc158988758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 for </w:t>
      </w:r>
      <w:r>
        <w:rPr>
          <w:i/>
        </w:rPr>
        <w:t>Dangerous Goods Safety Regulations Amendment Regulations 2020</w:t>
      </w:r>
    </w:p>
    <w:p>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_Toc158988760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_Toc158988763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_Toc158988764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2" w:name="_Toc158973911"/>
      <w:bookmarkStart w:id="3" w:name="_Toc158982853"/>
      <w:bookmarkStart w:id="4" w:name="_Toc158983220"/>
      <w:bookmarkStart w:id="5" w:name="_Toc158988399"/>
      <w:r>
        <w:rPr>
          <w:rStyle w:val="CharPartNo"/>
        </w:rPr>
        <w:t>Part 1</w:t>
      </w:r>
      <w:r>
        <w:t> — </w:t>
      </w:r>
      <w:r>
        <w:rPr>
          <w:rStyle w:val="CharPartText"/>
        </w:rPr>
        <w:t>Preliminary</w:t>
      </w:r>
      <w:bookmarkEnd w:id="2"/>
      <w:bookmarkEnd w:id="3"/>
      <w:bookmarkEnd w:id="4"/>
      <w:bookmarkEnd w:id="5"/>
    </w:p>
    <w:p>
      <w:pPr>
        <w:pStyle w:val="Heading3"/>
      </w:pPr>
      <w:bookmarkStart w:id="6" w:name="_Toc158973912"/>
      <w:bookmarkStart w:id="7" w:name="_Toc158982854"/>
      <w:bookmarkStart w:id="8" w:name="_Toc158983221"/>
      <w:bookmarkStart w:id="9" w:name="_Toc158988400"/>
      <w:r>
        <w:rPr>
          <w:rStyle w:val="CharDivNo"/>
        </w:rPr>
        <w:t>Division 1</w:t>
      </w:r>
      <w:r>
        <w:t> — </w:t>
      </w:r>
      <w:r>
        <w:rPr>
          <w:rStyle w:val="CharDivText"/>
        </w:rPr>
        <w:t>Introductory</w:t>
      </w:r>
      <w:bookmarkEnd w:id="6"/>
      <w:bookmarkEnd w:id="7"/>
      <w:bookmarkEnd w:id="8"/>
      <w:bookmarkEnd w:id="9"/>
    </w:p>
    <w:p>
      <w:pPr>
        <w:pStyle w:val="Heading5"/>
      </w:pPr>
      <w:bookmarkStart w:id="10" w:name="_Toc158988401"/>
      <w:r>
        <w:rPr>
          <w:rStyle w:val="CharSectno"/>
        </w:rPr>
        <w:t>1</w:t>
      </w:r>
      <w:r>
        <w:t>.</w:t>
      </w:r>
      <w:r>
        <w:tab/>
        <w:t>Citation</w:t>
      </w:r>
      <w:bookmarkEnd w:id="10"/>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11" w:name="_Toc158988402"/>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12" w:name="_Toc158988403"/>
      <w:r>
        <w:rPr>
          <w:rStyle w:val="CharSectno"/>
        </w:rPr>
        <w:t>3</w:t>
      </w:r>
      <w:r>
        <w:t>.</w:t>
      </w:r>
      <w:r>
        <w:tab/>
        <w:t>Main objects</w:t>
      </w:r>
      <w:bookmarkEnd w:id="12"/>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3" w:name="_Toc158973916"/>
      <w:bookmarkStart w:id="14" w:name="_Toc158982858"/>
      <w:bookmarkStart w:id="15" w:name="_Toc158983225"/>
      <w:bookmarkStart w:id="16" w:name="_Toc158988404"/>
      <w:r>
        <w:rPr>
          <w:rStyle w:val="CharDivNo"/>
        </w:rPr>
        <w:t>Division 2</w:t>
      </w:r>
      <w:r>
        <w:t> — </w:t>
      </w:r>
      <w:r>
        <w:rPr>
          <w:rStyle w:val="CharDivText"/>
        </w:rPr>
        <w:t>Interpretation</w:t>
      </w:r>
      <w:bookmarkEnd w:id="13"/>
      <w:bookmarkEnd w:id="14"/>
      <w:bookmarkEnd w:id="15"/>
      <w:bookmarkEnd w:id="16"/>
    </w:p>
    <w:p>
      <w:pPr>
        <w:pStyle w:val="Heading5"/>
      </w:pPr>
      <w:bookmarkStart w:id="17" w:name="_Toc158988405"/>
      <w:r>
        <w:rPr>
          <w:rStyle w:val="CharSectno"/>
        </w:rPr>
        <w:t>4</w:t>
      </w:r>
      <w:r>
        <w:t>.</w:t>
      </w:r>
      <w:r>
        <w:tab/>
        <w:t>Terms used</w:t>
      </w:r>
      <w:bookmarkEnd w:id="17"/>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lastRenderedPageBreak/>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keepNext/>
        <w:keepLines/>
      </w:pPr>
      <w:r>
        <w:lastRenderedPageBreak/>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Ministerial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lastRenderedPageBreak/>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keepNext/>
      </w:pPr>
      <w:r>
        <w:rPr>
          <w:b/>
        </w:rPr>
        <w:lastRenderedPageBreak/>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 or</w:t>
      </w:r>
    </w:p>
    <w:p>
      <w:pPr>
        <w:pStyle w:val="Defpara"/>
      </w:pPr>
      <w:r>
        <w:tab/>
        <w:t>(c)</w:t>
      </w:r>
      <w:r>
        <w:tab/>
        <w:t>plastic wrapping intended for the packaging of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tab/>
      </w:r>
      <w:r>
        <w:rPr>
          <w:rStyle w:val="CharDefText"/>
        </w:rPr>
        <w:t>freight container</w:t>
      </w:r>
      <w:r>
        <w:t xml:space="preserve"> means a container that — </w:t>
      </w:r>
    </w:p>
    <w:p>
      <w:pPr>
        <w:pStyle w:val="Defpara"/>
      </w:pPr>
      <w:r>
        <w:tab/>
        <w:t>(a)</w:t>
      </w:r>
      <w:r>
        <w:tab/>
        <w:t>is of a permanent character suitable for repeated use; and</w:t>
      </w:r>
    </w:p>
    <w:p>
      <w:pPr>
        <w:pStyle w:val="Defpara"/>
      </w:pPr>
      <w:r>
        <w:tab/>
        <w:t>(b)</w:t>
      </w:r>
      <w:r>
        <w:tab/>
        <w:t>is designed to facilitate the transport of goods by one or more modes of transport, without the need for the goods to be unloaded and reloaded when the container is transferred from one mode to another; and</w:t>
      </w:r>
    </w:p>
    <w:p>
      <w:pPr>
        <w:pStyle w:val="Defpara"/>
      </w:pPr>
      <w:r>
        <w:lastRenderedPageBreak/>
        <w:tab/>
        <w:t>(c)</w:t>
      </w:r>
      <w:r>
        <w:tab/>
        <w:t>is fitted with devices that permit the ready stowage and handling of the container, particularly in relation to the transfer of the container from one mode of transport to another; and</w:t>
      </w:r>
    </w:p>
    <w:p>
      <w:pPr>
        <w:pStyle w:val="Defpara"/>
      </w:pPr>
      <w:r>
        <w:tab/>
        <w:t>(d)</w:t>
      </w:r>
      <w:r>
        <w:tab/>
        <w:t>is designed in a way that facilitates the ease of loading and unloading of goods from the container; and</w:t>
      </w:r>
    </w:p>
    <w:p>
      <w:pPr>
        <w:pStyle w:val="Defpara"/>
      </w:pPr>
      <w:r>
        <w:tab/>
        <w:t>(e)</w:t>
      </w:r>
      <w:r>
        <w:tab/>
        <w:t>for a container used to transport goods other than radioactive material — has an internal volume of not less than 1 m</w:t>
      </w:r>
      <w:r>
        <w:rPr>
          <w:vertAlign w:val="superscript"/>
        </w:rPr>
        <w:t>3</w:t>
      </w:r>
      <w:r>
        <w: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tab/>
      </w:r>
      <w:r>
        <w:rPr>
          <w:rStyle w:val="CharDefText"/>
        </w:rPr>
        <w:t>inner packaging</w:t>
      </w:r>
      <w:r>
        <w:t xml:space="preserve"> has the meaning given in the ADG Code section 1.2.1;</w:t>
      </w:r>
    </w:p>
    <w:p>
      <w:pPr>
        <w:pStyle w:val="Defstart"/>
      </w:pPr>
      <w:r>
        <w:lastRenderedPageBreak/>
        <w:tab/>
      </w:r>
      <w:r>
        <w:rPr>
          <w:rStyle w:val="CharDefText"/>
        </w:rPr>
        <w:t>intermediate packaging</w:t>
      </w:r>
      <w:r>
        <w:t xml:space="preserve"> has the meaning given in the ADG Code section 1.2.1;</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tab/>
      </w:r>
      <w:r>
        <w:rPr>
          <w:rStyle w:val="CharDefText"/>
        </w:rPr>
        <w:t>large packaging</w:t>
      </w:r>
      <w:r>
        <w:t xml:space="preserve"> means packaging that — </w:t>
      </w:r>
    </w:p>
    <w:p>
      <w:pPr>
        <w:pStyle w:val="Defpara"/>
      </w:pPr>
      <w:r>
        <w:tab/>
        <w:t>(a)</w:t>
      </w:r>
      <w:r>
        <w:tab/>
        <w:t>consists of outer packaging that contains articles or inner packagings; and</w:t>
      </w:r>
    </w:p>
    <w:p>
      <w:pPr>
        <w:pStyle w:val="Defpara"/>
      </w:pPr>
      <w:r>
        <w:tab/>
        <w:t>(b)</w:t>
      </w:r>
      <w:r>
        <w:tab/>
        <w:t>is designed for mechanical handling; and</w:t>
      </w:r>
    </w:p>
    <w:p>
      <w:pPr>
        <w:pStyle w:val="Defpara"/>
      </w:pPr>
      <w:r>
        <w:tab/>
        <w:t>(c)</w:t>
      </w:r>
      <w:r>
        <w:tab/>
        <w:t xml:space="preserve">has — </w:t>
      </w:r>
    </w:p>
    <w:p>
      <w:pPr>
        <w:pStyle w:val="Defsubpara"/>
      </w:pPr>
      <w:r>
        <w:tab/>
        <w:t>(i)</w:t>
      </w:r>
      <w:r>
        <w:tab/>
        <w:t xml:space="preserve">a net mass of more than 400 kg or a capacity of more than 450 litres; and </w:t>
      </w:r>
    </w:p>
    <w:p>
      <w:pPr>
        <w:pStyle w:val="Defsubpara"/>
      </w:pPr>
      <w:r>
        <w:tab/>
        <w:t>(ii)</w:t>
      </w:r>
      <w:r>
        <w:tab/>
        <w:t>a volume of not more than 3 m</w:t>
      </w:r>
      <w:r>
        <w:rPr>
          <w:vertAlign w:val="superscript"/>
        </w:rPr>
        <w:t>3</w:t>
      </w:r>
      <w:r>
        <w:t>;</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Ministerial Council</w:t>
      </w:r>
      <w:r>
        <w:t xml:space="preserve"> means the body (however described) that consists of the Minister of the Commonwealth, and the Minister of each State and Territory, who is responsible, or principally responsible, for matters relating to infrastructure and transport;</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Ministerial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pPr>
      <w:r>
        <w:tab/>
      </w:r>
      <w:r>
        <w:rPr>
          <w:rStyle w:val="CharDefText"/>
        </w:rPr>
        <w:t>National Transport Commission</w:t>
      </w:r>
      <w:r>
        <w:t xml:space="preserve"> means the National Transport Commission established under the </w:t>
      </w:r>
      <w:r>
        <w:rPr>
          <w:i/>
        </w:rPr>
        <w:t>National Transport Commission Act 2003</w:t>
      </w:r>
      <w:r>
        <w:t xml:space="preserve"> (Commonwealth);</w:t>
      </w:r>
    </w:p>
    <w:p>
      <w:pPr>
        <w:pStyle w:val="Defstart"/>
      </w:pPr>
      <w:r>
        <w:lastRenderedPageBreak/>
        <w:tab/>
      </w:r>
      <w:r>
        <w:rPr>
          <w:rStyle w:val="CharDefText"/>
        </w:rPr>
        <w:t>outer packaging</w:t>
      </w:r>
      <w:r>
        <w:t xml:space="preserve"> has the meaning given in the ADG Code section 1.2.1;</w:t>
      </w:r>
    </w:p>
    <w:p>
      <w:pPr>
        <w:pStyle w:val="Defstart"/>
      </w:pPr>
      <w:r>
        <w:tab/>
      </w:r>
      <w:r>
        <w:rPr>
          <w:rStyle w:val="CharDefText"/>
        </w:rPr>
        <w:t>overpack</w:t>
      </w:r>
      <w:r>
        <w:t xml:space="preserve"> means an enclosure, other than large packaging, used to contain one or more packages in a way that forms one unit for convenience of stowage and handling during transport;</w:t>
      </w:r>
    </w:p>
    <w:p>
      <w:pPr>
        <w:pStyle w:val="PermNoteHeading"/>
      </w:pPr>
      <w:r>
        <w:tab/>
        <w:t>Examples for this definition:</w:t>
      </w:r>
    </w:p>
    <w:p>
      <w:pPr>
        <w:pStyle w:val="PermNoteText"/>
      </w:pPr>
      <w:r>
        <w:tab/>
        <w:t>1.</w:t>
      </w:r>
      <w:r>
        <w:tab/>
        <w:t>Packages placed or stacked on a pallet and secured by strapping, shrink wrapping, stretch wrapping or another suitable way.</w:t>
      </w:r>
    </w:p>
    <w:p>
      <w:pPr>
        <w:pStyle w:val="PermNoteText"/>
      </w:pPr>
      <w:r>
        <w:tab/>
        <w:t>2.</w:t>
      </w:r>
      <w:r>
        <w:tab/>
        <w:t>Packages placed in protective outer packaging such as in a box or crate.</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includes — </w:t>
      </w:r>
    </w:p>
    <w:p>
      <w:pPr>
        <w:pStyle w:val="Defpara"/>
      </w:pPr>
      <w:r>
        <w:tab/>
        <w:t>(a)</w:t>
      </w:r>
      <w:r>
        <w:tab/>
        <w:t>inner packaging, intermediate packaging, outer packaging, an overpack, large packaging, an IBC, an MEGC, a tank (including the tank of a tank vehicle), a bulk container or freight container, a drum, a barrel, a jerry can, a box and a bag; and</w:t>
      </w:r>
    </w:p>
    <w:p>
      <w:pPr>
        <w:pStyle w:val="Defpara"/>
      </w:pPr>
      <w:r>
        <w:tab/>
        <w:t>(b)</w:t>
      </w:r>
      <w:r>
        <w:tab/>
        <w:t>any other components or materials used for containing the contents of the packaging or performing another safety function in relation to the transport of the packaging and its contents;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lastRenderedPageBreak/>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pPr>
      <w:r>
        <w:tab/>
      </w:r>
      <w:r>
        <w:rPr>
          <w:rStyle w:val="CharDefText"/>
        </w:rPr>
        <w:t>portable tank</w:t>
      </w:r>
      <w:r>
        <w:t xml:space="preserve"> means a tank used for the transport of a solid, liquid or gas that — </w:t>
      </w:r>
    </w:p>
    <w:p>
      <w:pPr>
        <w:pStyle w:val="Defpara"/>
      </w:pPr>
      <w:r>
        <w:tab/>
        <w:t>(a)</w:t>
      </w:r>
      <w:r>
        <w:tab/>
        <w:t>includes a shell fitted with service equipment and structural equipment necessary for the transport of the solid, liquid or gas; and</w:t>
      </w:r>
    </w:p>
    <w:p>
      <w:pPr>
        <w:pStyle w:val="Defpara"/>
      </w:pPr>
      <w:r>
        <w:tab/>
        <w:t>(b)</w:t>
      </w:r>
      <w:r>
        <w:tab/>
        <w:t>is capable of being loaded and unloaded without removing its structural equipment; and</w:t>
      </w:r>
    </w:p>
    <w:p>
      <w:pPr>
        <w:pStyle w:val="Defpara"/>
      </w:pPr>
      <w:r>
        <w:tab/>
        <w:t>(c)</w:t>
      </w:r>
      <w:r>
        <w:tab/>
        <w:t>has stabilising components external to its shell, and is capable of being lifted when full; and</w:t>
      </w:r>
    </w:p>
    <w:p>
      <w:pPr>
        <w:pStyle w:val="Defpara"/>
      </w:pPr>
      <w:r>
        <w:tab/>
        <w:t>(d)</w:t>
      </w:r>
      <w:r>
        <w:tab/>
        <w:t>is designed primarily to be loaded on to a vehicle or vessel and is equipped with skids, mountings or accessories to facilitate mechanical handling; and</w:t>
      </w:r>
    </w:p>
    <w:p>
      <w:pPr>
        <w:pStyle w:val="Defpara"/>
      </w:pPr>
      <w:r>
        <w:tab/>
        <w:t>(e)</w:t>
      </w:r>
      <w:r>
        <w:tab/>
        <w:t>for a tank used for transporting a substance of UN Class 1 and UN Class 3 to 9 — is a multimodal tank; and</w:t>
      </w:r>
    </w:p>
    <w:p>
      <w:pPr>
        <w:pStyle w:val="Defpara"/>
      </w:pPr>
      <w:r>
        <w:tab/>
        <w:t>(f)</w:t>
      </w:r>
      <w:r>
        <w:tab/>
        <w:t>for a tank used for transporting non</w:t>
      </w:r>
      <w:r>
        <w:noBreakHyphen/>
        <w:t>refrigerated, liquefied gases of UN Class 2 — is a multimodal tank having a capacity of more than 450 litres; and</w:t>
      </w:r>
    </w:p>
    <w:p>
      <w:pPr>
        <w:pStyle w:val="Defpara"/>
      </w:pPr>
      <w:r>
        <w:tab/>
        <w:t>(g)</w:t>
      </w:r>
      <w:r>
        <w:tab/>
        <w:t>for a tank used for transporting refrigerated, liquefied gases of UN Class 2 — is a thermally insulated tank having a capacity of more than 450 litres; and</w:t>
      </w:r>
    </w:p>
    <w:p>
      <w:pPr>
        <w:pStyle w:val="Defpara"/>
      </w:pPr>
      <w:r>
        <w:tab/>
        <w:t>(h)</w:t>
      </w:r>
      <w:r>
        <w:tab/>
        <w:t>is not an item that is not considered to be a portable tank for the purposes of the ADG Code;</w:t>
      </w:r>
    </w:p>
    <w:p>
      <w:pPr>
        <w:pStyle w:val="PermNoteHeading"/>
      </w:pPr>
      <w:r>
        <w:tab/>
        <w:t>Note for this definition:</w:t>
      </w:r>
    </w:p>
    <w:p>
      <w:pPr>
        <w:pStyle w:val="PermNoteText"/>
      </w:pPr>
      <w:r>
        <w:tab/>
      </w:r>
      <w:r>
        <w:tab/>
        <w:t>In relation to paragraph (h), see the definition of portable tank in the ADG Code section 1.2.1 for the list of items that are not considered to be a portable tank for the purposes of the ADG Code.</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lastRenderedPageBreak/>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keepNex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pPr>
      <w:r>
        <w:tab/>
      </w:r>
      <w:r>
        <w:rPr>
          <w:rStyle w:val="CharDefText"/>
        </w:rPr>
        <w:t>rail tank wagon</w:t>
      </w:r>
      <w:r>
        <w:t xml:space="preserve"> means a rail wagon of which a tank forms an integral part;</w:t>
      </w:r>
    </w:p>
    <w:p>
      <w:pPr>
        <w:pStyle w:val="Defstart"/>
      </w:pPr>
      <w:r>
        <w:tab/>
      </w:r>
      <w:r>
        <w:rPr>
          <w:rStyle w:val="CharDefText"/>
        </w:rPr>
        <w:t>rail wagon</w:t>
      </w:r>
      <w:r>
        <w:t xml:space="preserve"> means a unit of rolling stock that — </w:t>
      </w:r>
    </w:p>
    <w:p>
      <w:pPr>
        <w:pStyle w:val="Defpara"/>
      </w:pPr>
      <w:r>
        <w:tab/>
        <w:t>(a)</w:t>
      </w:r>
      <w:r>
        <w:tab/>
        <w:t>is designed to carry freight by rail; and</w:t>
      </w:r>
    </w:p>
    <w:p>
      <w:pPr>
        <w:pStyle w:val="Defpara"/>
      </w:pPr>
      <w:r>
        <w:tab/>
        <w:t>(b)</w:t>
      </w:r>
      <w:r>
        <w:tab/>
        <w:t>bears a unique identifying number or alphanumeric identifier;</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lastRenderedPageBreak/>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pPr>
      <w:r>
        <w:tab/>
      </w:r>
      <w:r>
        <w:rPr>
          <w:rStyle w:val="CharDefText"/>
        </w:rPr>
        <w:t>road tank vehicle</w:t>
      </w:r>
      <w:r>
        <w:t xml:space="preserve"> means a tank vehicle that is a road vehicle;</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lastRenderedPageBreak/>
        <w:tab/>
      </w:r>
      <w:r>
        <w:rPr>
          <w:rStyle w:val="CharDefText"/>
        </w:rPr>
        <w:t>transport documentation</w:t>
      </w:r>
      <w:r>
        <w:t xml:space="preserve"> means documentation that complies with the requirements of the ADG Code Chapter 11.1;</w:t>
      </w:r>
    </w:p>
    <w:p>
      <w:pPr>
        <w:pStyle w:val="Defstart"/>
      </w:pPr>
      <w:r>
        <w:tab/>
      </w:r>
      <w:r>
        <w:rPr>
          <w:rStyle w:val="CharDefText"/>
        </w:rPr>
        <w:t>tube</w:t>
      </w:r>
      <w:r>
        <w:t xml:space="preserve"> means a pressure receptacle of seamless or composite construction having a water capacity exceeding 150 litres but not more than 3 000 litres;</w:t>
      </w:r>
    </w:p>
    <w:p>
      <w:pPr>
        <w:pStyle w:val="Defstar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keepNex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 SL 2024/22 r. 4.]</w:t>
      </w:r>
    </w:p>
    <w:p>
      <w:pPr>
        <w:pStyle w:val="Heading5"/>
      </w:pPr>
      <w:bookmarkStart w:id="18" w:name="_Toc158988406"/>
      <w:r>
        <w:rPr>
          <w:rStyle w:val="CharSectno"/>
        </w:rPr>
        <w:t>5</w:t>
      </w:r>
      <w:r>
        <w:t>.</w:t>
      </w:r>
      <w:r>
        <w:tab/>
        <w:t>Examples and notes in these regulations</w:t>
      </w:r>
      <w:bookmarkEnd w:id="1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lastRenderedPageBreak/>
        <w:tab/>
        <w:t>(2)</w:t>
      </w:r>
      <w:r>
        <w:tab/>
        <w:t>Notes in these regulations do not form part of them and are provided to assist understanding.</w:t>
      </w:r>
    </w:p>
    <w:p>
      <w:pPr>
        <w:pStyle w:val="Heading5"/>
      </w:pPr>
      <w:bookmarkStart w:id="19" w:name="_Toc158988407"/>
      <w:r>
        <w:rPr>
          <w:rStyle w:val="CharSectno"/>
        </w:rPr>
        <w:t>6</w:t>
      </w:r>
      <w:r>
        <w:t>.</w:t>
      </w:r>
      <w:r>
        <w:tab/>
        <w:t>References to determinations, exemptions, approvals and licences</w:t>
      </w:r>
      <w:bookmarkEnd w:id="19"/>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20" w:name="_Toc158988408"/>
      <w:r>
        <w:rPr>
          <w:rStyle w:val="CharSectno"/>
        </w:rPr>
        <w:t>7</w:t>
      </w:r>
      <w:r>
        <w:t>.</w:t>
      </w:r>
      <w:r>
        <w:tab/>
        <w:t>References to variation of determinations, exemptions, approvals and licences</w:t>
      </w:r>
      <w:bookmarkEnd w:id="20"/>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21" w:name="_Toc158988409"/>
      <w:r>
        <w:rPr>
          <w:rStyle w:val="CharSectno"/>
        </w:rPr>
        <w:t>8</w:t>
      </w:r>
      <w:r>
        <w:t>.</w:t>
      </w:r>
      <w:r>
        <w:tab/>
        <w:t>Inconsistency between these regulations and documents adopted</w:t>
      </w:r>
      <w:bookmarkEnd w:id="21"/>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lastRenderedPageBreak/>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22" w:name="_Toc158988410"/>
      <w:r>
        <w:rPr>
          <w:rStyle w:val="CharSectno"/>
        </w:rPr>
        <w:t>9</w:t>
      </w:r>
      <w:r>
        <w:t>.</w:t>
      </w:r>
      <w:r>
        <w:tab/>
        <w:t>References in ADG Code</w:t>
      </w:r>
      <w:bookmarkEnd w:id="22"/>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23" w:name="_Toc158973923"/>
      <w:bookmarkStart w:id="24" w:name="_Toc158982865"/>
      <w:bookmarkStart w:id="25" w:name="_Toc158983232"/>
      <w:bookmarkStart w:id="26" w:name="_Toc158988411"/>
      <w:r>
        <w:rPr>
          <w:rStyle w:val="CharDivNo"/>
        </w:rPr>
        <w:t>Division 3</w:t>
      </w:r>
      <w:r>
        <w:t> — </w:t>
      </w:r>
      <w:r>
        <w:rPr>
          <w:rStyle w:val="CharDivText"/>
        </w:rPr>
        <w:t>Application</w:t>
      </w:r>
      <w:bookmarkEnd w:id="23"/>
      <w:bookmarkEnd w:id="24"/>
      <w:bookmarkEnd w:id="25"/>
      <w:bookmarkEnd w:id="26"/>
    </w:p>
    <w:p>
      <w:pPr>
        <w:pStyle w:val="Heading5"/>
        <w:rPr>
          <w:color w:val="000000"/>
        </w:rPr>
      </w:pPr>
      <w:bookmarkStart w:id="27" w:name="_Toc158988412"/>
      <w:r>
        <w:rPr>
          <w:rStyle w:val="CharSectno"/>
          <w:color w:val="000000"/>
        </w:rPr>
        <w:t>10</w:t>
      </w:r>
      <w:r>
        <w:rPr>
          <w:color w:val="000000"/>
        </w:rPr>
        <w:t>.</w:t>
      </w:r>
      <w:r>
        <w:rPr>
          <w:color w:val="000000"/>
        </w:rPr>
        <w:tab/>
        <w:t>Application to transport by road and rail</w:t>
      </w:r>
      <w:bookmarkEnd w:id="27"/>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8" w:name="_Toc158988413"/>
      <w:r>
        <w:rPr>
          <w:rStyle w:val="CharSectno"/>
        </w:rPr>
        <w:lastRenderedPageBreak/>
        <w:t>11</w:t>
      </w:r>
      <w:r>
        <w:t>.</w:t>
      </w:r>
      <w:r>
        <w:tab/>
        <w:t>Dangerous situations</w:t>
      </w:r>
      <w:bookmarkEnd w:id="2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keepLines/>
      </w:pPr>
      <w:r>
        <w:tab/>
        <w:t>(b)</w:t>
      </w:r>
      <w:r>
        <w:tab/>
        <w:t>an emergency service officer who is acting to reduce, eliminate or avert any risk to people, property or the environment from dangerous goods in a dangerous situation.</w:t>
      </w:r>
    </w:p>
    <w:p>
      <w:pPr>
        <w:pStyle w:val="Heading5"/>
      </w:pPr>
      <w:bookmarkStart w:id="29" w:name="_Toc158988414"/>
      <w:r>
        <w:rPr>
          <w:rStyle w:val="CharSectno"/>
          <w:color w:val="000000"/>
        </w:rPr>
        <w:t>12</w:t>
      </w:r>
      <w:r>
        <w:rPr>
          <w:color w:val="000000"/>
        </w:rPr>
        <w:t>.</w:t>
      </w:r>
      <w:r>
        <w:rPr>
          <w:color w:val="000000"/>
        </w:rPr>
        <w:tab/>
        <w:t>Exempt transport</w:t>
      </w:r>
      <w:bookmarkEnd w:id="29"/>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lastRenderedPageBreak/>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keepNext/>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30" w:name="_Toc158988415"/>
      <w:r>
        <w:rPr>
          <w:rStyle w:val="CharSectno"/>
        </w:rPr>
        <w:t>13</w:t>
      </w:r>
      <w:r>
        <w:t>.</w:t>
      </w:r>
      <w:r>
        <w:tab/>
        <w:t>Further</w:t>
      </w:r>
      <w:r>
        <w:rPr>
          <w:color w:val="000000"/>
        </w:rPr>
        <w:t xml:space="preserve"> exemptions</w:t>
      </w:r>
      <w:bookmarkEnd w:id="30"/>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31" w:name="_Toc158988416"/>
      <w:r>
        <w:rPr>
          <w:rStyle w:val="CharSectno"/>
        </w:rPr>
        <w:t>13A</w:t>
      </w:r>
      <w:r>
        <w:t>.</w:t>
      </w:r>
      <w:r>
        <w:tab/>
        <w:t>Partial exemption for transport by complying MPU</w:t>
      </w:r>
      <w:bookmarkEnd w:id="31"/>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lastRenderedPageBreak/>
        <w:tab/>
        <w:t>(c)</w:t>
      </w:r>
      <w:r>
        <w:tab/>
        <w:t>safety standards for vehicles and equipment;</w:t>
      </w:r>
    </w:p>
    <w:p>
      <w:pPr>
        <w:pStyle w:val="Defpara"/>
      </w:pPr>
      <w:r>
        <w:tab/>
        <w:t>(d)</w:t>
      </w:r>
      <w:r>
        <w:tab/>
        <w:t>stowage and constraint of dangerous goods carried by the MPU;</w:t>
      </w:r>
    </w:p>
    <w:p>
      <w:pPr>
        <w:pStyle w:val="Defpara"/>
        <w:keepNext/>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32" w:name="_Toc158988417"/>
      <w:r>
        <w:rPr>
          <w:rStyle w:val="CharSectno"/>
        </w:rPr>
        <w:t>13B</w:t>
      </w:r>
      <w:r>
        <w:t>.</w:t>
      </w:r>
      <w:r>
        <w:tab/>
        <w:t>Special provisions for tools of trade and dangerous goods for private use</w:t>
      </w:r>
      <w:bookmarkEnd w:id="32"/>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lastRenderedPageBreak/>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lastRenderedPageBreak/>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33" w:name="_Toc158973930"/>
      <w:bookmarkStart w:id="34" w:name="_Toc158982872"/>
      <w:bookmarkStart w:id="35" w:name="_Toc158983239"/>
      <w:bookmarkStart w:id="36" w:name="_Toc158988418"/>
      <w:r>
        <w:rPr>
          <w:rStyle w:val="CharDivNo"/>
        </w:rPr>
        <w:t>Division 4</w:t>
      </w:r>
      <w:r>
        <w:t> — </w:t>
      </w:r>
      <w:r>
        <w:rPr>
          <w:rStyle w:val="CharDivText"/>
        </w:rPr>
        <w:t>Instruction and training</w:t>
      </w:r>
      <w:bookmarkEnd w:id="33"/>
      <w:bookmarkEnd w:id="34"/>
      <w:bookmarkEnd w:id="35"/>
      <w:bookmarkEnd w:id="36"/>
    </w:p>
    <w:p>
      <w:pPr>
        <w:pStyle w:val="Heading5"/>
        <w:rPr>
          <w:color w:val="000000"/>
        </w:rPr>
      </w:pPr>
      <w:bookmarkStart w:id="37" w:name="_Toc158988419"/>
      <w:r>
        <w:rPr>
          <w:rStyle w:val="CharSectno"/>
          <w:color w:val="000000"/>
        </w:rPr>
        <w:t>14</w:t>
      </w:r>
      <w:r>
        <w:rPr>
          <w:color w:val="000000"/>
        </w:rPr>
        <w:t>.</w:t>
      </w:r>
      <w:r>
        <w:rPr>
          <w:color w:val="000000"/>
        </w:rPr>
        <w:tab/>
        <w:t>Instruction and training</w:t>
      </w:r>
      <w:bookmarkEnd w:id="37"/>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lastRenderedPageBreak/>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keepNext/>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38" w:name="_Toc158988420"/>
      <w:r>
        <w:rPr>
          <w:rStyle w:val="CharSectno"/>
          <w:color w:val="000000"/>
        </w:rPr>
        <w:t>15</w:t>
      </w:r>
      <w:r>
        <w:rPr>
          <w:color w:val="000000"/>
        </w:rPr>
        <w:t>.</w:t>
      </w:r>
      <w:r>
        <w:rPr>
          <w:color w:val="000000"/>
        </w:rPr>
        <w:tab/>
        <w:t>Approvals — tests and training courses for drivers</w:t>
      </w:r>
      <w:bookmarkEnd w:id="38"/>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 xml:space="preserve">The Chief Officer may approve a test of competence or a training course only if the Chief Officer considers that a person who passes the test, or completes the course, will have the skills </w:t>
      </w:r>
      <w:r>
        <w:rPr>
          <w:color w:val="000000"/>
        </w:rPr>
        <w:lastRenderedPageBreak/>
        <w:t>and knowledge to perform the task to which the test or course relates safely and in accordance with these regulations.</w:t>
      </w:r>
    </w:p>
    <w:p>
      <w:pPr>
        <w:pStyle w:val="Heading3"/>
      </w:pPr>
      <w:bookmarkStart w:id="39" w:name="_Toc158973933"/>
      <w:bookmarkStart w:id="40" w:name="_Toc158982875"/>
      <w:bookmarkStart w:id="41" w:name="_Toc158983242"/>
      <w:bookmarkStart w:id="42" w:name="_Toc158988421"/>
      <w:r>
        <w:rPr>
          <w:rStyle w:val="CharDivNo"/>
        </w:rPr>
        <w:t>Division 5</w:t>
      </w:r>
      <w:r>
        <w:t> — </w:t>
      </w:r>
      <w:r>
        <w:rPr>
          <w:rStyle w:val="CharDivText"/>
        </w:rPr>
        <w:t>Goods suspected of being dangerous goods</w:t>
      </w:r>
      <w:bookmarkEnd w:id="39"/>
      <w:bookmarkEnd w:id="40"/>
      <w:bookmarkEnd w:id="41"/>
      <w:bookmarkEnd w:id="42"/>
    </w:p>
    <w:p>
      <w:pPr>
        <w:pStyle w:val="Heading5"/>
      </w:pPr>
      <w:bookmarkStart w:id="43" w:name="_Toc158988422"/>
      <w:r>
        <w:rPr>
          <w:rStyle w:val="CharSectno"/>
        </w:rPr>
        <w:t>16</w:t>
      </w:r>
      <w:r>
        <w:t>.</w:t>
      </w:r>
      <w:r>
        <w:tab/>
      </w:r>
      <w:r>
        <w:rPr>
          <w:color w:val="000000"/>
        </w:rPr>
        <w:t>Goods suspected of being dangerous goods</w:t>
      </w:r>
      <w:bookmarkEnd w:id="4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44" w:name="_Toc158973935"/>
      <w:bookmarkStart w:id="45" w:name="_Toc158982877"/>
      <w:bookmarkStart w:id="46" w:name="_Toc158983244"/>
      <w:bookmarkStart w:id="47" w:name="_Toc158988423"/>
      <w:r>
        <w:rPr>
          <w:rStyle w:val="CharDivNo"/>
        </w:rPr>
        <w:t>Division 6</w:t>
      </w:r>
      <w:r>
        <w:t> — </w:t>
      </w:r>
      <w:r>
        <w:rPr>
          <w:rStyle w:val="CharDivText"/>
        </w:rPr>
        <w:t>Determinations</w:t>
      </w:r>
      <w:bookmarkEnd w:id="44"/>
      <w:bookmarkEnd w:id="45"/>
      <w:bookmarkEnd w:id="46"/>
      <w:bookmarkEnd w:id="47"/>
    </w:p>
    <w:p>
      <w:pPr>
        <w:pStyle w:val="Heading5"/>
        <w:rPr>
          <w:color w:val="000000"/>
        </w:rPr>
      </w:pPr>
      <w:bookmarkStart w:id="48" w:name="_Toc158988424"/>
      <w:r>
        <w:rPr>
          <w:rStyle w:val="CharSectno"/>
          <w:color w:val="000000"/>
        </w:rPr>
        <w:t>17</w:t>
      </w:r>
      <w:r>
        <w:rPr>
          <w:color w:val="000000"/>
        </w:rPr>
        <w:t>.</w:t>
      </w:r>
      <w:r>
        <w:rPr>
          <w:color w:val="000000"/>
        </w:rPr>
        <w:tab/>
        <w:t>Determinations — dangerous goods</w:t>
      </w:r>
      <w:bookmarkEnd w:id="48"/>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w:t>
      </w:r>
      <w:r>
        <w:rPr>
          <w:color w:val="000000"/>
        </w:rPr>
        <w:lastRenderedPageBreak/>
        <w:t xml:space="preserve">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49" w:name="_Toc158988425"/>
      <w:r>
        <w:rPr>
          <w:rStyle w:val="CharSectno"/>
          <w:color w:val="000000"/>
        </w:rPr>
        <w:t>18</w:t>
      </w:r>
      <w:r>
        <w:rPr>
          <w:color w:val="000000"/>
        </w:rPr>
        <w:t>.</w:t>
      </w:r>
      <w:r>
        <w:rPr>
          <w:color w:val="000000"/>
        </w:rPr>
        <w:tab/>
        <w:t>Determinations — packaging</w:t>
      </w:r>
      <w:bookmarkEnd w:id="49"/>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50" w:name="_Toc158988426"/>
      <w:r>
        <w:rPr>
          <w:rStyle w:val="CharSectno"/>
        </w:rPr>
        <w:t>19</w:t>
      </w:r>
      <w:r>
        <w:t>.</w:t>
      </w:r>
      <w:r>
        <w:tab/>
        <w:t>Determinations — vehicles, routes, areas, times etc.</w:t>
      </w:r>
      <w:bookmarkEnd w:id="50"/>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51" w:name="_Toc158988427"/>
      <w:r>
        <w:rPr>
          <w:rStyle w:val="CharSectno"/>
        </w:rPr>
        <w:lastRenderedPageBreak/>
        <w:t>20</w:t>
      </w:r>
      <w:r>
        <w:t>.</w:t>
      </w:r>
      <w:r>
        <w:tab/>
        <w:t>Determinations may be subject to conditions</w:t>
      </w:r>
      <w:bookmarkEnd w:id="51"/>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52" w:name="_Toc158988428"/>
      <w:r>
        <w:rPr>
          <w:rStyle w:val="CharSectno"/>
          <w:color w:val="000000"/>
        </w:rPr>
        <w:t>21</w:t>
      </w:r>
      <w:r>
        <w:rPr>
          <w:color w:val="000000"/>
        </w:rPr>
        <w:t>.</w:t>
      </w:r>
      <w:r>
        <w:rPr>
          <w:color w:val="000000"/>
        </w:rPr>
        <w:tab/>
        <w:t>Effect of determinations on contrary obligations under these regulations</w:t>
      </w:r>
      <w:bookmarkEnd w:id="52"/>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53" w:name="_Toc158988429"/>
      <w:r>
        <w:rPr>
          <w:rStyle w:val="CharSectno"/>
          <w:color w:val="000000"/>
        </w:rPr>
        <w:t>22</w:t>
      </w:r>
      <w:r>
        <w:rPr>
          <w:color w:val="000000"/>
        </w:rPr>
        <w:t>.</w:t>
      </w:r>
      <w:r>
        <w:rPr>
          <w:color w:val="000000"/>
        </w:rPr>
        <w:tab/>
        <w:t>Offence to do any thing prohibited by a determination</w:t>
      </w:r>
      <w:bookmarkEnd w:id="53"/>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54" w:name="_Toc158988430"/>
      <w:r>
        <w:rPr>
          <w:rStyle w:val="CharSectno"/>
        </w:rPr>
        <w:t>23</w:t>
      </w:r>
      <w:r>
        <w:t>.</w:t>
      </w:r>
      <w:r>
        <w:tab/>
        <w:t>Register of determinations</w:t>
      </w:r>
      <w:bookmarkEnd w:id="54"/>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lastRenderedPageBreak/>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55" w:name="_Toc158988431"/>
      <w:r>
        <w:rPr>
          <w:rStyle w:val="CharSectno"/>
        </w:rPr>
        <w:t>24</w:t>
      </w:r>
      <w:r>
        <w:t>.</w:t>
      </w:r>
      <w:r>
        <w:tab/>
        <w:t>Records of determinations</w:t>
      </w:r>
      <w:bookmarkEnd w:id="5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56" w:name="_Toc158973944"/>
      <w:bookmarkStart w:id="57" w:name="_Toc158982886"/>
      <w:bookmarkStart w:id="58" w:name="_Toc158983253"/>
      <w:bookmarkStart w:id="59" w:name="_Toc158988432"/>
      <w:r>
        <w:rPr>
          <w:rStyle w:val="CharDivNo"/>
        </w:rPr>
        <w:t>Division 7</w:t>
      </w:r>
      <w:r>
        <w:t> — </w:t>
      </w:r>
      <w:r>
        <w:rPr>
          <w:rStyle w:val="CharDivText"/>
        </w:rPr>
        <w:t>Registers of determinations, exemptions, approvals and licences</w:t>
      </w:r>
      <w:bookmarkEnd w:id="56"/>
      <w:bookmarkEnd w:id="57"/>
      <w:bookmarkEnd w:id="58"/>
      <w:bookmarkEnd w:id="59"/>
    </w:p>
    <w:p>
      <w:pPr>
        <w:pStyle w:val="Heading5"/>
      </w:pPr>
      <w:bookmarkStart w:id="60" w:name="_Toc158988433"/>
      <w:r>
        <w:rPr>
          <w:rStyle w:val="CharSectno"/>
        </w:rPr>
        <w:t>25</w:t>
      </w:r>
      <w:r>
        <w:t>.</w:t>
      </w:r>
      <w:r>
        <w:tab/>
        <w:t>Term used: register</w:t>
      </w:r>
      <w:bookmarkEnd w:id="60"/>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lastRenderedPageBreak/>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61" w:name="_Toc158988434"/>
      <w:r>
        <w:rPr>
          <w:rStyle w:val="CharSectno"/>
        </w:rPr>
        <w:t>26</w:t>
      </w:r>
      <w:r>
        <w:t>.</w:t>
      </w:r>
      <w:r>
        <w:tab/>
        <w:t>Registers may be kept on computer</w:t>
      </w:r>
      <w:bookmarkEnd w:id="61"/>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62" w:name="_Toc158988435"/>
      <w:r>
        <w:rPr>
          <w:rStyle w:val="CharSectno"/>
        </w:rPr>
        <w:t>27</w:t>
      </w:r>
      <w:r>
        <w:t>.</w:t>
      </w:r>
      <w:r>
        <w:tab/>
        <w:t>Inspection of registers</w:t>
      </w:r>
      <w:bookmarkEnd w:id="62"/>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63" w:name="_Toc158973948"/>
      <w:bookmarkStart w:id="64" w:name="_Toc158982890"/>
      <w:bookmarkStart w:id="65" w:name="_Toc158983257"/>
      <w:bookmarkStart w:id="66" w:name="_Toc158988436"/>
      <w:r>
        <w:rPr>
          <w:rStyle w:val="CharPartNo"/>
        </w:rPr>
        <w:lastRenderedPageBreak/>
        <w:t>Part 2</w:t>
      </w:r>
      <w:r>
        <w:t> — </w:t>
      </w:r>
      <w:r>
        <w:rPr>
          <w:rStyle w:val="CharPartText"/>
        </w:rPr>
        <w:t>Key concepts</w:t>
      </w:r>
      <w:bookmarkEnd w:id="63"/>
      <w:bookmarkEnd w:id="64"/>
      <w:bookmarkEnd w:id="65"/>
      <w:bookmarkEnd w:id="66"/>
    </w:p>
    <w:p>
      <w:pPr>
        <w:pStyle w:val="Heading3"/>
        <w:spacing w:before="200"/>
      </w:pPr>
      <w:bookmarkStart w:id="67" w:name="_Toc158973949"/>
      <w:bookmarkStart w:id="68" w:name="_Toc158982891"/>
      <w:bookmarkStart w:id="69" w:name="_Toc158983258"/>
      <w:bookmarkStart w:id="70" w:name="_Toc158988437"/>
      <w:r>
        <w:rPr>
          <w:rStyle w:val="CharDivNo"/>
        </w:rPr>
        <w:t>Division 1</w:t>
      </w:r>
      <w:r>
        <w:t> — </w:t>
      </w:r>
      <w:r>
        <w:rPr>
          <w:rStyle w:val="CharDivText"/>
        </w:rPr>
        <w:t>Kinds of goods</w:t>
      </w:r>
      <w:bookmarkEnd w:id="67"/>
      <w:bookmarkEnd w:id="68"/>
      <w:bookmarkEnd w:id="69"/>
      <w:bookmarkEnd w:id="70"/>
    </w:p>
    <w:p>
      <w:pPr>
        <w:pStyle w:val="Heading5"/>
        <w:spacing w:before="180"/>
      </w:pPr>
      <w:bookmarkStart w:id="71" w:name="_Toc158988438"/>
      <w:r>
        <w:rPr>
          <w:rStyle w:val="CharSectno"/>
        </w:rPr>
        <w:t>28</w:t>
      </w:r>
      <w:r>
        <w:t>.</w:t>
      </w:r>
      <w:r>
        <w:tab/>
        <w:t>Term used: dangerous goods</w:t>
      </w:r>
      <w:bookmarkEnd w:id="71"/>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lastRenderedPageBreak/>
        <w:tab/>
        <w:t>(c)</w:t>
      </w:r>
      <w:r>
        <w:tab/>
        <w:t>Class 7 (radioactive materials).</w:t>
      </w:r>
    </w:p>
    <w:p>
      <w:pPr>
        <w:pStyle w:val="Footnotesection"/>
      </w:pPr>
      <w:r>
        <w:tab/>
        <w:t>[Regulation 28 amended: Gazette 22 Jun 2010 p. 2720.]</w:t>
      </w:r>
    </w:p>
    <w:p>
      <w:pPr>
        <w:pStyle w:val="Heading5"/>
        <w:spacing w:before="240"/>
      </w:pPr>
      <w:bookmarkStart w:id="72" w:name="_Toc158988439"/>
      <w:r>
        <w:rPr>
          <w:rStyle w:val="CharSectno"/>
        </w:rPr>
        <w:t>29</w:t>
      </w:r>
      <w:r>
        <w:t>.</w:t>
      </w:r>
      <w:r>
        <w:tab/>
        <w:t>Terms used: UN Class, UN Division</w:t>
      </w:r>
      <w:bookmarkEnd w:id="72"/>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73" w:name="_Toc158988440"/>
      <w:r>
        <w:rPr>
          <w:rStyle w:val="CharSectno"/>
        </w:rPr>
        <w:t>30</w:t>
      </w:r>
      <w:r>
        <w:t>.</w:t>
      </w:r>
      <w:r>
        <w:tab/>
        <w:t>Term used: Subsidiary Hazard</w:t>
      </w:r>
      <w:bookmarkEnd w:id="73"/>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lastRenderedPageBreak/>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74" w:name="_Toc158988441"/>
      <w:r>
        <w:rPr>
          <w:rStyle w:val="CharSectno"/>
          <w:color w:val="000000"/>
        </w:rPr>
        <w:t>31</w:t>
      </w:r>
      <w:r>
        <w:rPr>
          <w:color w:val="000000"/>
        </w:rPr>
        <w:t>.</w:t>
      </w:r>
      <w:r>
        <w:rPr>
          <w:color w:val="000000"/>
        </w:rPr>
        <w:tab/>
        <w:t>Term used: Packing Group</w:t>
      </w:r>
      <w:bookmarkEnd w:id="74"/>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75" w:name="_Toc158988442"/>
      <w:r>
        <w:rPr>
          <w:rStyle w:val="CharSectno"/>
        </w:rPr>
        <w:lastRenderedPageBreak/>
        <w:t>32</w:t>
      </w:r>
      <w:r>
        <w:t>.</w:t>
      </w:r>
      <w:r>
        <w:tab/>
        <w:t>Term used: incompatible</w:t>
      </w:r>
      <w:bookmarkEnd w:id="75"/>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76" w:name="_Toc158973955"/>
      <w:bookmarkStart w:id="77" w:name="_Toc158982897"/>
      <w:bookmarkStart w:id="78" w:name="_Toc158983264"/>
      <w:bookmarkStart w:id="79" w:name="_Toc158988443"/>
      <w:r>
        <w:rPr>
          <w:rStyle w:val="CharDivNo"/>
        </w:rPr>
        <w:t>Division 2</w:t>
      </w:r>
      <w:r>
        <w:t> — </w:t>
      </w:r>
      <w:r>
        <w:rPr>
          <w:rStyle w:val="CharDivText"/>
        </w:rPr>
        <w:t>Containers and loads</w:t>
      </w:r>
      <w:bookmarkEnd w:id="76"/>
      <w:bookmarkEnd w:id="77"/>
      <w:bookmarkEnd w:id="78"/>
      <w:bookmarkEnd w:id="79"/>
    </w:p>
    <w:p>
      <w:pPr>
        <w:pStyle w:val="Heading5"/>
      </w:pPr>
      <w:bookmarkStart w:id="80" w:name="_Toc158893543"/>
      <w:bookmarkStart w:id="81" w:name="_Toc158893674"/>
      <w:bookmarkStart w:id="82" w:name="_Toc158988444"/>
      <w:r>
        <w:rPr>
          <w:rStyle w:val="CharSectno"/>
        </w:rPr>
        <w:t>33</w:t>
      </w:r>
      <w:r>
        <w:t>.</w:t>
      </w:r>
      <w:r>
        <w:tab/>
        <w:t>Meaning of bulk container</w:t>
      </w:r>
      <w:bookmarkEnd w:id="80"/>
      <w:bookmarkEnd w:id="81"/>
      <w:bookmarkEnd w:id="82"/>
    </w:p>
    <w:p>
      <w:pPr>
        <w:pStyle w:val="Subsection"/>
      </w:pPr>
      <w:r>
        <w:tab/>
        <w:t>(1)</w:t>
      </w:r>
      <w:r>
        <w:tab/>
        <w:t xml:space="preserve">A </w:t>
      </w:r>
      <w:r>
        <w:rPr>
          <w:rStyle w:val="CharDefText"/>
        </w:rPr>
        <w:t>bulk container</w:t>
      </w:r>
      <w:r>
        <w:t xml:space="preserve"> is a system for containing solid substances, including any liner or coating that — </w:t>
      </w:r>
    </w:p>
    <w:p>
      <w:pPr>
        <w:pStyle w:val="Indenta"/>
      </w:pPr>
      <w:r>
        <w:tab/>
        <w:t>(a)</w:t>
      </w:r>
      <w:r>
        <w:tab/>
        <w:t>is designed for transporting solid substances which are in direct contact with the system; and</w:t>
      </w:r>
    </w:p>
    <w:p>
      <w:pPr>
        <w:pStyle w:val="Indenta"/>
      </w:pPr>
      <w:r>
        <w:tab/>
        <w:t>(b)</w:t>
      </w:r>
      <w:r>
        <w:tab/>
        <w:t>is of a permanent character suitable for repeated use; and</w:t>
      </w:r>
    </w:p>
    <w:p>
      <w:pPr>
        <w:pStyle w:val="Indenta"/>
      </w:pPr>
      <w:r>
        <w:tab/>
        <w:t>(c)</w:t>
      </w:r>
      <w:r>
        <w:tab/>
        <w:t xml:space="preserve">is designed to facilitate the transport of solid substances by one or more modes of transport, without the need for </w:t>
      </w:r>
      <w:r>
        <w:lastRenderedPageBreak/>
        <w:t>the substances to be unloaded and reloaded when transferred from one mode to another; and</w:t>
      </w:r>
    </w:p>
    <w:p>
      <w:pPr>
        <w:pStyle w:val="Indenta"/>
      </w:pPr>
      <w:r>
        <w:tab/>
        <w:t>(d)</w:t>
      </w:r>
      <w:r>
        <w:tab/>
        <w:t>is fitted with devices that permit ready handling; and</w:t>
      </w:r>
    </w:p>
    <w:p>
      <w:pPr>
        <w:pStyle w:val="Indenta"/>
      </w:pPr>
      <w:r>
        <w:tab/>
        <w:t>(e)</w:t>
      </w:r>
      <w:r>
        <w:tab/>
        <w:t>has a capacity of not less than 1 m</w:t>
      </w:r>
      <w:r>
        <w:rPr>
          <w:vertAlign w:val="superscript"/>
        </w:rPr>
        <w:t>3</w:t>
      </w:r>
      <w:r>
        <w:t>.</w:t>
      </w:r>
    </w:p>
    <w:p>
      <w:pPr>
        <w:pStyle w:val="PermNoteHeading"/>
      </w:pPr>
      <w:r>
        <w:tab/>
        <w:t>Examples for this subregulation:</w:t>
      </w:r>
    </w:p>
    <w:p>
      <w:pPr>
        <w:pStyle w:val="PermNoteText"/>
      </w:pPr>
      <w:r>
        <w:tab/>
      </w:r>
      <w:r>
        <w:tab/>
        <w:t>Freight containers, offshore bulk containers, skips, bulk bins, swap bodies, trough</w:t>
      </w:r>
      <w:r>
        <w:noBreakHyphen/>
        <w:t>shaped containers, roller containers, load compartments of vehicles and flexible containers.</w:t>
      </w:r>
    </w:p>
    <w:p>
      <w:pPr>
        <w:pStyle w:val="Subsection"/>
      </w:pPr>
      <w:r>
        <w:tab/>
        <w:t>(2)</w:t>
      </w:r>
      <w:r>
        <w:tab/>
        <w:t xml:space="preserve">However, an IBC, large packaging or a portable tank is not a </w:t>
      </w:r>
      <w:r>
        <w:rPr>
          <w:rStyle w:val="CharDefText"/>
        </w:rPr>
        <w:t>bulk container</w:t>
      </w:r>
      <w:r>
        <w:t>.</w:t>
      </w:r>
    </w:p>
    <w:p>
      <w:pPr>
        <w:pStyle w:val="Footnotesection"/>
      </w:pPr>
      <w:r>
        <w:tab/>
        <w:t>[Regulation 33 inserted: SL 2024/22 r. 5.]</w:t>
      </w:r>
    </w:p>
    <w:p>
      <w:pPr>
        <w:pStyle w:val="Heading5"/>
      </w:pPr>
      <w:bookmarkStart w:id="83" w:name="_Toc158988445"/>
      <w:r>
        <w:rPr>
          <w:rStyle w:val="CharSectno"/>
        </w:rPr>
        <w:t>34</w:t>
      </w:r>
      <w:r>
        <w:t>.</w:t>
      </w:r>
      <w:r>
        <w:tab/>
        <w:t>Terms used: IBC, intermediate bulk container</w:t>
      </w:r>
      <w:bookmarkEnd w:id="83"/>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lastRenderedPageBreak/>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84" w:name="_Toc158988446"/>
      <w:r>
        <w:rPr>
          <w:rStyle w:val="CharSectno"/>
          <w:color w:val="000000"/>
        </w:rPr>
        <w:t>35</w:t>
      </w:r>
      <w:r>
        <w:rPr>
          <w:color w:val="000000"/>
        </w:rPr>
        <w:t>.</w:t>
      </w:r>
      <w:r>
        <w:rPr>
          <w:color w:val="000000"/>
        </w:rPr>
        <w:tab/>
        <w:t>Terms used: MEGC, multiple</w:t>
      </w:r>
      <w:r>
        <w:rPr>
          <w:color w:val="000000"/>
        </w:rPr>
        <w:noBreakHyphen/>
        <w:t>element gas container</w:t>
      </w:r>
      <w:bookmarkEnd w:id="84"/>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85" w:name="_Toc158893545"/>
      <w:bookmarkStart w:id="86" w:name="_Toc158893676"/>
      <w:bookmarkStart w:id="87" w:name="_Toc158988447"/>
      <w:r>
        <w:rPr>
          <w:rStyle w:val="CharSectno"/>
        </w:rPr>
        <w:t>36</w:t>
      </w:r>
      <w:r>
        <w:t>.</w:t>
      </w:r>
      <w:r>
        <w:tab/>
        <w:t>References to tank</w:t>
      </w:r>
      <w:bookmarkEnd w:id="85"/>
      <w:bookmarkEnd w:id="86"/>
      <w:bookmarkEnd w:id="87"/>
    </w:p>
    <w:p>
      <w:pPr>
        <w:pStyle w:val="Subsection"/>
      </w:pPr>
      <w:r>
        <w:tab/>
        <w:t>(1)</w:t>
      </w:r>
      <w:r>
        <w:tab/>
        <w:t xml:space="preserve">Unless the context otherwise requires, a reference in these regulations to a </w:t>
      </w:r>
      <w:r>
        <w:rPr>
          <w:rStyle w:val="CharDefText"/>
        </w:rPr>
        <w:t>tank</w:t>
      </w:r>
      <w:r>
        <w:t xml:space="preserve"> is a reference to a portable tank, a road tank vehicle, a rail tank wagon, or a receptacle used to contain a solid, liquid or gas.</w:t>
      </w:r>
    </w:p>
    <w:p>
      <w:pPr>
        <w:pStyle w:val="Subsection"/>
      </w:pPr>
      <w:r>
        <w:tab/>
        <w:t>(2)</w:t>
      </w:r>
      <w:r>
        <w:tab/>
        <w:t>However, a reference to a tank includes an item mentioned in subregulation (1) that is used to transport a gas (as defined in the ADG Code section 2.2.1.1) only if it has a capacity of not less than 450 litres.</w:t>
      </w:r>
    </w:p>
    <w:p>
      <w:pPr>
        <w:pStyle w:val="Footnotesection"/>
      </w:pPr>
      <w:r>
        <w:tab/>
        <w:t>[Regulation 36 inserted: SL 2024/22 r. 6.]</w:t>
      </w:r>
    </w:p>
    <w:p>
      <w:pPr>
        <w:pStyle w:val="Ednotesection"/>
        <w:rPr>
          <w:color w:val="000000"/>
        </w:rPr>
      </w:pPr>
      <w:r>
        <w:t>[</w:t>
      </w:r>
      <w:r>
        <w:rPr>
          <w:b/>
        </w:rPr>
        <w:t>37.</w:t>
      </w:r>
      <w:r>
        <w:tab/>
        <w:t>Deleted: Gazette 13 Jun 2014 p. 1932.]</w:t>
      </w:r>
    </w:p>
    <w:p>
      <w:pPr>
        <w:pStyle w:val="Heading5"/>
      </w:pPr>
      <w:bookmarkStart w:id="88" w:name="_Toc158988448"/>
      <w:r>
        <w:rPr>
          <w:rStyle w:val="CharSectno"/>
        </w:rPr>
        <w:lastRenderedPageBreak/>
        <w:t>38</w:t>
      </w:r>
      <w:r>
        <w:t>.</w:t>
      </w:r>
      <w:r>
        <w:tab/>
        <w:t>Loads</w:t>
      </w:r>
      <w:bookmarkEnd w:id="88"/>
    </w:p>
    <w:p>
      <w:pPr>
        <w:pStyle w:val="Subsection"/>
        <w:keepNext/>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89" w:name="_Toc158973961"/>
      <w:bookmarkStart w:id="90" w:name="_Toc158982903"/>
      <w:bookmarkStart w:id="91" w:name="_Toc158983270"/>
      <w:bookmarkStart w:id="92" w:name="_Toc158988449"/>
      <w:r>
        <w:rPr>
          <w:rStyle w:val="CharDivNo"/>
        </w:rPr>
        <w:t>Division 3</w:t>
      </w:r>
      <w:r>
        <w:t> — </w:t>
      </w:r>
      <w:r>
        <w:rPr>
          <w:rStyle w:val="CharDivText"/>
        </w:rPr>
        <w:t>Persons with special duties</w:t>
      </w:r>
      <w:bookmarkEnd w:id="89"/>
      <w:bookmarkEnd w:id="90"/>
      <w:bookmarkEnd w:id="91"/>
      <w:bookmarkEnd w:id="92"/>
    </w:p>
    <w:p>
      <w:pPr>
        <w:pStyle w:val="Heading5"/>
      </w:pPr>
      <w:bookmarkStart w:id="93" w:name="_Toc158988450"/>
      <w:r>
        <w:rPr>
          <w:rStyle w:val="CharSectno"/>
        </w:rPr>
        <w:t>39</w:t>
      </w:r>
      <w:r>
        <w:t>.</w:t>
      </w:r>
      <w:r>
        <w:tab/>
        <w:t>Term used: owner</w:t>
      </w:r>
      <w:bookmarkEnd w:id="93"/>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94" w:name="_Toc158988451"/>
      <w:r>
        <w:rPr>
          <w:rStyle w:val="CharSectno"/>
        </w:rPr>
        <w:t>40</w:t>
      </w:r>
      <w:r>
        <w:t>.</w:t>
      </w:r>
      <w:r>
        <w:tab/>
        <w:t>Terms used: consigns, consignor</w:t>
      </w:r>
      <w:bookmarkEnd w:id="94"/>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lastRenderedPageBreak/>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95" w:name="_Toc158988452"/>
      <w:r>
        <w:rPr>
          <w:rStyle w:val="CharSectno"/>
        </w:rPr>
        <w:t>41</w:t>
      </w:r>
      <w:r>
        <w:t>.</w:t>
      </w:r>
      <w:r>
        <w:tab/>
        <w:t>Terms used: packs, packer</w:t>
      </w:r>
      <w:bookmarkEnd w:id="95"/>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96" w:name="_Toc158988453"/>
      <w:r>
        <w:rPr>
          <w:rStyle w:val="CharSectno"/>
        </w:rPr>
        <w:lastRenderedPageBreak/>
        <w:t>42</w:t>
      </w:r>
      <w:r>
        <w:t>.</w:t>
      </w:r>
      <w:r>
        <w:tab/>
        <w:t>Terms used: loads, loader</w:t>
      </w:r>
      <w:bookmarkEnd w:id="96"/>
    </w:p>
    <w:p>
      <w:pPr>
        <w:pStyle w:val="Subsection"/>
        <w:keepNext/>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97" w:name="_Toc158988454"/>
      <w:r>
        <w:rPr>
          <w:rStyle w:val="CharSectno"/>
        </w:rPr>
        <w:t>43</w:t>
      </w:r>
      <w:r>
        <w:t>.</w:t>
      </w:r>
      <w:r>
        <w:tab/>
        <w:t>Term used: prime contractor</w:t>
      </w:r>
      <w:bookmarkEnd w:id="97"/>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98" w:name="_Toc158988455"/>
      <w:r>
        <w:rPr>
          <w:rStyle w:val="CharSectno"/>
        </w:rPr>
        <w:t>44</w:t>
      </w:r>
      <w:r>
        <w:t>.</w:t>
      </w:r>
      <w:r>
        <w:tab/>
        <w:t>Term used: rail operator</w:t>
      </w:r>
      <w:bookmarkEnd w:id="98"/>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99" w:name="_Toc158973968"/>
      <w:bookmarkStart w:id="100" w:name="_Toc158982910"/>
      <w:bookmarkStart w:id="101" w:name="_Toc158983277"/>
      <w:bookmarkStart w:id="102" w:name="_Toc158988456"/>
      <w:r>
        <w:rPr>
          <w:rStyle w:val="CharDivNo"/>
        </w:rPr>
        <w:t>Division 4</w:t>
      </w:r>
      <w:r>
        <w:t> — </w:t>
      </w:r>
      <w:r>
        <w:rPr>
          <w:rStyle w:val="CharDivText"/>
        </w:rPr>
        <w:t>Miscellaneous</w:t>
      </w:r>
      <w:bookmarkEnd w:id="99"/>
      <w:bookmarkEnd w:id="100"/>
      <w:bookmarkEnd w:id="101"/>
      <w:bookmarkEnd w:id="102"/>
    </w:p>
    <w:p>
      <w:pPr>
        <w:pStyle w:val="Heading5"/>
        <w:rPr>
          <w:color w:val="000000"/>
        </w:rPr>
      </w:pPr>
      <w:bookmarkStart w:id="103" w:name="_Toc158988457"/>
      <w:r>
        <w:rPr>
          <w:rStyle w:val="CharSectno"/>
          <w:color w:val="000000"/>
        </w:rPr>
        <w:t>45</w:t>
      </w:r>
      <w:r>
        <w:rPr>
          <w:color w:val="000000"/>
        </w:rPr>
        <w:t>.</w:t>
      </w:r>
      <w:r>
        <w:rPr>
          <w:color w:val="000000"/>
        </w:rPr>
        <w:tab/>
        <w:t>Term used: packed in limited quantities</w:t>
      </w:r>
      <w:bookmarkEnd w:id="103"/>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lastRenderedPageBreak/>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104" w:name="_Toc158973970"/>
      <w:bookmarkStart w:id="105" w:name="_Toc158982912"/>
      <w:bookmarkStart w:id="106" w:name="_Toc158983279"/>
      <w:bookmarkStart w:id="107" w:name="_Toc158988458"/>
      <w:r>
        <w:rPr>
          <w:rStyle w:val="CharPartNo"/>
          <w:color w:val="000000"/>
        </w:rPr>
        <w:lastRenderedPageBreak/>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04"/>
      <w:bookmarkEnd w:id="105"/>
      <w:bookmarkEnd w:id="106"/>
      <w:bookmarkEnd w:id="107"/>
    </w:p>
    <w:p>
      <w:pPr>
        <w:pStyle w:val="Heading5"/>
      </w:pPr>
      <w:bookmarkStart w:id="108" w:name="_Toc158988459"/>
      <w:r>
        <w:rPr>
          <w:rStyle w:val="CharSectno"/>
          <w:color w:val="000000"/>
        </w:rPr>
        <w:t>46</w:t>
      </w:r>
      <w:r>
        <w:t>.</w:t>
      </w:r>
      <w:r>
        <w:tab/>
        <w:t>Application of this Part</w:t>
      </w:r>
      <w:bookmarkEnd w:id="108"/>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109" w:name="_Toc158988460"/>
      <w:r>
        <w:rPr>
          <w:rStyle w:val="CharSectno"/>
          <w:color w:val="000000"/>
        </w:rPr>
        <w:t>47</w:t>
      </w:r>
      <w:r>
        <w:rPr>
          <w:color w:val="000000"/>
        </w:rPr>
        <w:t>.</w:t>
      </w:r>
      <w:r>
        <w:rPr>
          <w:color w:val="000000"/>
        </w:rPr>
        <w:tab/>
        <w:t>Duty on consignors</w:t>
      </w:r>
      <w:bookmarkEnd w:id="109"/>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10" w:name="_Toc158988461"/>
      <w:r>
        <w:rPr>
          <w:rStyle w:val="CharSectno"/>
          <w:color w:val="000000"/>
        </w:rPr>
        <w:t>48A</w:t>
      </w:r>
      <w:r>
        <w:t>.</w:t>
      </w:r>
      <w:r>
        <w:tab/>
        <w:t>Duty on packers</w:t>
      </w:r>
      <w:bookmarkEnd w:id="110"/>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lastRenderedPageBreak/>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111" w:name="_Toc158988462"/>
      <w:r>
        <w:rPr>
          <w:rStyle w:val="CharSectno"/>
          <w:color w:val="000000"/>
        </w:rPr>
        <w:t>48B</w:t>
      </w:r>
      <w:r>
        <w:t>.</w:t>
      </w:r>
      <w:r>
        <w:tab/>
        <w:t>Duty on loaders</w:t>
      </w:r>
      <w:bookmarkEnd w:id="111"/>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112" w:name="_Toc158988463"/>
      <w:r>
        <w:rPr>
          <w:rStyle w:val="CharSectno"/>
          <w:color w:val="000000"/>
        </w:rPr>
        <w:t>48</w:t>
      </w:r>
      <w:r>
        <w:rPr>
          <w:color w:val="000000"/>
        </w:rPr>
        <w:t>.</w:t>
      </w:r>
      <w:r>
        <w:rPr>
          <w:color w:val="000000"/>
        </w:rPr>
        <w:tab/>
        <w:t>Duty on prime contractors and rail operators</w:t>
      </w:r>
      <w:bookmarkEnd w:id="112"/>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113" w:name="_Toc158988464"/>
      <w:r>
        <w:rPr>
          <w:rStyle w:val="CharSectno"/>
          <w:color w:val="000000"/>
        </w:rPr>
        <w:t>49</w:t>
      </w:r>
      <w:r>
        <w:rPr>
          <w:color w:val="000000"/>
        </w:rPr>
        <w:t>.</w:t>
      </w:r>
      <w:r>
        <w:rPr>
          <w:color w:val="000000"/>
        </w:rPr>
        <w:tab/>
        <w:t>Duty on drivers</w:t>
      </w:r>
      <w:bookmarkEnd w:id="113"/>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keepNext/>
        <w:spacing w:before="60"/>
        <w:rPr>
          <w:color w:val="000000"/>
        </w:rPr>
      </w:pPr>
      <w:r>
        <w:rPr>
          <w:color w:val="000000"/>
        </w:rPr>
        <w:lastRenderedPageBreak/>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114" w:name="_Toc158973977"/>
      <w:bookmarkStart w:id="115" w:name="_Toc158982919"/>
      <w:bookmarkStart w:id="116" w:name="_Toc158983286"/>
      <w:bookmarkStart w:id="117" w:name="_Toc158988465"/>
      <w:r>
        <w:rPr>
          <w:rStyle w:val="CharPartNo"/>
        </w:rPr>
        <w:lastRenderedPageBreak/>
        <w:t>Part 4</w:t>
      </w:r>
      <w:r>
        <w:t> — </w:t>
      </w:r>
      <w:r>
        <w:rPr>
          <w:rStyle w:val="CharPartText"/>
        </w:rPr>
        <w:t>Packaging</w:t>
      </w:r>
      <w:bookmarkEnd w:id="114"/>
      <w:bookmarkEnd w:id="115"/>
      <w:bookmarkEnd w:id="116"/>
      <w:bookmarkEnd w:id="117"/>
    </w:p>
    <w:p>
      <w:pPr>
        <w:pStyle w:val="Heading3"/>
      </w:pPr>
      <w:bookmarkStart w:id="118" w:name="_Toc158973978"/>
      <w:bookmarkStart w:id="119" w:name="_Toc158982920"/>
      <w:bookmarkStart w:id="120" w:name="_Toc158983287"/>
      <w:bookmarkStart w:id="121" w:name="_Toc158988466"/>
      <w:r>
        <w:rPr>
          <w:rStyle w:val="CharDivNo"/>
        </w:rPr>
        <w:t>Division 1</w:t>
      </w:r>
      <w:r>
        <w:t> — </w:t>
      </w:r>
      <w:r>
        <w:rPr>
          <w:rStyle w:val="CharDivText"/>
        </w:rPr>
        <w:t>General</w:t>
      </w:r>
      <w:bookmarkEnd w:id="118"/>
      <w:bookmarkEnd w:id="119"/>
      <w:bookmarkEnd w:id="120"/>
      <w:bookmarkEnd w:id="121"/>
    </w:p>
    <w:p>
      <w:pPr>
        <w:pStyle w:val="Heading5"/>
      </w:pPr>
      <w:bookmarkStart w:id="122" w:name="_Toc158988467"/>
      <w:r>
        <w:rPr>
          <w:rStyle w:val="CharSectno"/>
        </w:rPr>
        <w:t>50</w:t>
      </w:r>
      <w:r>
        <w:t>.</w:t>
      </w:r>
      <w:r>
        <w:tab/>
      </w:r>
      <w:r>
        <w:rPr>
          <w:color w:val="000000"/>
        </w:rPr>
        <w:t>Application of Part</w:t>
      </w:r>
      <w:bookmarkEnd w:id="122"/>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123" w:name="_Toc158988468"/>
      <w:r>
        <w:rPr>
          <w:rStyle w:val="CharSectno"/>
          <w:color w:val="000000"/>
        </w:rPr>
        <w:t>52</w:t>
      </w:r>
      <w:r>
        <w:rPr>
          <w:color w:val="000000"/>
        </w:rPr>
        <w:t>.</w:t>
      </w:r>
      <w:r>
        <w:rPr>
          <w:color w:val="000000"/>
        </w:rPr>
        <w:tab/>
        <w:t>References to ADG Code Part 4 include Dangerous Goods List requirements</w:t>
      </w:r>
      <w:bookmarkEnd w:id="123"/>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24" w:name="_Toc158973981"/>
      <w:bookmarkStart w:id="125" w:name="_Toc158982923"/>
      <w:bookmarkStart w:id="126" w:name="_Toc158983290"/>
      <w:bookmarkStart w:id="127" w:name="_Toc158988469"/>
      <w:r>
        <w:rPr>
          <w:rStyle w:val="CharDivNo"/>
          <w:color w:val="000000"/>
        </w:rPr>
        <w:t>Division 2</w:t>
      </w:r>
      <w:r>
        <w:rPr>
          <w:color w:val="000000"/>
        </w:rPr>
        <w:t> — </w:t>
      </w:r>
      <w:r>
        <w:rPr>
          <w:rStyle w:val="CharDivText"/>
          <w:color w:val="000000"/>
        </w:rPr>
        <w:t>Suitability and design of packaging</w:t>
      </w:r>
      <w:bookmarkEnd w:id="124"/>
      <w:bookmarkEnd w:id="125"/>
      <w:bookmarkEnd w:id="126"/>
      <w:bookmarkEnd w:id="127"/>
    </w:p>
    <w:p>
      <w:pPr>
        <w:pStyle w:val="Heading5"/>
        <w:rPr>
          <w:color w:val="000000"/>
        </w:rPr>
      </w:pPr>
      <w:bookmarkStart w:id="128" w:name="_Toc158988470"/>
      <w:r>
        <w:rPr>
          <w:rStyle w:val="CharSectno"/>
          <w:color w:val="000000"/>
        </w:rPr>
        <w:t>53</w:t>
      </w:r>
      <w:r>
        <w:rPr>
          <w:color w:val="000000"/>
        </w:rPr>
        <w:t>.</w:t>
      </w:r>
      <w:r>
        <w:rPr>
          <w:color w:val="000000"/>
        </w:rPr>
        <w:tab/>
        <w:t>Suitability of packaging for transport</w:t>
      </w:r>
      <w:bookmarkEnd w:id="128"/>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lastRenderedPageBreak/>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129" w:name="_Toc158988471"/>
      <w:r>
        <w:rPr>
          <w:rStyle w:val="CharSectno"/>
        </w:rPr>
        <w:t>54</w:t>
      </w:r>
      <w:r>
        <w:t>.</w:t>
      </w:r>
      <w:r>
        <w:tab/>
        <w:t>Marking packaging</w:t>
      </w:r>
      <w:bookmarkEnd w:id="129"/>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130" w:name="_Toc158988472"/>
      <w:r>
        <w:rPr>
          <w:rStyle w:val="CharSectno"/>
        </w:rPr>
        <w:t>55</w:t>
      </w:r>
      <w:r>
        <w:t>.</w:t>
      </w:r>
      <w:r>
        <w:tab/>
        <w:t>Applications for approval of packaging designs</w:t>
      </w:r>
      <w:bookmarkEnd w:id="130"/>
    </w:p>
    <w:p>
      <w:pPr>
        <w:pStyle w:val="Subsection"/>
      </w:pPr>
      <w:r>
        <w:tab/>
        <w:t>(1)</w:t>
      </w:r>
      <w:r>
        <w:tab/>
        <w:t>This regulation applies to packaging that is required to undergo tests under the ADG Code Part 6.</w:t>
      </w:r>
    </w:p>
    <w:p>
      <w:pPr>
        <w:pStyle w:val="Subsection"/>
        <w:rPr>
          <w:color w:val="000000"/>
        </w:rPr>
      </w:pPr>
      <w:r>
        <w:rPr>
          <w:color w:val="3366FF"/>
        </w:rPr>
        <w:lastRenderedPageBreak/>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131" w:name="_Toc158988473"/>
      <w:r>
        <w:rPr>
          <w:rStyle w:val="CharSectno"/>
        </w:rPr>
        <w:t>56</w:t>
      </w:r>
      <w:r>
        <w:t>.</w:t>
      </w:r>
      <w:r>
        <w:tab/>
        <w:t>Approvals — packaging designs</w:t>
      </w:r>
      <w:bookmarkEnd w:id="131"/>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rPr>
        <w:t>Work Health and Safety (General) Regulations 2022</w:t>
      </w:r>
      <w:r>
        <w:t xml:space="preserve"> regulation 243, </w:t>
      </w:r>
      <w:r>
        <w:rPr>
          <w:color w:val="000000"/>
        </w:rPr>
        <w:t>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lastRenderedPageBreak/>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 SL 2022/24 r. 4.]</w:t>
      </w:r>
    </w:p>
    <w:p>
      <w:pPr>
        <w:pStyle w:val="Heading5"/>
      </w:pPr>
      <w:bookmarkStart w:id="132" w:name="_Toc158988474"/>
      <w:r>
        <w:rPr>
          <w:rStyle w:val="CharSectno"/>
        </w:rPr>
        <w:t>57</w:t>
      </w:r>
      <w:r>
        <w:t>.</w:t>
      </w:r>
      <w:r>
        <w:tab/>
        <w:t>Term used: recognised testing facilities</w:t>
      </w:r>
      <w:bookmarkEnd w:id="132"/>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133" w:name="_Toc158988475"/>
      <w:r>
        <w:rPr>
          <w:rStyle w:val="CharSectno"/>
        </w:rPr>
        <w:t>58</w:t>
      </w:r>
      <w:r>
        <w:t>.</w:t>
      </w:r>
      <w:r>
        <w:tab/>
        <w:t>Test certificates</w:t>
      </w:r>
      <w:bookmarkEnd w:id="133"/>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lastRenderedPageBreak/>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134" w:name="_Toc158988476"/>
      <w:r>
        <w:rPr>
          <w:rStyle w:val="CharSectno"/>
        </w:rPr>
        <w:t>59</w:t>
      </w:r>
      <w:r>
        <w:t>.</w:t>
      </w:r>
      <w:r>
        <w:tab/>
        <w:t>Approvals — overpacks</w:t>
      </w:r>
      <w:bookmarkEnd w:id="134"/>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135" w:name="_Toc158988477"/>
      <w:r>
        <w:rPr>
          <w:rStyle w:val="CharSectno"/>
        </w:rPr>
        <w:lastRenderedPageBreak/>
        <w:t>60</w:t>
      </w:r>
      <w:r>
        <w:t>.</w:t>
      </w:r>
      <w:r>
        <w:tab/>
        <w:t>Authorised bodies may give approvals</w:t>
      </w:r>
      <w:bookmarkEnd w:id="135"/>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lastRenderedPageBreak/>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136" w:name="_Toc158973990"/>
      <w:bookmarkStart w:id="137" w:name="_Toc158982932"/>
      <w:bookmarkStart w:id="138" w:name="_Toc158983299"/>
      <w:bookmarkStart w:id="139" w:name="_Toc158988478"/>
      <w:r>
        <w:rPr>
          <w:rStyle w:val="CharDivNo"/>
        </w:rPr>
        <w:t>Division 3</w:t>
      </w:r>
      <w:r>
        <w:t> — </w:t>
      </w:r>
      <w:r>
        <w:rPr>
          <w:rStyle w:val="CharDivText"/>
        </w:rPr>
        <w:t>Prohibition on the sale or supply of non</w:t>
      </w:r>
      <w:r>
        <w:rPr>
          <w:rStyle w:val="CharDivText"/>
        </w:rPr>
        <w:noBreakHyphen/>
        <w:t>compliant packaging</w:t>
      </w:r>
      <w:bookmarkEnd w:id="136"/>
      <w:bookmarkEnd w:id="137"/>
      <w:bookmarkEnd w:id="138"/>
      <w:bookmarkEnd w:id="139"/>
    </w:p>
    <w:p>
      <w:pPr>
        <w:pStyle w:val="Heading5"/>
        <w:spacing w:before="240"/>
        <w:rPr>
          <w:color w:val="000000"/>
        </w:rPr>
      </w:pPr>
      <w:bookmarkStart w:id="140" w:name="_Toc158988479"/>
      <w:r>
        <w:rPr>
          <w:rStyle w:val="CharSectno"/>
          <w:color w:val="000000"/>
        </w:rPr>
        <w:t>61</w:t>
      </w:r>
      <w:r>
        <w:rPr>
          <w:color w:val="000000"/>
        </w:rPr>
        <w:t>.</w:t>
      </w:r>
      <w:r>
        <w:rPr>
          <w:color w:val="000000"/>
        </w:rPr>
        <w:tab/>
        <w:t>Offence to sell or supply non</w:t>
      </w:r>
      <w:r>
        <w:rPr>
          <w:color w:val="000000"/>
        </w:rPr>
        <w:noBreakHyphen/>
        <w:t>compliant packaging</w:t>
      </w:r>
      <w:bookmarkEnd w:id="140"/>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141" w:name="_Toc158973992"/>
      <w:bookmarkStart w:id="142" w:name="_Toc158982934"/>
      <w:bookmarkStart w:id="143" w:name="_Toc158983301"/>
      <w:bookmarkStart w:id="144" w:name="_Toc158988480"/>
      <w:r>
        <w:rPr>
          <w:rStyle w:val="CharDivNo"/>
        </w:rPr>
        <w:t>Division 4</w:t>
      </w:r>
      <w:r>
        <w:t> — </w:t>
      </w:r>
      <w:r>
        <w:rPr>
          <w:rStyle w:val="CharDivText"/>
        </w:rPr>
        <w:t>Offences relating to general packaging</w:t>
      </w:r>
      <w:bookmarkEnd w:id="141"/>
      <w:bookmarkEnd w:id="142"/>
      <w:bookmarkEnd w:id="143"/>
      <w:bookmarkEnd w:id="144"/>
    </w:p>
    <w:p>
      <w:pPr>
        <w:pStyle w:val="Footnoteheading"/>
      </w:pPr>
      <w:r>
        <w:tab/>
        <w:t>[Heading inserted: Gazette 22 Jun 2010 p. 2724.]</w:t>
      </w:r>
    </w:p>
    <w:p>
      <w:pPr>
        <w:pStyle w:val="Heading5"/>
        <w:spacing w:before="180"/>
      </w:pPr>
      <w:bookmarkStart w:id="145" w:name="_Toc158988481"/>
      <w:r>
        <w:rPr>
          <w:rStyle w:val="CharSectno"/>
        </w:rPr>
        <w:t>62</w:t>
      </w:r>
      <w:r>
        <w:t>.</w:t>
      </w:r>
      <w:r>
        <w:tab/>
        <w:t>Term used: general packaging</w:t>
      </w:r>
      <w:bookmarkEnd w:id="145"/>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146" w:name="_Toc158988482"/>
      <w:r>
        <w:rPr>
          <w:rStyle w:val="CharSectno"/>
        </w:rPr>
        <w:lastRenderedPageBreak/>
        <w:t>63</w:t>
      </w:r>
      <w:r>
        <w:t>.</w:t>
      </w:r>
      <w:r>
        <w:tab/>
        <w:t>Duty on consignors</w:t>
      </w:r>
      <w:bookmarkEnd w:id="14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147" w:name="_Toc158988483"/>
      <w:r>
        <w:rPr>
          <w:rStyle w:val="CharSectno"/>
        </w:rPr>
        <w:t>64</w:t>
      </w:r>
      <w:r>
        <w:t>.</w:t>
      </w:r>
      <w:r>
        <w:tab/>
        <w:t>Duty on packers</w:t>
      </w:r>
      <w:bookmarkEnd w:id="147"/>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148" w:name="_Toc158988484"/>
      <w:r>
        <w:rPr>
          <w:rStyle w:val="CharSectno"/>
        </w:rPr>
        <w:t>65</w:t>
      </w:r>
      <w:r>
        <w:t>.</w:t>
      </w:r>
      <w:r>
        <w:tab/>
        <w:t>Duty on loaders</w:t>
      </w:r>
      <w:bookmarkEnd w:id="148"/>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149" w:name="_Toc158988485"/>
      <w:r>
        <w:rPr>
          <w:rStyle w:val="CharSectno"/>
        </w:rPr>
        <w:lastRenderedPageBreak/>
        <w:t>66</w:t>
      </w:r>
      <w:r>
        <w:t>.</w:t>
      </w:r>
      <w:r>
        <w:tab/>
        <w:t>Duty on prime contractors and rail operators</w:t>
      </w:r>
      <w:bookmarkEnd w:id="149"/>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150" w:name="_Toc158988486"/>
      <w:r>
        <w:rPr>
          <w:rStyle w:val="CharSectno"/>
        </w:rPr>
        <w:t>67</w:t>
      </w:r>
      <w:r>
        <w:t>.</w:t>
      </w:r>
      <w:r>
        <w:tab/>
        <w:t>Duty on drivers</w:t>
      </w:r>
      <w:bookmarkEnd w:id="150"/>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151" w:name="_Toc158973999"/>
      <w:bookmarkStart w:id="152" w:name="_Toc158982941"/>
      <w:bookmarkStart w:id="153" w:name="_Toc158983308"/>
      <w:bookmarkStart w:id="154" w:name="_Toc158988487"/>
      <w:r>
        <w:rPr>
          <w:rStyle w:val="CharDivNo"/>
        </w:rPr>
        <w:t>Division 5</w:t>
      </w:r>
      <w:r>
        <w:t> — </w:t>
      </w:r>
      <w:r>
        <w:rPr>
          <w:rStyle w:val="CharDivText"/>
        </w:rPr>
        <w:t>Offences relating to other packaging</w:t>
      </w:r>
      <w:bookmarkEnd w:id="151"/>
      <w:bookmarkEnd w:id="152"/>
      <w:bookmarkEnd w:id="153"/>
      <w:bookmarkEnd w:id="154"/>
    </w:p>
    <w:p>
      <w:pPr>
        <w:pStyle w:val="Footnoteheading"/>
      </w:pPr>
      <w:r>
        <w:tab/>
        <w:t>[Heading inserted: Gazette 22 Jun 2010 p. 2725.]</w:t>
      </w:r>
    </w:p>
    <w:p>
      <w:pPr>
        <w:pStyle w:val="Heading5"/>
        <w:spacing w:before="180"/>
      </w:pPr>
      <w:bookmarkStart w:id="155" w:name="_Toc158988488"/>
      <w:r>
        <w:rPr>
          <w:rStyle w:val="CharSectno"/>
        </w:rPr>
        <w:t>68</w:t>
      </w:r>
      <w:r>
        <w:t>.</w:t>
      </w:r>
      <w:r>
        <w:tab/>
        <w:t>Term used: other packaging</w:t>
      </w:r>
      <w:bookmarkEnd w:id="155"/>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156" w:name="_Toc158988489"/>
      <w:r>
        <w:rPr>
          <w:rStyle w:val="CharSectno"/>
        </w:rPr>
        <w:lastRenderedPageBreak/>
        <w:t>69</w:t>
      </w:r>
      <w:r>
        <w:t>.</w:t>
      </w:r>
      <w:r>
        <w:tab/>
        <w:t>Duty on manufacturers of portable tanks, MEGCs or tank vehicles</w:t>
      </w:r>
      <w:bookmarkEnd w:id="156"/>
    </w:p>
    <w:p>
      <w:pPr>
        <w:pStyle w:val="Subsection"/>
        <w:keepNext/>
      </w:pPr>
      <w:r>
        <w:tab/>
        <w:t>(1)</w:t>
      </w:r>
      <w:r>
        <w:tab/>
        <w:t xml:space="preserve">A person who manufactures a portable tank for use in the transport of dangerous goods must attach a compliance plate to the tank in accordance with — </w:t>
      </w:r>
    </w:p>
    <w:p>
      <w:pPr>
        <w:pStyle w:val="Indenta"/>
      </w:pPr>
      <w:r>
        <w:tab/>
        <w:t>(a)</w:t>
      </w:r>
      <w:r>
        <w:tab/>
        <w:t>if the tank is not made of fibre reinforced plastic — the ADG Code Chapter 6.7; or</w:t>
      </w:r>
    </w:p>
    <w:p>
      <w:pPr>
        <w:pStyle w:val="Indenta"/>
      </w:pPr>
      <w:r>
        <w:tab/>
        <w:t>(b)</w:t>
      </w:r>
      <w:r>
        <w:tab/>
        <w:t>if the tank is made of fibre reinforced plastic — the ADG Code Chapter 6.7 and section 6.9.2.10.</w:t>
      </w:r>
    </w:p>
    <w:p>
      <w:pPr>
        <w:pStyle w:val="Penstart"/>
      </w:pPr>
      <w:r>
        <w:tab/>
        <w:t>Penalty for this subregulation: a fine of $10 000.</w:t>
      </w:r>
    </w:p>
    <w:p>
      <w:pPr>
        <w:pStyle w:val="Subsection"/>
      </w:pPr>
      <w:r>
        <w:tab/>
        <w:t>(2)</w:t>
      </w:r>
      <w:r>
        <w:tab/>
        <w:t>A person who manufactures an MEGC for use in the transport of dangerous goods must attach a compliance plate to the MEGC in accordance with the ADG Code Chapter 6.7.</w:t>
      </w:r>
    </w:p>
    <w:p>
      <w:pPr>
        <w:pStyle w:val="Penstart"/>
      </w:pPr>
      <w:r>
        <w:tab/>
        <w:t>Penalty for this subregulation: a fine of $10 000.</w:t>
      </w:r>
    </w:p>
    <w:p>
      <w:pPr>
        <w:pStyle w:val="Subsection"/>
      </w:pPr>
      <w:r>
        <w:tab/>
        <w:t>(2A)</w:t>
      </w:r>
      <w:r>
        <w:tab/>
        <w:t xml:space="preserve">Subregulation (1) does not apply to a person in relation to a portable tank if — </w:t>
      </w:r>
    </w:p>
    <w:p>
      <w:pPr>
        <w:pStyle w:val="Indenta"/>
      </w:pPr>
      <w:r>
        <w:tab/>
        <w:t>(a)</w:t>
      </w:r>
      <w:r>
        <w:tab/>
        <w:t>the ADG Code Chapter 6.7 permits the marking of the tank instead of the attachment of a compliance plate; and</w:t>
      </w:r>
    </w:p>
    <w:p>
      <w:pPr>
        <w:pStyle w:val="Indenta"/>
      </w:pPr>
      <w:r>
        <w:tab/>
        <w:t>(b)</w:t>
      </w:r>
      <w:r>
        <w:tab/>
        <w:t>the tank is marked as required by that Chapter and, if applicable, ADG Code section 6.9.2.10.</w:t>
      </w:r>
    </w:p>
    <w:p>
      <w:pPr>
        <w:pStyle w:val="Subsection"/>
        <w:spacing w:before="120"/>
      </w:pPr>
      <w:r>
        <w:tab/>
        <w:t>(3)</w:t>
      </w:r>
      <w:r>
        <w:tab/>
        <w:t>A person who manufactures a tank vehicle for use in the transport of dangerous goods must attach a compliance plate to the vehicle in accordance with the ADG Code section 6.10.2.2.</w:t>
      </w:r>
    </w:p>
    <w:p>
      <w:pPr>
        <w:pStyle w:val="Penstart"/>
      </w:pPr>
      <w:r>
        <w:tab/>
        <w:t>Penalty for this subregulation: a fine of $10 000.</w:t>
      </w:r>
    </w:p>
    <w:p>
      <w:pPr>
        <w:pStyle w:val="Footnotesection"/>
      </w:pPr>
      <w:r>
        <w:tab/>
        <w:t>[Regulation 69 inserted: Gazette 22 Jun 2010 p. 2726; amended: SL 2024/22 r. 7.]</w:t>
      </w:r>
    </w:p>
    <w:p>
      <w:pPr>
        <w:pStyle w:val="Heading5"/>
        <w:spacing w:before="180"/>
      </w:pPr>
      <w:bookmarkStart w:id="157" w:name="_Toc158988490"/>
      <w:r>
        <w:rPr>
          <w:rStyle w:val="CharSectno"/>
        </w:rPr>
        <w:t>70</w:t>
      </w:r>
      <w:r>
        <w:t>.</w:t>
      </w:r>
      <w:r>
        <w:tab/>
        <w:t>Duty on owners of demountable tanks, portable tanks and MEGCs</w:t>
      </w:r>
      <w:bookmarkEnd w:id="157"/>
    </w:p>
    <w:p>
      <w:pPr>
        <w:pStyle w:val="Subsection"/>
        <w:spacing w:before="120"/>
      </w:pPr>
      <w:r>
        <w:tab/>
      </w:r>
      <w:r>
        <w:tab/>
        <w:t xml:space="preserve">The owner of a demountable tank, a portable tank or an MEGC must not use the tank or MEGC, or permit the tank or MEGC to </w:t>
      </w:r>
      <w:r>
        <w:lastRenderedPageBreak/>
        <w:t>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158" w:name="_Toc158988491"/>
      <w:r>
        <w:rPr>
          <w:rStyle w:val="CharSectno"/>
        </w:rPr>
        <w:t>71</w:t>
      </w:r>
      <w:r>
        <w:t>.</w:t>
      </w:r>
      <w:r>
        <w:tab/>
        <w:t>Duty on consignors</w:t>
      </w:r>
      <w:bookmarkEnd w:id="158"/>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159" w:name="_Toc158988492"/>
      <w:r>
        <w:rPr>
          <w:rStyle w:val="CharSectno"/>
        </w:rPr>
        <w:t>72</w:t>
      </w:r>
      <w:r>
        <w:t>.</w:t>
      </w:r>
      <w:r>
        <w:tab/>
        <w:t>Duty on packers</w:t>
      </w:r>
      <w:bookmarkEnd w:id="159"/>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keepNext/>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lastRenderedPageBreak/>
        <w:tab/>
        <w:t>[Regulation 72 inserted: Gazette 22 Jun 2010 p. 2727.]</w:t>
      </w:r>
    </w:p>
    <w:p>
      <w:pPr>
        <w:pStyle w:val="Heading5"/>
        <w:keepNext w:val="0"/>
        <w:keepLines w:val="0"/>
        <w:spacing w:before="180"/>
      </w:pPr>
      <w:bookmarkStart w:id="160" w:name="_Toc158988493"/>
      <w:r>
        <w:rPr>
          <w:rStyle w:val="CharSectno"/>
        </w:rPr>
        <w:t>73</w:t>
      </w:r>
      <w:r>
        <w:t>.</w:t>
      </w:r>
      <w:r>
        <w:tab/>
        <w:t>Duty on loaders</w:t>
      </w:r>
      <w:bookmarkEnd w:id="160"/>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161" w:name="_Toc158988494"/>
      <w:r>
        <w:rPr>
          <w:rStyle w:val="CharSectno"/>
        </w:rPr>
        <w:t>74</w:t>
      </w:r>
      <w:r>
        <w:t>.</w:t>
      </w:r>
      <w:r>
        <w:tab/>
        <w:t>Duty on prime contractors and rail operators</w:t>
      </w:r>
      <w:bookmarkEnd w:id="16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162" w:name="_Toc158988495"/>
      <w:r>
        <w:rPr>
          <w:rStyle w:val="CharSectno"/>
        </w:rPr>
        <w:lastRenderedPageBreak/>
        <w:t>75</w:t>
      </w:r>
      <w:r>
        <w:t>.</w:t>
      </w:r>
      <w:r>
        <w:tab/>
        <w:t>Duty on drivers</w:t>
      </w:r>
      <w:bookmarkEnd w:id="16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163" w:name="_Toc158974008"/>
      <w:bookmarkStart w:id="164" w:name="_Toc158982950"/>
      <w:bookmarkStart w:id="165" w:name="_Toc158983317"/>
      <w:bookmarkStart w:id="166" w:name="_Toc158988496"/>
      <w:r>
        <w:rPr>
          <w:rStyle w:val="CharDivNo"/>
        </w:rPr>
        <w:t>Division 9</w:t>
      </w:r>
      <w:r>
        <w:t> — </w:t>
      </w:r>
      <w:r>
        <w:rPr>
          <w:rStyle w:val="CharDivText"/>
        </w:rPr>
        <w:t>Offences relating to overpacks</w:t>
      </w:r>
      <w:bookmarkEnd w:id="163"/>
      <w:bookmarkEnd w:id="164"/>
      <w:bookmarkEnd w:id="165"/>
      <w:bookmarkEnd w:id="166"/>
    </w:p>
    <w:p>
      <w:pPr>
        <w:pStyle w:val="Heading5"/>
        <w:spacing w:before="180"/>
        <w:rPr>
          <w:color w:val="000000"/>
        </w:rPr>
      </w:pPr>
      <w:bookmarkStart w:id="167" w:name="_Toc158988497"/>
      <w:r>
        <w:rPr>
          <w:rStyle w:val="CharSectno"/>
        </w:rPr>
        <w:t>101</w:t>
      </w:r>
      <w:r>
        <w:t>.</w:t>
      </w:r>
      <w:r>
        <w:tab/>
        <w:t>Duty on consignors</w:t>
      </w:r>
      <w:bookmarkEnd w:id="167"/>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68" w:name="_Toc158988498"/>
      <w:r>
        <w:rPr>
          <w:rStyle w:val="CharSectno"/>
        </w:rPr>
        <w:lastRenderedPageBreak/>
        <w:t>102</w:t>
      </w:r>
      <w:r>
        <w:t>.</w:t>
      </w:r>
      <w:r>
        <w:tab/>
        <w:t>Duty on packers</w:t>
      </w:r>
      <w:bookmarkEnd w:id="168"/>
    </w:p>
    <w:p>
      <w:pPr>
        <w:pStyle w:val="Subsection"/>
        <w:keepNext/>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69" w:name="_Toc158988499"/>
      <w:r>
        <w:rPr>
          <w:rStyle w:val="CharSectno"/>
        </w:rPr>
        <w:t>103</w:t>
      </w:r>
      <w:r>
        <w:t>.</w:t>
      </w:r>
      <w:r>
        <w:tab/>
        <w:t>Duty on loaders</w:t>
      </w:r>
      <w:bookmarkEnd w:id="169"/>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70" w:name="_Toc158988500"/>
      <w:r>
        <w:rPr>
          <w:rStyle w:val="CharSectno"/>
        </w:rPr>
        <w:t>104</w:t>
      </w:r>
      <w:r>
        <w:t>.</w:t>
      </w:r>
      <w:r>
        <w:tab/>
        <w:t>Duty on prime contractors and rail operators</w:t>
      </w:r>
      <w:bookmarkEnd w:id="170"/>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lastRenderedPageBreak/>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71" w:name="_Toc158988501"/>
      <w:r>
        <w:rPr>
          <w:rStyle w:val="CharSectno"/>
        </w:rPr>
        <w:t>105</w:t>
      </w:r>
      <w:r>
        <w:t>.</w:t>
      </w:r>
      <w:r>
        <w:tab/>
        <w:t>Duty on drivers</w:t>
      </w:r>
      <w:bookmarkEnd w:id="171"/>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72" w:name="_Toc158974014"/>
      <w:bookmarkStart w:id="173" w:name="_Toc158982956"/>
      <w:bookmarkStart w:id="174" w:name="_Toc158983323"/>
      <w:bookmarkStart w:id="175" w:name="_Toc158988502"/>
      <w:r>
        <w:rPr>
          <w:rStyle w:val="CharPartNo"/>
        </w:rPr>
        <w:lastRenderedPageBreak/>
        <w:t>Part 5</w:t>
      </w:r>
      <w:r>
        <w:t> — </w:t>
      </w:r>
      <w:r>
        <w:rPr>
          <w:rStyle w:val="CharPartText"/>
        </w:rPr>
        <w:t>Consignment procedures</w:t>
      </w:r>
      <w:bookmarkEnd w:id="172"/>
      <w:bookmarkEnd w:id="173"/>
      <w:bookmarkEnd w:id="174"/>
      <w:bookmarkEnd w:id="175"/>
    </w:p>
    <w:p>
      <w:pPr>
        <w:pStyle w:val="Heading3"/>
      </w:pPr>
      <w:bookmarkStart w:id="176" w:name="_Toc158974015"/>
      <w:bookmarkStart w:id="177" w:name="_Toc158982957"/>
      <w:bookmarkStart w:id="178" w:name="_Toc158983324"/>
      <w:bookmarkStart w:id="179" w:name="_Toc158988503"/>
      <w:r>
        <w:rPr>
          <w:rStyle w:val="CharDivNo"/>
        </w:rPr>
        <w:t>Division 1</w:t>
      </w:r>
      <w:r>
        <w:t> — </w:t>
      </w:r>
      <w:r>
        <w:rPr>
          <w:rStyle w:val="CharDivText"/>
        </w:rPr>
        <w:t>Marking and labelling</w:t>
      </w:r>
      <w:bookmarkEnd w:id="176"/>
      <w:bookmarkEnd w:id="177"/>
      <w:bookmarkEnd w:id="178"/>
      <w:bookmarkEnd w:id="179"/>
    </w:p>
    <w:p>
      <w:pPr>
        <w:pStyle w:val="Heading5"/>
        <w:rPr>
          <w:color w:val="000000"/>
        </w:rPr>
      </w:pPr>
      <w:bookmarkStart w:id="180" w:name="_Toc158988504"/>
      <w:r>
        <w:rPr>
          <w:rStyle w:val="CharSectno"/>
          <w:color w:val="000000"/>
        </w:rPr>
        <w:t>106</w:t>
      </w:r>
      <w:r>
        <w:rPr>
          <w:color w:val="000000"/>
        </w:rPr>
        <w:t>.</w:t>
      </w:r>
      <w:r>
        <w:rPr>
          <w:color w:val="000000"/>
        </w:rPr>
        <w:tab/>
        <w:t>Term used: appropriately marked</w:t>
      </w:r>
      <w:bookmarkEnd w:id="180"/>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lastRenderedPageBreak/>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181" w:name="_Toc158988505"/>
      <w:r>
        <w:rPr>
          <w:rStyle w:val="CharSectno"/>
        </w:rPr>
        <w:t>107</w:t>
      </w:r>
      <w:r>
        <w:t>.</w:t>
      </w:r>
      <w:r>
        <w:tab/>
        <w:t>Duty on consignors</w:t>
      </w:r>
      <w:bookmarkEnd w:id="181"/>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182" w:name="_Toc158988506"/>
      <w:r>
        <w:rPr>
          <w:rStyle w:val="CharSectno"/>
        </w:rPr>
        <w:t>108</w:t>
      </w:r>
      <w:r>
        <w:t>.</w:t>
      </w:r>
      <w:r>
        <w:tab/>
        <w:t>Duty on packers</w:t>
      </w:r>
      <w:bookmarkEnd w:id="182"/>
    </w:p>
    <w:p>
      <w:pPr>
        <w:pStyle w:val="Subsection"/>
        <w:keepNext/>
        <w:spacing w:before="120"/>
      </w:pPr>
      <w:r>
        <w:rPr>
          <w:color w:val="000000"/>
        </w:rPr>
        <w:tab/>
        <w:t>(1)</w:t>
      </w:r>
      <w:r>
        <w:rPr>
          <w:color w:val="000000"/>
        </w:rPr>
        <w:tab/>
        <w:t xml:space="preserve">A person must not pack dangerous goods for transport if the person knows, or ought reasonably to know, that any of the </w:t>
      </w:r>
      <w:r>
        <w:rPr>
          <w:color w:val="000000"/>
        </w:rPr>
        <w:lastRenderedPageBreak/>
        <w:t>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183" w:name="_Toc158988507"/>
      <w:r>
        <w:rPr>
          <w:rStyle w:val="CharSectno"/>
        </w:rPr>
        <w:t>109</w:t>
      </w:r>
      <w:r>
        <w:t>.</w:t>
      </w:r>
      <w:r>
        <w:tab/>
        <w:t>Duty on prime contractors and rail operators</w:t>
      </w:r>
      <w:bookmarkEnd w:id="183"/>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keepNext/>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 xml:space="preserve">on </w:t>
      </w:r>
      <w:r>
        <w:lastRenderedPageBreak/>
        <w:t>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184" w:name="_Toc158988508"/>
      <w:r>
        <w:rPr>
          <w:rStyle w:val="CharSectno"/>
          <w:color w:val="000000"/>
        </w:rPr>
        <w:t>109A</w:t>
      </w:r>
      <w:r>
        <w:t>.</w:t>
      </w:r>
      <w:r>
        <w:tab/>
        <w:t>Further duties if dangerous goods transported in portable tank or by tank vehicle</w:t>
      </w:r>
      <w:bookmarkEnd w:id="184"/>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keepNext/>
      </w:pPr>
      <w:r>
        <w:tab/>
        <w:t>(2)</w:t>
      </w:r>
      <w:r>
        <w:tab/>
        <w:t xml:space="preserve">A prime contractor must not transport dangerous goods in a portable tank, or by a tank vehicle, if the prime contractor knows, or ought reasonably to know, that a sign, writing or other information affixed to the portable tank or tank vehicle is </w:t>
      </w:r>
      <w:r>
        <w:lastRenderedPageBreak/>
        <w:t>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185" w:name="_Toc158974021"/>
      <w:bookmarkStart w:id="186" w:name="_Toc158982963"/>
      <w:bookmarkStart w:id="187" w:name="_Toc158983330"/>
      <w:bookmarkStart w:id="188" w:name="_Toc158988509"/>
      <w:r>
        <w:rPr>
          <w:rStyle w:val="CharDivNo"/>
        </w:rPr>
        <w:t>Division 2</w:t>
      </w:r>
      <w:r>
        <w:t> — </w:t>
      </w:r>
      <w:r>
        <w:rPr>
          <w:rStyle w:val="CharDivText"/>
        </w:rPr>
        <w:t>Placarding</w:t>
      </w:r>
      <w:bookmarkEnd w:id="185"/>
      <w:bookmarkEnd w:id="186"/>
      <w:bookmarkEnd w:id="187"/>
      <w:bookmarkEnd w:id="188"/>
    </w:p>
    <w:p>
      <w:pPr>
        <w:pStyle w:val="Heading5"/>
      </w:pPr>
      <w:bookmarkStart w:id="189" w:name="_Toc158988510"/>
      <w:r>
        <w:rPr>
          <w:rStyle w:val="CharSectno"/>
        </w:rPr>
        <w:t>110</w:t>
      </w:r>
      <w:r>
        <w:t>.</w:t>
      </w:r>
      <w:r>
        <w:tab/>
        <w:t>When loads must be placarded</w:t>
      </w:r>
      <w:bookmarkEnd w:id="189"/>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keepNext/>
      </w:pPr>
      <w:r>
        <w:lastRenderedPageBreak/>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keepLines/>
      </w:pPr>
      <w:r>
        <w:lastRenderedPageBreak/>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190" w:name="_Toc158988511"/>
      <w:r>
        <w:rPr>
          <w:rStyle w:val="CharSectno"/>
        </w:rPr>
        <w:t>111</w:t>
      </w:r>
      <w:r>
        <w:t>.</w:t>
      </w:r>
      <w:r>
        <w:tab/>
        <w:t>Terms used: placard, appropriately placarded</w:t>
      </w:r>
      <w:bookmarkEnd w:id="190"/>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191" w:name="_Toc158988512"/>
      <w:r>
        <w:rPr>
          <w:rStyle w:val="CharSectno"/>
        </w:rPr>
        <w:t>112</w:t>
      </w:r>
      <w:r>
        <w:t>.</w:t>
      </w:r>
      <w:r>
        <w:tab/>
        <w:t>Duty on consignors</w:t>
      </w:r>
      <w:bookmarkEnd w:id="191"/>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keepLines/>
      </w:pPr>
      <w:r>
        <w:lastRenderedPageBreak/>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192" w:name="_Toc158988513"/>
      <w:r>
        <w:rPr>
          <w:rStyle w:val="CharSectno"/>
        </w:rPr>
        <w:t>113</w:t>
      </w:r>
      <w:r>
        <w:t>.</w:t>
      </w:r>
      <w:r>
        <w:tab/>
        <w:t>Duty on loaders</w:t>
      </w:r>
      <w:bookmarkEnd w:id="192"/>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keepLines/>
      </w:pPr>
      <w:r>
        <w:lastRenderedPageBreak/>
        <w:tab/>
        <w:t>(4)</w:t>
      </w:r>
      <w:r>
        <w:tab/>
        <w:t>Subregulation (3) does not apply if the placarding of the load complies with the requirements of the ICAO Technical Instructions or the IMDG Code with respect to the contents of the load.</w:t>
      </w:r>
    </w:p>
    <w:p>
      <w:pPr>
        <w:pStyle w:val="Subsection"/>
        <w:keepNext/>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keepNext/>
      </w:pPr>
      <w:r>
        <w:tab/>
        <w:t>Penalty for this subregulation: a fine of $10 000.</w:t>
      </w:r>
    </w:p>
    <w:p>
      <w:pPr>
        <w:pStyle w:val="Footnotesection"/>
      </w:pPr>
      <w:r>
        <w:tab/>
        <w:t>[Regulation 113 amended: Gazette 22 Jun 2010 p. 2730; 13 Jun 2014 p. 1936; 17 Nov 2015 p. 4697.]</w:t>
      </w:r>
    </w:p>
    <w:p>
      <w:pPr>
        <w:pStyle w:val="Heading5"/>
      </w:pPr>
      <w:bookmarkStart w:id="193" w:name="_Toc158988514"/>
      <w:r>
        <w:rPr>
          <w:rStyle w:val="CharSectno"/>
        </w:rPr>
        <w:t>114</w:t>
      </w:r>
      <w:r>
        <w:t>.</w:t>
      </w:r>
      <w:r>
        <w:tab/>
        <w:t>Duty on prime contractors and rail operators</w:t>
      </w:r>
      <w:bookmarkEnd w:id="193"/>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lastRenderedPageBreak/>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keepNext/>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194" w:name="_Toc158988515"/>
      <w:r>
        <w:rPr>
          <w:rStyle w:val="CharSectno"/>
        </w:rPr>
        <w:t>115</w:t>
      </w:r>
      <w:r>
        <w:t>.</w:t>
      </w:r>
      <w:r>
        <w:tab/>
        <w:t>Duty on drivers</w:t>
      </w:r>
      <w:bookmarkEnd w:id="194"/>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lastRenderedPageBreak/>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195" w:name="_Toc158974028"/>
      <w:bookmarkStart w:id="196" w:name="_Toc158982970"/>
      <w:bookmarkStart w:id="197" w:name="_Toc158983337"/>
      <w:bookmarkStart w:id="198" w:name="_Toc158988516"/>
      <w:r>
        <w:rPr>
          <w:rStyle w:val="CharPartNo"/>
        </w:rPr>
        <w:lastRenderedPageBreak/>
        <w:t>Part 6</w:t>
      </w:r>
      <w:r>
        <w:rPr>
          <w:rStyle w:val="CharDivNo"/>
        </w:rPr>
        <w:t> </w:t>
      </w:r>
      <w:r>
        <w:t>—</w:t>
      </w:r>
      <w:r>
        <w:rPr>
          <w:rStyle w:val="CharDivText"/>
        </w:rPr>
        <w:t> </w:t>
      </w:r>
      <w:r>
        <w:rPr>
          <w:rStyle w:val="CharPartText"/>
        </w:rPr>
        <w:t>Safety standards for vehicles and equipment</w:t>
      </w:r>
      <w:bookmarkEnd w:id="195"/>
      <w:bookmarkEnd w:id="196"/>
      <w:bookmarkEnd w:id="197"/>
      <w:bookmarkEnd w:id="198"/>
    </w:p>
    <w:p>
      <w:pPr>
        <w:pStyle w:val="Heading5"/>
        <w:spacing w:before="180"/>
      </w:pPr>
      <w:bookmarkStart w:id="199" w:name="_Toc158988517"/>
      <w:r>
        <w:rPr>
          <w:rStyle w:val="CharSectno"/>
        </w:rPr>
        <w:t>116</w:t>
      </w:r>
      <w:r>
        <w:t>.</w:t>
      </w:r>
      <w:r>
        <w:tab/>
        <w:t>Duty on owners</w:t>
      </w:r>
      <w:bookmarkEnd w:id="19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w:t>
      </w:r>
      <w:r>
        <w:t>6.10</w:t>
      </w:r>
      <w:r>
        <w:rPr>
          <w:color w:val="000000"/>
        </w:rPr>
        <w:t>.</w:t>
      </w:r>
    </w:p>
    <w:p>
      <w:pPr>
        <w:pStyle w:val="Penstart"/>
      </w:pPr>
      <w:r>
        <w:tab/>
        <w:t>Penalty: a fine of $10 000.</w:t>
      </w:r>
    </w:p>
    <w:p>
      <w:pPr>
        <w:pStyle w:val="Footnotesection"/>
      </w:pPr>
      <w:r>
        <w:tab/>
        <w:t>[Regulation 116 amended: SL 2024/22 r. 14.]</w:t>
      </w:r>
    </w:p>
    <w:p>
      <w:pPr>
        <w:pStyle w:val="Heading5"/>
        <w:spacing w:before="180"/>
      </w:pPr>
      <w:bookmarkStart w:id="200" w:name="_Toc158988518"/>
      <w:r>
        <w:rPr>
          <w:rStyle w:val="CharSectno"/>
        </w:rPr>
        <w:t>117</w:t>
      </w:r>
      <w:r>
        <w:t>.</w:t>
      </w:r>
      <w:r>
        <w:tab/>
        <w:t>Duty on consignors</w:t>
      </w:r>
      <w:bookmarkEnd w:id="200"/>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 xml:space="preserve">and </w:t>
      </w:r>
      <w:r>
        <w:t>6.10.</w:t>
      </w:r>
    </w:p>
    <w:p>
      <w:pPr>
        <w:pStyle w:val="Penstart"/>
      </w:pPr>
      <w:r>
        <w:tab/>
        <w:t>Penalty: a fine of $10 000.</w:t>
      </w:r>
    </w:p>
    <w:p>
      <w:pPr>
        <w:pStyle w:val="Footnotesection"/>
      </w:pPr>
      <w:r>
        <w:tab/>
        <w:t>[Regulation 117 amended: SL 2024/22 r. 14.]</w:t>
      </w:r>
    </w:p>
    <w:p>
      <w:pPr>
        <w:pStyle w:val="Heading5"/>
        <w:spacing w:before="180"/>
      </w:pPr>
      <w:bookmarkStart w:id="201" w:name="_Toc158988519"/>
      <w:r>
        <w:rPr>
          <w:rStyle w:val="CharSectno"/>
        </w:rPr>
        <w:t>118</w:t>
      </w:r>
      <w:r>
        <w:t>.</w:t>
      </w:r>
      <w:r>
        <w:tab/>
        <w:t>Duty on loaders</w:t>
      </w:r>
      <w:bookmarkEnd w:id="201"/>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6.10.</w:t>
      </w:r>
    </w:p>
    <w:p>
      <w:pPr>
        <w:pStyle w:val="Penstart"/>
        <w:rPr>
          <w:color w:val="000000"/>
        </w:rPr>
      </w:pPr>
      <w:r>
        <w:tab/>
        <w:t xml:space="preserve">Penalty: a fine </w:t>
      </w:r>
      <w:r>
        <w:rPr>
          <w:color w:val="000000"/>
        </w:rPr>
        <w:t>of $10 000.</w:t>
      </w:r>
    </w:p>
    <w:p>
      <w:pPr>
        <w:pStyle w:val="Footnotesection"/>
      </w:pPr>
      <w:r>
        <w:tab/>
        <w:t>[Regulation 118 amended: SL 2024/22 r. 14.]</w:t>
      </w:r>
    </w:p>
    <w:p>
      <w:pPr>
        <w:pStyle w:val="Heading5"/>
        <w:spacing w:before="180"/>
      </w:pPr>
      <w:bookmarkStart w:id="202" w:name="_Toc158988520"/>
      <w:r>
        <w:rPr>
          <w:rStyle w:val="CharSectno"/>
        </w:rPr>
        <w:t>119</w:t>
      </w:r>
      <w:r>
        <w:t>.</w:t>
      </w:r>
      <w:r>
        <w:tab/>
        <w:t>Duties on prime contractors and rail operators</w:t>
      </w:r>
      <w:bookmarkEnd w:id="202"/>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 xml:space="preserve">and </w:t>
      </w:r>
      <w:r>
        <w:t>6.10.</w:t>
      </w:r>
    </w:p>
    <w:p>
      <w:pPr>
        <w:pStyle w:val="Penstart"/>
      </w:pPr>
      <w:r>
        <w:tab/>
        <w:t>Penalty: a fine of $10 000.</w:t>
      </w:r>
    </w:p>
    <w:p>
      <w:pPr>
        <w:pStyle w:val="Footnotesection"/>
      </w:pPr>
      <w:r>
        <w:tab/>
        <w:t>[Regulation 119 amended: SL 2024/22 r. 14.]</w:t>
      </w:r>
    </w:p>
    <w:p>
      <w:pPr>
        <w:pStyle w:val="Heading5"/>
        <w:spacing w:before="180"/>
      </w:pPr>
      <w:bookmarkStart w:id="203" w:name="_Toc158988521"/>
      <w:r>
        <w:rPr>
          <w:rStyle w:val="CharSectno"/>
        </w:rPr>
        <w:lastRenderedPageBreak/>
        <w:t>120</w:t>
      </w:r>
      <w:r>
        <w:t>.</w:t>
      </w:r>
      <w:r>
        <w:tab/>
        <w:t>Duty on drivers</w:t>
      </w:r>
      <w:bookmarkEnd w:id="203"/>
    </w:p>
    <w:p>
      <w:pPr>
        <w:pStyle w:val="Subsection"/>
        <w:keepNext/>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 xml:space="preserve">and </w:t>
      </w:r>
      <w:r>
        <w:t>6.10.</w:t>
      </w:r>
    </w:p>
    <w:p>
      <w:pPr>
        <w:pStyle w:val="Penstart"/>
      </w:pPr>
      <w:r>
        <w:tab/>
        <w:t>Penalty: a fine of $10 000.</w:t>
      </w:r>
    </w:p>
    <w:p>
      <w:pPr>
        <w:pStyle w:val="Footnotesection"/>
      </w:pPr>
      <w:r>
        <w:tab/>
        <w:t>[Regulation 120 amended: SL 2024/22 r. 14.]</w:t>
      </w:r>
    </w:p>
    <w:p>
      <w:pPr>
        <w:pStyle w:val="Heading2"/>
      </w:pPr>
      <w:bookmarkStart w:id="204" w:name="_Toc158974034"/>
      <w:bookmarkStart w:id="205" w:name="_Toc158982976"/>
      <w:bookmarkStart w:id="206" w:name="_Toc158983343"/>
      <w:bookmarkStart w:id="207" w:name="_Toc158988522"/>
      <w:r>
        <w:rPr>
          <w:rStyle w:val="CharPartNo"/>
        </w:rPr>
        <w:lastRenderedPageBreak/>
        <w:t>Part 7</w:t>
      </w:r>
      <w:r>
        <w:rPr>
          <w:rStyle w:val="CharDivNo"/>
        </w:rPr>
        <w:t> </w:t>
      </w:r>
      <w:r>
        <w:t>—</w:t>
      </w:r>
      <w:r>
        <w:rPr>
          <w:rStyle w:val="CharDivText"/>
        </w:rPr>
        <w:t> </w:t>
      </w:r>
      <w:r>
        <w:rPr>
          <w:rStyle w:val="CharPartText"/>
        </w:rPr>
        <w:t>Transport operations relating to certain dangerous goods and nominally empty storage vessels</w:t>
      </w:r>
      <w:bookmarkEnd w:id="204"/>
      <w:bookmarkEnd w:id="205"/>
      <w:bookmarkEnd w:id="206"/>
      <w:bookmarkEnd w:id="207"/>
    </w:p>
    <w:p>
      <w:pPr>
        <w:pStyle w:val="Footnoteheading"/>
      </w:pPr>
      <w:r>
        <w:tab/>
        <w:t>[Heading inserted: Gazette 11 Jul 2017 p. 3825; amended: SL 2020/193 r. 15.]</w:t>
      </w:r>
    </w:p>
    <w:p>
      <w:pPr>
        <w:pStyle w:val="Heading5"/>
      </w:pPr>
      <w:bookmarkStart w:id="208" w:name="_Toc158988523"/>
      <w:r>
        <w:rPr>
          <w:rStyle w:val="CharSectno"/>
        </w:rPr>
        <w:t>120A</w:t>
      </w:r>
      <w:r>
        <w:t>.</w:t>
      </w:r>
      <w:r>
        <w:tab/>
        <w:t>Term used: nominally empty storage vessels</w:t>
      </w:r>
      <w:bookmarkEnd w:id="208"/>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209" w:name="_Toc158988524"/>
      <w:r>
        <w:rPr>
          <w:rStyle w:val="CharSectno"/>
          <w:color w:val="000000"/>
        </w:rPr>
        <w:t>121</w:t>
      </w:r>
      <w:r>
        <w:rPr>
          <w:color w:val="000000"/>
        </w:rPr>
        <w:t>.</w:t>
      </w:r>
      <w:r>
        <w:rPr>
          <w:color w:val="000000"/>
        </w:rPr>
        <w:tab/>
        <w:t>Application of Part</w:t>
      </w:r>
      <w:bookmarkEnd w:id="209"/>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210" w:name="_Toc158988525"/>
      <w:r>
        <w:rPr>
          <w:rStyle w:val="CharSectno"/>
          <w:color w:val="000000"/>
        </w:rPr>
        <w:lastRenderedPageBreak/>
        <w:t>122</w:t>
      </w:r>
      <w:r>
        <w:rPr>
          <w:color w:val="000000"/>
        </w:rPr>
        <w:t>.</w:t>
      </w:r>
      <w:r>
        <w:rPr>
          <w:color w:val="000000"/>
        </w:rPr>
        <w:tab/>
        <w:t>Duty on consignors</w:t>
      </w:r>
      <w:bookmarkEnd w:id="210"/>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211" w:name="_Toc158988526"/>
      <w:r>
        <w:rPr>
          <w:rStyle w:val="CharSectno"/>
          <w:color w:val="000000"/>
        </w:rPr>
        <w:t>123</w:t>
      </w:r>
      <w:r>
        <w:rPr>
          <w:color w:val="000000"/>
        </w:rPr>
        <w:t>.</w:t>
      </w:r>
      <w:r>
        <w:rPr>
          <w:color w:val="000000"/>
        </w:rPr>
        <w:tab/>
        <w:t>Duty on loaders</w:t>
      </w:r>
      <w:bookmarkEnd w:id="211"/>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212" w:name="_Toc158988527"/>
      <w:r>
        <w:rPr>
          <w:rStyle w:val="CharSectno"/>
          <w:color w:val="000000"/>
        </w:rPr>
        <w:t>124</w:t>
      </w:r>
      <w:r>
        <w:rPr>
          <w:color w:val="000000"/>
        </w:rPr>
        <w:t>.</w:t>
      </w:r>
      <w:r>
        <w:rPr>
          <w:color w:val="000000"/>
        </w:rPr>
        <w:tab/>
        <w:t>Duty on prime contractors and rail operators</w:t>
      </w:r>
      <w:bookmarkEnd w:id="212"/>
    </w:p>
    <w:p>
      <w:pPr>
        <w:pStyle w:val="Subsection"/>
        <w:rPr>
          <w:color w:val="000000"/>
        </w:rPr>
      </w:pPr>
      <w:r>
        <w:tab/>
        <w:t>(1)</w:t>
      </w:r>
      <w:r>
        <w:tab/>
        <w:t>A prime</w:t>
      </w:r>
      <w:r>
        <w:rPr>
          <w:color w:val="3366FF"/>
        </w:rPr>
        <w:t xml:space="preserve"> </w:t>
      </w:r>
      <w:r>
        <w:rPr>
          <w:color w:val="000000"/>
        </w:rPr>
        <w:t xml:space="preserve">contractor or rail operator must not transport dangerous goods to which this Part applies if the prime contractor or rail </w:t>
      </w:r>
      <w:r>
        <w:rPr>
          <w:color w:val="000000"/>
        </w:rPr>
        <w:lastRenderedPageBreak/>
        <w:t>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213" w:name="_Toc158988528"/>
      <w:r>
        <w:rPr>
          <w:rStyle w:val="CharSectno"/>
          <w:color w:val="000000"/>
        </w:rPr>
        <w:t>125</w:t>
      </w:r>
      <w:r>
        <w:rPr>
          <w:color w:val="000000"/>
        </w:rPr>
        <w:t>.</w:t>
      </w:r>
      <w:r>
        <w:rPr>
          <w:color w:val="000000"/>
        </w:rPr>
        <w:tab/>
        <w:t>Duty on drivers</w:t>
      </w:r>
      <w:bookmarkEnd w:id="213"/>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214" w:name="_Toc158974041"/>
      <w:bookmarkStart w:id="215" w:name="_Toc158982983"/>
      <w:bookmarkStart w:id="216" w:name="_Toc158983350"/>
      <w:bookmarkStart w:id="217" w:name="_Toc158988529"/>
      <w:r>
        <w:rPr>
          <w:rStyle w:val="CharPartNo"/>
        </w:rPr>
        <w:lastRenderedPageBreak/>
        <w:t>Part 8</w:t>
      </w:r>
      <w:r>
        <w:rPr>
          <w:b w:val="0"/>
        </w:rPr>
        <w:t> </w:t>
      </w:r>
      <w:r>
        <w:t>—</w:t>
      </w:r>
      <w:r>
        <w:rPr>
          <w:b w:val="0"/>
        </w:rPr>
        <w:t> </w:t>
      </w:r>
      <w:r>
        <w:rPr>
          <w:rStyle w:val="CharPartText"/>
        </w:rPr>
        <w:t>Stowage and restraint</w:t>
      </w:r>
      <w:bookmarkEnd w:id="214"/>
      <w:bookmarkEnd w:id="215"/>
      <w:bookmarkEnd w:id="216"/>
      <w:bookmarkEnd w:id="217"/>
    </w:p>
    <w:p>
      <w:pPr>
        <w:pStyle w:val="Footnoteheading"/>
      </w:pPr>
      <w:r>
        <w:tab/>
        <w:t>[Heading inserted: Gazette 22 Jun 2010 p. 2730.]</w:t>
      </w:r>
    </w:p>
    <w:p>
      <w:pPr>
        <w:pStyle w:val="Heading5"/>
        <w:spacing w:before="180"/>
      </w:pPr>
      <w:bookmarkStart w:id="218" w:name="_Toc158988530"/>
      <w:r>
        <w:rPr>
          <w:rStyle w:val="CharSectno"/>
        </w:rPr>
        <w:t>126</w:t>
      </w:r>
      <w:r>
        <w:t>.</w:t>
      </w:r>
      <w:r>
        <w:tab/>
        <w:t>Duty on consignors</w:t>
      </w:r>
      <w:bookmarkEnd w:id="218"/>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219" w:name="_Toc158988531"/>
      <w:r>
        <w:rPr>
          <w:rStyle w:val="CharSectno"/>
        </w:rPr>
        <w:t>127</w:t>
      </w:r>
      <w:r>
        <w:t>.</w:t>
      </w:r>
      <w:r>
        <w:tab/>
        <w:t>Duty on loaders</w:t>
      </w:r>
      <w:bookmarkEnd w:id="219"/>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Lines w:val="0"/>
        <w:spacing w:before="180"/>
      </w:pPr>
      <w:bookmarkStart w:id="220" w:name="_Toc158988532"/>
      <w:r>
        <w:rPr>
          <w:rStyle w:val="CharSectno"/>
        </w:rPr>
        <w:lastRenderedPageBreak/>
        <w:t>128</w:t>
      </w:r>
      <w:r>
        <w:t>.</w:t>
      </w:r>
      <w:r>
        <w:tab/>
        <w:t>Duty on prime contractors and rail operators</w:t>
      </w:r>
      <w:bookmarkEnd w:id="220"/>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221" w:name="_Toc158988533"/>
      <w:r>
        <w:rPr>
          <w:rStyle w:val="CharSectno"/>
        </w:rPr>
        <w:t>129</w:t>
      </w:r>
      <w:r>
        <w:t>.</w:t>
      </w:r>
      <w:r>
        <w:tab/>
        <w:t>Duty on drivers</w:t>
      </w:r>
      <w:bookmarkEnd w:id="221"/>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222" w:name="_Toc158974046"/>
      <w:bookmarkStart w:id="223" w:name="_Toc158982988"/>
      <w:bookmarkStart w:id="224" w:name="_Toc158983355"/>
      <w:bookmarkStart w:id="225" w:name="_Toc158988534"/>
      <w:r>
        <w:rPr>
          <w:rStyle w:val="CharPartNo"/>
        </w:rPr>
        <w:lastRenderedPageBreak/>
        <w:t>Part 9</w:t>
      </w:r>
      <w:r>
        <w:rPr>
          <w:rStyle w:val="CharDivNo"/>
        </w:rPr>
        <w:t> </w:t>
      </w:r>
      <w:r>
        <w:t>—</w:t>
      </w:r>
      <w:r>
        <w:rPr>
          <w:rStyle w:val="CharDivText"/>
        </w:rPr>
        <w:t> </w:t>
      </w:r>
      <w:r>
        <w:rPr>
          <w:rStyle w:val="CharPartText"/>
        </w:rPr>
        <w:t>Segregation</w:t>
      </w:r>
      <w:bookmarkEnd w:id="222"/>
      <w:bookmarkEnd w:id="223"/>
      <w:bookmarkEnd w:id="224"/>
      <w:bookmarkEnd w:id="225"/>
    </w:p>
    <w:p>
      <w:pPr>
        <w:pStyle w:val="Heading5"/>
      </w:pPr>
      <w:bookmarkStart w:id="226" w:name="_Toc158988535"/>
      <w:r>
        <w:rPr>
          <w:rStyle w:val="CharSectno"/>
        </w:rPr>
        <w:t>130</w:t>
      </w:r>
      <w:r>
        <w:t>.</w:t>
      </w:r>
      <w:r>
        <w:tab/>
        <w:t>Application of Part</w:t>
      </w:r>
      <w:bookmarkEnd w:id="226"/>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227" w:name="_Toc158988536"/>
      <w:r>
        <w:rPr>
          <w:rStyle w:val="CharSectno"/>
        </w:rPr>
        <w:t>131</w:t>
      </w:r>
      <w:r>
        <w:t>.</w:t>
      </w:r>
      <w:r>
        <w:tab/>
        <w:t>Exception for certain goods for driver’s personal use</w:t>
      </w:r>
      <w:bookmarkEnd w:id="227"/>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228" w:name="_Toc158988537"/>
      <w:r>
        <w:rPr>
          <w:rStyle w:val="CharSectno"/>
        </w:rPr>
        <w:t>132</w:t>
      </w:r>
      <w:r>
        <w:t>.</w:t>
      </w:r>
      <w:r>
        <w:tab/>
        <w:t>Duty on consignors</w:t>
      </w:r>
      <w:bookmarkEnd w:id="228"/>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lastRenderedPageBreak/>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29" w:name="_Toc158988538"/>
      <w:r>
        <w:rPr>
          <w:rStyle w:val="CharSectno"/>
        </w:rPr>
        <w:t>133</w:t>
      </w:r>
      <w:r>
        <w:t>.</w:t>
      </w:r>
      <w:r>
        <w:tab/>
        <w:t>Duty on loaders</w:t>
      </w:r>
      <w:bookmarkEnd w:id="229"/>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30" w:name="_Toc158988539"/>
      <w:r>
        <w:rPr>
          <w:rStyle w:val="CharSectno"/>
        </w:rPr>
        <w:t>134</w:t>
      </w:r>
      <w:r>
        <w:t>.</w:t>
      </w:r>
      <w:r>
        <w:tab/>
        <w:t>Duty on prime contractors</w:t>
      </w:r>
      <w:bookmarkEnd w:id="230"/>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31" w:name="_Toc158988540"/>
      <w:r>
        <w:rPr>
          <w:rStyle w:val="CharSectno"/>
        </w:rPr>
        <w:lastRenderedPageBreak/>
        <w:t>135</w:t>
      </w:r>
      <w:r>
        <w:t>.</w:t>
      </w:r>
      <w:r>
        <w:tab/>
        <w:t>Duty on rail operators</w:t>
      </w:r>
      <w:bookmarkEnd w:id="231"/>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232" w:name="_Toc158988541"/>
      <w:r>
        <w:rPr>
          <w:rStyle w:val="CharSectno"/>
        </w:rPr>
        <w:t>136</w:t>
      </w:r>
      <w:r>
        <w:t>.</w:t>
      </w:r>
      <w:r>
        <w:tab/>
        <w:t>Duty on drivers</w:t>
      </w:r>
      <w:bookmarkEnd w:id="232"/>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233" w:name="_Toc158988542"/>
      <w:r>
        <w:rPr>
          <w:rStyle w:val="CharSectno"/>
          <w:color w:val="000000"/>
        </w:rPr>
        <w:t>137</w:t>
      </w:r>
      <w:r>
        <w:rPr>
          <w:color w:val="000000"/>
        </w:rPr>
        <w:t>.</w:t>
      </w:r>
      <w:r>
        <w:rPr>
          <w:color w:val="000000"/>
        </w:rPr>
        <w:tab/>
        <w:t>Approvals — Type II segregation devices</w:t>
      </w:r>
      <w:bookmarkEnd w:id="233"/>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lastRenderedPageBreak/>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234" w:name="_Toc158988543"/>
      <w:r>
        <w:rPr>
          <w:rStyle w:val="CharSectno"/>
          <w:color w:val="000000"/>
        </w:rPr>
        <w:t>138</w:t>
      </w:r>
      <w:r>
        <w:rPr>
          <w:color w:val="000000"/>
        </w:rPr>
        <w:t>.</w:t>
      </w:r>
      <w:r>
        <w:rPr>
          <w:color w:val="000000"/>
        </w:rPr>
        <w:tab/>
        <w:t>Approvals — methods of segregation</w:t>
      </w:r>
      <w:bookmarkEnd w:id="234"/>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235" w:name="_Toc158974056"/>
      <w:bookmarkStart w:id="236" w:name="_Toc158982998"/>
      <w:bookmarkStart w:id="237" w:name="_Toc158983365"/>
      <w:bookmarkStart w:id="238" w:name="_Toc158988544"/>
      <w:r>
        <w:rPr>
          <w:rStyle w:val="CharPartNo"/>
        </w:rPr>
        <w:lastRenderedPageBreak/>
        <w:t>Part 10</w:t>
      </w:r>
      <w:r>
        <w:t> — </w:t>
      </w:r>
      <w:r>
        <w:rPr>
          <w:rStyle w:val="CharPartText"/>
        </w:rPr>
        <w:t>Bulk transfer of dangerous goods</w:t>
      </w:r>
      <w:bookmarkEnd w:id="235"/>
      <w:bookmarkEnd w:id="236"/>
      <w:bookmarkEnd w:id="237"/>
      <w:bookmarkEnd w:id="238"/>
    </w:p>
    <w:p>
      <w:pPr>
        <w:pStyle w:val="Heading3"/>
      </w:pPr>
      <w:bookmarkStart w:id="239" w:name="_Toc158974057"/>
      <w:bookmarkStart w:id="240" w:name="_Toc158982999"/>
      <w:bookmarkStart w:id="241" w:name="_Toc158983366"/>
      <w:bookmarkStart w:id="242" w:name="_Toc158988545"/>
      <w:r>
        <w:rPr>
          <w:rStyle w:val="CharDivNo"/>
        </w:rPr>
        <w:t>Division 1</w:t>
      </w:r>
      <w:r>
        <w:t> — </w:t>
      </w:r>
      <w:r>
        <w:rPr>
          <w:rStyle w:val="CharDivText"/>
        </w:rPr>
        <w:t>General</w:t>
      </w:r>
      <w:bookmarkEnd w:id="239"/>
      <w:bookmarkEnd w:id="240"/>
      <w:bookmarkEnd w:id="241"/>
      <w:bookmarkEnd w:id="242"/>
    </w:p>
    <w:p>
      <w:pPr>
        <w:pStyle w:val="Heading5"/>
        <w:rPr>
          <w:color w:val="000000"/>
        </w:rPr>
      </w:pPr>
      <w:bookmarkStart w:id="243" w:name="_Toc158988546"/>
      <w:r>
        <w:rPr>
          <w:rStyle w:val="CharSectno"/>
          <w:color w:val="000000"/>
        </w:rPr>
        <w:t>139</w:t>
      </w:r>
      <w:r>
        <w:rPr>
          <w:color w:val="000000"/>
        </w:rPr>
        <w:t>.</w:t>
      </w:r>
      <w:r>
        <w:rPr>
          <w:color w:val="000000"/>
        </w:rPr>
        <w:tab/>
        <w:t>Term used: bulk transfer</w:t>
      </w:r>
      <w:bookmarkEnd w:id="24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244" w:name="_Toc158974059"/>
      <w:bookmarkStart w:id="245" w:name="_Toc158983001"/>
      <w:bookmarkStart w:id="246" w:name="_Toc158983368"/>
      <w:bookmarkStart w:id="247" w:name="_Toc158988547"/>
      <w:r>
        <w:rPr>
          <w:rStyle w:val="CharDivNo"/>
        </w:rPr>
        <w:t>Division 2</w:t>
      </w:r>
      <w:r>
        <w:t> — </w:t>
      </w:r>
      <w:r>
        <w:rPr>
          <w:rStyle w:val="CharDivText"/>
        </w:rPr>
        <w:t>Equipment and transfer</w:t>
      </w:r>
      <w:bookmarkEnd w:id="244"/>
      <w:bookmarkEnd w:id="245"/>
      <w:bookmarkEnd w:id="246"/>
      <w:bookmarkEnd w:id="247"/>
    </w:p>
    <w:p>
      <w:pPr>
        <w:pStyle w:val="Heading5"/>
      </w:pPr>
      <w:bookmarkStart w:id="248" w:name="_Toc158988548"/>
      <w:r>
        <w:rPr>
          <w:rStyle w:val="CharSectno"/>
        </w:rPr>
        <w:t>140</w:t>
      </w:r>
      <w:r>
        <w:t>.</w:t>
      </w:r>
      <w:r>
        <w:tab/>
        <w:t>Duty on transferors — hose assemblies</w:t>
      </w:r>
      <w:bookmarkEnd w:id="24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249" w:name="_Toc158988549"/>
      <w:r>
        <w:rPr>
          <w:rStyle w:val="CharSectno"/>
        </w:rPr>
        <w:lastRenderedPageBreak/>
        <w:t>141</w:t>
      </w:r>
      <w:r>
        <w:t>.</w:t>
      </w:r>
      <w:r>
        <w:tab/>
        <w:t>Duty on transferors — general</w:t>
      </w:r>
      <w:bookmarkEnd w:id="249"/>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250" w:name="_Toc158988550"/>
      <w:r>
        <w:rPr>
          <w:rStyle w:val="CharSectno"/>
        </w:rPr>
        <w:t>142</w:t>
      </w:r>
      <w:r>
        <w:t>.</w:t>
      </w:r>
      <w:r>
        <w:tab/>
        <w:t>Duty on occupiers</w:t>
      </w:r>
      <w:bookmarkEnd w:id="250"/>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keepNext/>
        <w:spacing w:before="120"/>
      </w:pPr>
      <w:r>
        <w:lastRenderedPageBreak/>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251" w:name="_Toc158988551"/>
      <w:r>
        <w:rPr>
          <w:rStyle w:val="CharSectno"/>
        </w:rPr>
        <w:t>143</w:t>
      </w:r>
      <w:r>
        <w:t>.</w:t>
      </w:r>
      <w:r>
        <w:tab/>
        <w:t>Duty on prime contractors</w:t>
      </w:r>
      <w:bookmarkEnd w:id="25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252" w:name="_Toc158988552"/>
      <w:r>
        <w:rPr>
          <w:rStyle w:val="CharSectno"/>
        </w:rPr>
        <w:lastRenderedPageBreak/>
        <w:t>144</w:t>
      </w:r>
      <w:r>
        <w:t>.</w:t>
      </w:r>
      <w:r>
        <w:tab/>
        <w:t>Duty on rail operators</w:t>
      </w:r>
      <w:bookmarkEnd w:id="2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253" w:name="_Toc158974065"/>
      <w:bookmarkStart w:id="254" w:name="_Toc158983007"/>
      <w:bookmarkStart w:id="255" w:name="_Toc158983374"/>
      <w:bookmarkStart w:id="256" w:name="_Toc158988553"/>
      <w:r>
        <w:rPr>
          <w:rStyle w:val="CharDivNo"/>
        </w:rPr>
        <w:t>Division 3</w:t>
      </w:r>
      <w:r>
        <w:t> — </w:t>
      </w:r>
      <w:r>
        <w:rPr>
          <w:rStyle w:val="CharDivText"/>
        </w:rPr>
        <w:t>Filling ratio and ullage for tank vehicles</w:t>
      </w:r>
      <w:bookmarkEnd w:id="253"/>
      <w:bookmarkEnd w:id="254"/>
      <w:bookmarkEnd w:id="255"/>
      <w:bookmarkEnd w:id="256"/>
    </w:p>
    <w:p>
      <w:pPr>
        <w:pStyle w:val="Heading5"/>
        <w:spacing w:before="240"/>
      </w:pPr>
      <w:bookmarkStart w:id="257" w:name="_Toc158988554"/>
      <w:r>
        <w:rPr>
          <w:rStyle w:val="CharSectno"/>
        </w:rPr>
        <w:t>145</w:t>
      </w:r>
      <w:r>
        <w:t>.</w:t>
      </w:r>
      <w:r>
        <w:tab/>
        <w:t>Application of Division</w:t>
      </w:r>
      <w:bookmarkEnd w:id="257"/>
    </w:p>
    <w:p>
      <w:pPr>
        <w:pStyle w:val="Subsection"/>
        <w:spacing w:before="180"/>
      </w:pPr>
      <w:r>
        <w:tab/>
      </w:r>
      <w:r>
        <w:tab/>
        <w:t>This Division applies to and in relation to bulk transfer into a tank vehicle.</w:t>
      </w:r>
    </w:p>
    <w:p>
      <w:pPr>
        <w:pStyle w:val="Heading5"/>
        <w:spacing w:before="240"/>
      </w:pPr>
      <w:bookmarkStart w:id="258" w:name="_Toc158988555"/>
      <w:r>
        <w:rPr>
          <w:rStyle w:val="CharSectno"/>
        </w:rPr>
        <w:t>146</w:t>
      </w:r>
      <w:r>
        <w:t>.</w:t>
      </w:r>
      <w:r>
        <w:tab/>
        <w:t>Duty on transferors</w:t>
      </w:r>
      <w:bookmarkEnd w:id="258"/>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lastRenderedPageBreak/>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259" w:name="_Toc158988556"/>
      <w:r>
        <w:rPr>
          <w:rStyle w:val="CharSectno"/>
        </w:rPr>
        <w:t>147</w:t>
      </w:r>
      <w:r>
        <w:t>.</w:t>
      </w:r>
      <w:r>
        <w:tab/>
        <w:t>Duty on prime contractors and rail operators</w:t>
      </w:r>
      <w:bookmarkEnd w:id="259"/>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lastRenderedPageBreak/>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260" w:name="_Toc158988557"/>
      <w:r>
        <w:rPr>
          <w:rStyle w:val="CharSectno"/>
        </w:rPr>
        <w:t>148</w:t>
      </w:r>
      <w:r>
        <w:t>.</w:t>
      </w:r>
      <w:r>
        <w:tab/>
        <w:t>Duty on drivers</w:t>
      </w:r>
      <w:bookmarkEnd w:id="260"/>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261" w:name="_Toc158974070"/>
      <w:bookmarkStart w:id="262" w:name="_Toc158983012"/>
      <w:bookmarkStart w:id="263" w:name="_Toc158983379"/>
      <w:bookmarkStart w:id="264" w:name="_Toc158988558"/>
      <w:r>
        <w:rPr>
          <w:rStyle w:val="CharPartNo"/>
        </w:rPr>
        <w:lastRenderedPageBreak/>
        <w:t>Part 11</w:t>
      </w:r>
      <w:r>
        <w:t> — </w:t>
      </w:r>
      <w:r>
        <w:rPr>
          <w:rStyle w:val="CharPartText"/>
        </w:rPr>
        <w:t>Documentation</w:t>
      </w:r>
      <w:bookmarkEnd w:id="261"/>
      <w:bookmarkEnd w:id="262"/>
      <w:bookmarkEnd w:id="263"/>
      <w:bookmarkEnd w:id="264"/>
    </w:p>
    <w:p>
      <w:pPr>
        <w:pStyle w:val="Heading3"/>
      </w:pPr>
      <w:bookmarkStart w:id="265" w:name="_Toc158974071"/>
      <w:bookmarkStart w:id="266" w:name="_Toc158983013"/>
      <w:bookmarkStart w:id="267" w:name="_Toc158983380"/>
      <w:bookmarkStart w:id="268" w:name="_Toc158988559"/>
      <w:r>
        <w:rPr>
          <w:rStyle w:val="CharDivNo"/>
        </w:rPr>
        <w:t>Division 1</w:t>
      </w:r>
      <w:r>
        <w:t> — </w:t>
      </w:r>
      <w:r>
        <w:rPr>
          <w:rStyle w:val="CharDivText"/>
        </w:rPr>
        <w:t>Transport documentation</w:t>
      </w:r>
      <w:bookmarkEnd w:id="265"/>
      <w:bookmarkEnd w:id="266"/>
      <w:bookmarkEnd w:id="267"/>
      <w:bookmarkEnd w:id="268"/>
    </w:p>
    <w:p>
      <w:pPr>
        <w:pStyle w:val="Heading5"/>
      </w:pPr>
      <w:bookmarkStart w:id="269" w:name="_Toc158988560"/>
      <w:r>
        <w:rPr>
          <w:rStyle w:val="CharSectno"/>
        </w:rPr>
        <w:t>149</w:t>
      </w:r>
      <w:r>
        <w:t>.</w:t>
      </w:r>
      <w:r>
        <w:tab/>
        <w:t>False or misleading information</w:t>
      </w:r>
      <w:bookmarkEnd w:id="269"/>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270" w:name="_Toc158988561"/>
      <w:r>
        <w:rPr>
          <w:rStyle w:val="CharSectno"/>
        </w:rPr>
        <w:t>150</w:t>
      </w:r>
      <w:r>
        <w:t>.</w:t>
      </w:r>
      <w:r>
        <w:tab/>
        <w:t>Duty on consignors — transport by road</w:t>
      </w:r>
      <w:bookmarkEnd w:id="270"/>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271" w:name="_Toc158988562"/>
      <w:r>
        <w:rPr>
          <w:rStyle w:val="CharSectno"/>
        </w:rPr>
        <w:t>151</w:t>
      </w:r>
      <w:r>
        <w:t>.</w:t>
      </w:r>
      <w:r>
        <w:tab/>
        <w:t>Duty on consignors — transport by rail</w:t>
      </w:r>
      <w:bookmarkEnd w:id="271"/>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 xml:space="preserve">For the purposes of subregulation (1), a rail operator is to be taken to have the transport documentation if the contents of the </w:t>
      </w:r>
      <w:r>
        <w:lastRenderedPageBreak/>
        <w:t>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272" w:name="_Toc158988563"/>
      <w:r>
        <w:rPr>
          <w:rStyle w:val="CharSectno"/>
        </w:rPr>
        <w:t>152</w:t>
      </w:r>
      <w:r>
        <w:t>.</w:t>
      </w:r>
      <w:r>
        <w:tab/>
        <w:t>Duty on prime contractors</w:t>
      </w:r>
      <w:bookmarkEnd w:id="272"/>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273" w:name="_Toc158988564"/>
      <w:r>
        <w:rPr>
          <w:rStyle w:val="CharSectno"/>
        </w:rPr>
        <w:t>153</w:t>
      </w:r>
      <w:r>
        <w:t>.</w:t>
      </w:r>
      <w:r>
        <w:tab/>
        <w:t>Duty on rail operators</w:t>
      </w:r>
      <w:bookmarkEnd w:id="273"/>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274" w:name="_Toc158988565"/>
      <w:r>
        <w:rPr>
          <w:rStyle w:val="CharSectno"/>
        </w:rPr>
        <w:t>154</w:t>
      </w:r>
      <w:r>
        <w:t>.</w:t>
      </w:r>
      <w:r>
        <w:tab/>
        <w:t>Duty on drivers</w:t>
      </w:r>
      <w:bookmarkEnd w:id="274"/>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 xml:space="preserve">The driver of a road vehicle transporting dangerous goods must produce the transport documentation for the goods for inspection by a DGO, a police officer or an emergency service </w:t>
      </w:r>
      <w:r>
        <w:lastRenderedPageBreak/>
        <w:t>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275" w:name="_Toc158988566"/>
      <w:r>
        <w:rPr>
          <w:rStyle w:val="CharSectno"/>
        </w:rPr>
        <w:t>155</w:t>
      </w:r>
      <w:r>
        <w:t>.</w:t>
      </w:r>
      <w:r>
        <w:tab/>
        <w:t>Duty on train drivers</w:t>
      </w:r>
      <w:bookmarkEnd w:id="275"/>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276" w:name="_Toc158988567"/>
      <w:r>
        <w:rPr>
          <w:rStyle w:val="CharSectno"/>
        </w:rPr>
        <w:t>156A</w:t>
      </w:r>
      <w:r>
        <w:t>.</w:t>
      </w:r>
      <w:r>
        <w:tab/>
        <w:t>Prime contactor’s duties: retention of documents</w:t>
      </w:r>
      <w:bookmarkEnd w:id="276"/>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lastRenderedPageBreak/>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277" w:name="_Toc158974080"/>
      <w:bookmarkStart w:id="278" w:name="_Toc158983022"/>
      <w:bookmarkStart w:id="279" w:name="_Toc158983389"/>
      <w:bookmarkStart w:id="280" w:name="_Toc158988568"/>
      <w:r>
        <w:rPr>
          <w:rStyle w:val="CharDivNo"/>
        </w:rPr>
        <w:t>Division 2</w:t>
      </w:r>
      <w:r>
        <w:t> — </w:t>
      </w:r>
      <w:r>
        <w:rPr>
          <w:rStyle w:val="CharDivText"/>
        </w:rPr>
        <w:t>Emergency information</w:t>
      </w:r>
      <w:bookmarkEnd w:id="277"/>
      <w:bookmarkEnd w:id="278"/>
      <w:bookmarkEnd w:id="279"/>
      <w:bookmarkEnd w:id="280"/>
    </w:p>
    <w:p>
      <w:pPr>
        <w:pStyle w:val="Heading5"/>
        <w:ind w:left="1140" w:hanging="1140"/>
      </w:pPr>
      <w:bookmarkStart w:id="281" w:name="_Toc158988569"/>
      <w:r>
        <w:rPr>
          <w:rStyle w:val="CharSectno"/>
        </w:rPr>
        <w:t>156</w:t>
      </w:r>
      <w:r>
        <w:t>.</w:t>
      </w:r>
      <w:r>
        <w:tab/>
        <w:t>Term used: required emergency information</w:t>
      </w:r>
      <w:bookmarkEnd w:id="28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82" w:name="_Toc158988570"/>
      <w:r>
        <w:rPr>
          <w:rStyle w:val="CharSectno"/>
        </w:rPr>
        <w:t>157</w:t>
      </w:r>
      <w:r>
        <w:t>.</w:t>
      </w:r>
      <w:r>
        <w:tab/>
        <w:t>Duty on consignors</w:t>
      </w:r>
      <w:bookmarkEnd w:id="282"/>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83" w:name="_Toc158988571"/>
      <w:r>
        <w:rPr>
          <w:rStyle w:val="CharSectno"/>
        </w:rPr>
        <w:t>158</w:t>
      </w:r>
      <w:r>
        <w:t>.</w:t>
      </w:r>
      <w:r>
        <w:tab/>
        <w:t>Duty on prime contractors</w:t>
      </w:r>
      <w:bookmarkEnd w:id="283"/>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84" w:name="_Toc158988572"/>
      <w:r>
        <w:rPr>
          <w:rStyle w:val="CharSectno"/>
        </w:rPr>
        <w:lastRenderedPageBreak/>
        <w:t>159</w:t>
      </w:r>
      <w:r>
        <w:t>.</w:t>
      </w:r>
      <w:r>
        <w:tab/>
        <w:t>Duty on rail operators</w:t>
      </w:r>
      <w:bookmarkEnd w:id="284"/>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285" w:name="_Toc158988573"/>
      <w:r>
        <w:rPr>
          <w:rStyle w:val="CharSectno"/>
        </w:rPr>
        <w:t>160</w:t>
      </w:r>
      <w:r>
        <w:t>.</w:t>
      </w:r>
      <w:r>
        <w:tab/>
        <w:t>Duty on drivers</w:t>
      </w:r>
      <w:bookmarkEnd w:id="285"/>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keepNext/>
      </w:pPr>
      <w:r>
        <w:tab/>
        <w:t>(3)</w:t>
      </w:r>
      <w:r>
        <w:tab/>
        <w:t xml:space="preserve">The driver of a road vehicle transporting a placard load must produce the required emergency information for inspection by a </w:t>
      </w:r>
      <w:r>
        <w:lastRenderedPageBreak/>
        <w:t>DGO, a police officer or an emergency service officer, if the officer asks the driver to produce the information for inspection.</w:t>
      </w:r>
    </w:p>
    <w:p>
      <w:pPr>
        <w:pStyle w:val="Penstart"/>
      </w:pPr>
      <w:r>
        <w:tab/>
        <w:t>Penalty: a fine of $3 000.</w:t>
      </w:r>
    </w:p>
    <w:p>
      <w:pPr>
        <w:pStyle w:val="Heading5"/>
      </w:pPr>
      <w:bookmarkStart w:id="286" w:name="_Toc158988574"/>
      <w:r>
        <w:rPr>
          <w:rStyle w:val="CharSectno"/>
        </w:rPr>
        <w:t>161</w:t>
      </w:r>
      <w:r>
        <w:t>.</w:t>
      </w:r>
      <w:r>
        <w:tab/>
        <w:t>Duty on train drivers</w:t>
      </w:r>
      <w:bookmarkEnd w:id="28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287" w:name="_Toc158988575"/>
      <w:r>
        <w:rPr>
          <w:rStyle w:val="CharSectno"/>
        </w:rPr>
        <w:t>162</w:t>
      </w:r>
      <w:r>
        <w:t>.</w:t>
      </w:r>
      <w:r>
        <w:tab/>
        <w:t>Approvals — emergency information</w:t>
      </w:r>
      <w:bookmarkEnd w:id="287"/>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288" w:name="_Toc158974088"/>
      <w:bookmarkStart w:id="289" w:name="_Toc158983030"/>
      <w:bookmarkStart w:id="290" w:name="_Toc158983397"/>
      <w:bookmarkStart w:id="291" w:name="_Toc158988576"/>
      <w:r>
        <w:rPr>
          <w:rStyle w:val="CharDivNo"/>
        </w:rPr>
        <w:lastRenderedPageBreak/>
        <w:t>Division 3</w:t>
      </w:r>
      <w:r>
        <w:t> — </w:t>
      </w:r>
      <w:r>
        <w:rPr>
          <w:rStyle w:val="CharDivText"/>
        </w:rPr>
        <w:t>Dangerous goods packed in limited quantities</w:t>
      </w:r>
      <w:bookmarkEnd w:id="288"/>
      <w:bookmarkEnd w:id="289"/>
      <w:bookmarkEnd w:id="290"/>
      <w:bookmarkEnd w:id="291"/>
    </w:p>
    <w:p>
      <w:pPr>
        <w:pStyle w:val="Footnoteheading"/>
        <w:keepNext/>
      </w:pPr>
      <w:r>
        <w:tab/>
        <w:t>[Heading inserted: SL 2020/193 r. 22.]</w:t>
      </w:r>
    </w:p>
    <w:p>
      <w:pPr>
        <w:pStyle w:val="Heading5"/>
      </w:pPr>
      <w:bookmarkStart w:id="292" w:name="_Toc158988577"/>
      <w:r>
        <w:t>162A.</w:t>
      </w:r>
      <w:r>
        <w:tab/>
        <w:t>Duty on consignors</w:t>
      </w:r>
      <w:bookmarkEnd w:id="292"/>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293" w:name="_Toc158988578"/>
      <w:r>
        <w:rPr>
          <w:rStyle w:val="CharSectno"/>
        </w:rPr>
        <w:t>162B</w:t>
      </w:r>
      <w:r>
        <w:t>.</w:t>
      </w:r>
      <w:r>
        <w:tab/>
        <w:t>Duty on prime contractors</w:t>
      </w:r>
      <w:bookmarkEnd w:id="293"/>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294" w:name="_Toc158988579"/>
      <w:r>
        <w:rPr>
          <w:rStyle w:val="CharSectno"/>
        </w:rPr>
        <w:t>162C</w:t>
      </w:r>
      <w:r>
        <w:t>.</w:t>
      </w:r>
      <w:r>
        <w:tab/>
        <w:t>False or misleading information</w:t>
      </w:r>
      <w:bookmarkEnd w:id="294"/>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295" w:name="_Toc158974092"/>
      <w:bookmarkStart w:id="296" w:name="_Toc158983034"/>
      <w:bookmarkStart w:id="297" w:name="_Toc158983401"/>
      <w:bookmarkStart w:id="298" w:name="_Toc158988580"/>
      <w:r>
        <w:rPr>
          <w:rStyle w:val="CharPartNo"/>
        </w:rPr>
        <w:lastRenderedPageBreak/>
        <w:t>Part 12</w:t>
      </w:r>
      <w:r>
        <w:rPr>
          <w:rStyle w:val="CharDivNo"/>
        </w:rPr>
        <w:t> </w:t>
      </w:r>
      <w:r>
        <w:t>—</w:t>
      </w:r>
      <w:r>
        <w:rPr>
          <w:rStyle w:val="CharDivText"/>
        </w:rPr>
        <w:t> </w:t>
      </w:r>
      <w:r>
        <w:rPr>
          <w:rStyle w:val="CharPartText"/>
        </w:rPr>
        <w:t>Safety equipment</w:t>
      </w:r>
      <w:bookmarkEnd w:id="295"/>
      <w:bookmarkEnd w:id="296"/>
      <w:bookmarkEnd w:id="297"/>
      <w:bookmarkEnd w:id="298"/>
    </w:p>
    <w:p>
      <w:pPr>
        <w:pStyle w:val="Heading5"/>
      </w:pPr>
      <w:bookmarkStart w:id="299" w:name="_Toc158988581"/>
      <w:r>
        <w:rPr>
          <w:rStyle w:val="CharSectno"/>
        </w:rPr>
        <w:t>163</w:t>
      </w:r>
      <w:r>
        <w:t>.</w:t>
      </w:r>
      <w:r>
        <w:tab/>
        <w:t>Duty on owners</w:t>
      </w:r>
      <w:bookmarkEnd w:id="299"/>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300" w:name="_Toc158988582"/>
      <w:r>
        <w:rPr>
          <w:rStyle w:val="CharSectno"/>
        </w:rPr>
        <w:t>164</w:t>
      </w:r>
      <w:r>
        <w:t>.</w:t>
      </w:r>
      <w:r>
        <w:tab/>
        <w:t>Duty on prime contractors</w:t>
      </w:r>
      <w:bookmarkEnd w:id="300"/>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lastRenderedPageBreak/>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301" w:name="_Toc158988583"/>
      <w:r>
        <w:rPr>
          <w:rStyle w:val="CharSectno"/>
        </w:rPr>
        <w:t>165</w:t>
      </w:r>
      <w:r>
        <w:t>.</w:t>
      </w:r>
      <w:r>
        <w:tab/>
        <w:t>Duty on drivers</w:t>
      </w:r>
      <w:bookmarkEnd w:id="301"/>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Next/>
        <w:keepLines/>
      </w:pPr>
      <w:r>
        <w:lastRenderedPageBreak/>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302" w:name="_Toc158974096"/>
      <w:bookmarkStart w:id="303" w:name="_Toc158983038"/>
      <w:bookmarkStart w:id="304" w:name="_Toc158983405"/>
      <w:bookmarkStart w:id="305" w:name="_Toc158988584"/>
      <w:r>
        <w:rPr>
          <w:rStyle w:val="CharPartNo"/>
        </w:rPr>
        <w:lastRenderedPageBreak/>
        <w:t>Part 13</w:t>
      </w:r>
      <w:r>
        <w:t> — </w:t>
      </w:r>
      <w:r>
        <w:rPr>
          <w:rStyle w:val="CharPartText"/>
        </w:rPr>
        <w:t>Procedures during transport</w:t>
      </w:r>
      <w:bookmarkEnd w:id="302"/>
      <w:bookmarkEnd w:id="303"/>
      <w:bookmarkEnd w:id="304"/>
      <w:bookmarkEnd w:id="305"/>
    </w:p>
    <w:p>
      <w:pPr>
        <w:pStyle w:val="Heading3"/>
      </w:pPr>
      <w:bookmarkStart w:id="306" w:name="_Toc158974097"/>
      <w:bookmarkStart w:id="307" w:name="_Toc158983039"/>
      <w:bookmarkStart w:id="308" w:name="_Toc158983406"/>
      <w:bookmarkStart w:id="309" w:name="_Toc158988585"/>
      <w:r>
        <w:rPr>
          <w:rStyle w:val="CharDivNo"/>
        </w:rPr>
        <w:t>Division 1</w:t>
      </w:r>
      <w:r>
        <w:t> — </w:t>
      </w:r>
      <w:r>
        <w:rPr>
          <w:rStyle w:val="CharDivText"/>
        </w:rPr>
        <w:t>Immobilised and stopped vehicles</w:t>
      </w:r>
      <w:bookmarkEnd w:id="306"/>
      <w:bookmarkEnd w:id="307"/>
      <w:bookmarkEnd w:id="308"/>
      <w:bookmarkEnd w:id="309"/>
    </w:p>
    <w:p>
      <w:pPr>
        <w:pStyle w:val="Heading5"/>
      </w:pPr>
      <w:bookmarkStart w:id="310" w:name="_Toc158988586"/>
      <w:r>
        <w:rPr>
          <w:rStyle w:val="CharSectno"/>
        </w:rPr>
        <w:t>166</w:t>
      </w:r>
      <w:r>
        <w:t>.</w:t>
      </w:r>
      <w:r>
        <w:tab/>
        <w:t>Duty on drivers</w:t>
      </w:r>
      <w:bookmarkEnd w:id="310"/>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 xml:space="preserve">if the speed limit on the road is lower than 80 km/h, the signs placed in advance and to the rear of the vehicle must be placed at a distance of between 50 m and 150 m from the vehicle and the third sign must be placed at the </w:t>
      </w:r>
      <w:r>
        <w:lastRenderedPageBreak/>
        <w:t>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311" w:name="_Toc158988587"/>
      <w:r>
        <w:rPr>
          <w:rStyle w:val="CharSectno"/>
        </w:rPr>
        <w:t>167</w:t>
      </w:r>
      <w:r>
        <w:t>.</w:t>
      </w:r>
      <w:r>
        <w:tab/>
        <w:t>Duty on prime contractors</w:t>
      </w:r>
      <w:bookmarkEnd w:id="31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lastRenderedPageBreak/>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312" w:name="_Toc158988588"/>
      <w:r>
        <w:rPr>
          <w:rStyle w:val="CharSectno"/>
        </w:rPr>
        <w:t>168</w:t>
      </w:r>
      <w:r>
        <w:t>.</w:t>
      </w:r>
      <w:r>
        <w:tab/>
        <w:t>Duty on rail operators</w:t>
      </w:r>
      <w:bookmarkEnd w:id="31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313" w:name="_Toc158974101"/>
      <w:bookmarkStart w:id="314" w:name="_Toc158983043"/>
      <w:bookmarkStart w:id="315" w:name="_Toc158983410"/>
      <w:bookmarkStart w:id="316" w:name="_Toc158988589"/>
      <w:r>
        <w:rPr>
          <w:rStyle w:val="CharDivNo"/>
        </w:rPr>
        <w:t>Division 2</w:t>
      </w:r>
      <w:r>
        <w:t> — </w:t>
      </w:r>
      <w:r>
        <w:rPr>
          <w:rStyle w:val="CharDivText"/>
        </w:rPr>
        <w:t>General precautions: duties on drivers</w:t>
      </w:r>
      <w:bookmarkEnd w:id="313"/>
      <w:bookmarkEnd w:id="314"/>
      <w:bookmarkEnd w:id="315"/>
      <w:bookmarkEnd w:id="316"/>
    </w:p>
    <w:p>
      <w:pPr>
        <w:pStyle w:val="Footnoteheading"/>
      </w:pPr>
      <w:r>
        <w:tab/>
        <w:t>[Heading inserted: SL 2020/193 r. 23.]</w:t>
      </w:r>
    </w:p>
    <w:p>
      <w:pPr>
        <w:pStyle w:val="Heading5"/>
      </w:pPr>
      <w:bookmarkStart w:id="317" w:name="_Toc158988590"/>
      <w:r>
        <w:rPr>
          <w:rStyle w:val="CharSectno"/>
        </w:rPr>
        <w:t>169</w:t>
      </w:r>
      <w:r>
        <w:t>.</w:t>
      </w:r>
      <w:r>
        <w:tab/>
        <w:t>Driving</w:t>
      </w:r>
      <w:bookmarkEnd w:id="317"/>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318" w:name="_Toc158988591"/>
      <w:r>
        <w:rPr>
          <w:rStyle w:val="CharSectno"/>
        </w:rPr>
        <w:t>170</w:t>
      </w:r>
      <w:r>
        <w:t>.</w:t>
      </w:r>
      <w:r>
        <w:tab/>
        <w:t>Parking</w:t>
      </w:r>
      <w:bookmarkEnd w:id="318"/>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319" w:name="_Toc158988592"/>
      <w:r>
        <w:rPr>
          <w:rStyle w:val="CharSectno"/>
        </w:rPr>
        <w:lastRenderedPageBreak/>
        <w:t>171</w:t>
      </w:r>
      <w:r>
        <w:t>.</w:t>
      </w:r>
      <w:r>
        <w:tab/>
        <w:t>Control of ignition sources</w:t>
      </w:r>
      <w:bookmarkEnd w:id="319"/>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320" w:name="_Toc158988593"/>
      <w:r>
        <w:rPr>
          <w:rStyle w:val="CharSectno"/>
          <w:color w:val="000000"/>
        </w:rPr>
        <w:t>172</w:t>
      </w:r>
      <w:r>
        <w:rPr>
          <w:color w:val="000000"/>
        </w:rPr>
        <w:t>.</w:t>
      </w:r>
      <w:r>
        <w:rPr>
          <w:color w:val="000000"/>
        </w:rPr>
        <w:tab/>
        <w:t>Unloading</w:t>
      </w:r>
      <w:bookmarkEnd w:id="320"/>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21" w:name="_Toc158988594"/>
      <w:r>
        <w:rPr>
          <w:rStyle w:val="CharSectno"/>
          <w:color w:val="000000"/>
        </w:rPr>
        <w:lastRenderedPageBreak/>
        <w:t>173</w:t>
      </w:r>
      <w:r>
        <w:rPr>
          <w:color w:val="000000"/>
        </w:rPr>
        <w:t>.</w:t>
      </w:r>
      <w:r>
        <w:rPr>
          <w:color w:val="000000"/>
        </w:rPr>
        <w:tab/>
        <w:t>Detaching trailer</w:t>
      </w:r>
      <w:bookmarkEnd w:id="321"/>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322" w:name="_Toc158988595"/>
      <w:r>
        <w:rPr>
          <w:rStyle w:val="CharSectno"/>
          <w:color w:val="000000"/>
        </w:rPr>
        <w:t>174</w:t>
      </w:r>
      <w:r>
        <w:rPr>
          <w:color w:val="000000"/>
        </w:rPr>
        <w:t>.</w:t>
      </w:r>
      <w:r>
        <w:rPr>
          <w:color w:val="000000"/>
        </w:rPr>
        <w:tab/>
        <w:t>Road tank vehicle equipped with burner</w:t>
      </w:r>
      <w:bookmarkEnd w:id="322"/>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323" w:name="_Toc158974108"/>
      <w:bookmarkStart w:id="324" w:name="_Toc158983050"/>
      <w:bookmarkStart w:id="325" w:name="_Toc158983417"/>
      <w:bookmarkStart w:id="326" w:name="_Toc158988596"/>
      <w:r>
        <w:rPr>
          <w:rStyle w:val="CharDivNo"/>
        </w:rPr>
        <w:t>Division 3</w:t>
      </w:r>
      <w:r>
        <w:t> — </w:t>
      </w:r>
      <w:r>
        <w:rPr>
          <w:rStyle w:val="CharDivText"/>
        </w:rPr>
        <w:t>General precautions: duties on prime contractors</w:t>
      </w:r>
      <w:bookmarkEnd w:id="323"/>
      <w:bookmarkEnd w:id="324"/>
      <w:bookmarkEnd w:id="325"/>
      <w:bookmarkEnd w:id="326"/>
    </w:p>
    <w:p>
      <w:pPr>
        <w:pStyle w:val="Footnoteheading"/>
      </w:pPr>
      <w:r>
        <w:tab/>
        <w:t>[Heading inserted: SL 2020/193 r. 24.]</w:t>
      </w:r>
    </w:p>
    <w:p>
      <w:pPr>
        <w:pStyle w:val="Heading5"/>
      </w:pPr>
      <w:bookmarkStart w:id="327" w:name="_Toc158988597"/>
      <w:r>
        <w:rPr>
          <w:rStyle w:val="CharSectno"/>
        </w:rPr>
        <w:t>174A</w:t>
      </w:r>
      <w:r>
        <w:t>.</w:t>
      </w:r>
      <w:r>
        <w:tab/>
        <w:t>Parking</w:t>
      </w:r>
      <w:bookmarkEnd w:id="327"/>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328" w:name="_Toc158988598"/>
      <w:r>
        <w:rPr>
          <w:rStyle w:val="CharSectno"/>
        </w:rPr>
        <w:t>174B</w:t>
      </w:r>
      <w:r>
        <w:t>.</w:t>
      </w:r>
      <w:r>
        <w:tab/>
        <w:t>Unloading</w:t>
      </w:r>
      <w:bookmarkEnd w:id="328"/>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329" w:name="_Toc158988599"/>
      <w:r>
        <w:rPr>
          <w:rStyle w:val="CharSectno"/>
        </w:rPr>
        <w:lastRenderedPageBreak/>
        <w:t>174C</w:t>
      </w:r>
      <w:r>
        <w:t>.</w:t>
      </w:r>
      <w:r>
        <w:tab/>
        <w:t>Detaching trailer</w:t>
      </w:r>
      <w:bookmarkEnd w:id="329"/>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330" w:name="_Toc158988600"/>
      <w:r>
        <w:rPr>
          <w:rStyle w:val="CharSectno"/>
        </w:rPr>
        <w:t>174D</w:t>
      </w:r>
      <w:r>
        <w:t>.</w:t>
      </w:r>
      <w:r>
        <w:tab/>
      </w:r>
      <w:r>
        <w:rPr>
          <w:color w:val="000000"/>
        </w:rPr>
        <w:t>Road tank vehicle equipped with burner</w:t>
      </w:r>
      <w:bookmarkEnd w:id="330"/>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331" w:name="_Toc158974113"/>
      <w:bookmarkStart w:id="332" w:name="_Toc158983055"/>
      <w:bookmarkStart w:id="333" w:name="_Toc158983422"/>
      <w:bookmarkStart w:id="334" w:name="_Toc158988601"/>
      <w:r>
        <w:rPr>
          <w:rStyle w:val="CharPartNo"/>
        </w:rPr>
        <w:lastRenderedPageBreak/>
        <w:t>Part 14</w:t>
      </w:r>
      <w:r>
        <w:t> — </w:t>
      </w:r>
      <w:r>
        <w:rPr>
          <w:rStyle w:val="CharPartText"/>
        </w:rPr>
        <w:t>Emergencies</w:t>
      </w:r>
      <w:bookmarkEnd w:id="331"/>
      <w:bookmarkEnd w:id="332"/>
      <w:bookmarkEnd w:id="333"/>
      <w:bookmarkEnd w:id="334"/>
    </w:p>
    <w:p>
      <w:pPr>
        <w:pStyle w:val="Heading3"/>
        <w:spacing w:before="200"/>
      </w:pPr>
      <w:bookmarkStart w:id="335" w:name="_Toc158974114"/>
      <w:bookmarkStart w:id="336" w:name="_Toc158983056"/>
      <w:bookmarkStart w:id="337" w:name="_Toc158983423"/>
      <w:bookmarkStart w:id="338" w:name="_Toc158988602"/>
      <w:r>
        <w:rPr>
          <w:rStyle w:val="CharDivNo"/>
        </w:rPr>
        <w:t>Division 1</w:t>
      </w:r>
      <w:r>
        <w:t> — </w:t>
      </w:r>
      <w:r>
        <w:rPr>
          <w:rStyle w:val="CharDivText"/>
        </w:rPr>
        <w:t>Emergencies generally</w:t>
      </w:r>
      <w:bookmarkEnd w:id="335"/>
      <w:bookmarkEnd w:id="336"/>
      <w:bookmarkEnd w:id="337"/>
      <w:bookmarkEnd w:id="338"/>
    </w:p>
    <w:p>
      <w:pPr>
        <w:pStyle w:val="Heading5"/>
        <w:spacing w:before="180"/>
      </w:pPr>
      <w:bookmarkStart w:id="339" w:name="_Toc158988603"/>
      <w:r>
        <w:rPr>
          <w:rStyle w:val="CharSectno"/>
        </w:rPr>
        <w:t>175</w:t>
      </w:r>
      <w:r>
        <w:t>.</w:t>
      </w:r>
      <w:r>
        <w:tab/>
        <w:t>Duty on drivers</w:t>
      </w:r>
      <w:bookmarkEnd w:id="339"/>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340" w:name="_Toc158988604"/>
      <w:r>
        <w:rPr>
          <w:rStyle w:val="CharSectno"/>
        </w:rPr>
        <w:t>176</w:t>
      </w:r>
      <w:r>
        <w:t>.</w:t>
      </w:r>
      <w:r>
        <w:tab/>
        <w:t>Duty on train drivers and rail operators</w:t>
      </w:r>
      <w:bookmarkEnd w:id="340"/>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lastRenderedPageBreak/>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341" w:name="_Toc158988605"/>
      <w:r>
        <w:rPr>
          <w:rStyle w:val="CharSectno"/>
        </w:rPr>
        <w:t>177</w:t>
      </w:r>
      <w:r>
        <w:t>.</w:t>
      </w:r>
      <w:r>
        <w:tab/>
        <w:t>Duty on prime contractors and rail operators — food or food packaging</w:t>
      </w:r>
      <w:bookmarkEnd w:id="341"/>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keepNext/>
      </w:pPr>
      <w:r>
        <w:lastRenderedPageBreak/>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342" w:name="_Toc158988606"/>
      <w:r>
        <w:rPr>
          <w:rStyle w:val="CharSectno"/>
        </w:rPr>
        <w:t>178</w:t>
      </w:r>
      <w:r>
        <w:t>.</w:t>
      </w:r>
      <w:r>
        <w:tab/>
        <w:t>Prime contractors, rail operators and drivers to inform Chief Officer</w:t>
      </w:r>
      <w:bookmarkEnd w:id="342"/>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lastRenderedPageBreak/>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343" w:name="_Toc158974119"/>
      <w:bookmarkStart w:id="344" w:name="_Toc158983061"/>
      <w:bookmarkStart w:id="345" w:name="_Toc158983428"/>
      <w:bookmarkStart w:id="346" w:name="_Toc158988607"/>
      <w:r>
        <w:rPr>
          <w:rStyle w:val="CharDivNo"/>
        </w:rPr>
        <w:t>Division 2</w:t>
      </w:r>
      <w:r>
        <w:t> — </w:t>
      </w:r>
      <w:r>
        <w:rPr>
          <w:rStyle w:val="CharDivText"/>
        </w:rPr>
        <w:t>Emergencies involving placard loads</w:t>
      </w:r>
      <w:bookmarkEnd w:id="343"/>
      <w:bookmarkEnd w:id="344"/>
      <w:bookmarkEnd w:id="345"/>
      <w:bookmarkEnd w:id="346"/>
    </w:p>
    <w:p>
      <w:pPr>
        <w:pStyle w:val="Heading5"/>
      </w:pPr>
      <w:bookmarkStart w:id="347" w:name="_Toc158988608"/>
      <w:r>
        <w:rPr>
          <w:rStyle w:val="CharSectno"/>
        </w:rPr>
        <w:t>179</w:t>
      </w:r>
      <w:r>
        <w:t>.</w:t>
      </w:r>
      <w:r>
        <w:tab/>
        <w:t>Telephone advisory service</w:t>
      </w:r>
      <w:bookmarkEnd w:id="347"/>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lastRenderedPageBreak/>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348" w:name="_Toc158988609"/>
      <w:r>
        <w:rPr>
          <w:rStyle w:val="CharSectno"/>
        </w:rPr>
        <w:t>180</w:t>
      </w:r>
      <w:r>
        <w:t>.</w:t>
      </w:r>
      <w:r>
        <w:tab/>
        <w:t>Emergency plans</w:t>
      </w:r>
      <w:bookmarkEnd w:id="348"/>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Ministerial Council.</w:t>
      </w:r>
    </w:p>
    <w:p>
      <w:pPr>
        <w:pStyle w:val="Subsection"/>
        <w:rPr>
          <w:color w:val="000000"/>
        </w:rPr>
      </w:pPr>
      <w:r>
        <w:rPr>
          <w:color w:val="000000"/>
        </w:rPr>
        <w:lastRenderedPageBreak/>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 SL 2024/22 r. 8.]</w:t>
      </w:r>
    </w:p>
    <w:p>
      <w:pPr>
        <w:pStyle w:val="Heading5"/>
      </w:pPr>
      <w:bookmarkStart w:id="349" w:name="_Toc158988610"/>
      <w:r>
        <w:rPr>
          <w:rStyle w:val="CharSectno"/>
        </w:rPr>
        <w:t>181</w:t>
      </w:r>
      <w:r>
        <w:t>.</w:t>
      </w:r>
      <w:r>
        <w:tab/>
        <w:t>Duty on consignors — information</w:t>
      </w:r>
      <w:bookmarkEnd w:id="349"/>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350" w:name="_Toc158988611"/>
      <w:r>
        <w:rPr>
          <w:rStyle w:val="CharSectno"/>
        </w:rPr>
        <w:t>182</w:t>
      </w:r>
      <w:r>
        <w:t>.</w:t>
      </w:r>
      <w:r>
        <w:tab/>
        <w:t>Duty on prime contractors and rail operators — information</w:t>
      </w:r>
      <w:bookmarkEnd w:id="350"/>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w:t>
      </w:r>
      <w:r>
        <w:rPr>
          <w:color w:val="000000"/>
        </w:rPr>
        <w:lastRenderedPageBreak/>
        <w:t>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351" w:name="_Toc158974124"/>
      <w:bookmarkStart w:id="352" w:name="_Toc158983066"/>
      <w:bookmarkStart w:id="353" w:name="_Toc158983433"/>
      <w:bookmarkStart w:id="354" w:name="_Toc158988612"/>
      <w:r>
        <w:rPr>
          <w:rStyle w:val="CharDivNo"/>
        </w:rPr>
        <w:t>Division 3</w:t>
      </w:r>
      <w:r>
        <w:t> — </w:t>
      </w:r>
      <w:r>
        <w:rPr>
          <w:rStyle w:val="CharDivText"/>
        </w:rPr>
        <w:t>Dealing with emergencies involving placard loads</w:t>
      </w:r>
      <w:bookmarkEnd w:id="351"/>
      <w:bookmarkEnd w:id="352"/>
      <w:bookmarkEnd w:id="353"/>
      <w:bookmarkEnd w:id="354"/>
    </w:p>
    <w:p>
      <w:pPr>
        <w:pStyle w:val="Heading5"/>
      </w:pPr>
      <w:bookmarkStart w:id="355" w:name="_Toc158988613"/>
      <w:r>
        <w:rPr>
          <w:rStyle w:val="CharSectno"/>
        </w:rPr>
        <w:t>183</w:t>
      </w:r>
      <w:r>
        <w:t>.</w:t>
      </w:r>
      <w:r>
        <w:tab/>
        <w:t>Terms used</w:t>
      </w:r>
      <w:bookmarkEnd w:id="355"/>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356" w:name="_Toc158988614"/>
      <w:r>
        <w:rPr>
          <w:rStyle w:val="CharSectno"/>
        </w:rPr>
        <w:t>184</w:t>
      </w:r>
      <w:r>
        <w:t>.</w:t>
      </w:r>
      <w:r>
        <w:tab/>
        <w:t>Approvals — responders to emergencies</w:t>
      </w:r>
      <w:bookmarkEnd w:id="356"/>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lastRenderedPageBreak/>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357" w:name="_Toc158988615"/>
      <w:r>
        <w:rPr>
          <w:rStyle w:val="CharSectno"/>
        </w:rPr>
        <w:t>185</w:t>
      </w:r>
      <w:r>
        <w:t>.</w:t>
      </w:r>
      <w:r>
        <w:tab/>
        <w:t>Duties as to ensure adequate resources available to deal with emergencies</w:t>
      </w:r>
      <w:bookmarkEnd w:id="357"/>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358" w:name="_Toc158988616"/>
      <w:r>
        <w:rPr>
          <w:rStyle w:val="CharSectno"/>
        </w:rPr>
        <w:lastRenderedPageBreak/>
        <w:t>186</w:t>
      </w:r>
      <w:r>
        <w:t>.</w:t>
      </w:r>
      <w:r>
        <w:tab/>
        <w:t>Duties to provide resources to deal with emergency</w:t>
      </w:r>
      <w:bookmarkEnd w:id="358"/>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lastRenderedPageBreak/>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359" w:name="_Toc158974129"/>
      <w:bookmarkStart w:id="360" w:name="_Toc158983071"/>
      <w:bookmarkStart w:id="361" w:name="_Toc158983438"/>
      <w:bookmarkStart w:id="362" w:name="_Toc158988617"/>
      <w:r>
        <w:rPr>
          <w:rStyle w:val="CharPartNo"/>
        </w:rPr>
        <w:lastRenderedPageBreak/>
        <w:t>Part 15</w:t>
      </w:r>
      <w:r>
        <w:t> — </w:t>
      </w:r>
      <w:r>
        <w:rPr>
          <w:rStyle w:val="CharPartText"/>
        </w:rPr>
        <w:t>Exemption</w:t>
      </w:r>
      <w:bookmarkEnd w:id="359"/>
      <w:bookmarkEnd w:id="360"/>
      <w:bookmarkEnd w:id="361"/>
      <w:bookmarkEnd w:id="362"/>
    </w:p>
    <w:p>
      <w:pPr>
        <w:pStyle w:val="Heading3"/>
      </w:pPr>
      <w:bookmarkStart w:id="363" w:name="_Toc158974130"/>
      <w:bookmarkStart w:id="364" w:name="_Toc158983072"/>
      <w:bookmarkStart w:id="365" w:name="_Toc158983439"/>
      <w:bookmarkStart w:id="366" w:name="_Toc158988618"/>
      <w:r>
        <w:rPr>
          <w:rStyle w:val="CharDivNo"/>
        </w:rPr>
        <w:t>Division 1</w:t>
      </w:r>
      <w:r>
        <w:t> — </w:t>
      </w:r>
      <w:r>
        <w:rPr>
          <w:rStyle w:val="CharDivText"/>
        </w:rPr>
        <w:t>General</w:t>
      </w:r>
      <w:bookmarkEnd w:id="363"/>
      <w:bookmarkEnd w:id="364"/>
      <w:bookmarkEnd w:id="365"/>
      <w:bookmarkEnd w:id="366"/>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367" w:name="_Toc158988619"/>
      <w:r>
        <w:rPr>
          <w:rStyle w:val="CharSectno"/>
        </w:rPr>
        <w:t>187</w:t>
      </w:r>
      <w:r>
        <w:t>.</w:t>
      </w:r>
      <w:r>
        <w:tab/>
        <w:t>Register of corresponding exemptions</w:t>
      </w:r>
      <w:bookmarkEnd w:id="367"/>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368" w:name="_Toc158988620"/>
      <w:r>
        <w:rPr>
          <w:rStyle w:val="CharSectno"/>
        </w:rPr>
        <w:t>188</w:t>
      </w:r>
      <w:r>
        <w:t>.</w:t>
      </w:r>
      <w:r>
        <w:tab/>
        <w:t>Records of corresponding exemptions</w:t>
      </w:r>
      <w:bookmarkEnd w:id="368"/>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lastRenderedPageBreak/>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369" w:name="_Toc158974133"/>
      <w:bookmarkStart w:id="370" w:name="_Toc158983075"/>
      <w:bookmarkStart w:id="371" w:name="_Toc158983442"/>
      <w:bookmarkStart w:id="372" w:name="_Toc158988621"/>
      <w:r>
        <w:rPr>
          <w:rStyle w:val="CharDivNo"/>
        </w:rPr>
        <w:t>Division 2</w:t>
      </w:r>
      <w:r>
        <w:t> — </w:t>
      </w:r>
      <w:r>
        <w:rPr>
          <w:rStyle w:val="CharDivText"/>
        </w:rPr>
        <w:t>References of matters to CAP</w:t>
      </w:r>
      <w:bookmarkEnd w:id="369"/>
      <w:bookmarkEnd w:id="370"/>
      <w:bookmarkEnd w:id="371"/>
      <w:bookmarkEnd w:id="372"/>
    </w:p>
    <w:p>
      <w:pPr>
        <w:pStyle w:val="Heading5"/>
      </w:pPr>
      <w:bookmarkStart w:id="373" w:name="_Toc158988622"/>
      <w:r>
        <w:rPr>
          <w:rStyle w:val="CharSectno"/>
        </w:rPr>
        <w:t>189</w:t>
      </w:r>
      <w:r>
        <w:t>.</w:t>
      </w:r>
      <w:r>
        <w:tab/>
        <w:t>Term used: exemption</w:t>
      </w:r>
      <w:bookmarkEnd w:id="373"/>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374" w:name="_Toc158988623"/>
      <w:r>
        <w:rPr>
          <w:rStyle w:val="CharSectno"/>
        </w:rPr>
        <w:t>190</w:t>
      </w:r>
      <w:r>
        <w:t>.</w:t>
      </w:r>
      <w:r>
        <w:tab/>
        <w:t>References to CAP</w:t>
      </w:r>
      <w:bookmarkEnd w:id="374"/>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375" w:name="_Toc158988624"/>
      <w:r>
        <w:rPr>
          <w:rStyle w:val="CharSectno"/>
        </w:rPr>
        <w:lastRenderedPageBreak/>
        <w:t>191</w:t>
      </w:r>
      <w:r>
        <w:t>.</w:t>
      </w:r>
      <w:r>
        <w:tab/>
        <w:t>Effect of CAP decisions about exemptions</w:t>
      </w:r>
      <w:bookmarkEnd w:id="375"/>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376" w:name="_Toc158988625"/>
      <w:r>
        <w:rPr>
          <w:rStyle w:val="CharSectno"/>
        </w:rPr>
        <w:t>192</w:t>
      </w:r>
      <w:r>
        <w:t>.</w:t>
      </w:r>
      <w:r>
        <w:tab/>
        <w:t>Effect of CAP decisions about cancelling or varying exemptions</w:t>
      </w:r>
      <w:bookmarkEnd w:id="37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377" w:name="_Toc158974138"/>
      <w:bookmarkStart w:id="378" w:name="_Toc158983080"/>
      <w:bookmarkStart w:id="379" w:name="_Toc158983447"/>
      <w:bookmarkStart w:id="380" w:name="_Toc158988626"/>
      <w:r>
        <w:rPr>
          <w:rStyle w:val="CharPartNo"/>
        </w:rPr>
        <w:lastRenderedPageBreak/>
        <w:t>Part 16</w:t>
      </w:r>
      <w:r>
        <w:t> — </w:t>
      </w:r>
      <w:r>
        <w:rPr>
          <w:rStyle w:val="CharPartText"/>
        </w:rPr>
        <w:t>Approvals</w:t>
      </w:r>
      <w:bookmarkEnd w:id="377"/>
      <w:bookmarkEnd w:id="378"/>
      <w:bookmarkEnd w:id="379"/>
      <w:bookmarkEnd w:id="380"/>
    </w:p>
    <w:p>
      <w:pPr>
        <w:pStyle w:val="Heading3"/>
      </w:pPr>
      <w:bookmarkStart w:id="381" w:name="_Toc158974139"/>
      <w:bookmarkStart w:id="382" w:name="_Toc158983081"/>
      <w:bookmarkStart w:id="383" w:name="_Toc158983448"/>
      <w:bookmarkStart w:id="384" w:name="_Toc158988627"/>
      <w:r>
        <w:rPr>
          <w:rStyle w:val="CharDivNo"/>
        </w:rPr>
        <w:t>Division 1</w:t>
      </w:r>
      <w:r>
        <w:t> — </w:t>
      </w:r>
      <w:r>
        <w:rPr>
          <w:rStyle w:val="CharDivText"/>
        </w:rPr>
        <w:t>General</w:t>
      </w:r>
      <w:bookmarkEnd w:id="381"/>
      <w:bookmarkEnd w:id="382"/>
      <w:bookmarkEnd w:id="383"/>
      <w:bookmarkEnd w:id="384"/>
    </w:p>
    <w:p>
      <w:pPr>
        <w:pStyle w:val="Heading5"/>
      </w:pPr>
      <w:bookmarkStart w:id="385" w:name="_Toc158988628"/>
      <w:r>
        <w:rPr>
          <w:rStyle w:val="CharSectno"/>
        </w:rPr>
        <w:t>193</w:t>
      </w:r>
      <w:r>
        <w:t>.</w:t>
      </w:r>
      <w:r>
        <w:tab/>
        <w:t>Term used: approval</w:t>
      </w:r>
      <w:bookmarkEnd w:id="38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386" w:name="_Toc158988629"/>
      <w:r>
        <w:rPr>
          <w:rStyle w:val="CharSectno"/>
        </w:rPr>
        <w:t>194</w:t>
      </w:r>
      <w:r>
        <w:t>.</w:t>
      </w:r>
      <w:r>
        <w:tab/>
        <w:t>Applications</w:t>
      </w:r>
      <w:bookmarkEnd w:id="386"/>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be accompanied by the fee specified in regulation 272 Table item 1.</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 SL 2023/36 r. 8.]</w:t>
      </w:r>
    </w:p>
    <w:p>
      <w:pPr>
        <w:pStyle w:val="Heading5"/>
      </w:pPr>
      <w:bookmarkStart w:id="387" w:name="_Toc158988630"/>
      <w:r>
        <w:rPr>
          <w:rStyle w:val="CharSectno"/>
        </w:rPr>
        <w:t>195</w:t>
      </w:r>
      <w:r>
        <w:t>.</w:t>
      </w:r>
      <w:r>
        <w:tab/>
        <w:t>Form of approvals</w:t>
      </w:r>
      <w:bookmarkEnd w:id="387"/>
    </w:p>
    <w:p>
      <w:pPr>
        <w:pStyle w:val="Subsection"/>
      </w:pPr>
      <w:r>
        <w:tab/>
      </w:r>
      <w:r>
        <w:tab/>
        <w:t>An approval must be in writing.</w:t>
      </w:r>
    </w:p>
    <w:p>
      <w:pPr>
        <w:pStyle w:val="Heading5"/>
        <w:spacing w:before="180"/>
      </w:pPr>
      <w:bookmarkStart w:id="388" w:name="_Toc158988631"/>
      <w:r>
        <w:rPr>
          <w:rStyle w:val="CharSectno"/>
        </w:rPr>
        <w:lastRenderedPageBreak/>
        <w:t>196</w:t>
      </w:r>
      <w:r>
        <w:t>.</w:t>
      </w:r>
      <w:r>
        <w:tab/>
        <w:t>When approvals not to be made</w:t>
      </w:r>
      <w:bookmarkEnd w:id="388"/>
    </w:p>
    <w:p>
      <w:pPr>
        <w:pStyle w:val="Subsection"/>
      </w:pPr>
      <w:r>
        <w:tab/>
      </w:r>
      <w:r>
        <w:tab/>
        <w:t>The Chief Officer must not give an approval to a person who is prohibited by a court order from involvement in the transport of dangerous goods.</w:t>
      </w:r>
    </w:p>
    <w:p>
      <w:pPr>
        <w:pStyle w:val="Heading5"/>
      </w:pPr>
      <w:bookmarkStart w:id="389" w:name="_Toc158988632"/>
      <w:r>
        <w:rPr>
          <w:rStyle w:val="CharSectno"/>
        </w:rPr>
        <w:t>197</w:t>
      </w:r>
      <w:r>
        <w:t>.</w:t>
      </w:r>
      <w:r>
        <w:tab/>
        <w:t>Reasons for refusal of applications</w:t>
      </w:r>
      <w:bookmarkEnd w:id="389"/>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390" w:name="_Toc158988633"/>
      <w:r>
        <w:rPr>
          <w:rStyle w:val="CharSectno"/>
        </w:rPr>
        <w:t>198</w:t>
      </w:r>
      <w:r>
        <w:t>.</w:t>
      </w:r>
      <w:r>
        <w:tab/>
        <w:t>Periods and conditions</w:t>
      </w:r>
      <w:bookmarkEnd w:id="39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391" w:name="_Toc158988634"/>
      <w:r>
        <w:rPr>
          <w:rStyle w:val="CharSectno"/>
        </w:rPr>
        <w:t>199</w:t>
      </w:r>
      <w:r>
        <w:t>.</w:t>
      </w:r>
      <w:r>
        <w:tab/>
        <w:t>Replacement approvals</w:t>
      </w:r>
      <w:bookmarkEnd w:id="391"/>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392" w:name="_Toc158988635"/>
      <w:r>
        <w:rPr>
          <w:rStyle w:val="CharSectno"/>
        </w:rPr>
        <w:t>200</w:t>
      </w:r>
      <w:r>
        <w:t>.</w:t>
      </w:r>
      <w:r>
        <w:tab/>
        <w:t>Grounds for cancelling approvals</w:t>
      </w:r>
      <w:bookmarkEnd w:id="392"/>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lastRenderedPageBreak/>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393" w:name="_Toc158988636"/>
      <w:r>
        <w:rPr>
          <w:rStyle w:val="CharSectno"/>
        </w:rPr>
        <w:t>201</w:t>
      </w:r>
      <w:r>
        <w:t>.</w:t>
      </w:r>
      <w:r>
        <w:tab/>
        <w:t>Grounds for varying approvals</w:t>
      </w:r>
      <w:bookmarkEnd w:id="393"/>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lastRenderedPageBreak/>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394" w:name="_Toc158974149"/>
      <w:bookmarkStart w:id="395" w:name="_Toc158983091"/>
      <w:bookmarkStart w:id="396" w:name="_Toc158983458"/>
      <w:bookmarkStart w:id="397" w:name="_Toc158988637"/>
      <w:r>
        <w:rPr>
          <w:rStyle w:val="CharDivNo"/>
        </w:rPr>
        <w:t>Division 2</w:t>
      </w:r>
      <w:r>
        <w:t> — </w:t>
      </w:r>
      <w:r>
        <w:rPr>
          <w:rStyle w:val="CharDivText"/>
        </w:rPr>
        <w:t>Register of approvals</w:t>
      </w:r>
      <w:bookmarkEnd w:id="394"/>
      <w:bookmarkEnd w:id="395"/>
      <w:bookmarkEnd w:id="396"/>
      <w:bookmarkEnd w:id="397"/>
    </w:p>
    <w:p>
      <w:pPr>
        <w:pStyle w:val="Heading5"/>
        <w:spacing w:before="180"/>
      </w:pPr>
      <w:bookmarkStart w:id="398" w:name="_Toc158988638"/>
      <w:r>
        <w:rPr>
          <w:rStyle w:val="CharSectno"/>
        </w:rPr>
        <w:t>202</w:t>
      </w:r>
      <w:r>
        <w:t>.</w:t>
      </w:r>
      <w:r>
        <w:tab/>
        <w:t>Register of approvals</w:t>
      </w:r>
      <w:bookmarkEnd w:id="398"/>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399" w:name="_Toc158988639"/>
      <w:r>
        <w:rPr>
          <w:rStyle w:val="CharSectno"/>
        </w:rPr>
        <w:t>203</w:t>
      </w:r>
      <w:r>
        <w:t>.</w:t>
      </w:r>
      <w:r>
        <w:tab/>
        <w:t>Records of approvals</w:t>
      </w:r>
      <w:bookmarkEnd w:id="399"/>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lastRenderedPageBreak/>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400" w:name="_Toc158974152"/>
      <w:bookmarkStart w:id="401" w:name="_Toc158983094"/>
      <w:bookmarkStart w:id="402" w:name="_Toc158983461"/>
      <w:bookmarkStart w:id="403" w:name="_Toc158988640"/>
      <w:r>
        <w:rPr>
          <w:rStyle w:val="CharDivNo"/>
        </w:rPr>
        <w:t>Division 3</w:t>
      </w:r>
      <w:r>
        <w:t> — </w:t>
      </w:r>
      <w:r>
        <w:rPr>
          <w:rStyle w:val="CharDivText"/>
        </w:rPr>
        <w:t>Reference of approval matters to CAP</w:t>
      </w:r>
      <w:bookmarkEnd w:id="400"/>
      <w:bookmarkEnd w:id="401"/>
      <w:bookmarkEnd w:id="402"/>
      <w:bookmarkEnd w:id="403"/>
    </w:p>
    <w:p>
      <w:pPr>
        <w:pStyle w:val="Heading5"/>
      </w:pPr>
      <w:bookmarkStart w:id="404" w:name="_Toc158988641"/>
      <w:r>
        <w:rPr>
          <w:rStyle w:val="CharSectno"/>
        </w:rPr>
        <w:t>204</w:t>
      </w:r>
      <w:r>
        <w:t>.</w:t>
      </w:r>
      <w:r>
        <w:tab/>
        <w:t>References to CAP</w:t>
      </w:r>
      <w:bookmarkEnd w:id="404"/>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405" w:name="_Toc158988642"/>
      <w:r>
        <w:rPr>
          <w:rStyle w:val="CharSectno"/>
        </w:rPr>
        <w:t>205</w:t>
      </w:r>
      <w:r>
        <w:t>.</w:t>
      </w:r>
      <w:r>
        <w:tab/>
        <w:t>Effect of CAP decisions about approvals</w:t>
      </w:r>
      <w:bookmarkEnd w:id="405"/>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 xml:space="preserve">that the approval should be given, what the terms of the approval should be, and that the approval should have effect in all participating </w:t>
      </w:r>
      <w:r>
        <w:lastRenderedPageBreak/>
        <w:t>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406" w:name="_Toc158988643"/>
      <w:r>
        <w:rPr>
          <w:rStyle w:val="CharSectno"/>
        </w:rPr>
        <w:t>206</w:t>
      </w:r>
      <w:r>
        <w:t>.</w:t>
      </w:r>
      <w:r>
        <w:tab/>
        <w:t>Effect of CAP decisions about cancelling or varying approvals</w:t>
      </w:r>
      <w:bookmarkEnd w:id="406"/>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407" w:name="_Toc158974156"/>
      <w:bookmarkStart w:id="408" w:name="_Toc158983098"/>
      <w:bookmarkStart w:id="409" w:name="_Toc158983465"/>
      <w:bookmarkStart w:id="410" w:name="_Toc158988644"/>
      <w:r>
        <w:rPr>
          <w:rStyle w:val="CharDivNo"/>
        </w:rPr>
        <w:t>Division 4</w:t>
      </w:r>
      <w:r>
        <w:t> — </w:t>
      </w:r>
      <w:r>
        <w:rPr>
          <w:rStyle w:val="CharDivText"/>
        </w:rPr>
        <w:t>Cancellation and variation</w:t>
      </w:r>
      <w:bookmarkEnd w:id="407"/>
      <w:bookmarkEnd w:id="408"/>
      <w:bookmarkEnd w:id="409"/>
      <w:bookmarkEnd w:id="410"/>
    </w:p>
    <w:p>
      <w:pPr>
        <w:pStyle w:val="Heading5"/>
        <w:spacing w:before="180"/>
      </w:pPr>
      <w:bookmarkStart w:id="411" w:name="_Toc158988645"/>
      <w:r>
        <w:rPr>
          <w:rStyle w:val="CharSectno"/>
        </w:rPr>
        <w:t>207</w:t>
      </w:r>
      <w:r>
        <w:t>.</w:t>
      </w:r>
      <w:r>
        <w:tab/>
        <w:t>Term used: approval</w:t>
      </w:r>
      <w:bookmarkEnd w:id="411"/>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412" w:name="_Toc158988646"/>
      <w:r>
        <w:rPr>
          <w:rStyle w:val="CharSectno"/>
        </w:rPr>
        <w:lastRenderedPageBreak/>
        <w:t>208</w:t>
      </w:r>
      <w:r>
        <w:t>.</w:t>
      </w:r>
      <w:r>
        <w:tab/>
        <w:t>Cancellation and variation in dangerous situations</w:t>
      </w:r>
      <w:bookmarkEnd w:id="412"/>
    </w:p>
    <w:p>
      <w:pPr>
        <w:pStyle w:val="Subsection"/>
        <w:keepNext/>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413" w:name="_Toc158988647"/>
      <w:r>
        <w:rPr>
          <w:rStyle w:val="CharSectno"/>
        </w:rPr>
        <w:t>209</w:t>
      </w:r>
      <w:r>
        <w:t>.</w:t>
      </w:r>
      <w:r>
        <w:tab/>
        <w:t>Cancellation giving effect to court orders</w:t>
      </w:r>
      <w:bookmarkEnd w:id="413"/>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414" w:name="_Toc158988648"/>
      <w:r>
        <w:rPr>
          <w:rStyle w:val="CharSectno"/>
        </w:rPr>
        <w:t>210</w:t>
      </w:r>
      <w:r>
        <w:t>.</w:t>
      </w:r>
      <w:r>
        <w:tab/>
        <w:t>Variation of approvals on application</w:t>
      </w:r>
      <w:bookmarkEnd w:id="414"/>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415" w:name="_Toc158988649"/>
      <w:r>
        <w:rPr>
          <w:rStyle w:val="CharSectno"/>
        </w:rPr>
        <w:t>211</w:t>
      </w:r>
      <w:r>
        <w:t>.</w:t>
      </w:r>
      <w:r>
        <w:tab/>
        <w:t>Cancellation and variation in other circumstances</w:t>
      </w:r>
      <w:bookmarkEnd w:id="415"/>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lastRenderedPageBreak/>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416" w:name="_Toc158988650"/>
      <w:r>
        <w:rPr>
          <w:rStyle w:val="CharSectno"/>
        </w:rPr>
        <w:t>212</w:t>
      </w:r>
      <w:r>
        <w:t>.</w:t>
      </w:r>
      <w:r>
        <w:tab/>
        <w:t>When cancellation and variation take effect</w:t>
      </w:r>
      <w:bookmarkEnd w:id="416"/>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417" w:name="_Toc158974163"/>
      <w:bookmarkStart w:id="418" w:name="_Toc158983105"/>
      <w:bookmarkStart w:id="419" w:name="_Toc158983472"/>
      <w:bookmarkStart w:id="420" w:name="_Toc158988651"/>
      <w:r>
        <w:rPr>
          <w:rStyle w:val="CharPartNo"/>
        </w:rPr>
        <w:lastRenderedPageBreak/>
        <w:t>Part 17A</w:t>
      </w:r>
      <w:r>
        <w:rPr>
          <w:rStyle w:val="CharDivNo"/>
        </w:rPr>
        <w:t> </w:t>
      </w:r>
      <w:r>
        <w:t>—</w:t>
      </w:r>
      <w:r>
        <w:rPr>
          <w:rStyle w:val="CharDivText"/>
        </w:rPr>
        <w:t> </w:t>
      </w:r>
      <w:r>
        <w:rPr>
          <w:rStyle w:val="CharPartText"/>
        </w:rPr>
        <w:t>Determinations</w:t>
      </w:r>
      <w:bookmarkEnd w:id="417"/>
      <w:bookmarkEnd w:id="418"/>
      <w:bookmarkEnd w:id="419"/>
      <w:bookmarkEnd w:id="420"/>
    </w:p>
    <w:p>
      <w:pPr>
        <w:pStyle w:val="Footnoteheading"/>
      </w:pPr>
      <w:r>
        <w:tab/>
        <w:t>[Heading inserted: Gazette 13 Jun 2014 p. 1945.]</w:t>
      </w:r>
    </w:p>
    <w:p>
      <w:pPr>
        <w:pStyle w:val="Heading5"/>
        <w:spacing w:before="240"/>
      </w:pPr>
      <w:bookmarkStart w:id="421" w:name="_Toc158988652"/>
      <w:r>
        <w:rPr>
          <w:rStyle w:val="CharSectno"/>
        </w:rPr>
        <w:t>213A</w:t>
      </w:r>
      <w:r>
        <w:t>.</w:t>
      </w:r>
      <w:r>
        <w:tab/>
        <w:t>Reference of determinations to CAP</w:t>
      </w:r>
      <w:bookmarkEnd w:id="421"/>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422" w:name="_Toc158988653"/>
      <w:r>
        <w:rPr>
          <w:rStyle w:val="CharSectno"/>
        </w:rPr>
        <w:t>213B</w:t>
      </w:r>
      <w:r>
        <w:t>.</w:t>
      </w:r>
      <w:r>
        <w:tab/>
        <w:t>Effect of CAP decisions about determinations</w:t>
      </w:r>
      <w:bookmarkEnd w:id="422"/>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lastRenderedPageBreak/>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423" w:name="_Toc158988654"/>
      <w:r>
        <w:rPr>
          <w:rStyle w:val="CharSectno"/>
        </w:rPr>
        <w:t>213C</w:t>
      </w:r>
      <w:r>
        <w:t>.</w:t>
      </w:r>
      <w:r>
        <w:tab/>
        <w:t>Effect of CAP decisions about revoking or varying determinations</w:t>
      </w:r>
      <w:bookmarkEnd w:id="423"/>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424" w:name="_Toc158974167"/>
      <w:bookmarkStart w:id="425" w:name="_Toc158983109"/>
      <w:bookmarkStart w:id="426" w:name="_Toc158983476"/>
      <w:bookmarkStart w:id="427" w:name="_Toc158988655"/>
      <w:r>
        <w:rPr>
          <w:rStyle w:val="CharPartNo"/>
        </w:rPr>
        <w:lastRenderedPageBreak/>
        <w:t>Part 17</w:t>
      </w:r>
      <w:r>
        <w:t> — </w:t>
      </w:r>
      <w:r>
        <w:rPr>
          <w:rStyle w:val="CharPartText"/>
        </w:rPr>
        <w:t>Licences</w:t>
      </w:r>
      <w:bookmarkEnd w:id="424"/>
      <w:bookmarkEnd w:id="425"/>
      <w:bookmarkEnd w:id="426"/>
      <w:bookmarkEnd w:id="427"/>
    </w:p>
    <w:p>
      <w:pPr>
        <w:pStyle w:val="Heading3"/>
      </w:pPr>
      <w:bookmarkStart w:id="428" w:name="_Toc158974168"/>
      <w:bookmarkStart w:id="429" w:name="_Toc158983110"/>
      <w:bookmarkStart w:id="430" w:name="_Toc158983477"/>
      <w:bookmarkStart w:id="431" w:name="_Toc158988656"/>
      <w:r>
        <w:rPr>
          <w:rStyle w:val="CharDivNo"/>
        </w:rPr>
        <w:t>Division 1</w:t>
      </w:r>
      <w:r>
        <w:t> — </w:t>
      </w:r>
      <w:r>
        <w:rPr>
          <w:rStyle w:val="CharDivText"/>
        </w:rPr>
        <w:t>Preliminary</w:t>
      </w:r>
      <w:bookmarkEnd w:id="428"/>
      <w:bookmarkEnd w:id="429"/>
      <w:bookmarkEnd w:id="430"/>
      <w:bookmarkEnd w:id="431"/>
    </w:p>
    <w:p>
      <w:pPr>
        <w:pStyle w:val="Heading5"/>
        <w:spacing w:before="180"/>
        <w:rPr>
          <w:color w:val="000000"/>
        </w:rPr>
      </w:pPr>
      <w:bookmarkStart w:id="432" w:name="_Toc158988657"/>
      <w:r>
        <w:rPr>
          <w:rStyle w:val="CharSectno"/>
          <w:color w:val="000000"/>
        </w:rPr>
        <w:t>213</w:t>
      </w:r>
      <w:r>
        <w:rPr>
          <w:color w:val="000000"/>
        </w:rPr>
        <w:t>.</w:t>
      </w:r>
      <w:r>
        <w:rPr>
          <w:color w:val="000000"/>
        </w:rPr>
        <w:tab/>
      </w:r>
      <w:r>
        <w:t>Terms used</w:t>
      </w:r>
      <w:bookmarkEnd w:id="432"/>
    </w:p>
    <w:p>
      <w:pPr>
        <w:pStyle w:val="Subsection"/>
        <w:rPr>
          <w:color w:val="000000"/>
        </w:rPr>
      </w:pPr>
      <w:r>
        <w:rPr>
          <w:color w:val="000000"/>
        </w:rPr>
        <w:tab/>
      </w:r>
      <w:r>
        <w:rPr>
          <w:color w:val="000000"/>
        </w:rPr>
        <w:tab/>
        <w:t xml:space="preserve">In this Part — </w:t>
      </w:r>
    </w:p>
    <w:p>
      <w:pPr>
        <w:pStyle w:val="Defstart"/>
      </w:pPr>
      <w:r>
        <w:tab/>
      </w:r>
      <w:r>
        <w:rPr>
          <w:rStyle w:val="CharDefText"/>
        </w:rPr>
        <w:t>Austroads</w:t>
      </w:r>
      <w:r>
        <w:t xml:space="preserve"> means Austroads Limited ACN 136 812 390;</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rPr>
          <w:color w:val="000000"/>
        </w:rPr>
      </w:pPr>
      <w:r>
        <w:rPr>
          <w:color w:val="000000"/>
        </w:rPr>
        <w:tab/>
        <w:t>(b)</w:t>
      </w:r>
      <w:r>
        <w:rPr>
          <w:color w:val="000000"/>
        </w:rPr>
        <w:tab/>
        <w:t>a person authorised by the Chief Officer to grant and renew licences under this Part.</w:t>
      </w:r>
    </w:p>
    <w:p>
      <w:pPr>
        <w:pStyle w:val="Footnotesection"/>
      </w:pPr>
      <w:r>
        <w:tab/>
        <w:t>[Regulation 213 amended: SL 2024/22 r. 9.]</w:t>
      </w:r>
    </w:p>
    <w:p>
      <w:pPr>
        <w:pStyle w:val="Heading5"/>
        <w:spacing w:before="180"/>
        <w:rPr>
          <w:color w:val="000000"/>
        </w:rPr>
      </w:pPr>
      <w:bookmarkStart w:id="433" w:name="_Toc158988658"/>
      <w:r>
        <w:rPr>
          <w:rStyle w:val="CharSectno"/>
          <w:color w:val="000000"/>
        </w:rPr>
        <w:t>214</w:t>
      </w:r>
      <w:r>
        <w:rPr>
          <w:color w:val="000000"/>
        </w:rPr>
        <w:t>.</w:t>
      </w:r>
      <w:r>
        <w:rPr>
          <w:color w:val="000000"/>
        </w:rPr>
        <w:tab/>
        <w:t>Part additional to other laws</w:t>
      </w:r>
      <w:bookmarkEnd w:id="433"/>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434" w:name="_Toc158974171"/>
      <w:bookmarkStart w:id="435" w:name="_Toc158983113"/>
      <w:bookmarkStart w:id="436" w:name="_Toc158983480"/>
      <w:bookmarkStart w:id="437" w:name="_Toc158988659"/>
      <w:r>
        <w:rPr>
          <w:rStyle w:val="CharDivNo"/>
        </w:rPr>
        <w:t>Division 2</w:t>
      </w:r>
      <w:r>
        <w:t> — </w:t>
      </w:r>
      <w:r>
        <w:rPr>
          <w:rStyle w:val="CharDivText"/>
        </w:rPr>
        <w:t>Principal duties under this Part</w:t>
      </w:r>
      <w:bookmarkEnd w:id="434"/>
      <w:bookmarkEnd w:id="435"/>
      <w:bookmarkEnd w:id="436"/>
      <w:bookmarkEnd w:id="437"/>
    </w:p>
    <w:p>
      <w:pPr>
        <w:pStyle w:val="Heading5"/>
        <w:spacing w:before="180"/>
      </w:pPr>
      <w:bookmarkStart w:id="438" w:name="_Toc158988660"/>
      <w:r>
        <w:rPr>
          <w:rStyle w:val="CharSectno"/>
          <w:color w:val="000000"/>
        </w:rPr>
        <w:t>215</w:t>
      </w:r>
      <w:r>
        <w:rPr>
          <w:color w:val="000000"/>
        </w:rPr>
        <w:t>.</w:t>
      </w:r>
      <w:r>
        <w:rPr>
          <w:color w:val="000000"/>
        </w:rPr>
        <w:tab/>
        <w:t>Vehicles to be licensed (Act s. 14)</w:t>
      </w:r>
      <w:bookmarkEnd w:id="438"/>
    </w:p>
    <w:p>
      <w:pPr>
        <w:pStyle w:val="Subsection"/>
      </w:pPr>
      <w:r>
        <w:tab/>
        <w:t>(1)</w:t>
      </w:r>
      <w:r>
        <w:tab/>
        <w:t xml:space="preserve">In this regulation — </w:t>
      </w:r>
    </w:p>
    <w:p>
      <w:pPr>
        <w:pStyle w:val="Defstart"/>
      </w:pPr>
      <w:r>
        <w:tab/>
      </w:r>
      <w:r>
        <w:rPr>
          <w:rStyle w:val="CharDefText"/>
        </w:rPr>
        <w:t>relevant road tank vehicle</w:t>
      </w:r>
      <w:r>
        <w:t xml:space="preserve"> means a road tank vehicle with a tank or demountable tank with a capacity of more than 500 L that is filled or emptied while attached to the vehicle.</w:t>
      </w:r>
    </w:p>
    <w:p>
      <w:pPr>
        <w:pStyle w:val="Subsection"/>
      </w:pPr>
      <w:r>
        <w:tab/>
        <w:t>(2)</w:t>
      </w:r>
      <w:r>
        <w:tab/>
        <w:t>Except as provided in subregulation (5), a relevant road tank vehicle used to transport dangerous goods on a road must be licensed under this Part to transport the goods.</w:t>
      </w:r>
    </w:p>
    <w:p>
      <w:pPr>
        <w:pStyle w:val="Ednotesubsection"/>
        <w:keepNext/>
      </w:pPr>
      <w:r>
        <w:lastRenderedPageBreak/>
        <w:tab/>
        <w:t>[(3), (4)</w:t>
      </w:r>
      <w:r>
        <w:tab/>
        <w:t>deleted]</w:t>
      </w:r>
    </w:p>
    <w:p>
      <w:pPr>
        <w:pStyle w:val="Subsection"/>
      </w:pPr>
      <w:r>
        <w:tab/>
        <w:t>(5)</w:t>
      </w:r>
      <w:r>
        <w:tab/>
        <w:t>A relevant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 SL 2024/22 r. 10.]</w:t>
      </w:r>
    </w:p>
    <w:p>
      <w:pPr>
        <w:pStyle w:val="Heading5"/>
      </w:pPr>
      <w:bookmarkStart w:id="439" w:name="_Toc158988661"/>
      <w:r>
        <w:rPr>
          <w:rStyle w:val="CharSectno"/>
          <w:color w:val="000000"/>
        </w:rPr>
        <w:t>216A</w:t>
      </w:r>
      <w:r>
        <w:t>.</w:t>
      </w:r>
      <w:r>
        <w:tab/>
        <w:t>Some vehicles may be licensed even though not required to be licensed under this Part</w:t>
      </w:r>
      <w:bookmarkEnd w:id="439"/>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440" w:name="_Toc158988662"/>
      <w:r>
        <w:rPr>
          <w:rStyle w:val="CharSectno"/>
          <w:color w:val="000000"/>
        </w:rPr>
        <w:lastRenderedPageBreak/>
        <w:t>216</w:t>
      </w:r>
      <w:r>
        <w:rPr>
          <w:color w:val="000000"/>
        </w:rPr>
        <w:t>.</w:t>
      </w:r>
      <w:r>
        <w:rPr>
          <w:color w:val="000000"/>
        </w:rPr>
        <w:tab/>
        <w:t>Drivers to be licensed (Act s. 15)</w:t>
      </w:r>
      <w:bookmarkEnd w:id="440"/>
    </w:p>
    <w:p>
      <w:pPr>
        <w:pStyle w:val="Subsection"/>
        <w:keepNext/>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441" w:name="_Toc158988663"/>
      <w:r>
        <w:rPr>
          <w:rStyle w:val="CharSectno"/>
          <w:color w:val="000000"/>
        </w:rPr>
        <w:t>217</w:t>
      </w:r>
      <w:r>
        <w:rPr>
          <w:color w:val="000000"/>
        </w:rPr>
        <w:t>.</w:t>
      </w:r>
      <w:r>
        <w:rPr>
          <w:color w:val="000000"/>
        </w:rPr>
        <w:tab/>
        <w:t>Duty on consignors</w:t>
      </w:r>
      <w:bookmarkEnd w:id="44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442" w:name="_Toc158974176"/>
      <w:bookmarkStart w:id="443" w:name="_Toc158983118"/>
      <w:bookmarkStart w:id="444" w:name="_Toc158983485"/>
      <w:bookmarkStart w:id="445" w:name="_Toc158988664"/>
      <w:r>
        <w:rPr>
          <w:rStyle w:val="CharDivNo"/>
        </w:rPr>
        <w:t>Division 3</w:t>
      </w:r>
      <w:r>
        <w:t> — </w:t>
      </w:r>
      <w:r>
        <w:rPr>
          <w:rStyle w:val="CharDivText"/>
        </w:rPr>
        <w:t>Dangerous goods driver licences</w:t>
      </w:r>
      <w:bookmarkEnd w:id="442"/>
      <w:bookmarkEnd w:id="443"/>
      <w:bookmarkEnd w:id="444"/>
      <w:bookmarkEnd w:id="445"/>
    </w:p>
    <w:p>
      <w:pPr>
        <w:pStyle w:val="Heading5"/>
        <w:spacing w:before="240"/>
      </w:pPr>
      <w:bookmarkStart w:id="446" w:name="_Toc158988665"/>
      <w:r>
        <w:rPr>
          <w:rStyle w:val="CharSectno"/>
        </w:rPr>
        <w:t>218</w:t>
      </w:r>
      <w:r>
        <w:t>.</w:t>
      </w:r>
      <w:r>
        <w:tab/>
        <w:t>Applications for licences</w:t>
      </w:r>
      <w:bookmarkEnd w:id="446"/>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w:t>
      </w:r>
      <w:r>
        <w:lastRenderedPageBreak/>
        <w:t>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the fee determined under regulation 272 Table item 2(a).</w:t>
      </w:r>
    </w:p>
    <w:p>
      <w:pPr>
        <w:pStyle w:val="Footnotesection"/>
      </w:pPr>
      <w:r>
        <w:tab/>
        <w:t>[Regulation 218 amended: Gazette 17 Nov 2015 p. 4700; 11 Jul 2017 p. 3830; SL 2023/36 r. 9.]</w:t>
      </w:r>
    </w:p>
    <w:p>
      <w:pPr>
        <w:pStyle w:val="Heading5"/>
        <w:spacing w:before="240"/>
      </w:pPr>
      <w:bookmarkStart w:id="447" w:name="_Toc158988666"/>
      <w:r>
        <w:rPr>
          <w:rStyle w:val="CharSectno"/>
        </w:rPr>
        <w:t>219</w:t>
      </w:r>
      <w:r>
        <w:t>.</w:t>
      </w:r>
      <w:r>
        <w:tab/>
        <w:t>Required driver licence evidence</w:t>
      </w:r>
      <w:bookmarkEnd w:id="44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lastRenderedPageBreak/>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448" w:name="_Toc158988667"/>
      <w:r>
        <w:rPr>
          <w:rStyle w:val="CharSectno"/>
        </w:rPr>
        <w:t>220</w:t>
      </w:r>
      <w:r>
        <w:t>.</w:t>
      </w:r>
      <w:r>
        <w:tab/>
        <w:t>Required competency evidence</w:t>
      </w:r>
      <w:bookmarkEnd w:id="448"/>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449" w:name="_Toc158988668"/>
      <w:r>
        <w:rPr>
          <w:rStyle w:val="CharSectno"/>
        </w:rPr>
        <w:t>221</w:t>
      </w:r>
      <w:r>
        <w:t>.</w:t>
      </w:r>
      <w:r>
        <w:tab/>
        <w:t>Required medical fitness evidence</w:t>
      </w:r>
      <w:bookmarkEnd w:id="449"/>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keepNext/>
      </w:pPr>
      <w:r>
        <w:lastRenderedPageBreak/>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 — Medical Standards for Licensing and Clinical Management Guidelines</w:t>
      </w:r>
      <w:r>
        <w:t>, published by Austroads and the National Transport Commission, as in force at the time of the examination.</w:t>
      </w:r>
    </w:p>
    <w:p>
      <w:pPr>
        <w:pStyle w:val="Footnotesection"/>
      </w:pPr>
      <w:r>
        <w:tab/>
        <w:t>[Regulation 221 amended: Gazette 3 Aug 2012 p. 3758; 11 Jul 2017 p. 3830; SL 2024/22 r. 11.]</w:t>
      </w:r>
    </w:p>
    <w:p>
      <w:pPr>
        <w:pStyle w:val="Heading5"/>
      </w:pPr>
      <w:bookmarkStart w:id="450" w:name="_Toc158988669"/>
      <w:r>
        <w:rPr>
          <w:rStyle w:val="CharSectno"/>
        </w:rPr>
        <w:t>222</w:t>
      </w:r>
      <w:r>
        <w:t>.</w:t>
      </w:r>
      <w:r>
        <w:tab/>
        <w:t>Grant of dangerous goods driver licences</w:t>
      </w:r>
      <w:bookmarkEnd w:id="450"/>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451" w:name="_Toc158988670"/>
      <w:r>
        <w:rPr>
          <w:rStyle w:val="CharSectno"/>
        </w:rPr>
        <w:lastRenderedPageBreak/>
        <w:t>223</w:t>
      </w:r>
      <w:r>
        <w:t>.</w:t>
      </w:r>
      <w:r>
        <w:tab/>
        <w:t>Applications for renewal of licences</w:t>
      </w:r>
      <w:bookmarkEnd w:id="451"/>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keepNext/>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the fee determined under regulation 272 Table item 2(a).</w:t>
      </w:r>
    </w:p>
    <w:p>
      <w:pPr>
        <w:pStyle w:val="Footnotesection"/>
      </w:pPr>
      <w:r>
        <w:tab/>
        <w:t>[Regulation 223 amended: SL 2023/36 r. 10.]</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452" w:name="_Toc158988671"/>
      <w:r>
        <w:rPr>
          <w:rStyle w:val="CharSectno"/>
        </w:rPr>
        <w:t>224</w:t>
      </w:r>
      <w:r>
        <w:t>.</w:t>
      </w:r>
      <w:r>
        <w:tab/>
        <w:t>Renewal of licences</w:t>
      </w:r>
      <w:bookmarkEnd w:id="452"/>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lastRenderedPageBreak/>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453" w:name="_Toc158988672"/>
      <w:r>
        <w:rPr>
          <w:rStyle w:val="CharSectno"/>
        </w:rPr>
        <w:t>225</w:t>
      </w:r>
      <w:r>
        <w:t>.</w:t>
      </w:r>
      <w:r>
        <w:tab/>
        <w:t>Licence periods</w:t>
      </w:r>
      <w:bookmarkEnd w:id="45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454" w:name="_Toc158988673"/>
      <w:r>
        <w:rPr>
          <w:rStyle w:val="CharSectno"/>
        </w:rPr>
        <w:t>226</w:t>
      </w:r>
      <w:r>
        <w:t>.</w:t>
      </w:r>
      <w:r>
        <w:tab/>
        <w:t>Licence conditions</w:t>
      </w:r>
      <w:bookmarkEnd w:id="454"/>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lastRenderedPageBreak/>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keepNext/>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455" w:name="_Toc158988674"/>
      <w:r>
        <w:rPr>
          <w:rStyle w:val="CharSectno"/>
        </w:rPr>
        <w:t>227</w:t>
      </w:r>
      <w:r>
        <w:t>.</w:t>
      </w:r>
      <w:r>
        <w:tab/>
        <w:t>Additional condition</w:t>
      </w:r>
      <w:bookmarkEnd w:id="45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 xml:space="preserve">Assessing Fitness to Drive for Commercial and Private </w:t>
      </w:r>
      <w:r>
        <w:rPr>
          <w:i/>
        </w:rPr>
        <w:lastRenderedPageBreak/>
        <w:t>Vehicle Drivers — Medical Standards for Licensing and Clinical Management Guidelines</w:t>
      </w:r>
      <w:r>
        <w:t>, published by Austroads and the National Transport Commission, as in force at the time of the examination.</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 SL 2024/22 r. 12.]</w:t>
      </w:r>
    </w:p>
    <w:p>
      <w:pPr>
        <w:pStyle w:val="Heading5"/>
      </w:pPr>
      <w:bookmarkStart w:id="456" w:name="_Toc158988675"/>
      <w:r>
        <w:rPr>
          <w:rStyle w:val="CharSectno"/>
          <w:color w:val="000000"/>
        </w:rPr>
        <w:t>228</w:t>
      </w:r>
      <w:r>
        <w:rPr>
          <w:color w:val="000000"/>
        </w:rPr>
        <w:t>.</w:t>
      </w:r>
      <w:r>
        <w:rPr>
          <w:color w:val="000000"/>
        </w:rPr>
        <w:tab/>
        <w:t>Grounds for cancelling, suspending or varying</w:t>
      </w:r>
      <w:r>
        <w:t xml:space="preserve"> licences</w:t>
      </w:r>
      <w:bookmarkEnd w:id="45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lastRenderedPageBreak/>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457" w:name="_Toc158974188"/>
      <w:bookmarkStart w:id="458" w:name="_Toc158983130"/>
      <w:bookmarkStart w:id="459" w:name="_Toc158983497"/>
      <w:bookmarkStart w:id="460" w:name="_Toc158988676"/>
      <w:r>
        <w:rPr>
          <w:rStyle w:val="CharDivNo"/>
        </w:rPr>
        <w:t>Division 4</w:t>
      </w:r>
      <w:r>
        <w:t> — </w:t>
      </w:r>
      <w:r>
        <w:rPr>
          <w:rStyle w:val="CharDivText"/>
        </w:rPr>
        <w:t>Dangerous goods vehicle licences</w:t>
      </w:r>
      <w:bookmarkEnd w:id="457"/>
      <w:bookmarkEnd w:id="458"/>
      <w:bookmarkEnd w:id="459"/>
      <w:bookmarkEnd w:id="460"/>
    </w:p>
    <w:p>
      <w:pPr>
        <w:pStyle w:val="Heading5"/>
        <w:spacing w:before="180"/>
      </w:pPr>
      <w:bookmarkStart w:id="461" w:name="_Toc158988677"/>
      <w:r>
        <w:rPr>
          <w:rStyle w:val="CharSectno"/>
        </w:rPr>
        <w:t>229</w:t>
      </w:r>
      <w:r>
        <w:t>.</w:t>
      </w:r>
      <w:r>
        <w:tab/>
        <w:t>Terms used</w:t>
      </w:r>
      <w:bookmarkEnd w:id="461"/>
    </w:p>
    <w:p>
      <w:pPr>
        <w:pStyle w:val="Subsection"/>
        <w:keepNext/>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462" w:name="_Toc158988678"/>
      <w:r>
        <w:rPr>
          <w:rStyle w:val="CharSectno"/>
        </w:rPr>
        <w:t>230</w:t>
      </w:r>
      <w:r>
        <w:t>.</w:t>
      </w:r>
      <w:r>
        <w:tab/>
        <w:t>Applications for licences</w:t>
      </w:r>
      <w:bookmarkEnd w:id="462"/>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lastRenderedPageBreak/>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pPr>
      <w:r>
        <w:tab/>
        <w:t>(4)</w:t>
      </w:r>
      <w:r>
        <w:tab/>
        <w:t>The application must be accompanied by the fee determined under regulation 272 Table item 2(b).</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 SL 2023/36 r. 11.]</w:t>
      </w:r>
    </w:p>
    <w:p>
      <w:pPr>
        <w:pStyle w:val="Heading5"/>
      </w:pPr>
      <w:bookmarkStart w:id="463" w:name="_Toc158988679"/>
      <w:r>
        <w:rPr>
          <w:rStyle w:val="CharSectno"/>
        </w:rPr>
        <w:t>231</w:t>
      </w:r>
      <w:r>
        <w:t>.</w:t>
      </w:r>
      <w:r>
        <w:tab/>
        <w:t>Additional information and inspections</w:t>
      </w:r>
      <w:bookmarkEnd w:id="463"/>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464" w:name="_Toc158988680"/>
      <w:r>
        <w:rPr>
          <w:rStyle w:val="CharSectno"/>
        </w:rPr>
        <w:t>232</w:t>
      </w:r>
      <w:r>
        <w:t>.</w:t>
      </w:r>
      <w:r>
        <w:tab/>
        <w:t>Grant of dangerous goods vehicle licences</w:t>
      </w:r>
      <w:bookmarkEnd w:id="464"/>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lastRenderedPageBreak/>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 xml:space="preserve">the vehicle complies with the requirements of the ADG Code Chapters 4.4 and </w:t>
      </w:r>
      <w:r>
        <w:t>6.10</w:t>
      </w:r>
      <w:r>
        <w:rPr>
          <w:color w:val="000000"/>
        </w:rPr>
        <w:t xml:space="preserve">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Footnotesection"/>
      </w:pPr>
      <w:r>
        <w:tab/>
        <w:t>[Regulation 232 amended: SL 2024/22 r. 14.]</w:t>
      </w:r>
    </w:p>
    <w:p>
      <w:pPr>
        <w:pStyle w:val="Heading5"/>
        <w:spacing w:before="180"/>
      </w:pPr>
      <w:bookmarkStart w:id="465" w:name="_Toc158988681"/>
      <w:r>
        <w:rPr>
          <w:rStyle w:val="CharSectno"/>
        </w:rPr>
        <w:t>233</w:t>
      </w:r>
      <w:r>
        <w:t>.</w:t>
      </w:r>
      <w:r>
        <w:tab/>
        <w:t>Applications for renewal of licences</w:t>
      </w:r>
      <w:bookmarkEnd w:id="465"/>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pPr>
      <w:r>
        <w:lastRenderedPageBreak/>
        <w:tab/>
        <w:t>(3)</w:t>
      </w:r>
      <w:r>
        <w:tab/>
        <w:t>The application must be accompanied by the fee determined under regulation 272 Table item 2(b).</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Footnotesection"/>
        <w:rPr>
          <w:color w:val="000000"/>
        </w:rPr>
      </w:pPr>
      <w:r>
        <w:tab/>
        <w:t>[Regulation 233 amended: SL 2023/36 r. 12.]</w:t>
      </w:r>
    </w:p>
    <w:p>
      <w:pPr>
        <w:pStyle w:val="Heading5"/>
        <w:keepLines w:val="0"/>
        <w:spacing w:before="180"/>
      </w:pPr>
      <w:bookmarkStart w:id="466" w:name="_Toc158988682"/>
      <w:r>
        <w:rPr>
          <w:rStyle w:val="CharSectno"/>
        </w:rPr>
        <w:t>234</w:t>
      </w:r>
      <w:r>
        <w:t>.</w:t>
      </w:r>
      <w:r>
        <w:tab/>
        <w:t>Renewal of licences</w:t>
      </w:r>
      <w:bookmarkEnd w:id="466"/>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 xml:space="preserve">the vehicle complies with the requirements of the ADG Code Chapters 4.4 and </w:t>
      </w:r>
      <w:r>
        <w:t>6.10</w:t>
      </w:r>
      <w:r>
        <w:rPr>
          <w:color w:val="000000"/>
        </w:rPr>
        <w:t xml:space="preserve">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lastRenderedPageBreak/>
        <w:tab/>
        <w:t>(5)</w:t>
      </w:r>
      <w:r>
        <w:rPr>
          <w:color w:val="000000"/>
        </w:rPr>
        <w:tab/>
        <w:t>If the licensing authority refuses to renew a dangerous goods vehicle licence, the authority must inform the applicant in writing of the refusal and of the reasons for the refusal.</w:t>
      </w:r>
    </w:p>
    <w:p>
      <w:pPr>
        <w:pStyle w:val="Footnotesection"/>
      </w:pPr>
      <w:r>
        <w:tab/>
        <w:t>[Regulation 234 amended: SL 2024/22 r. 14.]</w:t>
      </w:r>
    </w:p>
    <w:p>
      <w:pPr>
        <w:pStyle w:val="Heading5"/>
        <w:spacing w:before="180"/>
      </w:pPr>
      <w:bookmarkStart w:id="467" w:name="_Toc158988683"/>
      <w:r>
        <w:rPr>
          <w:rStyle w:val="CharSectno"/>
        </w:rPr>
        <w:t>235</w:t>
      </w:r>
      <w:r>
        <w:t>.</w:t>
      </w:r>
      <w:r>
        <w:tab/>
        <w:t>Licence periods</w:t>
      </w:r>
      <w:bookmarkEnd w:id="46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468" w:name="_Toc158988684"/>
      <w:r>
        <w:rPr>
          <w:rStyle w:val="CharSectno"/>
        </w:rPr>
        <w:t>236</w:t>
      </w:r>
      <w:r>
        <w:t>.</w:t>
      </w:r>
      <w:r>
        <w:tab/>
        <w:t>Licence conditions</w:t>
      </w:r>
      <w:bookmarkEnd w:id="468"/>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keepNext/>
        <w:rPr>
          <w:color w:val="000000"/>
        </w:rPr>
      </w:pPr>
      <w:r>
        <w:rPr>
          <w:color w:val="000000"/>
        </w:rPr>
        <w:lastRenderedPageBreak/>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469" w:name="_Toc158988685"/>
      <w:r>
        <w:rPr>
          <w:rStyle w:val="CharSectno"/>
        </w:rPr>
        <w:t>237</w:t>
      </w:r>
      <w:r>
        <w:t>.</w:t>
      </w:r>
      <w:r>
        <w:tab/>
        <w:t>Disposal and transfer of licensed vehicles</w:t>
      </w:r>
      <w:bookmarkEnd w:id="469"/>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keepNext/>
        <w:rPr>
          <w:color w:val="000000"/>
        </w:rPr>
      </w:pPr>
      <w:r>
        <w:rPr>
          <w:color w:val="000000"/>
        </w:rPr>
        <w:lastRenderedPageBreak/>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470" w:name="_Toc158988686"/>
      <w:r>
        <w:rPr>
          <w:rStyle w:val="CharSectno"/>
        </w:rPr>
        <w:t>238</w:t>
      </w:r>
      <w:r>
        <w:t>.</w:t>
      </w:r>
      <w:r>
        <w:tab/>
        <w:t>Grounds for cancelling, suspending or varying licences</w:t>
      </w:r>
      <w:bookmarkEnd w:id="470"/>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lastRenderedPageBreak/>
        <w:tab/>
        <w:t>(2)</w:t>
      </w:r>
      <w:r>
        <w:tab/>
        <w:t>A licensing authority may also cancel, suspend or vary a dangerous goods vehicle licence for a road vehicle if the road vehicle does not comply with the Act or these regulations.</w:t>
      </w:r>
    </w:p>
    <w:p>
      <w:pPr>
        <w:pStyle w:val="Heading3"/>
      </w:pPr>
      <w:bookmarkStart w:id="471" w:name="_Toc158974199"/>
      <w:bookmarkStart w:id="472" w:name="_Toc158983141"/>
      <w:bookmarkStart w:id="473" w:name="_Toc158983508"/>
      <w:bookmarkStart w:id="474" w:name="_Toc158988687"/>
      <w:r>
        <w:rPr>
          <w:rStyle w:val="CharDivNo"/>
        </w:rPr>
        <w:t>Division 5</w:t>
      </w:r>
      <w:r>
        <w:t> — </w:t>
      </w:r>
      <w:r>
        <w:rPr>
          <w:rStyle w:val="CharDivText"/>
        </w:rPr>
        <w:t>Requirements relating to dangerous goods driver licences</w:t>
      </w:r>
      <w:bookmarkEnd w:id="471"/>
      <w:bookmarkEnd w:id="472"/>
      <w:bookmarkEnd w:id="473"/>
      <w:bookmarkEnd w:id="474"/>
    </w:p>
    <w:p>
      <w:pPr>
        <w:pStyle w:val="Heading5"/>
        <w:spacing w:before="180"/>
      </w:pPr>
      <w:bookmarkStart w:id="475" w:name="_Toc158988688"/>
      <w:r>
        <w:rPr>
          <w:rStyle w:val="CharSectno"/>
        </w:rPr>
        <w:t>239</w:t>
      </w:r>
      <w:r>
        <w:t>.</w:t>
      </w:r>
      <w:r>
        <w:tab/>
        <w:t>When licences to be carried</w:t>
      </w:r>
      <w:bookmarkEnd w:id="475"/>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476" w:name="_Toc158988689"/>
      <w:r>
        <w:rPr>
          <w:rStyle w:val="CharSectno"/>
        </w:rPr>
        <w:t>240</w:t>
      </w:r>
      <w:r>
        <w:t>.</w:t>
      </w:r>
      <w:r>
        <w:tab/>
        <w:t>Licences to be produced for inspection</w:t>
      </w:r>
      <w:bookmarkEnd w:id="476"/>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477" w:name="_Toc158974202"/>
      <w:bookmarkStart w:id="478" w:name="_Toc158983144"/>
      <w:bookmarkStart w:id="479" w:name="_Toc158983511"/>
      <w:bookmarkStart w:id="480" w:name="_Toc158988690"/>
      <w:r>
        <w:rPr>
          <w:rStyle w:val="CharDivNo"/>
        </w:rPr>
        <w:t>Division 6</w:t>
      </w:r>
      <w:r>
        <w:t> — </w:t>
      </w:r>
      <w:r>
        <w:rPr>
          <w:rStyle w:val="CharDivText"/>
        </w:rPr>
        <w:t>Licences generally</w:t>
      </w:r>
      <w:bookmarkEnd w:id="477"/>
      <w:bookmarkEnd w:id="478"/>
      <w:bookmarkEnd w:id="479"/>
      <w:bookmarkEnd w:id="480"/>
    </w:p>
    <w:p>
      <w:pPr>
        <w:pStyle w:val="Heading5"/>
      </w:pPr>
      <w:bookmarkStart w:id="481" w:name="_Toc158988691"/>
      <w:r>
        <w:rPr>
          <w:rStyle w:val="CharSectno"/>
        </w:rPr>
        <w:t>241</w:t>
      </w:r>
      <w:r>
        <w:t>.</w:t>
      </w:r>
      <w:r>
        <w:tab/>
        <w:t>Terms used</w:t>
      </w:r>
      <w:bookmarkEnd w:id="48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482" w:name="_Toc158988692"/>
      <w:r>
        <w:rPr>
          <w:rStyle w:val="CharSectno"/>
        </w:rPr>
        <w:lastRenderedPageBreak/>
        <w:t>242</w:t>
      </w:r>
      <w:r>
        <w:t>.</w:t>
      </w:r>
      <w:r>
        <w:tab/>
        <w:t>Replacement licences</w:t>
      </w:r>
      <w:bookmarkEnd w:id="482"/>
    </w:p>
    <w:p>
      <w:pPr>
        <w:pStyle w:val="Subsection"/>
        <w:keepNext/>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483" w:name="_Toc158988693"/>
      <w:r>
        <w:rPr>
          <w:rStyle w:val="CharSectno"/>
        </w:rPr>
        <w:t>243</w:t>
      </w:r>
      <w:r>
        <w:t>.</w:t>
      </w:r>
      <w:r>
        <w:tab/>
        <w:t>Failure to comply with licence conditions</w:t>
      </w:r>
      <w:bookmarkEnd w:id="483"/>
    </w:p>
    <w:p>
      <w:pPr>
        <w:pStyle w:val="Subsection"/>
      </w:pPr>
      <w:r>
        <w:tab/>
      </w:r>
      <w:r>
        <w:tab/>
        <w:t>A licensee must not contravene a condition of his or her licence.</w:t>
      </w:r>
    </w:p>
    <w:p>
      <w:pPr>
        <w:pStyle w:val="Penstart"/>
      </w:pPr>
      <w:r>
        <w:tab/>
        <w:t>Penalty: a fine of $10 000.</w:t>
      </w:r>
    </w:p>
    <w:p>
      <w:pPr>
        <w:pStyle w:val="Heading5"/>
      </w:pPr>
      <w:bookmarkStart w:id="484" w:name="_Toc158988694"/>
      <w:r>
        <w:rPr>
          <w:rStyle w:val="CharSectno"/>
        </w:rPr>
        <w:t>244</w:t>
      </w:r>
      <w:r>
        <w:t>.</w:t>
      </w:r>
      <w:r>
        <w:tab/>
        <w:t>Surrender of licences</w:t>
      </w:r>
      <w:bookmarkEnd w:id="484"/>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485" w:name="_Toc158988695"/>
      <w:r>
        <w:rPr>
          <w:rStyle w:val="CharSectno"/>
        </w:rPr>
        <w:t>245</w:t>
      </w:r>
      <w:r>
        <w:t>.</w:t>
      </w:r>
      <w:r>
        <w:tab/>
        <w:t>Registers of licences</w:t>
      </w:r>
      <w:bookmarkEnd w:id="48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lastRenderedPageBreak/>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486" w:name="_Toc158988696"/>
      <w:r>
        <w:rPr>
          <w:rStyle w:val="CharSectno"/>
        </w:rPr>
        <w:t>246</w:t>
      </w:r>
      <w:r>
        <w:t>.</w:t>
      </w:r>
      <w:r>
        <w:tab/>
        <w:t>Records of licences</w:t>
      </w:r>
      <w:bookmarkEnd w:id="48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487" w:name="_Toc158988697"/>
      <w:r>
        <w:rPr>
          <w:rStyle w:val="CharSectno"/>
        </w:rPr>
        <w:t>247</w:t>
      </w:r>
      <w:r>
        <w:t>.</w:t>
      </w:r>
      <w:r>
        <w:tab/>
        <w:t>Change of information given in licence applications</w:t>
      </w:r>
      <w:bookmarkEnd w:id="48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lastRenderedPageBreak/>
        <w:tab/>
        <w:t>Penalty: a fine of $1 500.</w:t>
      </w:r>
    </w:p>
    <w:p>
      <w:pPr>
        <w:pStyle w:val="Heading5"/>
        <w:rPr>
          <w:color w:val="000000"/>
        </w:rPr>
      </w:pPr>
      <w:bookmarkStart w:id="488" w:name="_Toc158988698"/>
      <w:r>
        <w:rPr>
          <w:rStyle w:val="CharSectno"/>
        </w:rPr>
        <w:t>248</w:t>
      </w:r>
      <w:r>
        <w:t>.</w:t>
      </w:r>
      <w:r>
        <w:tab/>
        <w:t xml:space="preserve">Production of licences </w:t>
      </w:r>
      <w:r>
        <w:rPr>
          <w:color w:val="000000"/>
        </w:rPr>
        <w:t>to licensing authority</w:t>
      </w:r>
      <w:bookmarkEnd w:id="48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489" w:name="_Toc158988699"/>
      <w:r>
        <w:rPr>
          <w:rStyle w:val="CharSectno"/>
        </w:rPr>
        <w:t>249</w:t>
      </w:r>
      <w:r>
        <w:t>.</w:t>
      </w:r>
      <w:r>
        <w:tab/>
        <w:t>Return of licences</w:t>
      </w:r>
      <w:bookmarkEnd w:id="48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490" w:name="_Toc158974212"/>
      <w:bookmarkStart w:id="491" w:name="_Toc158983154"/>
      <w:bookmarkStart w:id="492" w:name="_Toc158983521"/>
      <w:bookmarkStart w:id="493" w:name="_Toc158988700"/>
      <w:r>
        <w:rPr>
          <w:rStyle w:val="CharDivNo"/>
        </w:rPr>
        <w:t>Division 7</w:t>
      </w:r>
      <w:r>
        <w:t> — </w:t>
      </w:r>
      <w:r>
        <w:rPr>
          <w:rStyle w:val="CharDivText"/>
        </w:rPr>
        <w:t>Cancellation, suspension and variation</w:t>
      </w:r>
      <w:bookmarkEnd w:id="490"/>
      <w:bookmarkEnd w:id="491"/>
      <w:bookmarkEnd w:id="492"/>
      <w:bookmarkEnd w:id="493"/>
    </w:p>
    <w:p>
      <w:pPr>
        <w:pStyle w:val="Heading5"/>
        <w:rPr>
          <w:color w:val="000000"/>
        </w:rPr>
      </w:pPr>
      <w:bookmarkStart w:id="494" w:name="_Toc158988701"/>
      <w:r>
        <w:rPr>
          <w:rStyle w:val="CharSectno"/>
        </w:rPr>
        <w:t>250</w:t>
      </w:r>
      <w:r>
        <w:t>.</w:t>
      </w:r>
      <w:r>
        <w:tab/>
      </w:r>
      <w:r>
        <w:rPr>
          <w:color w:val="000000"/>
        </w:rPr>
        <w:t>Terms used</w:t>
      </w:r>
      <w:bookmarkEnd w:id="494"/>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lastRenderedPageBreak/>
        <w:tab/>
      </w:r>
      <w:r>
        <w:rPr>
          <w:rStyle w:val="CharDefText"/>
        </w:rPr>
        <w:t>licensee</w:t>
      </w:r>
      <w:r>
        <w:t xml:space="preserve"> means the holder of a licence.</w:t>
      </w:r>
    </w:p>
    <w:p>
      <w:pPr>
        <w:pStyle w:val="Heading5"/>
      </w:pPr>
      <w:bookmarkStart w:id="495" w:name="_Toc158988702"/>
      <w:r>
        <w:rPr>
          <w:rStyle w:val="CharSectno"/>
        </w:rPr>
        <w:t>251</w:t>
      </w:r>
      <w:r>
        <w:t>.</w:t>
      </w:r>
      <w:r>
        <w:tab/>
        <w:t>Cancellation, suspension and variation in dangerous situations</w:t>
      </w:r>
      <w:bookmarkEnd w:id="495"/>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496" w:name="_Toc158988703"/>
      <w:r>
        <w:rPr>
          <w:rStyle w:val="CharSectno"/>
        </w:rPr>
        <w:t>252</w:t>
      </w:r>
      <w:r>
        <w:t>.</w:t>
      </w:r>
      <w:r>
        <w:tab/>
        <w:t>Cancellation and suspension giving effect to court orders</w:t>
      </w:r>
      <w:bookmarkEnd w:id="496"/>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497" w:name="_Toc158988704"/>
      <w:r>
        <w:rPr>
          <w:rStyle w:val="CharSectno"/>
        </w:rPr>
        <w:t>253</w:t>
      </w:r>
      <w:r>
        <w:t>.</w:t>
      </w:r>
      <w:r>
        <w:tab/>
        <w:t>Variation of licences on application</w:t>
      </w:r>
      <w:bookmarkEnd w:id="497"/>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498" w:name="_Toc158988705"/>
      <w:r>
        <w:rPr>
          <w:rStyle w:val="CharSectno"/>
        </w:rPr>
        <w:t>254</w:t>
      </w:r>
      <w:r>
        <w:t>.</w:t>
      </w:r>
      <w:r>
        <w:tab/>
        <w:t>Cancellation, suspension and variation in other circumstances</w:t>
      </w:r>
      <w:bookmarkEnd w:id="498"/>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lastRenderedPageBreak/>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499" w:name="_Toc158988706"/>
      <w:r>
        <w:rPr>
          <w:rStyle w:val="CharSectno"/>
        </w:rPr>
        <w:lastRenderedPageBreak/>
        <w:t>255</w:t>
      </w:r>
      <w:r>
        <w:t>.</w:t>
      </w:r>
      <w:r>
        <w:tab/>
        <w:t>When cancellation, suspension and variation take effect</w:t>
      </w:r>
      <w:bookmarkEnd w:id="499"/>
    </w:p>
    <w:p>
      <w:pPr>
        <w:pStyle w:val="Subsection"/>
        <w:keepNext/>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500" w:name="_Toc158988707"/>
      <w:r>
        <w:rPr>
          <w:rStyle w:val="CharSectno"/>
        </w:rPr>
        <w:t>256</w:t>
      </w:r>
      <w:r>
        <w:t>.</w:t>
      </w:r>
      <w:r>
        <w:tab/>
        <w:t>When licences taken to be suspended</w:t>
      </w:r>
      <w:bookmarkEnd w:id="500"/>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501" w:name="_Toc158974220"/>
      <w:bookmarkStart w:id="502" w:name="_Toc158983162"/>
      <w:bookmarkStart w:id="503" w:name="_Toc158983529"/>
      <w:bookmarkStart w:id="504" w:name="_Toc158988708"/>
      <w:r>
        <w:rPr>
          <w:rStyle w:val="CharPartNo"/>
        </w:rPr>
        <w:lastRenderedPageBreak/>
        <w:t>Part 18</w:t>
      </w:r>
      <w:r>
        <w:rPr>
          <w:rStyle w:val="CharDivNo"/>
        </w:rPr>
        <w:t> </w:t>
      </w:r>
      <w:r>
        <w:t>—</w:t>
      </w:r>
      <w:r>
        <w:rPr>
          <w:rStyle w:val="CharDivText"/>
        </w:rPr>
        <w:t> </w:t>
      </w:r>
      <w:r>
        <w:rPr>
          <w:rStyle w:val="CharPartText"/>
        </w:rPr>
        <w:t>Insurance</w:t>
      </w:r>
      <w:bookmarkEnd w:id="501"/>
      <w:bookmarkEnd w:id="502"/>
      <w:bookmarkEnd w:id="503"/>
      <w:bookmarkEnd w:id="504"/>
    </w:p>
    <w:p>
      <w:pPr>
        <w:pStyle w:val="Heading5"/>
        <w:rPr>
          <w:color w:val="000000"/>
        </w:rPr>
      </w:pPr>
      <w:bookmarkStart w:id="505" w:name="_Toc158988709"/>
      <w:r>
        <w:rPr>
          <w:rStyle w:val="CharSectno"/>
          <w:color w:val="000000"/>
        </w:rPr>
        <w:t>257</w:t>
      </w:r>
      <w:r>
        <w:rPr>
          <w:color w:val="000000"/>
        </w:rPr>
        <w:t>.</w:t>
      </w:r>
      <w:r>
        <w:rPr>
          <w:color w:val="000000"/>
        </w:rPr>
        <w:tab/>
        <w:t>Duty on owners</w:t>
      </w:r>
      <w:bookmarkEnd w:id="505"/>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506" w:name="_Toc158988710"/>
      <w:r>
        <w:rPr>
          <w:rStyle w:val="CharSectno"/>
          <w:color w:val="000000"/>
        </w:rPr>
        <w:lastRenderedPageBreak/>
        <w:t>258</w:t>
      </w:r>
      <w:r>
        <w:rPr>
          <w:color w:val="000000"/>
        </w:rPr>
        <w:t>.</w:t>
      </w:r>
      <w:r>
        <w:rPr>
          <w:color w:val="000000"/>
        </w:rPr>
        <w:tab/>
        <w:t>Duty on prime contractors</w:t>
      </w:r>
      <w:bookmarkEnd w:id="506"/>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507" w:name="_Toc158988711"/>
      <w:r>
        <w:rPr>
          <w:rStyle w:val="CharSectno"/>
        </w:rPr>
        <w:lastRenderedPageBreak/>
        <w:t>259</w:t>
      </w:r>
      <w:r>
        <w:t>.</w:t>
      </w:r>
      <w:r>
        <w:tab/>
        <w:t>Requiring evidence of insurance etc.</w:t>
      </w:r>
      <w:bookmarkEnd w:id="507"/>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508" w:name="_Toc158988712"/>
      <w:r>
        <w:rPr>
          <w:rStyle w:val="CharSectno"/>
          <w:color w:val="000000"/>
        </w:rPr>
        <w:t>260</w:t>
      </w:r>
      <w:r>
        <w:rPr>
          <w:color w:val="000000"/>
        </w:rPr>
        <w:t>.</w:t>
      </w:r>
      <w:r>
        <w:rPr>
          <w:color w:val="000000"/>
        </w:rPr>
        <w:tab/>
        <w:t>Approvals — insurance</w:t>
      </w:r>
      <w:bookmarkEnd w:id="508"/>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509" w:name="_Toc158974225"/>
      <w:bookmarkStart w:id="510" w:name="_Toc158983167"/>
      <w:bookmarkStart w:id="511" w:name="_Toc158983534"/>
      <w:bookmarkStart w:id="512" w:name="_Toc158988713"/>
      <w:r>
        <w:rPr>
          <w:rStyle w:val="CharPartNo"/>
        </w:rPr>
        <w:lastRenderedPageBreak/>
        <w:t>Part 19</w:t>
      </w:r>
      <w:r>
        <w:t> — </w:t>
      </w:r>
      <w:r>
        <w:rPr>
          <w:rStyle w:val="CharPartText"/>
        </w:rPr>
        <w:t>Mutual recognition</w:t>
      </w:r>
      <w:bookmarkEnd w:id="509"/>
      <w:bookmarkEnd w:id="510"/>
      <w:bookmarkEnd w:id="511"/>
      <w:bookmarkEnd w:id="512"/>
    </w:p>
    <w:p>
      <w:pPr>
        <w:pStyle w:val="Heading3"/>
      </w:pPr>
      <w:bookmarkStart w:id="513" w:name="_Toc158974226"/>
      <w:bookmarkStart w:id="514" w:name="_Toc158983168"/>
      <w:bookmarkStart w:id="515" w:name="_Toc158983535"/>
      <w:bookmarkStart w:id="516" w:name="_Toc158988714"/>
      <w:r>
        <w:rPr>
          <w:rStyle w:val="CharDivNo"/>
        </w:rPr>
        <w:t>Division 1</w:t>
      </w:r>
      <w:r>
        <w:t> — </w:t>
      </w:r>
      <w:r>
        <w:rPr>
          <w:rStyle w:val="CharDivText"/>
        </w:rPr>
        <w:t>Recommendations by Chief Officer and corresponding authorities</w:t>
      </w:r>
      <w:bookmarkEnd w:id="513"/>
      <w:bookmarkEnd w:id="514"/>
      <w:bookmarkEnd w:id="515"/>
      <w:bookmarkEnd w:id="516"/>
    </w:p>
    <w:p>
      <w:pPr>
        <w:pStyle w:val="Heading5"/>
      </w:pPr>
      <w:bookmarkStart w:id="517" w:name="_Toc158988715"/>
      <w:r>
        <w:rPr>
          <w:rStyle w:val="CharSectno"/>
        </w:rPr>
        <w:t>261</w:t>
      </w:r>
      <w:r>
        <w:t>.</w:t>
      </w:r>
      <w:r>
        <w:tab/>
        <w:t>Recommendations by Chief Officer</w:t>
      </w:r>
      <w:bookmarkEnd w:id="517"/>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518" w:name="_Toc158988716"/>
      <w:r>
        <w:rPr>
          <w:rStyle w:val="CharSectno"/>
        </w:rPr>
        <w:t>262</w:t>
      </w:r>
      <w:r>
        <w:t>.</w:t>
      </w:r>
      <w:r>
        <w:tab/>
        <w:t>Recommendations by corresponding authorities</w:t>
      </w:r>
      <w:bookmarkEnd w:id="518"/>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lastRenderedPageBreak/>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519" w:name="_Toc158974229"/>
      <w:bookmarkStart w:id="520" w:name="_Toc158983171"/>
      <w:bookmarkStart w:id="521" w:name="_Toc158983538"/>
      <w:bookmarkStart w:id="522" w:name="_Toc158988717"/>
      <w:r>
        <w:rPr>
          <w:rStyle w:val="CharDivNo"/>
        </w:rPr>
        <w:t>Division 2</w:t>
      </w:r>
      <w:r>
        <w:t> — </w:t>
      </w:r>
      <w:r>
        <w:rPr>
          <w:rStyle w:val="CharDivText"/>
        </w:rPr>
        <w:t>Mutual recognition of determinations, exemptions, approvals and licences</w:t>
      </w:r>
      <w:bookmarkEnd w:id="519"/>
      <w:bookmarkEnd w:id="520"/>
      <w:bookmarkEnd w:id="521"/>
      <w:bookmarkEnd w:id="522"/>
    </w:p>
    <w:p>
      <w:pPr>
        <w:pStyle w:val="Heading5"/>
        <w:spacing w:before="180"/>
      </w:pPr>
      <w:bookmarkStart w:id="523" w:name="_Toc158988718"/>
      <w:r>
        <w:rPr>
          <w:rStyle w:val="CharSectno"/>
        </w:rPr>
        <w:t>263</w:t>
      </w:r>
      <w:r>
        <w:t>.</w:t>
      </w:r>
      <w:r>
        <w:tab/>
        <w:t>Corresponding determinations</w:t>
      </w:r>
      <w:bookmarkEnd w:id="523"/>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 xml:space="preserve">CAP has decided that the determination should have effect in all participating jurisdictions or participating </w:t>
      </w:r>
      <w:r>
        <w:lastRenderedPageBreak/>
        <w:t>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524" w:name="_Toc158988719"/>
      <w:r>
        <w:rPr>
          <w:rStyle w:val="CharSectno"/>
        </w:rPr>
        <w:t>264</w:t>
      </w:r>
      <w:r>
        <w:t>.</w:t>
      </w:r>
      <w:r>
        <w:tab/>
        <w:t>Corresponding exemptions</w:t>
      </w:r>
      <w:bookmarkEnd w:id="52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525" w:name="_Toc158988720"/>
      <w:r>
        <w:rPr>
          <w:rStyle w:val="CharSectno"/>
        </w:rPr>
        <w:t>265</w:t>
      </w:r>
      <w:r>
        <w:t>.</w:t>
      </w:r>
      <w:r>
        <w:tab/>
        <w:t>Corresponding approvals</w:t>
      </w:r>
      <w:bookmarkEnd w:id="52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lastRenderedPageBreak/>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526" w:name="_Toc158988721"/>
      <w:r>
        <w:rPr>
          <w:rStyle w:val="CharSectno"/>
        </w:rPr>
        <w:t>266</w:t>
      </w:r>
      <w:r>
        <w:t>.</w:t>
      </w:r>
      <w:r>
        <w:tab/>
        <w:t>Corresponding licences</w:t>
      </w:r>
      <w:bookmarkEnd w:id="526"/>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lastRenderedPageBreak/>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527" w:name="_Toc158988722"/>
      <w:r>
        <w:rPr>
          <w:rStyle w:val="CharSectno"/>
        </w:rPr>
        <w:t>267A</w:t>
      </w:r>
      <w:r>
        <w:t>.</w:t>
      </w:r>
      <w:r>
        <w:tab/>
        <w:t>Reference of determination, exemption or approval to CAP for the purposes of mutual recognition</w:t>
      </w:r>
      <w:bookmarkEnd w:id="527"/>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528" w:name="_Toc158974235"/>
      <w:bookmarkStart w:id="529" w:name="_Toc158983177"/>
      <w:bookmarkStart w:id="530" w:name="_Toc158983544"/>
      <w:bookmarkStart w:id="531" w:name="_Toc158988723"/>
      <w:r>
        <w:rPr>
          <w:rStyle w:val="CharPartNo"/>
        </w:rPr>
        <w:lastRenderedPageBreak/>
        <w:t>Part 20</w:t>
      </w:r>
      <w:r>
        <w:rPr>
          <w:rStyle w:val="CharDivNo"/>
        </w:rPr>
        <w:t> </w:t>
      </w:r>
      <w:r>
        <w:t>—</w:t>
      </w:r>
      <w:r>
        <w:rPr>
          <w:rStyle w:val="CharDivText"/>
        </w:rPr>
        <w:t> </w:t>
      </w:r>
      <w:r>
        <w:rPr>
          <w:rStyle w:val="CharPartText"/>
        </w:rPr>
        <w:t>Reconsideration and review of decisions</w:t>
      </w:r>
      <w:bookmarkEnd w:id="528"/>
      <w:bookmarkEnd w:id="529"/>
      <w:bookmarkEnd w:id="530"/>
      <w:bookmarkEnd w:id="531"/>
    </w:p>
    <w:p>
      <w:pPr>
        <w:pStyle w:val="Heading5"/>
      </w:pPr>
      <w:bookmarkStart w:id="532" w:name="_Toc158988724"/>
      <w:r>
        <w:rPr>
          <w:rStyle w:val="CharSectno"/>
        </w:rPr>
        <w:t>267</w:t>
      </w:r>
      <w:r>
        <w:t>.</w:t>
      </w:r>
      <w:r>
        <w:tab/>
        <w:t>Application of Part</w:t>
      </w:r>
      <w:bookmarkEnd w:id="532"/>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lastRenderedPageBreak/>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533" w:name="_Toc158988725"/>
      <w:r>
        <w:rPr>
          <w:rStyle w:val="CharSectno"/>
        </w:rPr>
        <w:t>268</w:t>
      </w:r>
      <w:r>
        <w:t>.</w:t>
      </w:r>
      <w:r>
        <w:tab/>
        <w:t>Who may apply for reconsideration of decisions</w:t>
      </w:r>
      <w:bookmarkEnd w:id="53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534" w:name="_Toc158988726"/>
      <w:r>
        <w:rPr>
          <w:rStyle w:val="CharSectno"/>
        </w:rPr>
        <w:lastRenderedPageBreak/>
        <w:t>269</w:t>
      </w:r>
      <w:r>
        <w:t>.</w:t>
      </w:r>
      <w:r>
        <w:tab/>
        <w:t>Applications for reconsideration</w:t>
      </w:r>
      <w:bookmarkEnd w:id="534"/>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535" w:name="_Toc158988727"/>
      <w:r>
        <w:rPr>
          <w:rStyle w:val="CharSectno"/>
        </w:rPr>
        <w:t>270</w:t>
      </w:r>
      <w:r>
        <w:t>.</w:t>
      </w:r>
      <w:r>
        <w:tab/>
        <w:t>Chief Officer to reconsider decisions</w:t>
      </w:r>
      <w:bookmarkEnd w:id="535"/>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536" w:name="_Toc158974240"/>
      <w:bookmarkStart w:id="537" w:name="_Toc158983182"/>
      <w:bookmarkStart w:id="538" w:name="_Toc158983549"/>
      <w:bookmarkStart w:id="539" w:name="_Toc158988728"/>
      <w:r>
        <w:rPr>
          <w:rStyle w:val="CharPartNo"/>
        </w:rPr>
        <w:lastRenderedPageBreak/>
        <w:t>Part 21</w:t>
      </w:r>
      <w:r>
        <w:rPr>
          <w:rStyle w:val="CharDivNo"/>
        </w:rPr>
        <w:t> </w:t>
      </w:r>
      <w:r>
        <w:t>—</w:t>
      </w:r>
      <w:r>
        <w:rPr>
          <w:rStyle w:val="CharDivText"/>
        </w:rPr>
        <w:t> </w:t>
      </w:r>
      <w:r>
        <w:rPr>
          <w:rStyle w:val="CharPartText"/>
        </w:rPr>
        <w:t>Infringement notices</w:t>
      </w:r>
      <w:bookmarkEnd w:id="536"/>
      <w:bookmarkEnd w:id="537"/>
      <w:bookmarkEnd w:id="538"/>
      <w:bookmarkEnd w:id="539"/>
    </w:p>
    <w:p>
      <w:pPr>
        <w:pStyle w:val="Heading5"/>
      </w:pPr>
      <w:bookmarkStart w:id="540" w:name="_Toc158988729"/>
      <w:r>
        <w:rPr>
          <w:rStyle w:val="CharSectno"/>
        </w:rPr>
        <w:t>271</w:t>
      </w:r>
      <w:r>
        <w:t>.</w:t>
      </w:r>
      <w:r>
        <w:tab/>
        <w:t>Infringement notice offences and modified penalties</w:t>
      </w:r>
      <w:bookmarkEnd w:id="540"/>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541" w:name="_Toc158974242"/>
      <w:bookmarkStart w:id="542" w:name="_Toc158983184"/>
      <w:bookmarkStart w:id="543" w:name="_Toc158983551"/>
      <w:bookmarkStart w:id="544" w:name="_Toc158988730"/>
      <w:r>
        <w:rPr>
          <w:rStyle w:val="CharPartNo"/>
        </w:rPr>
        <w:lastRenderedPageBreak/>
        <w:t>Part 22</w:t>
      </w:r>
      <w:r>
        <w:rPr>
          <w:rStyle w:val="CharDivNo"/>
        </w:rPr>
        <w:t> </w:t>
      </w:r>
      <w:r>
        <w:t>—</w:t>
      </w:r>
      <w:r>
        <w:rPr>
          <w:rStyle w:val="CharDivText"/>
        </w:rPr>
        <w:t> </w:t>
      </w:r>
      <w:r>
        <w:rPr>
          <w:rStyle w:val="CharPartText"/>
        </w:rPr>
        <w:t>Fees</w:t>
      </w:r>
      <w:bookmarkEnd w:id="541"/>
      <w:bookmarkEnd w:id="542"/>
      <w:bookmarkEnd w:id="543"/>
      <w:bookmarkEnd w:id="544"/>
    </w:p>
    <w:p>
      <w:pPr>
        <w:pStyle w:val="Heading5"/>
      </w:pPr>
      <w:bookmarkStart w:id="545" w:name="_Toc158988731"/>
      <w:r>
        <w:rPr>
          <w:rStyle w:val="CharSectno"/>
        </w:rPr>
        <w:t>272</w:t>
      </w:r>
      <w:r>
        <w:t>.</w:t>
      </w:r>
      <w:r>
        <w:tab/>
        <w:t>Fees prescribed</w:t>
      </w:r>
      <w:bookmarkEnd w:id="545"/>
    </w:p>
    <w:p>
      <w:pPr>
        <w:pStyle w:val="Subsection"/>
      </w:pPr>
      <w:r>
        <w:tab/>
      </w:r>
      <w:r>
        <w:tab/>
        <w:t>The fees payable under these regulations are prescribed in the Table.</w:t>
      </w:r>
    </w:p>
    <w:p>
      <w:pPr>
        <w:pStyle w:val="THeadingNAm"/>
      </w:pPr>
      <w:r>
        <w:t>Table</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3686"/>
        <w:gridCol w:w="1276"/>
      </w:tblGrid>
      <w:tr>
        <w:trPr>
          <w:cantSplit/>
          <w:tblHeader/>
        </w:trPr>
        <w:tc>
          <w:tcPr>
            <w:tcW w:w="708" w:type="dxa"/>
            <w:noWrap/>
          </w:tcPr>
          <w:p>
            <w:pPr>
              <w:pStyle w:val="TableNAm"/>
              <w:jc w:val="center"/>
              <w:rPr>
                <w:b/>
                <w:bCs/>
              </w:rPr>
            </w:pPr>
            <w:r>
              <w:rPr>
                <w:b/>
                <w:bCs/>
              </w:rPr>
              <w:t>Item</w:t>
            </w:r>
          </w:p>
        </w:tc>
        <w:tc>
          <w:tcPr>
            <w:tcW w:w="3686" w:type="dxa"/>
            <w:noWrap/>
          </w:tcPr>
          <w:p>
            <w:pPr>
              <w:pStyle w:val="TableNAm"/>
              <w:jc w:val="center"/>
              <w:rPr>
                <w:b/>
                <w:bCs/>
              </w:rPr>
            </w:pPr>
            <w:r>
              <w:rPr>
                <w:b/>
                <w:bCs/>
              </w:rPr>
              <w:t>Column 1</w:t>
            </w:r>
          </w:p>
          <w:p>
            <w:pPr>
              <w:pStyle w:val="TableNAm"/>
              <w:jc w:val="center"/>
              <w:rPr>
                <w:b/>
                <w:bCs/>
              </w:rPr>
            </w:pPr>
            <w:r>
              <w:rPr>
                <w:b/>
                <w:bCs/>
              </w:rPr>
              <w:t>Application</w:t>
            </w:r>
          </w:p>
        </w:tc>
        <w:tc>
          <w:tcPr>
            <w:tcW w:w="1276" w:type="dxa"/>
            <w:noWrap/>
          </w:tcPr>
          <w:p>
            <w:pPr>
              <w:pStyle w:val="TableNAm"/>
              <w:jc w:val="center"/>
              <w:rPr>
                <w:b/>
                <w:bCs/>
              </w:rPr>
            </w:pPr>
            <w:r>
              <w:rPr>
                <w:b/>
                <w:bCs/>
              </w:rPr>
              <w:t>Column 2</w:t>
            </w:r>
          </w:p>
          <w:p>
            <w:pPr>
              <w:pStyle w:val="TableNAm"/>
              <w:jc w:val="center"/>
              <w:rPr>
                <w:b/>
                <w:bCs/>
              </w:rPr>
            </w:pPr>
            <w:r>
              <w:rPr>
                <w:b/>
                <w:bCs/>
              </w:rPr>
              <w:t>Fee</w:t>
            </w:r>
          </w:p>
          <w:p>
            <w:pPr>
              <w:pStyle w:val="TableNAm"/>
              <w:jc w:val="center"/>
              <w:rPr>
                <w:b/>
                <w:bCs/>
              </w:rPr>
            </w:pPr>
            <w:r>
              <w:rPr>
                <w:b/>
                <w:bCs/>
              </w:rPr>
              <w:t>$</w:t>
            </w:r>
          </w:p>
        </w:tc>
      </w:tr>
      <w:tr>
        <w:trPr>
          <w:cantSplit/>
        </w:trPr>
        <w:tc>
          <w:tcPr>
            <w:tcW w:w="708" w:type="dxa"/>
            <w:tcBorders>
              <w:bottom w:val="single" w:sz="4" w:space="0" w:color="auto"/>
            </w:tcBorders>
            <w:noWrap/>
          </w:tcPr>
          <w:p>
            <w:pPr>
              <w:pStyle w:val="TableNAm"/>
            </w:pPr>
            <w:r>
              <w:t>1.</w:t>
            </w:r>
          </w:p>
        </w:tc>
        <w:tc>
          <w:tcPr>
            <w:tcW w:w="3686" w:type="dxa"/>
            <w:tcBorders>
              <w:bottom w:val="single" w:sz="4" w:space="0" w:color="auto"/>
            </w:tcBorders>
            <w:noWrap/>
          </w:tcPr>
          <w:p>
            <w:pPr>
              <w:pStyle w:val="TableNAm"/>
            </w:pPr>
            <w:r>
              <w:t>Application for approval or variation of approval (r. 194(1)(b))</w:t>
            </w:r>
          </w:p>
        </w:tc>
        <w:tc>
          <w:tcPr>
            <w:tcW w:w="1276" w:type="dxa"/>
            <w:tcBorders>
              <w:bottom w:val="single" w:sz="4" w:space="0" w:color="auto"/>
            </w:tcBorders>
            <w:noWrap/>
            <w:vAlign w:val="bottom"/>
          </w:tcPr>
          <w:p>
            <w:pPr>
              <w:pStyle w:val="TableNAm"/>
              <w:ind w:right="171"/>
              <w:jc w:val="right"/>
              <w:rPr>
                <w:highlight w:val="yellow"/>
              </w:rPr>
            </w:pPr>
            <w:r>
              <w:t>340.00</w:t>
            </w:r>
          </w:p>
        </w:tc>
      </w:tr>
      <w:tr>
        <w:trPr>
          <w:cantSplit/>
          <w:trHeight w:val="420"/>
        </w:trPr>
        <w:tc>
          <w:tcPr>
            <w:tcW w:w="708" w:type="dxa"/>
            <w:tcBorders>
              <w:bottom w:val="nil"/>
            </w:tcBorders>
            <w:noWrap/>
          </w:tcPr>
          <w:p>
            <w:pPr>
              <w:pStyle w:val="TableNAm"/>
            </w:pPr>
            <w:r>
              <w:t>2.</w:t>
            </w:r>
          </w:p>
        </w:tc>
        <w:tc>
          <w:tcPr>
            <w:tcW w:w="3686" w:type="dxa"/>
            <w:tcBorders>
              <w:bottom w:val="nil"/>
            </w:tcBorders>
            <w:noWrap/>
          </w:tcPr>
          <w:p>
            <w:pPr>
              <w:pStyle w:val="TableNAm"/>
            </w:pPr>
            <w:r>
              <w:t>Application for, or for renewal of —</w:t>
            </w:r>
          </w:p>
        </w:tc>
        <w:tc>
          <w:tcPr>
            <w:tcW w:w="1276" w:type="dxa"/>
            <w:tcBorders>
              <w:bottom w:val="nil"/>
            </w:tcBorders>
            <w:noWrap/>
            <w:vAlign w:val="bottom"/>
          </w:tcPr>
          <w:p>
            <w:pPr>
              <w:pStyle w:val="TableNAm"/>
              <w:ind w:right="171"/>
              <w:jc w:val="right"/>
              <w:rPr>
                <w:highlight w:val="yellow"/>
              </w:rPr>
            </w:pPr>
          </w:p>
        </w:tc>
      </w:tr>
      <w:tr>
        <w:trPr>
          <w:cantSplit/>
          <w:trHeight w:val="1278"/>
        </w:trPr>
        <w:tc>
          <w:tcPr>
            <w:tcW w:w="708" w:type="dxa"/>
            <w:vMerge w:val="restart"/>
            <w:tcBorders>
              <w:top w:val="nil"/>
            </w:tcBorders>
            <w:noWrap/>
          </w:tcPr>
          <w:p>
            <w:pPr>
              <w:pStyle w:val="TableNAm"/>
            </w:pPr>
          </w:p>
        </w:tc>
        <w:tc>
          <w:tcPr>
            <w:tcW w:w="3686" w:type="dxa"/>
            <w:tcBorders>
              <w:top w:val="nil"/>
              <w:bottom w:val="nil"/>
            </w:tcBorders>
            <w:noWrap/>
          </w:tcPr>
          <w:p>
            <w:pPr>
              <w:pStyle w:val="TableNAm"/>
              <w:tabs>
                <w:tab w:val="clear" w:pos="567"/>
                <w:tab w:val="left" w:pos="459"/>
              </w:tabs>
              <w:ind w:left="459" w:hanging="459"/>
            </w:pPr>
            <w:r>
              <w:t>(a)</w:t>
            </w:r>
            <w:r>
              <w:tab/>
              <w:t>a dangerous goods driver licence, for each year or part of a year of the term of the licence (r. 218(2)(e) and 223(2)(e))</w:t>
            </w:r>
          </w:p>
        </w:tc>
        <w:tc>
          <w:tcPr>
            <w:tcW w:w="1276" w:type="dxa"/>
            <w:tcBorders>
              <w:top w:val="nil"/>
              <w:bottom w:val="nil"/>
            </w:tcBorders>
            <w:noWrap/>
            <w:vAlign w:val="bottom"/>
          </w:tcPr>
          <w:p>
            <w:pPr>
              <w:pStyle w:val="TableNAm"/>
              <w:keepLines/>
              <w:ind w:right="171"/>
              <w:jc w:val="right"/>
            </w:pPr>
            <w:r>
              <w:t>27.00</w:t>
            </w:r>
          </w:p>
        </w:tc>
      </w:tr>
      <w:tr>
        <w:trPr>
          <w:cantSplit/>
          <w:trHeight w:val="1268"/>
        </w:trPr>
        <w:tc>
          <w:tcPr>
            <w:tcW w:w="708" w:type="dxa"/>
            <w:vMerge/>
            <w:tcBorders>
              <w:bottom w:val="single" w:sz="4" w:space="0" w:color="auto"/>
            </w:tcBorders>
            <w:noWrap/>
          </w:tcPr>
          <w:p>
            <w:pPr>
              <w:pStyle w:val="TableNAm"/>
              <w:keepNext/>
            </w:pPr>
          </w:p>
        </w:tc>
        <w:tc>
          <w:tcPr>
            <w:tcW w:w="3686" w:type="dxa"/>
            <w:tcBorders>
              <w:top w:val="nil"/>
            </w:tcBorders>
            <w:noWrap/>
          </w:tcPr>
          <w:p>
            <w:pPr>
              <w:pStyle w:val="TableNAm"/>
              <w:keepNext/>
              <w:keepLines/>
              <w:tabs>
                <w:tab w:val="clear" w:pos="567"/>
                <w:tab w:val="left" w:pos="459"/>
              </w:tabs>
              <w:ind w:left="459" w:hanging="459"/>
            </w:pPr>
            <w:r>
              <w:t>(b)</w:t>
            </w:r>
            <w:r>
              <w:tab/>
              <w:t>a dangerous goods vehicle licence, for each year or part of a year of the term of the licence (r. 230(4) and 233(3))</w:t>
            </w:r>
          </w:p>
        </w:tc>
        <w:tc>
          <w:tcPr>
            <w:tcW w:w="1276" w:type="dxa"/>
            <w:tcBorders>
              <w:top w:val="nil"/>
            </w:tcBorders>
            <w:noWrap/>
            <w:vAlign w:val="bottom"/>
          </w:tcPr>
          <w:p>
            <w:pPr>
              <w:pStyle w:val="TableNAm"/>
              <w:keepNext/>
              <w:ind w:right="171"/>
              <w:jc w:val="right"/>
            </w:pPr>
            <w:r>
              <w:t>171.00</w:t>
            </w:r>
          </w:p>
        </w:tc>
      </w:tr>
    </w:tbl>
    <w:p>
      <w:pPr>
        <w:pStyle w:val="Footnotesection"/>
        <w:rPr>
          <w:color w:val="000000"/>
        </w:rPr>
      </w:pPr>
      <w:r>
        <w:tab/>
        <w:t>[Regulation 272 inserted: SL 2023/36 r. 13.]</w:t>
      </w:r>
    </w:p>
    <w:p>
      <w:pPr>
        <w:pStyle w:val="Ednotesection"/>
      </w:pPr>
      <w:r>
        <w:t>[</w:t>
      </w:r>
      <w:r>
        <w:rPr>
          <w:b/>
        </w:rPr>
        <w:t>272AA.</w:t>
      </w:r>
      <w:r>
        <w:tab/>
        <w:t>Deleted: SL 2021/85 r. 11.]</w:t>
      </w:r>
    </w:p>
    <w:p>
      <w:pPr>
        <w:pStyle w:val="Heading2"/>
      </w:pPr>
      <w:bookmarkStart w:id="546" w:name="_Toc158974244"/>
      <w:bookmarkStart w:id="547" w:name="_Toc158983186"/>
      <w:bookmarkStart w:id="548" w:name="_Toc158983553"/>
      <w:bookmarkStart w:id="549" w:name="_Toc158988732"/>
      <w:r>
        <w:rPr>
          <w:rStyle w:val="CharPartNo"/>
        </w:rPr>
        <w:lastRenderedPageBreak/>
        <w:t>Part 22A</w:t>
      </w:r>
      <w:r>
        <w:rPr>
          <w:b w:val="0"/>
        </w:rPr>
        <w:t> </w:t>
      </w:r>
      <w:r>
        <w:t>—</w:t>
      </w:r>
      <w:r>
        <w:rPr>
          <w:b w:val="0"/>
        </w:rPr>
        <w:t> </w:t>
      </w:r>
      <w:r>
        <w:rPr>
          <w:rStyle w:val="CharPartText"/>
        </w:rPr>
        <w:t>Miscellaneous</w:t>
      </w:r>
      <w:bookmarkEnd w:id="546"/>
      <w:bookmarkEnd w:id="547"/>
      <w:bookmarkEnd w:id="548"/>
      <w:bookmarkEnd w:id="549"/>
    </w:p>
    <w:p>
      <w:pPr>
        <w:pStyle w:val="Footnoteheading"/>
      </w:pPr>
      <w:r>
        <w:tab/>
        <w:t>[Heading inserted: SL 2020/193 r. 25.]</w:t>
      </w:r>
    </w:p>
    <w:p>
      <w:pPr>
        <w:pStyle w:val="Heading5"/>
      </w:pPr>
      <w:bookmarkStart w:id="550" w:name="_Toc158988733"/>
      <w:r>
        <w:rPr>
          <w:rStyle w:val="CharSectno"/>
        </w:rPr>
        <w:t>272A</w:t>
      </w:r>
      <w:r>
        <w:t>.</w:t>
      </w:r>
      <w:r>
        <w:tab/>
        <w:t>Exception for offence involving compliance with ADG Code</w:t>
      </w:r>
      <w:bookmarkEnd w:id="550"/>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551" w:name="_Toc158974246"/>
      <w:bookmarkStart w:id="552" w:name="_Toc158983188"/>
      <w:bookmarkStart w:id="553" w:name="_Toc158983555"/>
      <w:bookmarkStart w:id="554" w:name="_Toc158988734"/>
      <w:r>
        <w:rPr>
          <w:rStyle w:val="CharPartNo"/>
        </w:rPr>
        <w:lastRenderedPageBreak/>
        <w:t>Part 23</w:t>
      </w:r>
      <w:r>
        <w:t> — </w:t>
      </w:r>
      <w:r>
        <w:rPr>
          <w:rStyle w:val="CharPartText"/>
        </w:rPr>
        <w:t>Transitional</w:t>
      </w:r>
      <w:bookmarkEnd w:id="551"/>
      <w:bookmarkEnd w:id="552"/>
      <w:bookmarkEnd w:id="553"/>
      <w:bookmarkEnd w:id="554"/>
    </w:p>
    <w:p>
      <w:pPr>
        <w:pStyle w:val="Heading3"/>
      </w:pPr>
      <w:bookmarkStart w:id="555" w:name="_Toc158974247"/>
      <w:bookmarkStart w:id="556" w:name="_Toc158983189"/>
      <w:bookmarkStart w:id="557" w:name="_Toc158983556"/>
      <w:bookmarkStart w:id="558" w:name="_Toc158988735"/>
      <w:r>
        <w:rPr>
          <w:rStyle w:val="CharDivNo"/>
        </w:rPr>
        <w:t>Division 1</w:t>
      </w:r>
      <w:r>
        <w:t> — </w:t>
      </w:r>
      <w:r>
        <w:rPr>
          <w:rStyle w:val="CharDivText"/>
        </w:rPr>
        <w:t xml:space="preserve">Provisions for </w:t>
      </w:r>
      <w:r>
        <w:rPr>
          <w:rStyle w:val="CharDivText"/>
          <w:i/>
        </w:rPr>
        <w:t>Dangerous Goods (Transport) Act 1998</w:t>
      </w:r>
      <w:bookmarkEnd w:id="555"/>
      <w:bookmarkEnd w:id="556"/>
      <w:bookmarkEnd w:id="557"/>
      <w:bookmarkEnd w:id="558"/>
    </w:p>
    <w:p>
      <w:pPr>
        <w:pStyle w:val="Footnoteheading"/>
      </w:pPr>
      <w:r>
        <w:tab/>
        <w:t>[Heading inserted: Gazette 3 Aug 2012 p. 3759.]</w:t>
      </w:r>
    </w:p>
    <w:p>
      <w:pPr>
        <w:pStyle w:val="Heading5"/>
      </w:pPr>
      <w:bookmarkStart w:id="559" w:name="_Toc158988736"/>
      <w:r>
        <w:rPr>
          <w:rStyle w:val="CharSectno"/>
        </w:rPr>
        <w:t>273</w:t>
      </w:r>
      <w:r>
        <w:t>.</w:t>
      </w:r>
      <w:r>
        <w:tab/>
        <w:t>Terms used</w:t>
      </w:r>
      <w:bookmarkEnd w:id="559"/>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 </w:t>
      </w:r>
      <w:r>
        <w:rPr>
          <w:vertAlign w:val="superscript"/>
        </w:rPr>
        <w:t>1</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560" w:name="_Toc158988737"/>
      <w:r>
        <w:rPr>
          <w:rStyle w:val="CharSectno"/>
          <w:color w:val="000000"/>
        </w:rPr>
        <w:t>274</w:t>
      </w:r>
      <w:r>
        <w:rPr>
          <w:color w:val="000000"/>
        </w:rPr>
        <w:t>.</w:t>
      </w:r>
      <w:r>
        <w:rPr>
          <w:color w:val="000000"/>
        </w:rPr>
        <w:tab/>
        <w:t>Lawful conduct under repealed regulations</w:t>
      </w:r>
      <w:bookmarkEnd w:id="560"/>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Lines w:val="0"/>
      </w:pPr>
      <w:bookmarkStart w:id="561" w:name="_Toc158988738"/>
      <w:r>
        <w:rPr>
          <w:rStyle w:val="CharSectno"/>
        </w:rPr>
        <w:lastRenderedPageBreak/>
        <w:t>275</w:t>
      </w:r>
      <w:r>
        <w:t>.</w:t>
      </w:r>
      <w:r>
        <w:tab/>
        <w:t>Continuing effect of certain determinations</w:t>
      </w:r>
      <w:bookmarkEnd w:id="561"/>
    </w:p>
    <w:p>
      <w:pPr>
        <w:pStyle w:val="Subsection"/>
        <w:keepNext/>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562" w:name="_Toc158988739"/>
      <w:r>
        <w:rPr>
          <w:rStyle w:val="CharSectno"/>
        </w:rPr>
        <w:t>276</w:t>
      </w:r>
      <w:r>
        <w:t>.</w:t>
      </w:r>
      <w:r>
        <w:tab/>
        <w:t>Continuing effect of certain corresponding determinations</w:t>
      </w:r>
      <w:bookmarkEnd w:id="562"/>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 xml:space="preserve">corresponding </w:t>
      </w:r>
      <w:r>
        <w:rPr>
          <w:rStyle w:val="CharDefText"/>
        </w:rPr>
        <w:lastRenderedPageBreak/>
        <w:t>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563" w:name="_Toc158988740"/>
      <w:r>
        <w:rPr>
          <w:rStyle w:val="CharSectno"/>
          <w:color w:val="000000"/>
        </w:rPr>
        <w:t>277</w:t>
      </w:r>
      <w:r>
        <w:rPr>
          <w:color w:val="000000"/>
        </w:rPr>
        <w:t>.</w:t>
      </w:r>
      <w:r>
        <w:rPr>
          <w:color w:val="000000"/>
        </w:rPr>
        <w:tab/>
        <w:t>Continuing effect of certain exemptions</w:t>
      </w:r>
      <w:bookmarkEnd w:id="563"/>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564" w:name="_Toc158988741"/>
      <w:r>
        <w:t>278.</w:t>
      </w:r>
      <w:r>
        <w:tab/>
        <w:t>Continuing effect of certain corresponding exemptions</w:t>
      </w:r>
      <w:bookmarkEnd w:id="564"/>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lastRenderedPageBreak/>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565" w:name="_Toc158988742"/>
      <w:r>
        <w:rPr>
          <w:rStyle w:val="CharSectno"/>
        </w:rPr>
        <w:t>279</w:t>
      </w:r>
      <w:r>
        <w:t>.</w:t>
      </w:r>
      <w:r>
        <w:tab/>
        <w:t>Continuing effect of certain approvals</w:t>
      </w:r>
      <w:bookmarkEnd w:id="565"/>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lastRenderedPageBreak/>
        <w:tab/>
        <w:t>(3)</w:t>
      </w:r>
      <w:r>
        <w:tab/>
        <w:t>Without limiting subregulation (2), the Chief Officer may record the approval in the register of approvals kept under regulation 202.</w:t>
      </w:r>
    </w:p>
    <w:p>
      <w:pPr>
        <w:pStyle w:val="Heading5"/>
      </w:pPr>
      <w:bookmarkStart w:id="566" w:name="_Toc158988743"/>
      <w:r>
        <w:rPr>
          <w:rStyle w:val="CharSectno"/>
        </w:rPr>
        <w:t>280</w:t>
      </w:r>
      <w:r>
        <w:t>.</w:t>
      </w:r>
      <w:r>
        <w:tab/>
        <w:t>Continuing effect of certain corresponding approvals</w:t>
      </w:r>
      <w:bookmarkEnd w:id="566"/>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567" w:name="_Toc158988744"/>
      <w:r>
        <w:rPr>
          <w:rStyle w:val="CharSectno"/>
        </w:rPr>
        <w:t>281</w:t>
      </w:r>
      <w:r>
        <w:t>.</w:t>
      </w:r>
      <w:r>
        <w:tab/>
        <w:t>Continuing effect of certain licences</w:t>
      </w:r>
      <w:bookmarkEnd w:id="567"/>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lastRenderedPageBreak/>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568" w:name="_Toc158988745"/>
      <w:r>
        <w:rPr>
          <w:rStyle w:val="CharSectno"/>
        </w:rPr>
        <w:t>282</w:t>
      </w:r>
      <w:r>
        <w:t>.</w:t>
      </w:r>
      <w:r>
        <w:tab/>
        <w:t>Continuing effect of certain corresponding licences</w:t>
      </w:r>
      <w:bookmarkEnd w:id="568"/>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569" w:name="_Toc158974258"/>
      <w:bookmarkStart w:id="570" w:name="_Toc158983200"/>
      <w:bookmarkStart w:id="571" w:name="_Toc158983567"/>
      <w:bookmarkStart w:id="572" w:name="_Toc158988746"/>
      <w:r>
        <w:rPr>
          <w:rStyle w:val="CharDivNo"/>
        </w:rPr>
        <w:lastRenderedPageBreak/>
        <w:t>Division 2</w:t>
      </w:r>
      <w:r>
        <w:t> — </w:t>
      </w:r>
      <w:r>
        <w:rPr>
          <w:rStyle w:val="CharDivText"/>
        </w:rPr>
        <w:t>Other provisions</w:t>
      </w:r>
      <w:bookmarkEnd w:id="569"/>
      <w:bookmarkEnd w:id="570"/>
      <w:bookmarkEnd w:id="571"/>
      <w:bookmarkEnd w:id="572"/>
    </w:p>
    <w:p>
      <w:pPr>
        <w:pStyle w:val="Footnoteheading"/>
        <w:keepNext/>
      </w:pPr>
      <w:r>
        <w:tab/>
        <w:t>[Heading inserted: Gazette 3 Aug 2012 p. 3759.]</w:t>
      </w:r>
    </w:p>
    <w:p>
      <w:pPr>
        <w:pStyle w:val="Heading5"/>
      </w:pPr>
      <w:bookmarkStart w:id="573" w:name="_Toc158988747"/>
      <w:r>
        <w:rPr>
          <w:rStyle w:val="CharSectno"/>
        </w:rPr>
        <w:t>283</w:t>
      </w:r>
      <w:r>
        <w:t>.</w:t>
      </w:r>
      <w:r>
        <w:tab/>
        <w:t>Assessing fitness to drive</w:t>
      </w:r>
      <w:bookmarkEnd w:id="573"/>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574" w:name="_Toc158974260"/>
      <w:bookmarkStart w:id="575" w:name="_Toc158983202"/>
      <w:bookmarkStart w:id="576" w:name="_Toc158983569"/>
      <w:bookmarkStart w:id="577" w:name="_Toc158988748"/>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574"/>
      <w:bookmarkEnd w:id="575"/>
      <w:bookmarkEnd w:id="576"/>
      <w:bookmarkEnd w:id="577"/>
    </w:p>
    <w:p>
      <w:pPr>
        <w:pStyle w:val="Footnoteheading"/>
      </w:pPr>
      <w:r>
        <w:tab/>
        <w:t>[Heading inserted: Gazette 13 Jun 2014 p. 1949.]</w:t>
      </w:r>
    </w:p>
    <w:p>
      <w:pPr>
        <w:pStyle w:val="Heading5"/>
      </w:pPr>
      <w:bookmarkStart w:id="578" w:name="_Toc158988749"/>
      <w:r>
        <w:rPr>
          <w:rStyle w:val="CharSectno"/>
        </w:rPr>
        <w:t>284</w:t>
      </w:r>
      <w:r>
        <w:t>.</w:t>
      </w:r>
      <w:r>
        <w:tab/>
        <w:t>Transitional provision for offence involving compliance with ADG Code</w:t>
      </w:r>
      <w:bookmarkEnd w:id="578"/>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 xml:space="preserve">Dangerous Goods Safety (Road and Rail </w:t>
      </w:r>
      <w:r>
        <w:rPr>
          <w:i/>
        </w:rPr>
        <w:lastRenderedPageBreak/>
        <w:t>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579" w:name="_Toc158974262"/>
      <w:bookmarkStart w:id="580" w:name="_Toc158983204"/>
      <w:bookmarkStart w:id="581" w:name="_Toc158983571"/>
      <w:bookmarkStart w:id="582" w:name="_Toc158988750"/>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79"/>
      <w:bookmarkEnd w:id="580"/>
      <w:bookmarkEnd w:id="581"/>
      <w:bookmarkEnd w:id="582"/>
    </w:p>
    <w:p>
      <w:pPr>
        <w:pStyle w:val="Footnoteheading"/>
        <w:keepNext/>
      </w:pPr>
      <w:r>
        <w:tab/>
        <w:t>[Heading inserted: Gazette 17 Nov 2015 p. 4701.]</w:t>
      </w:r>
    </w:p>
    <w:p>
      <w:pPr>
        <w:pStyle w:val="Heading5"/>
      </w:pPr>
      <w:bookmarkStart w:id="583" w:name="_Toc158988751"/>
      <w:r>
        <w:rPr>
          <w:rStyle w:val="CharSectno"/>
        </w:rPr>
        <w:t>285</w:t>
      </w:r>
      <w:r>
        <w:t>.</w:t>
      </w:r>
      <w:r>
        <w:tab/>
        <w:t>Transitional provision for offence involving compliance with ADG Code</w:t>
      </w:r>
      <w:bookmarkEnd w:id="583"/>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584" w:name="_Toc158974264"/>
      <w:bookmarkStart w:id="585" w:name="_Toc158983206"/>
      <w:bookmarkStart w:id="586" w:name="_Toc158983573"/>
      <w:bookmarkStart w:id="587" w:name="_Toc158988752"/>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84"/>
      <w:bookmarkEnd w:id="585"/>
      <w:bookmarkEnd w:id="586"/>
      <w:bookmarkEnd w:id="587"/>
    </w:p>
    <w:p>
      <w:pPr>
        <w:pStyle w:val="Footnoteheading"/>
      </w:pPr>
      <w:r>
        <w:tab/>
        <w:t>[Heading inserted: Gazette 11 Jul 2017 p. 3832.]</w:t>
      </w:r>
    </w:p>
    <w:p>
      <w:pPr>
        <w:pStyle w:val="Heading5"/>
      </w:pPr>
      <w:bookmarkStart w:id="588" w:name="_Toc158988753"/>
      <w:r>
        <w:rPr>
          <w:rStyle w:val="CharSectno"/>
        </w:rPr>
        <w:t>286</w:t>
      </w:r>
      <w:r>
        <w:t>.</w:t>
      </w:r>
      <w:r>
        <w:tab/>
        <w:t>Term used: commencement day</w:t>
      </w:r>
      <w:bookmarkEnd w:id="588"/>
    </w:p>
    <w:p>
      <w:pPr>
        <w:pStyle w:val="Subsection"/>
      </w:pPr>
      <w:r>
        <w:tab/>
      </w:r>
      <w:r>
        <w:tab/>
        <w:t xml:space="preserve">In this Division — </w:t>
      </w:r>
    </w:p>
    <w:p>
      <w:pPr>
        <w:pStyle w:val="Defstart"/>
      </w:pPr>
      <w:r>
        <w:lastRenderedPageBreak/>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589" w:name="_Toc158988754"/>
      <w:r>
        <w:rPr>
          <w:rStyle w:val="CharSectno"/>
        </w:rPr>
        <w:t>287</w:t>
      </w:r>
      <w:r>
        <w:t>.</w:t>
      </w:r>
      <w:r>
        <w:tab/>
        <w:t>Assessing fitness to drive</w:t>
      </w:r>
      <w:bookmarkEnd w:id="589"/>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590" w:name="_Toc158988755"/>
      <w:r>
        <w:rPr>
          <w:rStyle w:val="CharSectno"/>
        </w:rPr>
        <w:t>288</w:t>
      </w:r>
      <w:r>
        <w:t>.</w:t>
      </w:r>
      <w:r>
        <w:tab/>
        <w:t>Transitional provision for offence involving compliance with ADG Code</w:t>
      </w:r>
      <w:bookmarkEnd w:id="590"/>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591" w:name="_Toc158974268"/>
      <w:bookmarkStart w:id="592" w:name="_Toc158983210"/>
      <w:bookmarkStart w:id="593" w:name="_Toc158983577"/>
      <w:bookmarkStart w:id="594" w:name="_Toc158988756"/>
      <w:r>
        <w:rPr>
          <w:rStyle w:val="CharDivNo"/>
        </w:rPr>
        <w:lastRenderedPageBreak/>
        <w:t>Division 6</w:t>
      </w:r>
      <w:r>
        <w:t> — </w:t>
      </w:r>
      <w:r>
        <w:rPr>
          <w:rStyle w:val="CharDivText"/>
        </w:rPr>
        <w:t>Provisions for Dangerous Goods Safety (Road and Rail Transport of Non</w:t>
      </w:r>
      <w:r>
        <w:rPr>
          <w:rStyle w:val="CharDivText"/>
        </w:rPr>
        <w:noBreakHyphen/>
        <w:t>explosives) Amendment Regulations 2018</w:t>
      </w:r>
      <w:bookmarkEnd w:id="591"/>
      <w:bookmarkEnd w:id="592"/>
      <w:bookmarkEnd w:id="593"/>
      <w:bookmarkEnd w:id="594"/>
    </w:p>
    <w:p>
      <w:pPr>
        <w:pStyle w:val="Footnoteheading"/>
      </w:pPr>
      <w:r>
        <w:tab/>
        <w:t xml:space="preserve">[Heading inserted: Gazette </w:t>
      </w:r>
      <w:r>
        <w:rPr>
          <w:rStyle w:val="CharSectno"/>
        </w:rPr>
        <w:t>31 Aug 2018 p. 3046</w:t>
      </w:r>
      <w:r>
        <w:t>.]</w:t>
      </w:r>
    </w:p>
    <w:p>
      <w:pPr>
        <w:pStyle w:val="Heading5"/>
      </w:pPr>
      <w:bookmarkStart w:id="595" w:name="_Toc158988757"/>
      <w:r>
        <w:rPr>
          <w:rStyle w:val="CharSectno"/>
        </w:rPr>
        <w:t>289</w:t>
      </w:r>
      <w:r>
        <w:t>.</w:t>
      </w:r>
      <w:r>
        <w:tab/>
        <w:t>Term used: commencement day</w:t>
      </w:r>
      <w:bookmarkEnd w:id="595"/>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596" w:name="_Toc158988758"/>
      <w:r>
        <w:rPr>
          <w:rStyle w:val="CharSectno"/>
        </w:rPr>
        <w:t>290</w:t>
      </w:r>
      <w:r>
        <w:t>.</w:t>
      </w:r>
      <w:r>
        <w:tab/>
        <w:t>Transitional provision for offence involving compliance with ADG Code</w:t>
      </w:r>
      <w:bookmarkEnd w:id="596"/>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597" w:name="_Toc158974271"/>
      <w:bookmarkStart w:id="598" w:name="_Toc158983213"/>
      <w:bookmarkStart w:id="599" w:name="_Toc158983580"/>
      <w:bookmarkStart w:id="600" w:name="_Toc158988759"/>
      <w:r>
        <w:rPr>
          <w:rStyle w:val="CharDivNo"/>
        </w:rPr>
        <w:lastRenderedPageBreak/>
        <w:t>Division 7 </w:t>
      </w:r>
      <w:r>
        <w:t>—</w:t>
      </w:r>
      <w:r>
        <w:rPr>
          <w:rStyle w:val="CharDivNo"/>
        </w:rPr>
        <w:t> </w:t>
      </w:r>
      <w:r>
        <w:rPr>
          <w:rStyle w:val="CharDivText"/>
        </w:rPr>
        <w:t xml:space="preserve">Provision for </w:t>
      </w:r>
      <w:r>
        <w:rPr>
          <w:rStyle w:val="CharDivText"/>
          <w:i/>
        </w:rPr>
        <w:t>Dangerous Goods Safety Regulations Amendment Regulations 2020</w:t>
      </w:r>
      <w:bookmarkEnd w:id="597"/>
      <w:bookmarkEnd w:id="598"/>
      <w:bookmarkEnd w:id="599"/>
      <w:bookmarkEnd w:id="600"/>
    </w:p>
    <w:p>
      <w:pPr>
        <w:pStyle w:val="Footnoteheading"/>
        <w:keepNext/>
      </w:pPr>
      <w:r>
        <w:tab/>
        <w:t>[Heading inserted: SL 2020/193 r. 26.]</w:t>
      </w:r>
    </w:p>
    <w:p>
      <w:pPr>
        <w:pStyle w:val="Heading5"/>
      </w:pPr>
      <w:bookmarkStart w:id="601" w:name="_Toc158988760"/>
      <w:r>
        <w:rPr>
          <w:rStyle w:val="CharSectno"/>
        </w:rPr>
        <w:t>291</w:t>
      </w:r>
      <w:r>
        <w:t>.</w:t>
      </w:r>
      <w:r>
        <w:tab/>
        <w:t>Transitional provision for offence involving compliance with ADG Code</w:t>
      </w:r>
      <w:bookmarkEnd w:id="60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titlePg/>
          <w:docGrid w:linePitch="326"/>
        </w:sectPr>
      </w:pPr>
    </w:p>
    <w:p>
      <w:pPr>
        <w:pStyle w:val="yScheduleHeading"/>
      </w:pPr>
      <w:bookmarkStart w:id="602" w:name="_Toc158974273"/>
      <w:bookmarkStart w:id="603" w:name="_Toc158983215"/>
      <w:bookmarkStart w:id="604" w:name="_Toc158983582"/>
      <w:bookmarkStart w:id="605" w:name="_Toc158988761"/>
      <w:r>
        <w:rPr>
          <w:rStyle w:val="CharSchNo"/>
        </w:rPr>
        <w:lastRenderedPageBreak/>
        <w:t>Schedule 1</w:t>
      </w:r>
      <w:r>
        <w:rPr>
          <w:rStyle w:val="CharSDivNo"/>
        </w:rPr>
        <w:t> </w:t>
      </w:r>
      <w:r>
        <w:t>—</w:t>
      </w:r>
      <w:r>
        <w:rPr>
          <w:rStyle w:val="CharSDivText"/>
        </w:rPr>
        <w:t> </w:t>
      </w:r>
      <w:r>
        <w:rPr>
          <w:rStyle w:val="CharSchText"/>
        </w:rPr>
        <w:t>Infringement notice offences and modified penalties</w:t>
      </w:r>
      <w:bookmarkEnd w:id="602"/>
      <w:bookmarkEnd w:id="603"/>
      <w:bookmarkEnd w:id="604"/>
      <w:bookmarkEnd w:id="605"/>
    </w:p>
    <w:p>
      <w:pPr>
        <w:pStyle w:val="yShoulderClause"/>
      </w:pPr>
      <w:r>
        <w:t>[r. 271]</w:t>
      </w:r>
    </w:p>
    <w:p>
      <w:pPr>
        <w:pStyle w:val="yTHeadingNAm"/>
      </w:pPr>
      <w:r>
        <w:t>Table</w:t>
      </w:r>
    </w:p>
    <w:tbl>
      <w:tblPr>
        <w:tblW w:w="6804" w:type="dxa"/>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5A.</w:t>
            </w:r>
          </w:p>
        </w:tc>
        <w:tc>
          <w:tcPr>
            <w:tcW w:w="2268" w:type="dxa"/>
          </w:tcPr>
          <w:p>
            <w:pPr>
              <w:pStyle w:val="yTableNAm"/>
            </w:pPr>
            <w:r>
              <w:t>Regulation 69(2)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lastRenderedPageBreak/>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lastRenderedPageBreak/>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lastRenderedPageBreak/>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 SL 2024/22 r. 13.]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78"/>
        </w:sectPr>
      </w:pPr>
    </w:p>
    <w:p>
      <w:pPr>
        <w:pStyle w:val="nHeading2"/>
      </w:pPr>
      <w:bookmarkStart w:id="607" w:name="_Toc158974274"/>
      <w:bookmarkStart w:id="608" w:name="_Toc158983216"/>
      <w:bookmarkStart w:id="609" w:name="_Toc158983583"/>
      <w:bookmarkStart w:id="610" w:name="_Toc158988762"/>
      <w:r>
        <w:lastRenderedPageBreak/>
        <w:t>Notes</w:t>
      </w:r>
      <w:bookmarkEnd w:id="607"/>
      <w:bookmarkEnd w:id="608"/>
      <w:bookmarkEnd w:id="609"/>
      <w:bookmarkEnd w:id="610"/>
    </w:p>
    <w:p>
      <w:pPr>
        <w:pStyle w:val="nStatement"/>
      </w:pPr>
      <w:r>
        <w:t xml:space="preserve">This is a compilation of the </w:t>
      </w:r>
      <w:r>
        <w:rPr>
          <w:i/>
          <w:noProof/>
        </w:rPr>
        <w:t>Dangerous Goods Safety (Road and Rail Transport of Non</w:t>
      </w:r>
      <w:r>
        <w:rPr>
          <w:i/>
          <w:noProof/>
        </w:rPr>
        <w:noBreakHyphen/>
        <w:t>explosives) Regulations 2007</w:t>
      </w:r>
      <w:r>
        <w:t xml:space="preserve"> and includes amendments made by other written laws. For provisions that have come into operation, and for information about any reprints, see the compilation table. </w:t>
      </w:r>
    </w:p>
    <w:p>
      <w:pPr>
        <w:pStyle w:val="nHeading3"/>
      </w:pPr>
      <w:bookmarkStart w:id="611" w:name="_Toc158988763"/>
      <w:r>
        <w:t>Compilation table</w:t>
      </w:r>
      <w:bookmarkEnd w:id="61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r>
              <w:rPr>
                <w:i/>
                <w:vertAlign w:val="superscript"/>
              </w:rPr>
              <w:t> 2</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lastRenderedPageBreak/>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lastRenderedPageBreak/>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4</w:t>
            </w:r>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r>
              <w:t>Pt. 4 (other than r. 10(2)): 10 Oct 2020 (see r. 2(c));</w:t>
            </w:r>
            <w:r>
              <w:br/>
              <w:t>r. 10(2): 1 Jan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nil"/>
            </w:tcBorders>
          </w:tcPr>
          <w:p>
            <w:pPr>
              <w:pStyle w:val="nTable"/>
              <w:keepNext/>
              <w:spacing w:after="40"/>
            </w:pPr>
            <w:r>
              <w:t>SL 2020/197 27 Oct 2020</w:t>
            </w:r>
          </w:p>
        </w:tc>
        <w:tc>
          <w:tcPr>
            <w:tcW w:w="2693" w:type="dxa"/>
            <w:tcBorders>
              <w:top w:val="nil"/>
              <w:bottom w:val="nil"/>
            </w:tcBorders>
          </w:tcPr>
          <w:p>
            <w:pPr>
              <w:pStyle w:val="nTable"/>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2021</w:t>
            </w:r>
            <w:r>
              <w:t xml:space="preserve"> Pt. 4</w:t>
            </w:r>
          </w:p>
        </w:tc>
        <w:tc>
          <w:tcPr>
            <w:tcW w:w="1276" w:type="dxa"/>
            <w:tcBorders>
              <w:top w:val="nil"/>
              <w:bottom w:val="nil"/>
            </w:tcBorders>
          </w:tcPr>
          <w:p>
            <w:pPr>
              <w:pStyle w:val="nTable"/>
              <w:keepNext/>
              <w:spacing w:after="40"/>
            </w:pPr>
            <w:r>
              <w:t>SL 2021/85 21 Jun 2021</w:t>
            </w:r>
          </w:p>
        </w:tc>
        <w:tc>
          <w:tcPr>
            <w:tcW w:w="2693" w:type="dxa"/>
            <w:tcBorders>
              <w:top w:val="nil"/>
              <w:bottom w:val="nil"/>
            </w:tcBorders>
          </w:tcPr>
          <w:p>
            <w:pPr>
              <w:pStyle w:val="nTable"/>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 xml:space="preserve">Mines and Petroleum Regulations Amendment (Work Health and Safety) Regulations 2022 </w:t>
            </w:r>
            <w:r>
              <w:t>Pt. 2</w:t>
            </w:r>
          </w:p>
        </w:tc>
        <w:tc>
          <w:tcPr>
            <w:tcW w:w="1276" w:type="dxa"/>
            <w:tcBorders>
              <w:top w:val="nil"/>
              <w:bottom w:val="nil"/>
            </w:tcBorders>
          </w:tcPr>
          <w:p>
            <w:pPr>
              <w:pStyle w:val="nTable"/>
              <w:keepNext/>
              <w:spacing w:after="40"/>
            </w:pPr>
            <w:r>
              <w:t>SL 2022/24 11 Mar 2022</w:t>
            </w:r>
          </w:p>
        </w:tc>
        <w:tc>
          <w:tcPr>
            <w:tcW w:w="2693" w:type="dxa"/>
            <w:tcBorders>
              <w:top w:val="nil"/>
              <w:bottom w:val="nil"/>
            </w:tcBorders>
          </w:tcPr>
          <w:p>
            <w:pPr>
              <w:pStyle w:val="nTable"/>
            </w:pPr>
            <w:r>
              <w:t>31 Mar 2022 (see r. 2(b) and SL 2022/18 cl.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2022</w:t>
            </w:r>
            <w:r>
              <w:t xml:space="preserve"> Pt. 4</w:t>
            </w:r>
          </w:p>
        </w:tc>
        <w:tc>
          <w:tcPr>
            <w:tcW w:w="1276" w:type="dxa"/>
            <w:tcBorders>
              <w:top w:val="nil"/>
              <w:bottom w:val="nil"/>
            </w:tcBorders>
          </w:tcPr>
          <w:p>
            <w:pPr>
              <w:pStyle w:val="nTable"/>
              <w:keepNext/>
              <w:spacing w:after="40"/>
            </w:pPr>
            <w:r>
              <w:t>SL 2022/58 20 May 2022</w:t>
            </w:r>
          </w:p>
        </w:tc>
        <w:tc>
          <w:tcPr>
            <w:tcW w:w="2693" w:type="dxa"/>
            <w:tcBorders>
              <w:top w:val="nil"/>
              <w:bottom w:val="nil"/>
            </w:tcBorders>
          </w:tcPr>
          <w:p>
            <w:pPr>
              <w:pStyle w:val="nTable"/>
            </w:pPr>
            <w:r>
              <w:t>1 Jul 2022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2023</w:t>
            </w:r>
            <w:r>
              <w:t xml:space="preserve"> Pt. 4</w:t>
            </w:r>
          </w:p>
        </w:tc>
        <w:tc>
          <w:tcPr>
            <w:tcW w:w="1276" w:type="dxa"/>
            <w:tcBorders>
              <w:top w:val="nil"/>
              <w:bottom w:val="nil"/>
            </w:tcBorders>
          </w:tcPr>
          <w:p>
            <w:pPr>
              <w:pStyle w:val="nTable"/>
              <w:keepNext/>
              <w:spacing w:after="40"/>
            </w:pPr>
            <w:r>
              <w:t>SL 2023/36 5 May 2023</w:t>
            </w:r>
          </w:p>
        </w:tc>
        <w:tc>
          <w:tcPr>
            <w:tcW w:w="2693" w:type="dxa"/>
            <w:tcBorders>
              <w:top w:val="nil"/>
              <w:bottom w:val="nil"/>
            </w:tcBorders>
          </w:tcPr>
          <w:p>
            <w:pPr>
              <w:pStyle w:val="nTable"/>
            </w:pPr>
            <w:r>
              <w:t>1 Jul 2023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keepLines/>
              <w:rPr>
                <w:i/>
              </w:rPr>
            </w:pPr>
            <w:r>
              <w:rPr>
                <w:i/>
              </w:rPr>
              <w:lastRenderedPageBreak/>
              <w:t>Dangerous Goods Safety (Road and Rail Transport of Non-explosives) Amendment Regulations 2024</w:t>
            </w:r>
          </w:p>
        </w:tc>
        <w:tc>
          <w:tcPr>
            <w:tcW w:w="1276" w:type="dxa"/>
            <w:tcBorders>
              <w:top w:val="nil"/>
              <w:bottom w:val="single" w:sz="4" w:space="0" w:color="auto"/>
            </w:tcBorders>
          </w:tcPr>
          <w:p>
            <w:pPr>
              <w:pStyle w:val="nTable"/>
              <w:keepNext/>
              <w:keepLines/>
              <w:spacing w:after="40"/>
            </w:pPr>
            <w:r>
              <w:t>SL 2024/22 21 Feb 2024</w:t>
            </w:r>
          </w:p>
        </w:tc>
        <w:tc>
          <w:tcPr>
            <w:tcW w:w="2693" w:type="dxa"/>
            <w:tcBorders>
              <w:top w:val="nil"/>
              <w:bottom w:val="single" w:sz="4" w:space="0" w:color="auto"/>
            </w:tcBorders>
          </w:tcPr>
          <w:p>
            <w:pPr>
              <w:pStyle w:val="nTable"/>
              <w:keepLines/>
            </w:pPr>
            <w:r>
              <w:rPr>
                <w:bCs/>
                <w:snapToGrid w:val="0"/>
                <w:spacing w:val="-2"/>
              </w:rPr>
              <w:t>r. 1 and 2: 21 Feb 2024 (see r. 2(a));</w:t>
            </w:r>
            <w:r>
              <w:rPr>
                <w:bCs/>
                <w:snapToGrid w:val="0"/>
                <w:spacing w:val="-2"/>
              </w:rPr>
              <w:br/>
              <w:t>Regulations other than r. 1 and 2: 22 Feb 2024 (see r. 2(b))</w:t>
            </w:r>
          </w:p>
        </w:tc>
      </w:tr>
    </w:tbl>
    <w:p>
      <w:pPr>
        <w:pStyle w:val="nHeading3"/>
      </w:pPr>
      <w:bookmarkStart w:id="612" w:name="_Toc158988764"/>
      <w:r>
        <w:t>Other notes</w:t>
      </w:r>
      <w:bookmarkEnd w:id="612"/>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614" w:name="_Toc158988765"/>
      <w:r>
        <w:rPr>
          <w:sz w:val="28"/>
        </w:rPr>
        <w:lastRenderedPageBreak/>
        <w:t>Defined terms</w:t>
      </w:r>
      <w:bookmarkEnd w:id="6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3</w:t>
      </w:r>
    </w:p>
    <w:p>
      <w:pPr>
        <w:pStyle w:val="DefinedTerms"/>
      </w:pPr>
      <w:r>
        <w:t>another participating jurisdiction</w:t>
      </w:r>
      <w:r>
        <w:tab/>
        <w:t>4</w:t>
      </w:r>
    </w:p>
    <w:p>
      <w:pPr>
        <w:pStyle w:val="DefinedTerms"/>
      </w:pPr>
      <w:r>
        <w:t>appropriately marked</w:t>
      </w:r>
      <w:r>
        <w:tab/>
        <w:t>4, 106(1), (2), (3), (4) and (5)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article</w:t>
      </w:r>
      <w:r>
        <w:tab/>
        <w:t>4</w:t>
      </w:r>
    </w:p>
    <w:p>
      <w:pPr>
        <w:pStyle w:val="DefinedTerms"/>
      </w:pPr>
      <w:r>
        <w:t>Austroads</w:t>
      </w:r>
      <w:r>
        <w:tab/>
        <w:t>213</w:t>
      </w:r>
    </w:p>
    <w:p>
      <w:pPr>
        <w:pStyle w:val="DefinedTerms"/>
      </w:pPr>
      <w:r>
        <w:t>authorised body</w:t>
      </w:r>
      <w:r>
        <w:tab/>
        <w:t>4</w:t>
      </w:r>
    </w:p>
    <w:p>
      <w:pPr>
        <w:pStyle w:val="DefinedTerms"/>
      </w:pPr>
      <w:r>
        <w:t>bulk container</w:t>
      </w:r>
      <w:r>
        <w:tab/>
        <w:t>4, 33(1) and (2)</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classification code</w:t>
      </w:r>
      <w:r>
        <w:tab/>
        <w:t>110(1)</w:t>
      </w:r>
    </w:p>
    <w:p>
      <w:pPr>
        <w:pStyle w:val="DefinedTerms"/>
      </w:pPr>
      <w:r>
        <w:t>code</w:t>
      </w:r>
      <w:r>
        <w:tab/>
        <w:t>8(1)</w:t>
      </w:r>
    </w:p>
    <w:p>
      <w:pPr>
        <w:pStyle w:val="DefinedTerms"/>
      </w:pPr>
      <w:r>
        <w:t>combination</w:t>
      </w:r>
      <w:r>
        <w:tab/>
        <w:t>4</w:t>
      </w:r>
    </w:p>
    <w:p>
      <w:pPr>
        <w:pStyle w:val="DefinedTerms"/>
      </w:pPr>
      <w:r>
        <w:t>commencement day</w:t>
      </w:r>
      <w:r>
        <w:tab/>
        <w:t>273, 286, 289, 291(1)</w:t>
      </w:r>
    </w:p>
    <w:p>
      <w:pPr>
        <w:pStyle w:val="DefinedTerms"/>
      </w:pPr>
      <w:r>
        <w:t>Competent Authorities Panel</w:t>
      </w:r>
      <w:r>
        <w:tab/>
        <w:t>4</w:t>
      </w:r>
    </w:p>
    <w:p>
      <w:pPr>
        <w:pStyle w:val="DefinedTerms"/>
      </w:pPr>
      <w:r>
        <w:t>compliance plate</w:t>
      </w:r>
      <w:r>
        <w:tab/>
        <w:t>4</w:t>
      </w:r>
    </w:p>
    <w:p>
      <w:pPr>
        <w:pStyle w:val="DefinedTerms"/>
      </w:pPr>
      <w:r>
        <w:t>complying MPU</w:t>
      </w:r>
      <w:r>
        <w:tab/>
        <w:t>13A(1)</w:t>
      </w:r>
    </w:p>
    <w:p>
      <w:pPr>
        <w:pStyle w:val="DefinedTerms"/>
      </w:pPr>
      <w:r>
        <w:t>consignor</w:t>
      </w:r>
      <w:r>
        <w:tab/>
        <w:t>4, 40(1)</w:t>
      </w:r>
    </w:p>
    <w:p>
      <w:pPr>
        <w:pStyle w:val="DefinedTerms"/>
      </w:pPr>
      <w:r>
        <w:t>consigns</w:t>
      </w:r>
      <w:r>
        <w:tab/>
        <w:t>4, 40(1)</w:t>
      </w:r>
    </w:p>
    <w:p>
      <w:pPr>
        <w:pStyle w:val="DefinedTerms"/>
      </w:pPr>
      <w:r>
        <w:t>converter dolly</w:t>
      </w:r>
      <w:r>
        <w:tab/>
        <w:t>229</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lastRenderedPageBreak/>
        <w:t>corresponding provision</w:t>
      </w:r>
      <w:r>
        <w:tab/>
        <w:t>276(1), 278(1), 280(1), 282(1)</w:t>
      </w:r>
    </w:p>
    <w:p>
      <w:pPr>
        <w:pStyle w:val="DefinedTerms"/>
      </w:pPr>
      <w:r>
        <w:t>dangerous goods</w:t>
      </w:r>
      <w:r>
        <w:tab/>
        <w:t>4, 27(1)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intermediate packaging</w:t>
      </w:r>
      <w:r>
        <w:tab/>
        <w:t>4</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240, 250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Ministerial Council</w:t>
      </w:r>
      <w:r>
        <w:tab/>
        <w:t>4</w:t>
      </w:r>
    </w:p>
    <w:p>
      <w:pPr>
        <w:pStyle w:val="DefinedTerms"/>
      </w:pPr>
      <w:r>
        <w:lastRenderedPageBreak/>
        <w:t>mobile processing unit (MPU)</w:t>
      </w:r>
      <w:r>
        <w:tab/>
        <w:t>13A(1)</w:t>
      </w:r>
    </w:p>
    <w:p>
      <w:pPr>
        <w:pStyle w:val="DefinedTerms"/>
      </w:pPr>
      <w:r>
        <w:t>model subordinate instrument</w:t>
      </w:r>
      <w:r>
        <w:tab/>
        <w:t>4</w:t>
      </w:r>
    </w:p>
    <w:p>
      <w:pPr>
        <w:pStyle w:val="DefinedTerms"/>
      </w:pPr>
      <w:r>
        <w:t>multi-element gas container</w:t>
      </w:r>
      <w:r>
        <w:tab/>
        <w:t>4</w:t>
      </w:r>
    </w:p>
    <w:p>
      <w:pPr>
        <w:pStyle w:val="DefinedTerms"/>
      </w:pPr>
      <w:r>
        <w:t>multimodal</w:t>
      </w:r>
      <w:r>
        <w:tab/>
        <w:t>4</w:t>
      </w:r>
    </w:p>
    <w:p>
      <w:pPr>
        <w:pStyle w:val="DefinedTerms"/>
      </w:pPr>
      <w:r>
        <w:t>multiple-element gas container</w:t>
      </w:r>
      <w:r>
        <w:tab/>
        <w:t>35</w:t>
      </w:r>
    </w:p>
    <w:p>
      <w:pPr>
        <w:pStyle w:val="DefinedTerms"/>
      </w:pPr>
      <w:r>
        <w:t>NATA</w:t>
      </w:r>
      <w:r>
        <w:tab/>
        <w:t>4</w:t>
      </w:r>
    </w:p>
    <w:p>
      <w:pPr>
        <w:pStyle w:val="DefinedTerms"/>
      </w:pPr>
      <w:r>
        <w:t>National Transport Commission</w:t>
      </w:r>
      <w:r>
        <w:tab/>
        <w:t>4</w:t>
      </w:r>
    </w:p>
    <w:p>
      <w:pPr>
        <w:pStyle w:val="DefinedTerms"/>
      </w:pPr>
      <w:r>
        <w:t>nominally empty storage vessels</w:t>
      </w:r>
      <w:r>
        <w:tab/>
        <w:t>120A</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previous regulation 221(c)</w:t>
      </w:r>
      <w:r>
        <w:tab/>
        <w:t>287(1)</w:t>
      </w:r>
    </w:p>
    <w:p>
      <w:pPr>
        <w:pStyle w:val="DefinedTerms"/>
      </w:pPr>
      <w:r>
        <w:t>prime contractor</w:t>
      </w:r>
      <w:r>
        <w:tab/>
        <w:t>4, 43</w:t>
      </w:r>
    </w:p>
    <w:p>
      <w:pPr>
        <w:pStyle w:val="DefinedTerms"/>
      </w:pPr>
      <w:r>
        <w:t>prime mover</w:t>
      </w:r>
      <w:r>
        <w:tab/>
        <w:t>4</w:t>
      </w:r>
    </w:p>
    <w:p>
      <w:pPr>
        <w:pStyle w:val="DefinedTerms"/>
      </w:pPr>
      <w:r>
        <w:t>proposed action</w:t>
      </w:r>
      <w:r>
        <w:tab/>
        <w:t>210(1),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rail tank wagon</w:t>
      </w:r>
      <w:r>
        <w:tab/>
        <w:t>4</w:t>
      </w:r>
    </w:p>
    <w:p>
      <w:pPr>
        <w:pStyle w:val="DefinedTerms"/>
      </w:pPr>
      <w:r>
        <w:t>rail wagon</w:t>
      </w:r>
      <w:r>
        <w:tab/>
        <w:t>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relevant road tank vehicle</w:t>
      </w:r>
      <w:r>
        <w:tab/>
        <w:t>215(1)</w:t>
      </w:r>
    </w:p>
    <w:p>
      <w:pPr>
        <w:pStyle w:val="DefinedTerms"/>
      </w:pPr>
      <w:r>
        <w:t>repealed Act</w:t>
      </w:r>
      <w:r>
        <w:tab/>
        <w:t>273</w:t>
      </w:r>
    </w:p>
    <w:p>
      <w:pPr>
        <w:pStyle w:val="DefinedTerms"/>
      </w:pPr>
      <w:r>
        <w:t>repealed regulations</w:t>
      </w:r>
      <w:r>
        <w:tab/>
        <w:t>273</w:t>
      </w:r>
    </w:p>
    <w:p>
      <w:pPr>
        <w:pStyle w:val="DefinedTerms"/>
      </w:pPr>
      <w:r>
        <w:lastRenderedPageBreak/>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road tank vehicle</w:t>
      </w:r>
      <w:r>
        <w:tab/>
        <w:t>4</w:t>
      </w:r>
    </w:p>
    <w:p>
      <w:pPr>
        <w:pStyle w:val="DefinedTerms"/>
      </w:pPr>
      <w:r>
        <w:t>service equipment</w:t>
      </w:r>
      <w:r>
        <w:tab/>
        <w:t>4</w:t>
      </w:r>
    </w:p>
    <w:p>
      <w:pPr>
        <w:pStyle w:val="DefinedTerms"/>
      </w:pPr>
      <w:r>
        <w:t>specified goods</w:t>
      </w:r>
      <w:r>
        <w:tab/>
        <w:t>110(1)</w:t>
      </w:r>
    </w:p>
    <w:p>
      <w:pPr>
        <w:pStyle w:val="DefinedTerms"/>
      </w:pPr>
      <w:r>
        <w:t>structural equipment</w:t>
      </w:r>
      <w:r>
        <w:tab/>
        <w:t>4</w:t>
      </w:r>
    </w:p>
    <w:p>
      <w:pPr>
        <w:pStyle w:val="DefinedTerms"/>
      </w:pPr>
      <w:r>
        <w:t>Subsidiary Hazard</w:t>
      </w:r>
      <w:r>
        <w:tab/>
        <w:t>4, 30</w:t>
      </w:r>
    </w:p>
    <w:p>
      <w:pPr>
        <w:pStyle w:val="DefinedTerms"/>
      </w:pPr>
      <w:r>
        <w:t>subsidiary legislation</w:t>
      </w:r>
      <w:r>
        <w:tab/>
        <w:t>8(1)</w:t>
      </w:r>
    </w:p>
    <w:p>
      <w:pPr>
        <w:pStyle w:val="DefinedTerms"/>
      </w:pPr>
      <w:r>
        <w:t>tank</w:t>
      </w:r>
      <w:r>
        <w:tab/>
        <w:t>4, 36(1)</w:t>
      </w:r>
    </w:p>
    <w:p>
      <w:pPr>
        <w:pStyle w:val="DefinedTerms"/>
      </w:pPr>
      <w:r>
        <w:t>tank A</w:t>
      </w:r>
      <w:r>
        <w:tab/>
        <w:t>146(1A)</w:t>
      </w:r>
    </w:p>
    <w:p>
      <w:pPr>
        <w:pStyle w:val="DefinedTerms"/>
      </w:pPr>
      <w:r>
        <w:t>tank A</w:t>
      </w:r>
      <w:r>
        <w:tab/>
        <w:t>147(1A),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transport documentation</w:t>
      </w:r>
      <w:r>
        <w:tab/>
        <w:t>4</w:t>
      </w:r>
    </w:p>
    <w:p>
      <w:pPr>
        <w:pStyle w:val="DefinedTerms"/>
      </w:pPr>
      <w:r>
        <w:t>tube</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02-w0-00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02-w0-00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02-w0-00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cxciv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02-w0-00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cxciii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02-w0-00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02-w0-00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6" w:name="Schedule"/>
    <w:bookmarkEnd w:id="6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3" w:name="Compilation"/>
    <w:bookmarkEnd w:id="61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5" w:name="DefinedTerms"/>
    <w:bookmarkEnd w:id="61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16" w:name="Coversheet"/>
    <w:bookmarkEnd w:id="6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966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10230"/>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 w:name="WAFER_20210618120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533_GUID" w:val="f1599cdb-66cd-40df-9f37-d3543c8d7e84"/>
    <w:docVar w:name="WAFER_20210624112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18_GUID" w:val="f1c640b4-0d12-401f-bbef-8e8b7ab3c05c"/>
    <w:docVar w:name="WAFER_202203081124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2442_GUID" w:val="b3fea765-7a71-455b-b632-54eb0ee12f22"/>
    <w:docVar w:name="WAFER_20220318113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3020_GUID" w:val="f4991e88-879b-4dac-8509-d77ae6d6146a"/>
    <w:docVar w:name="WAFER_20220517141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29_GUID" w:val="31a56eac-e592-414b-8fab-e8fcf91760b9"/>
    <w:docVar w:name="WAFER_20220623092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33_GUID" w:val="373294f6-a030-457a-96b6-4b6b26492c46"/>
    <w:docVar w:name="WAFER_20230502143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16_GUID" w:val="2a5877c1-3494-4478-b1b3-ebf5bd32c658"/>
    <w:docVar w:name="WAFER_20230626113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3635_GUID" w:val="f75fca94-ebd9-4ccc-9e53-f26cc5abfde2"/>
    <w:docVar w:name="WAFER_202312271635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3521_GUID" w:val="979cab14-0cf4-4e7b-9aad-1fe17ce62199"/>
    <w:docVar w:name="WAFER_20240216110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10230_GUID" w:val="cb0cbfce-184f-442a-acc8-85850f028f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4D786-22B7-484C-9D29-2CC97DA2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42934</Words>
  <Characters>211240</Characters>
  <Application>Microsoft Office Word</Application>
  <DocSecurity>0</DocSecurity>
  <Lines>6212</Lines>
  <Paragraphs>4166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2007 - 02-w0-00</dc:title>
  <dc:subject/>
  <dc:creator/>
  <cp:keywords/>
  <dc:description/>
  <cp:lastModifiedBy>Master Repository Process</cp:lastModifiedBy>
  <cp:revision>4</cp:revision>
  <cp:lastPrinted>2015-08-13T04:23:00Z</cp:lastPrinted>
  <dcterms:created xsi:type="dcterms:W3CDTF">2024-02-21T00:46:00Z</dcterms:created>
  <dcterms:modified xsi:type="dcterms:W3CDTF">2024-02-21T00:46:00Z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22 Feb 2024</vt:lpwstr>
  </property>
  <property fmtid="{D5CDD505-2E9C-101B-9397-08002B2CF9AE}" pid="8" name="Suffix">
    <vt:lpwstr>02-w0-00</vt:lpwstr>
  </property>
  <property fmtid="{D5CDD505-2E9C-101B-9397-08002B2CF9AE}" pid="9" name="Official">
    <vt:lpwstr/>
  </property>
  <property fmtid="{D5CDD505-2E9C-101B-9397-08002B2CF9AE}" pid="10" name="CommencementDate">
    <vt:lpwstr>20240222</vt:lpwstr>
  </property>
  <property fmtid="{D5CDD505-2E9C-101B-9397-08002B2CF9AE}" pid="11" name="CommencementAsAt">
    <vt:filetime>2024-02-21T16:00:00Z</vt:filetime>
  </property>
  <property fmtid="{D5CDD505-2E9C-101B-9397-08002B2CF9AE}" pid="12" name="CommencementYear">
    <vt:lpwstr>2024</vt:lpwstr>
  </property>
</Properties>
</file>