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6" name="Picture 6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2000"/>
        <w:outlineLvl w:val="0"/>
      </w:pPr>
      <w:r>
        <w:fldChar w:fldCharType="begin"/>
      </w:r>
      <w:r>
        <w:instrText xml:space="preserve"> STYLEREF "Name Of Act/Reg"</w:instrText>
      </w:r>
      <w:r>
        <w:fldChar w:fldCharType="separate"/>
      </w:r>
      <w:r>
        <w:rPr>
          <w:noProof/>
        </w:rPr>
        <w:t>District Court (Fees) Amendment Regulations 2024</w:t>
      </w:r>
      <w:r>
        <w:fldChar w:fldCharType="end"/>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(Fees) Amendment Regulations 2024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_Toc160616493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_Toc160616494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Regulations amended</w:t>
      </w:r>
      <w:r>
        <w:tab/>
      </w:r>
      <w:r>
        <w:fldChar w:fldCharType="begin"/>
      </w:r>
      <w:r>
        <w:instrText xml:space="preserve"> PAGEREF _Toc160616495 \h </w:instrText>
      </w:r>
      <w:r>
        <w:fldChar w:fldCharType="separate"/>
      </w:r>
      <w:r>
        <w:t>1</w:t>
      </w:r>
      <w:r>
        <w:fldChar w:fldCharType="end"/>
      </w:r>
    </w:p>
    <w:p>
      <w:pPr>
        <w:pStyle w:val="TOC8"/>
        <w:rPr>
          <w:rFonts w:asciiTheme="minorHAnsi" w:eastAsiaTheme="minorEastAsia" w:hAnsiTheme="minorHAnsi" w:cstheme="minorBidi"/>
          <w:szCs w:val="22"/>
        </w:rPr>
      </w:pPr>
      <w:r>
        <w:t>4.</w:t>
      </w:r>
      <w:r>
        <w:tab/>
        <w:t>Regulation 9 amended</w:t>
      </w:r>
      <w:r>
        <w:tab/>
      </w:r>
      <w:r>
        <w:fldChar w:fldCharType="begin"/>
      </w:r>
      <w:r>
        <w:instrText xml:space="preserve"> PAGEREF _Toc160616496 \h </w:instrText>
      </w:r>
      <w:r>
        <w:fldChar w:fldCharType="separate"/>
      </w:r>
      <w:r>
        <w:t>1</w:t>
      </w:r>
      <w:r>
        <w:fldChar w:fldCharType="end"/>
      </w:r>
    </w:p>
    <w:p>
      <w:pPr>
        <w:pStyle w:val="TOC8"/>
        <w:rPr>
          <w:rFonts w:asciiTheme="minorHAnsi" w:eastAsiaTheme="minorEastAsia" w:hAnsiTheme="minorHAnsi" w:cstheme="minorBidi"/>
          <w:szCs w:val="22"/>
        </w:rPr>
      </w:pPr>
      <w:r>
        <w:t>5.</w:t>
      </w:r>
      <w:r>
        <w:tab/>
        <w:t>Regulation 10 amended</w:t>
      </w:r>
      <w:r>
        <w:tab/>
      </w:r>
      <w:r>
        <w:fldChar w:fldCharType="begin"/>
      </w:r>
      <w:r>
        <w:instrText xml:space="preserve"> PAGEREF _Toc160616497 \h </w:instrText>
      </w:r>
      <w:r>
        <w:fldChar w:fldCharType="separate"/>
      </w:r>
      <w:r>
        <w:t>1</w:t>
      </w:r>
      <w:r>
        <w:fldChar w:fldCharType="end"/>
      </w:r>
    </w:p>
    <w:p>
      <w:pPr>
        <w:pStyle w:val="TOC8"/>
        <w:rPr>
          <w:rFonts w:asciiTheme="minorHAnsi" w:eastAsiaTheme="minorEastAsia" w:hAnsiTheme="minorHAnsi" w:cstheme="minorBidi"/>
          <w:szCs w:val="22"/>
        </w:rPr>
      </w:pPr>
      <w:r>
        <w:t>6.</w:t>
      </w:r>
      <w:r>
        <w:tab/>
        <w:t>Regulation 11A amended</w:t>
      </w:r>
      <w:r>
        <w:tab/>
      </w:r>
      <w:r>
        <w:fldChar w:fldCharType="begin"/>
      </w:r>
      <w:r>
        <w:instrText xml:space="preserve"> PAGEREF _Toc160616498 \h </w:instrText>
      </w:r>
      <w:r>
        <w:fldChar w:fldCharType="separate"/>
      </w:r>
      <w:r>
        <w:t>1</w:t>
      </w:r>
      <w:r>
        <w:fldChar w:fldCharType="end"/>
      </w:r>
    </w:p>
    <w:p>
      <w:pPr>
        <w:pStyle w:val="TOC8"/>
        <w:rPr>
          <w:rFonts w:asciiTheme="minorHAnsi" w:eastAsiaTheme="minorEastAsia" w:hAnsiTheme="minorHAnsi" w:cstheme="minorBidi"/>
          <w:szCs w:val="22"/>
        </w:rPr>
      </w:pPr>
      <w:r>
        <w:t>7.</w:t>
      </w:r>
      <w:r>
        <w:tab/>
        <w:t>Regulation 12 deleted</w:t>
      </w:r>
      <w:r>
        <w:tab/>
      </w:r>
      <w:r>
        <w:fldChar w:fldCharType="begin"/>
      </w:r>
      <w:r>
        <w:instrText xml:space="preserve"> PAGEREF _Toc160616499 \h </w:instrText>
      </w:r>
      <w:r>
        <w:fldChar w:fldCharType="separate"/>
      </w:r>
      <w:r>
        <w:t>1</w:t>
      </w:r>
      <w:r>
        <w:fldChar w:fldCharType="end"/>
      </w:r>
    </w:p>
    <w:p>
      <w:pPr>
        <w:pStyle w:val="TOC8"/>
        <w:rPr>
          <w:rFonts w:asciiTheme="minorHAnsi" w:eastAsiaTheme="minorEastAsia" w:hAnsiTheme="minorHAnsi" w:cstheme="minorBidi"/>
          <w:szCs w:val="22"/>
        </w:rPr>
      </w:pPr>
      <w:r>
        <w:t>8.</w:t>
      </w:r>
      <w:r>
        <w:tab/>
        <w:t>Schedule 1 amended</w:t>
      </w:r>
      <w:r>
        <w:tab/>
      </w:r>
      <w:r>
        <w:fldChar w:fldCharType="begin"/>
      </w:r>
      <w:r>
        <w:instrText xml:space="preserve"> PAGEREF _Toc160616500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District Court of Western Australia Act 1969</w:t>
      </w:r>
    </w:p>
    <w:p>
      <w:pPr>
        <w:pStyle w:val="NameofActReg"/>
      </w:pPr>
      <w:r>
        <w:t>District Court (Fees) Amendment Regulations 2024</w:t>
      </w:r>
    </w:p>
    <w:p>
      <w:pPr>
        <w:pStyle w:val="MadeBy"/>
      </w:pPr>
      <w:r>
        <w:t>Made by the Governor in Executive Council.</w:t>
      </w:r>
    </w:p>
    <w:p>
      <w:pPr>
        <w:pStyle w:val="Heading5"/>
      </w:pPr>
      <w:bookmarkStart w:id="2" w:name="_Toc160100715"/>
      <w:bookmarkStart w:id="3" w:name="_Toc160616493"/>
      <w:r>
        <w:rPr>
          <w:rStyle w:val="CharSectno"/>
        </w:rPr>
        <w:t>1</w:t>
      </w:r>
      <w:r>
        <w:t>.</w:t>
      </w:r>
      <w:r>
        <w:tab/>
        <w:t>Citation</w:t>
      </w:r>
      <w:bookmarkEnd w:id="2"/>
      <w:bookmarkEnd w:id="3"/>
    </w:p>
    <w:p>
      <w:pPr>
        <w:pStyle w:val="Subsection"/>
      </w:pPr>
      <w:r>
        <w:tab/>
      </w:r>
      <w:r>
        <w:tab/>
      </w:r>
      <w:bookmarkStart w:id="4" w:name="Start_Cursor"/>
      <w:bookmarkEnd w:id="4"/>
      <w:r>
        <w:t xml:space="preserve">These </w:t>
      </w:r>
      <w:r>
        <w:rPr>
          <w:spacing w:val="-2"/>
        </w:rPr>
        <w:t>regulations</w:t>
      </w:r>
      <w:r>
        <w:t xml:space="preserve"> are the </w:t>
      </w:r>
      <w:r>
        <w:rPr>
          <w:i/>
        </w:rPr>
        <w:t>District Court (Fees) Amendment Regulations 2024</w:t>
      </w:r>
      <w:r>
        <w:t>.</w:t>
      </w:r>
    </w:p>
    <w:p>
      <w:pPr>
        <w:pStyle w:val="Heading5"/>
        <w:rPr>
          <w:spacing w:val="-2"/>
        </w:rPr>
      </w:pPr>
      <w:bookmarkStart w:id="5" w:name="_Toc160100716"/>
      <w:bookmarkStart w:id="6" w:name="_Toc160616494"/>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on the WA legislation website;</w:t>
      </w:r>
    </w:p>
    <w:p>
      <w:pPr>
        <w:pStyle w:val="Indenta"/>
      </w:pPr>
      <w:r>
        <w:tab/>
        <w:t>(b)</w:t>
      </w:r>
      <w:r>
        <w:tab/>
        <w:t xml:space="preserve">the rest of the </w:t>
      </w:r>
      <w:r>
        <w:rPr>
          <w:spacing w:val="-2"/>
        </w:rPr>
        <w:t>regulations</w:t>
      </w:r>
      <w:r>
        <w:t> — on the day after that day.</w:t>
      </w:r>
    </w:p>
    <w:p>
      <w:pPr>
        <w:pStyle w:val="Heading5"/>
        <w:rPr>
          <w:snapToGrid w:val="0"/>
        </w:rPr>
      </w:pPr>
      <w:bookmarkStart w:id="7" w:name="_Toc160100717"/>
      <w:bookmarkStart w:id="8" w:name="_Toc160616495"/>
      <w:r>
        <w:rPr>
          <w:rStyle w:val="CharSectno"/>
        </w:rPr>
        <w:t>3</w:t>
      </w:r>
      <w:r>
        <w:rPr>
          <w:snapToGrid w:val="0"/>
        </w:rPr>
        <w:t>.</w:t>
      </w:r>
      <w:r>
        <w:rPr>
          <w:snapToGrid w:val="0"/>
        </w:rPr>
        <w:tab/>
        <w:t>Regulations amended</w:t>
      </w:r>
      <w:bookmarkEnd w:id="7"/>
      <w:bookmarkEnd w:id="8"/>
    </w:p>
    <w:p>
      <w:pPr>
        <w:pStyle w:val="Subsection"/>
      </w:pPr>
      <w:r>
        <w:tab/>
      </w:r>
      <w:r>
        <w:tab/>
        <w:t xml:space="preserve">These </w:t>
      </w:r>
      <w:r>
        <w:rPr>
          <w:spacing w:val="-2"/>
        </w:rPr>
        <w:t>regulations amend</w:t>
      </w:r>
      <w:r>
        <w:t xml:space="preserve"> the </w:t>
      </w:r>
      <w:r>
        <w:rPr>
          <w:i/>
        </w:rPr>
        <w:t>District Court (Fees) Regulations 2002</w:t>
      </w:r>
      <w:r>
        <w:t>.</w:t>
      </w:r>
    </w:p>
    <w:p>
      <w:pPr>
        <w:pStyle w:val="Heading5"/>
      </w:pPr>
      <w:bookmarkStart w:id="9" w:name="_Toc160100718"/>
      <w:bookmarkStart w:id="10" w:name="_Toc160616496"/>
      <w:r>
        <w:rPr>
          <w:rStyle w:val="CharSectno"/>
        </w:rPr>
        <w:t>4</w:t>
      </w:r>
      <w:r>
        <w:t>.</w:t>
      </w:r>
      <w:r>
        <w:tab/>
        <w:t>Regulation 9 amended</w:t>
      </w:r>
      <w:bookmarkEnd w:id="9"/>
      <w:bookmarkEnd w:id="10"/>
    </w:p>
    <w:p>
      <w:pPr>
        <w:pStyle w:val="Subsection"/>
      </w:pPr>
      <w:r>
        <w:tab/>
      </w:r>
      <w:r>
        <w:tab/>
        <w:t xml:space="preserve">In regulation 9(1) in the definition of </w:t>
      </w:r>
      <w:r>
        <w:rPr>
          <w:b/>
          <w:i/>
        </w:rPr>
        <w:t>fee</w:t>
      </w:r>
      <w:r>
        <w:t xml:space="preserve"> delete “item 6.” and insert:</w:t>
      </w:r>
    </w:p>
    <w:p>
      <w:pPr>
        <w:pStyle w:val="BlankOpen"/>
      </w:pPr>
    </w:p>
    <w:p>
      <w:pPr>
        <w:pStyle w:val="Subsection"/>
      </w:pPr>
      <w:r>
        <w:tab/>
      </w:r>
      <w:r>
        <w:tab/>
        <w:t>item 7 or 8.</w:t>
      </w:r>
    </w:p>
    <w:p>
      <w:pPr>
        <w:pStyle w:val="BlankClose"/>
      </w:pPr>
    </w:p>
    <w:p>
      <w:pPr>
        <w:pStyle w:val="PermNoteHeading"/>
      </w:pPr>
      <w:r>
        <w:tab/>
        <w:t>Note: The heading to amended regulation 9 is to read:</w:t>
      </w:r>
    </w:p>
    <w:p>
      <w:pPr>
        <w:pStyle w:val="PermNoteText"/>
        <w:rPr>
          <w:b/>
          <w:bCs/>
        </w:rPr>
      </w:pPr>
      <w:r>
        <w:tab/>
      </w:r>
      <w:r>
        <w:tab/>
      </w:r>
      <w:r>
        <w:rPr>
          <w:b/>
          <w:bCs/>
        </w:rPr>
        <w:t>Allocation of hearing date — Schedule 1 items 7 and 8</w:t>
      </w:r>
    </w:p>
    <w:p>
      <w:pPr>
        <w:pStyle w:val="Heading5"/>
      </w:pPr>
      <w:bookmarkStart w:id="11" w:name="_Toc160100719"/>
      <w:bookmarkStart w:id="12" w:name="_Toc160616497"/>
      <w:r>
        <w:rPr>
          <w:rStyle w:val="CharSectno"/>
        </w:rPr>
        <w:lastRenderedPageBreak/>
        <w:t>5</w:t>
      </w:r>
      <w:r>
        <w:t>.</w:t>
      </w:r>
      <w:r>
        <w:tab/>
        <w:t>Regulation 10 amended</w:t>
      </w:r>
      <w:bookmarkEnd w:id="11"/>
      <w:bookmarkEnd w:id="12"/>
    </w:p>
    <w:p>
      <w:pPr>
        <w:pStyle w:val="Subsection"/>
      </w:pPr>
      <w:r>
        <w:tab/>
      </w:r>
      <w:r>
        <w:tab/>
        <w:t>In regulation 10 delete “item 7,” and insert:</w:t>
      </w:r>
    </w:p>
    <w:p>
      <w:pPr>
        <w:pStyle w:val="BlankOpen"/>
      </w:pPr>
    </w:p>
    <w:p>
      <w:pPr>
        <w:pStyle w:val="Subsection"/>
      </w:pPr>
      <w:r>
        <w:tab/>
      </w:r>
      <w:r>
        <w:tab/>
        <w:t>item 8,</w:t>
      </w:r>
    </w:p>
    <w:p>
      <w:pPr>
        <w:pStyle w:val="BlankClose"/>
      </w:pPr>
    </w:p>
    <w:p>
      <w:pPr>
        <w:pStyle w:val="PermNoteHeading"/>
      </w:pPr>
      <w:r>
        <w:tab/>
        <w:t>Note: The heading to amended regulation 10 is to read:</w:t>
      </w:r>
    </w:p>
    <w:p>
      <w:pPr>
        <w:pStyle w:val="PermNoteText"/>
        <w:rPr>
          <w:b/>
          <w:bCs/>
        </w:rPr>
      </w:pPr>
      <w:r>
        <w:tab/>
      </w:r>
      <w:r>
        <w:tab/>
      </w:r>
      <w:r>
        <w:rPr>
          <w:b/>
          <w:bCs/>
        </w:rPr>
        <w:t>Schedule 1 item 8 fee</w:t>
      </w:r>
    </w:p>
    <w:p>
      <w:pPr>
        <w:pStyle w:val="Heading5"/>
      </w:pPr>
      <w:bookmarkStart w:id="13" w:name="_Toc160100720"/>
      <w:bookmarkStart w:id="14" w:name="_Toc160616498"/>
      <w:r>
        <w:rPr>
          <w:rStyle w:val="CharSectno"/>
        </w:rPr>
        <w:t>6</w:t>
      </w:r>
      <w:r>
        <w:t>.</w:t>
      </w:r>
      <w:r>
        <w:tab/>
        <w:t>Regulation 11A amended</w:t>
      </w:r>
      <w:bookmarkEnd w:id="13"/>
      <w:bookmarkEnd w:id="14"/>
    </w:p>
    <w:p>
      <w:pPr>
        <w:pStyle w:val="Subsection"/>
      </w:pPr>
      <w:r>
        <w:tab/>
      </w:r>
      <w:r>
        <w:tab/>
        <w:t>In regulation 11A(1) delete “items 11” and insert:</w:t>
      </w:r>
    </w:p>
    <w:p>
      <w:pPr>
        <w:pStyle w:val="BlankOpen"/>
      </w:pPr>
    </w:p>
    <w:p>
      <w:pPr>
        <w:pStyle w:val="Subsection"/>
      </w:pPr>
      <w:r>
        <w:tab/>
      </w:r>
      <w:r>
        <w:tab/>
        <w:t>items 12</w:t>
      </w:r>
    </w:p>
    <w:p>
      <w:pPr>
        <w:pStyle w:val="BlankClose"/>
      </w:pPr>
    </w:p>
    <w:p>
      <w:pPr>
        <w:pStyle w:val="Heading5"/>
      </w:pPr>
      <w:bookmarkStart w:id="15" w:name="_Toc160100721"/>
      <w:bookmarkStart w:id="16" w:name="_Toc160616499"/>
      <w:r>
        <w:rPr>
          <w:rStyle w:val="CharSectno"/>
        </w:rPr>
        <w:t>7</w:t>
      </w:r>
      <w:r>
        <w:t>.</w:t>
      </w:r>
      <w:r>
        <w:tab/>
        <w:t>Regulation 12 deleted</w:t>
      </w:r>
      <w:bookmarkEnd w:id="15"/>
      <w:bookmarkEnd w:id="16"/>
    </w:p>
    <w:p>
      <w:pPr>
        <w:pStyle w:val="Subsection"/>
      </w:pPr>
      <w:r>
        <w:tab/>
      </w:r>
      <w:r>
        <w:tab/>
        <w:t>Delete regulation 12.</w:t>
      </w:r>
    </w:p>
    <w:p>
      <w:pPr>
        <w:pStyle w:val="Heading5"/>
      </w:pPr>
      <w:bookmarkStart w:id="17" w:name="_Toc160100722"/>
      <w:bookmarkStart w:id="18" w:name="_Toc160616500"/>
      <w:r>
        <w:rPr>
          <w:rStyle w:val="CharSectno"/>
        </w:rPr>
        <w:t>8</w:t>
      </w:r>
      <w:r>
        <w:t>.</w:t>
      </w:r>
      <w:r>
        <w:tab/>
        <w:t>Schedule 1 amended</w:t>
      </w:r>
      <w:bookmarkEnd w:id="17"/>
      <w:bookmarkEnd w:id="18"/>
    </w:p>
    <w:p>
      <w:pPr>
        <w:pStyle w:val="Subsection"/>
      </w:pPr>
      <w:r>
        <w:tab/>
        <w:t>(1)</w:t>
      </w:r>
      <w:r>
        <w:tab/>
        <w:t xml:space="preserve">In Schedule 1 item 5 — </w:t>
      </w:r>
    </w:p>
    <w:p>
      <w:pPr>
        <w:pStyle w:val="Indenta"/>
      </w:pPr>
      <w:r>
        <w:tab/>
        <w:t>(a)</w:t>
      </w:r>
      <w:r>
        <w:tab/>
        <w:t>delete “</w:t>
      </w:r>
      <w:r>
        <w:rPr>
          <w:sz w:val="22"/>
        </w:rPr>
        <w:t xml:space="preserve">filing — </w:t>
      </w:r>
      <w:r>
        <w:t>” and insert:</w:t>
      </w:r>
    </w:p>
    <w:p>
      <w:pPr>
        <w:pStyle w:val="BlankOpen"/>
      </w:pPr>
    </w:p>
    <w:p>
      <w:pPr>
        <w:pStyle w:val="Indenta"/>
      </w:pPr>
      <w:r>
        <w:t xml:space="preserve"> </w:t>
      </w:r>
      <w:r>
        <w:tab/>
      </w:r>
      <w:r>
        <w:tab/>
      </w:r>
      <w:r>
        <w:rPr>
          <w:sz w:val="22"/>
          <w:szCs w:val="18"/>
        </w:rPr>
        <w:t xml:space="preserve">filing an appeal notice — </w:t>
      </w:r>
    </w:p>
    <w:p>
      <w:pPr>
        <w:pStyle w:val="BlankClose"/>
        <w:jc w:val="left"/>
        <w:rPr>
          <w:rStyle w:val="DraftersNotes"/>
        </w:rPr>
      </w:pPr>
    </w:p>
    <w:p>
      <w:pPr>
        <w:pStyle w:val="Indenta"/>
      </w:pPr>
      <w:r>
        <w:tab/>
        <w:t>(b)</w:t>
      </w:r>
      <w:r>
        <w:tab/>
        <w:t>in paragraph (a) delete “</w:t>
      </w:r>
      <w:r>
        <w:rPr>
          <w:sz w:val="22"/>
        </w:rPr>
        <w:t>an appeal notice</w:t>
      </w:r>
      <w:r>
        <w:t>” and insert:</w:t>
      </w:r>
    </w:p>
    <w:p>
      <w:pPr>
        <w:pStyle w:val="BlankOpen"/>
      </w:pPr>
    </w:p>
    <w:p>
      <w:pPr>
        <w:pStyle w:val="Indenta"/>
      </w:pPr>
      <w:r>
        <w:tab/>
      </w:r>
      <w:r>
        <w:tab/>
      </w:r>
      <w:r>
        <w:rPr>
          <w:sz w:val="22"/>
          <w:szCs w:val="18"/>
        </w:rPr>
        <w:t>for a directions hearing and the first half day allocated for the hearing of the appeal</w:t>
      </w:r>
    </w:p>
    <w:p>
      <w:pPr>
        <w:pStyle w:val="BlankClose"/>
        <w:rPr>
          <w:rStyle w:val="DraftersNotes"/>
        </w:rPr>
      </w:pPr>
    </w:p>
    <w:p>
      <w:pPr>
        <w:pStyle w:val="Subsection"/>
        <w:keepNext/>
      </w:pPr>
      <w:r>
        <w:lastRenderedPageBreak/>
        <w:tab/>
        <w:t>(2)</w:t>
      </w:r>
      <w:r>
        <w:tab/>
        <w:t>In Schedule 1 item 7 in the 1</w:t>
      </w:r>
      <w:r>
        <w:rPr>
          <w:vertAlign w:val="superscript"/>
        </w:rPr>
        <w:t>st</w:t>
      </w:r>
      <w:r>
        <w:t xml:space="preserve"> note delete “</w:t>
      </w:r>
      <w:r>
        <w:rPr>
          <w:rFonts w:ascii="Arial" w:hAnsi="Arial" w:cs="Arial"/>
          <w:sz w:val="18"/>
        </w:rPr>
        <w:t>regulation 10.</w:t>
      </w:r>
      <w:r>
        <w:t>” and insert:</w:t>
      </w:r>
    </w:p>
    <w:p>
      <w:pPr>
        <w:pStyle w:val="BlankOpen"/>
      </w:pPr>
    </w:p>
    <w:p>
      <w:pPr>
        <w:pStyle w:val="Subsection"/>
        <w:keepNext/>
        <w:rPr>
          <w:rFonts w:ascii="Arial" w:hAnsi="Arial" w:cs="Arial"/>
          <w:sz w:val="18"/>
        </w:rPr>
      </w:pPr>
      <w:r>
        <w:tab/>
      </w:r>
      <w:r>
        <w:tab/>
      </w:r>
      <w:r>
        <w:rPr>
          <w:rFonts w:ascii="Arial" w:hAnsi="Arial" w:cs="Arial"/>
          <w:sz w:val="18"/>
        </w:rPr>
        <w:t>regulation 9.</w:t>
      </w:r>
    </w:p>
    <w:p>
      <w:pPr>
        <w:pStyle w:val="BlankClose"/>
      </w:pPr>
    </w:p>
    <w:p>
      <w:pPr>
        <w:pStyle w:val="Subsection"/>
      </w:pPr>
      <w:r>
        <w:tab/>
        <w:t>(3)</w:t>
      </w:r>
      <w:r>
        <w:tab/>
        <w:t xml:space="preserve">In Schedule 1 item 8 — </w:t>
      </w:r>
    </w:p>
    <w:p>
      <w:pPr>
        <w:pStyle w:val="Indenta"/>
      </w:pPr>
      <w:r>
        <w:tab/>
        <w:t>(a)</w:t>
      </w:r>
      <w:r>
        <w:tab/>
        <w:t>delete “</w:t>
      </w:r>
      <w:r>
        <w:rPr>
          <w:sz w:val="22"/>
        </w:rPr>
        <w:t>judge</w:t>
      </w:r>
      <w:r>
        <w:t>” and insert:</w:t>
      </w:r>
    </w:p>
    <w:p>
      <w:pPr>
        <w:pStyle w:val="BlankOpen"/>
      </w:pPr>
      <w:r>
        <w:tab/>
      </w:r>
      <w:r>
        <w:tab/>
      </w:r>
    </w:p>
    <w:p>
      <w:pPr>
        <w:pStyle w:val="Indenta"/>
      </w:pPr>
      <w:r>
        <w:tab/>
      </w:r>
      <w:r>
        <w:tab/>
      </w:r>
      <w:r>
        <w:rPr>
          <w:sz w:val="22"/>
          <w:szCs w:val="16"/>
        </w:rPr>
        <w:t>judge</w:t>
      </w:r>
      <w:r>
        <w:rPr>
          <w:sz w:val="22"/>
          <w:szCs w:val="18"/>
        </w:rPr>
        <w:t xml:space="preserve">, for each hearing day in addition to any hearing day for which a fee has been paid under item 5(b) or 7 </w:t>
      </w:r>
    </w:p>
    <w:p>
      <w:pPr>
        <w:pStyle w:val="BlankClose"/>
      </w:pPr>
      <w:r>
        <w:tab/>
      </w:r>
      <w:r>
        <w:tab/>
      </w:r>
    </w:p>
    <w:p>
      <w:pPr>
        <w:pStyle w:val="Indenta"/>
      </w:pPr>
      <w:r>
        <w:tab/>
        <w:t>(b)</w:t>
      </w:r>
      <w:r>
        <w:tab/>
        <w:t>delete the 2</w:t>
      </w:r>
      <w:r>
        <w:rPr>
          <w:vertAlign w:val="superscript"/>
        </w:rPr>
        <w:t>nd</w:t>
      </w:r>
      <w:r>
        <w:t xml:space="preserve"> note and insert:</w:t>
      </w:r>
    </w:p>
    <w:p>
      <w:pPr>
        <w:pStyle w:val="BlankOpen"/>
      </w:pPr>
    </w:p>
    <w:p>
      <w:pPr>
        <w:pStyle w:val="zPermNoteText"/>
      </w:pPr>
      <w:r>
        <w:tab/>
        <w:t>2.</w:t>
      </w:r>
      <w:r>
        <w:tab/>
        <w:t>If the Court allows more than 1 day for the continuation of the hearing and the hearing proceeds for more than that number of days, the fee is payable for each additional day or part day of the hearing.</w:t>
      </w:r>
    </w:p>
    <w:p>
      <w:pPr>
        <w:pStyle w:val="BlankClose"/>
      </w:pPr>
      <w:r>
        <w:tab/>
      </w:r>
      <w:r>
        <w:tab/>
      </w:r>
    </w:p>
    <w:p>
      <w:pPr>
        <w:pStyle w:val="Subsection"/>
      </w:pPr>
      <w:r>
        <w:tab/>
        <w:t>(4)</w:t>
      </w:r>
      <w:r>
        <w:tab/>
        <w:t>In Schedule 1 item 10 delete “</w:t>
      </w:r>
      <w:r>
        <w:rPr>
          <w:sz w:val="22"/>
        </w:rPr>
        <w:t>item 8</w:t>
      </w:r>
      <w:r>
        <w:t>” (each occurrence) and insert:</w:t>
      </w:r>
    </w:p>
    <w:p>
      <w:pPr>
        <w:pStyle w:val="BlankOpen"/>
      </w:pPr>
    </w:p>
    <w:p>
      <w:pPr>
        <w:pStyle w:val="Subsection"/>
        <w:rPr>
          <w:sz w:val="22"/>
        </w:rPr>
      </w:pPr>
      <w:r>
        <w:rPr>
          <w:sz w:val="22"/>
        </w:rPr>
        <w:tab/>
      </w:r>
      <w:r>
        <w:rPr>
          <w:sz w:val="22"/>
        </w:rPr>
        <w:tab/>
        <w:t>item 9</w:t>
      </w:r>
    </w:p>
    <w:p>
      <w:pPr>
        <w:pStyle w:val="BlankClose"/>
      </w:pPr>
    </w:p>
    <w:p>
      <w:pPr>
        <w:pStyle w:val="ByCommand"/>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r>
        <w:t>V. MOLAN, Clerk of the Executive Council</w:t>
      </w: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5897482A"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76AE4556" w14:textId="0940A4D5" w:rsidR="00517506" w:rsidRDefault="00517506">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E24CFA">
                        <w:rPr>
                          <w:sz w:val="16"/>
                        </w:rPr>
                        <w:t>2024</w:t>
                      </w:r>
                      <w:r>
                        <w:rPr>
                          <w:sz w:val="16"/>
                        </w:rPr>
                        <w:fldChar w:fldCharType="end"/>
                      </w:r>
                      <w:r>
                        <w:rPr>
                          <w:sz w:val="16"/>
                        </w:rPr>
                        <w:t>.</w:t>
                      </w:r>
                    </w:p>
                    <w:p w14:paraId="16A6EF34" w14:textId="77777777" w:rsidR="00517506" w:rsidRDefault="00517506">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1D335437" w14:textId="246F2408" w:rsidR="00517506" w:rsidRDefault="00517506">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E24CFA">
                        <w:rPr>
                          <w:sz w:val="16"/>
                        </w:rPr>
                        <w:t>2024</w:t>
                      </w:r>
                      <w:r>
                        <w:rPr>
                          <w:sz w:val="16"/>
                        </w:rPr>
                        <w:fldChar w:fldCharType="end"/>
                      </w:r>
                      <w:r>
                        <w:rPr>
                          <w:sz w:val="16"/>
                        </w:rPr>
                        <w:t>.</w:t>
                      </w:r>
                    </w:p>
                    <w:p w14:paraId="55328FE8" w14:textId="77777777" w:rsidR="00517506" w:rsidRDefault="00517506">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4"/>
      <w:headerReference w:type="default" r:id="rId25"/>
      <w:footerReference w:type="even" r:id="rId26"/>
      <w:footerReference w:type="default" r:id="rId27"/>
      <w:headerReference w:type="first" r:id="rId28"/>
      <w:footerReference w:type="first" r:id="rId2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2024/32</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07 Mar 2024</w:t>
    </w:r>
    <w:r>
      <w:rPr>
        <w:sz w:val="16"/>
      </w:rPr>
      <w:fldChar w:fldCharType="end"/>
    </w:r>
    <w:r>
      <w:rPr>
        <w:sz w:val="16"/>
      </w:rPr>
      <w:t xml:space="preserve">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07 Mar 2024</w:t>
    </w:r>
    <w:r>
      <w:rPr>
        <w:sz w:val="16"/>
      </w:rPr>
      <w:fldChar w:fldCharType="end"/>
    </w:r>
    <w:r>
      <w:rPr>
        <w:sz w:val="16"/>
      </w:rPr>
      <w:t xml:space="preserve">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07 Mar 2024</w:t>
    </w:r>
    <w:r>
      <w:rPr>
        <w:sz w:val="16"/>
      </w:rPr>
      <w:fldChar w:fldCharType="end"/>
    </w:r>
    <w:r>
      <w:rPr>
        <w:sz w:val="16"/>
      </w:rPr>
      <w:t xml:space="preserve">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SL </w:t>
    </w:r>
    <w:r>
      <w:rPr>
        <w:sz w:val="20"/>
      </w:rPr>
      <w:fldChar w:fldCharType="begin"/>
    </w:r>
    <w:r>
      <w:rPr>
        <w:sz w:val="20"/>
      </w:rPr>
      <w:instrText xml:space="preserve"> DOCPROPERTY "SLAPId" </w:instrText>
    </w:r>
    <w:r>
      <w:rPr>
        <w:sz w:val="20"/>
      </w:rPr>
      <w:fldChar w:fldCharType="separate"/>
    </w:r>
    <w:r>
      <w:rPr>
        <w:sz w:val="20"/>
      </w:rPr>
      <w:t>2024/32</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07 Mar 2024</w:t>
    </w:r>
    <w:r>
      <w:rPr>
        <w:sz w:val="16"/>
      </w:rPr>
      <w:fldChar w:fldCharType="end"/>
    </w:r>
    <w:r>
      <w:rPr>
        <w:sz w:val="16"/>
      </w:rPr>
      <w:t xml:space="preserve">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07 Mar 2024</w:t>
    </w:r>
    <w:r>
      <w:rPr>
        <w:sz w:val="16"/>
      </w:rPr>
      <w:fldChar w:fldCharType="end"/>
    </w:r>
    <w:r>
      <w:rPr>
        <w:sz w:val="16"/>
      </w:rPr>
      <w:t xml:space="preserve">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SL </w:t>
    </w:r>
    <w:r>
      <w:rPr>
        <w:sz w:val="20"/>
      </w:rPr>
      <w:fldChar w:fldCharType="begin"/>
    </w:r>
    <w:r>
      <w:rPr>
        <w:sz w:val="20"/>
      </w:rPr>
      <w:instrText xml:space="preserve"> DOCPROPERTY "SLAPId" </w:instrText>
    </w:r>
    <w:r>
      <w:rPr>
        <w:sz w:val="20"/>
      </w:rPr>
      <w:fldChar w:fldCharType="separate"/>
    </w:r>
    <w:r>
      <w:rPr>
        <w:sz w:val="20"/>
      </w:rPr>
      <w:t>2024/32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 xml:space="preserve">Published </w:t>
    </w:r>
    <w:r>
      <w:rPr>
        <w:sz w:val="16"/>
      </w:rPr>
      <w:fldChar w:fldCharType="begin"/>
    </w:r>
    <w:r>
      <w:rPr>
        <w:sz w:val="16"/>
      </w:rPr>
      <w:instrText xml:space="preserve"> DOCPROPERTY "AsAtDate" </w:instrText>
    </w:r>
    <w:r>
      <w:rPr>
        <w:sz w:val="16"/>
      </w:rPr>
      <w:fldChar w:fldCharType="separate"/>
    </w:r>
    <w:r>
      <w:rPr>
        <w:sz w:val="16"/>
      </w:rPr>
      <w:t>07 Mar 2024</w:t>
    </w:r>
    <w:r>
      <w:rPr>
        <w:sz w:val="16"/>
      </w:rPr>
      <w:fldChar w:fldCharType="end"/>
    </w:r>
    <w:r>
      <w:rPr>
        <w:sz w:val="16"/>
      </w:rPr>
      <w:t xml:space="preserve">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9" w:name="Coversheet"/>
    <w:bookmarkEnd w:id="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Amendment Regulations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(Fees) Amendment Regulations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(Fees) Amendment Regulations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District Court (Fees) Amendment Regulations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BBA1437"/>
    <w:multiLevelType w:val="singleLevel"/>
    <w:tmpl w:val="0C09000F"/>
    <w:lvl w:ilvl="0">
      <w:start w:val="1"/>
      <w:numFmt w:val="decimal"/>
      <w:lvlText w:val="%1."/>
      <w:lvlJc w:val="left"/>
      <w:pPr>
        <w:ind w:left="720" w:hanging="360"/>
      </w:pPr>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3"/>
  </w:num>
  <w:num w:numId="3">
    <w:abstractNumId w:val="18"/>
  </w:num>
  <w:num w:numId="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229120433"/>
    <w:docVar w:name="WAFER_20150206084300" w:val="b265764f-9cc9-4051-b597-28966bcc0033"/>
    <w:docVar w:name="WAFER_20150206084300_GUID" w:val="UsedStyles"/>
    <w:docVar w:name="WAFER_20151016170500" w:val="65b8bf31-20ff-4e33-a7f5-3e8a982d38e1"/>
    <w:docVar w:name="WAFER_20151016170500_GUID" w:val="UpdateStyles"/>
    <w:docVar w:name="WAFER_20151016171156" w:val="6c2db7ef-daac-4b3e-9dc6-438f5d0ef0de"/>
    <w:docVar w:name="WAFER_20151016171156_GUID" w:val="UpdateStyles,UsedStyles"/>
    <w:docVar w:name="WAFER_20151016171216" w:val="94d94bff-48d8-4137-a72c-5fd727eea17c"/>
    <w:docVar w:name="WAFER_20151016171216_GUID" w:val="UpdateStyles,UsedStyles"/>
    <w:docVar w:name="WAFER_20151019113755" w:val="2391df09-cb41-4aa3-adeb-85763481adf4"/>
    <w:docVar w:name="WAFER_20151019113755_GUID" w:val="UpdateStyles"/>
    <w:docVar w:name="WAFER_20151102150240" w:val="b5d22a23-aebe-4a72-ade9-c7eb5fe3ff91"/>
    <w:docVar w:name="WAFER_20151102150240_GUID" w:val="UpdateStyles"/>
    <w:docVar w:name="WAFER_20190125160029" w:val="5f5bd124-b00b-412a-a7b5-01fcf0a689e4"/>
    <w:docVar w:name="WAFER_20190125160029_GUID" w:val="UpdateStyles"/>
    <w:docVar w:name="WAFER_20190213151332" w:val="ba422db1-9a36-4369-9917-270567d09a43"/>
    <w:docVar w:name="WAFER_20190213151332_GUID" w:val="UpdateStyles"/>
    <w:docVar w:name="WAFER_20190214104147" w:val="462c59b5-9a0c-4a8b-a415-d2eeb9a467c9"/>
    <w:docVar w:name="WAFER_20190214104147_GUID" w:val="UpdateStyles"/>
    <w:docVar w:name="WAFER_20190227114746" w:val="b6cf0004-89c3-4ce4-92f2-c7ba61597248"/>
    <w:docVar w:name="WAFER_20190227114746_GUID" w:val="UpdateStyles.ProcessFixes,UpdateStyles.ProcessFixes,RemoveIncorrectStyles.ProcessStyles,RemoveIncorrectStyles.ProcessStyles"/>
    <w:docVar w:name="WAFER_20191031134536" w:val="22d86058-aa5d-4625-8196-006bb3c08a21"/>
    <w:docVar w:name="WAFER_20191031134536_GUID"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Size.ResetPageSize,ResetPageFooter.ResetPageFooter"/>
    <w:docVar w:name="WAFER_20200207102504" w:val="6a1c105a-3450-41aa-9a46-e934e904a723"/>
    <w:docVar w:name="WAFER_20200207102504_GUID" w:val="6a1c105a-3450-41aa-9a46-e934e904a723"/>
    <w:docVar w:name="WAFER_20230403110444" w:val="6a1c105a-3450-41aa-9a46-e934e904a723"/>
    <w:docVar w:name="WAFER_20230403110444_GUID" w:val="6a1c105a-3450-41aa-9a46-e934e904a723"/>
    <w:docVar w:name="WAFER_2024012310243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23102437_GUID" w:val="924c7440-d803-4f31-b9bb-abc3e75a72d6"/>
    <w:docVar w:name="WAFER_202401241409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124140934_GUID" w:val="6788273d-f1f4-420b-9257-25f5830339a4"/>
    <w:docVar w:name="WAFER_202402291204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229120433_GUID" w:val="724cecae-ebd2-493c-9dfe-b369386f0f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82F7F342-B20F-4373-B044-0093F466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F7B9F-CAA6-44AC-975B-990903471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2526</Characters>
  <Application>Microsoft Office Word</Application>
  <DocSecurity>0</DocSecurity>
  <Lines>126</Lines>
  <Paragraphs>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Amendment Regulations 2024 - 00-00-00</dc:title>
  <dc:subject/>
  <dc:creator/>
  <cp:keywords/>
  <dc:description/>
  <cp:lastModifiedBy>Master Repository Process</cp:lastModifiedBy>
  <cp:revision>4</cp:revision>
  <cp:lastPrinted>2021-03-14T07:59:00Z</cp:lastPrinted>
  <dcterms:created xsi:type="dcterms:W3CDTF">2024-03-06T04:17:00Z</dcterms:created>
  <dcterms:modified xsi:type="dcterms:W3CDTF">2024-03-06T04:17:00Z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54602</vt:lpwstr>
  </property>
  <property fmtid="{D5CDD505-2E9C-101B-9397-08002B2CF9AE}" pid="3" name="DocumentType">
    <vt:lpwstr>Reg</vt:lpwstr>
  </property>
  <property fmtid="{D5CDD505-2E9C-101B-9397-08002B2CF9AE}" pid="4" name="AsAtDate">
    <vt:lpwstr>07 Mar 2024</vt:lpwstr>
  </property>
  <property fmtid="{D5CDD505-2E9C-101B-9397-08002B2CF9AE}" pid="5" name="Suffix">
    <vt:lpwstr>00-00-00</vt:lpwstr>
  </property>
  <property fmtid="{D5CDD505-2E9C-101B-9397-08002B2CF9AE}" pid="6" name="Official">
    <vt:lpwstr/>
  </property>
  <property fmtid="{D5CDD505-2E9C-101B-9397-08002B2CF9AE}" pid="7" name="SLAPId">
    <vt:lpwstr>2024/32</vt:lpwstr>
  </property>
  <property fmtid="{D5CDD505-2E9C-101B-9397-08002B2CF9AE}" pid="8" name="PublishDate">
    <vt:lpwstr>7 Mar 2024</vt:lpwstr>
  </property>
  <property fmtid="{D5CDD505-2E9C-101B-9397-08002B2CF9AE}" pid="9" name="CommencementDate">
    <vt:lpwstr>20240307</vt:lpwstr>
  </property>
  <property fmtid="{D5CDD505-2E9C-101B-9397-08002B2CF9AE}" pid="10" name="CommencementAsAt">
    <vt:filetime>2024-03-06T16:00:00Z</vt:filetime>
  </property>
  <property fmtid="{D5CDD505-2E9C-101B-9397-08002B2CF9AE}" pid="11" name="CommencementYear">
    <vt:lpwstr>2024</vt:lpwstr>
  </property>
</Properties>
</file>