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Parking Management Act 2024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Parking Management Act 2024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_Toc160807364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_Toc160807365 \h </w:instrText>
      </w:r>
      <w:r>
        <w:fldChar w:fldCharType="separate"/>
      </w:r>
      <w:r>
        <w:t>1</w:t>
      </w:r>
      <w:r>
        <w:fldChar w:fldCharType="end"/>
      </w:r>
    </w:p>
    <w:p>
      <w:pPr>
        <w:pStyle w:val="TOC8"/>
        <w:rPr>
          <w:rFonts w:asciiTheme="minorHAnsi" w:eastAsiaTheme="minorEastAsia" w:hAnsiTheme="minorHAnsi" w:cstheme="minorBidi"/>
          <w:szCs w:val="22"/>
        </w:rPr>
      </w:pPr>
      <w:r>
        <w:t>188.</w:t>
      </w:r>
      <w:r>
        <w:tab/>
        <w:t>Exercising powers before commencement that rely on instruments that have not commenced</w:t>
      </w:r>
      <w:r>
        <w:tab/>
      </w:r>
      <w:r>
        <w:fldChar w:fldCharType="begin"/>
      </w:r>
      <w:r>
        <w:instrText xml:space="preserve"> PAGEREF _Toc160807366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 — </w:t>
      </w:r>
      <w:r>
        <w:rPr>
          <w:i/>
        </w:rPr>
        <w:t>Perth Parking Management Act 1999</w:t>
      </w:r>
      <w:r>
        <w:t xml:space="preserve"> amended</w:t>
      </w:r>
    </w:p>
    <w:p>
      <w:pPr>
        <w:pStyle w:val="TOC8"/>
        <w:rPr>
          <w:rFonts w:asciiTheme="minorHAnsi" w:eastAsiaTheme="minorEastAsia" w:hAnsiTheme="minorHAnsi" w:cstheme="minorBidi"/>
          <w:szCs w:val="22"/>
        </w:rPr>
      </w:pPr>
      <w:r>
        <w:t>192.</w:t>
      </w:r>
      <w:r>
        <w:tab/>
        <w:t>Act amended</w:t>
      </w:r>
      <w:r>
        <w:tab/>
      </w:r>
      <w:r>
        <w:fldChar w:fldCharType="begin"/>
      </w:r>
      <w:r>
        <w:instrText xml:space="preserve"> PAGEREF _Toc160807368 \h </w:instrText>
      </w:r>
      <w:r>
        <w:fldChar w:fldCharType="separate"/>
      </w:r>
      <w:r>
        <w:t>1</w:t>
      </w:r>
      <w:r>
        <w:fldChar w:fldCharType="end"/>
      </w:r>
    </w:p>
    <w:p>
      <w:pPr>
        <w:pStyle w:val="TOC8"/>
        <w:rPr>
          <w:rFonts w:asciiTheme="minorHAnsi" w:eastAsiaTheme="minorEastAsia" w:hAnsiTheme="minorHAnsi" w:cstheme="minorBidi"/>
          <w:szCs w:val="22"/>
        </w:rPr>
      </w:pPr>
      <w:r>
        <w:t>193.</w:t>
      </w:r>
      <w:r>
        <w:tab/>
        <w:t>Section 23 amended</w:t>
      </w:r>
      <w:r>
        <w:tab/>
      </w:r>
      <w:r>
        <w:fldChar w:fldCharType="begin"/>
      </w:r>
      <w:r>
        <w:instrText xml:space="preserve"> PAGEREF _Toc160807369 \h </w:instrText>
      </w:r>
      <w:r>
        <w:fldChar w:fldCharType="separate"/>
      </w:r>
      <w:r>
        <w:t>1</w:t>
      </w:r>
      <w:r>
        <w:fldChar w:fldCharType="end"/>
      </w:r>
    </w:p>
    <w:p>
      <w:pPr>
        <w:pStyle w:val="TOC8"/>
        <w:rPr>
          <w:rFonts w:asciiTheme="minorHAnsi" w:eastAsiaTheme="minorEastAsia" w:hAnsiTheme="minorHAnsi" w:cstheme="minorBidi"/>
          <w:szCs w:val="22"/>
        </w:rPr>
      </w:pPr>
      <w:r>
        <w:t>194.</w:t>
      </w:r>
      <w:r>
        <w:tab/>
        <w:t>Part 5 inserted</w:t>
      </w:r>
      <w:r>
        <w:tab/>
      </w:r>
      <w:r>
        <w:fldChar w:fldCharType="begin"/>
      </w:r>
      <w:r>
        <w:instrText xml:space="preserve"> PAGEREF _Toc160807370 \h </w:instrText>
      </w:r>
      <w:r>
        <w:fldChar w:fldCharType="separate"/>
      </w:r>
      <w:r>
        <w:t>1</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5 — Transitional provision for </w:t>
      </w:r>
      <w:r>
        <w:rPr>
          <w:i/>
        </w:rPr>
        <w:t>Perth Parking Management Act 2024</w:t>
      </w:r>
    </w:p>
    <w:p>
      <w:pPr>
        <w:pStyle w:val="TOC9"/>
        <w:rPr>
          <w:rFonts w:asciiTheme="minorHAnsi" w:eastAsiaTheme="minorEastAsia" w:hAnsiTheme="minorHAnsi" w:cstheme="minorBidi"/>
          <w:noProof/>
          <w:sz w:val="22"/>
          <w:szCs w:val="22"/>
        </w:rPr>
      </w:pPr>
      <w:r>
        <w:rPr>
          <w:noProof/>
        </w:rPr>
        <w:t>27.</w:t>
      </w:r>
      <w:r>
        <w:rPr>
          <w:noProof/>
        </w:rPr>
        <w:tab/>
        <w:t>Money credited to Perth Parking Licensing Account before commencement day may be used for fundable project</w:t>
      </w:r>
      <w:r>
        <w:rPr>
          <w:noProof/>
        </w:rPr>
        <w:tab/>
      </w:r>
      <w:r>
        <w:rPr>
          <w:noProof/>
        </w:rPr>
        <w:fldChar w:fldCharType="begin"/>
      </w:r>
      <w:r>
        <w:rPr>
          <w:noProof/>
        </w:rPr>
        <w:instrText xml:space="preserve"> PAGEREF _Toc160807372 \h </w:instrText>
      </w:r>
      <w:r>
        <w:rPr>
          <w:noProof/>
        </w:rPr>
      </w:r>
      <w:r>
        <w:rPr>
          <w:noProof/>
        </w:rPr>
        <w:fldChar w:fldCharType="separate"/>
      </w:r>
      <w:r>
        <w:rPr>
          <w:noProof/>
        </w:rPr>
        <w:t>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_Toc160807374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_Toc160807375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Perth Parking Management Act 2024</w:t>
      </w:r>
    </w:p>
    <w:p>
      <w:pPr>
        <w:pStyle w:val="LongTitle"/>
      </w:pPr>
      <w:r>
        <w:t>An Act —</w:t>
      </w:r>
    </w:p>
    <w:p>
      <w:pPr>
        <w:pStyle w:val="LongTitle"/>
        <w:numPr>
          <w:ilvl w:val="0"/>
          <w:numId w:val="2"/>
        </w:numPr>
      </w:pPr>
      <w:r>
        <w:t>to provide for licensing and authorising of parking spaces in the parking management area in the metropolitan region to manage parking; and</w:t>
      </w:r>
    </w:p>
    <w:p>
      <w:pPr>
        <w:pStyle w:val="LongTitle"/>
        <w:numPr>
          <w:ilvl w:val="0"/>
          <w:numId w:val="2"/>
        </w:numPr>
      </w:pPr>
      <w:r>
        <w:t>to provide that licence fees and other revenue under this Act may be used to improve transport, accessibility, economic activity or urban amenity for the benefit of the parking management area; and</w:t>
      </w:r>
    </w:p>
    <w:p>
      <w:pPr>
        <w:pStyle w:val="LongTitle"/>
        <w:numPr>
          <w:ilvl w:val="0"/>
          <w:numId w:val="2"/>
        </w:numPr>
      </w:pPr>
      <w:r>
        <w:t xml:space="preserve">to repeal the </w:t>
      </w:r>
      <w:r>
        <w:rPr>
          <w:i/>
        </w:rPr>
        <w:t>Perth Parking Management Act 1999</w:t>
      </w:r>
      <w:r>
        <w:t xml:space="preserve">, the </w:t>
      </w:r>
      <w:r>
        <w:rPr>
          <w:i/>
        </w:rPr>
        <w:t>Perth Parking Management (Taxing) Act 1999</w:t>
      </w:r>
      <w:r>
        <w:t xml:space="preserve"> and the </w:t>
      </w:r>
      <w:r>
        <w:rPr>
          <w:i/>
        </w:rPr>
        <w:t>Perth Parking Management Regulations 1999</w:t>
      </w:r>
      <w:r>
        <w:t>;</w:t>
      </w:r>
      <w:r>
        <w:rPr>
          <w:b w:val="0"/>
        </w:rPr>
        <w:t xml:space="preserve"> </w:t>
      </w:r>
      <w:r>
        <w:t>and</w:t>
      </w:r>
    </w:p>
    <w:p>
      <w:pPr>
        <w:pStyle w:val="LongTitle"/>
        <w:numPr>
          <w:ilvl w:val="0"/>
          <w:numId w:val="2"/>
        </w:numPr>
      </w:pPr>
      <w:r>
        <w:t xml:space="preserve">to make a consequential amendment to the </w:t>
      </w:r>
      <w:r>
        <w:rPr>
          <w:i/>
        </w:rPr>
        <w:t>Sentencing Act 1995</w:t>
      </w:r>
      <w:r>
        <w:t>; and</w:t>
      </w:r>
    </w:p>
    <w:p>
      <w:pPr>
        <w:pStyle w:val="LongTitle"/>
        <w:numPr>
          <w:ilvl w:val="0"/>
          <w:numId w:val="2"/>
        </w:numPr>
      </w:pPr>
      <w:r>
        <w:t>for related purposes.</w:t>
      </w:r>
    </w:p>
    <w:p>
      <w:pPr>
        <w:pStyle w:val="Enactment"/>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2" w:name="_Toc160790406"/>
      <w:bookmarkStart w:id="3" w:name="_Toc160790667"/>
      <w:bookmarkStart w:id="4" w:name="_Toc160794257"/>
      <w:bookmarkStart w:id="5" w:name="_Toc160805146"/>
      <w:bookmarkStart w:id="6" w:name="_Toc160805179"/>
      <w:bookmarkStart w:id="7" w:name="_Toc160806625"/>
      <w:bookmarkStart w:id="8" w:name="_Toc160806646"/>
      <w:bookmarkStart w:id="9" w:name="_Toc16080736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pPr>
      <w:bookmarkStart w:id="10" w:name="_Toc160807364"/>
      <w:r>
        <w:rPr>
          <w:rStyle w:val="CharSectno"/>
        </w:rPr>
        <w:t>1</w:t>
      </w:r>
      <w:r>
        <w:t>.</w:t>
      </w:r>
      <w:r>
        <w:tab/>
        <w:t>Short title</w:t>
      </w:r>
      <w:bookmarkEnd w:id="10"/>
    </w:p>
    <w:p>
      <w:pPr>
        <w:pStyle w:val="Subsection"/>
      </w:pPr>
      <w:r>
        <w:tab/>
      </w:r>
      <w:r>
        <w:tab/>
        <w:t>This is the</w:t>
      </w:r>
      <w:r>
        <w:rPr>
          <w:i/>
        </w:rPr>
        <w:t xml:space="preserve"> Perth Parking Management Act 2024</w:t>
      </w:r>
      <w:r>
        <w:t>.</w:t>
      </w:r>
    </w:p>
    <w:p>
      <w:pPr>
        <w:pStyle w:val="Heading5"/>
      </w:pPr>
      <w:bookmarkStart w:id="11" w:name="_Toc160807365"/>
      <w:r>
        <w:rPr>
          <w:rStyle w:val="CharSectno"/>
        </w:rPr>
        <w:t>2</w:t>
      </w:r>
      <w:r>
        <w:t>.</w:t>
      </w:r>
      <w:r>
        <w:tab/>
        <w:t>Commencement</w:t>
      </w:r>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10) — on the day on which this Act receives the Royal Assent (</w:t>
      </w:r>
      <w:r>
        <w:rPr>
          <w:rStyle w:val="CharDefText"/>
        </w:rPr>
        <w:t>assent day</w:t>
      </w:r>
      <w:r>
        <w:t>);</w:t>
      </w:r>
    </w:p>
    <w:p>
      <w:pPr>
        <w:pStyle w:val="Indenta"/>
      </w:pPr>
      <w:r>
        <w:tab/>
        <w:t>(b)</w:t>
      </w:r>
      <w:r>
        <w:tab/>
        <w:t>section 188 and Part 12 — on the day after assent day;</w:t>
      </w:r>
    </w:p>
    <w:p>
      <w:pPr>
        <w:pStyle w:val="Indenta"/>
      </w:pPr>
      <w:r>
        <w:tab/>
        <w:t>(c)</w:t>
      </w:r>
      <w:r>
        <w:tab/>
        <w:t>the rest of the Act — on a day fixed by proclamation.</w:t>
      </w:r>
    </w:p>
    <w:p>
      <w:pPr>
        <w:pStyle w:val="Ednotesection"/>
      </w:pPr>
      <w:r>
        <w:t>[</w:t>
      </w:r>
      <w:r>
        <w:rPr>
          <w:b/>
          <w:bCs/>
        </w:rPr>
        <w:t>3-10</w:t>
      </w:r>
      <w:r>
        <w:tab/>
        <w:t>Have not come into operation.]</w:t>
      </w:r>
    </w:p>
    <w:p>
      <w:pPr>
        <w:pStyle w:val="Ednotepart"/>
        <w:ind w:left="1276" w:hanging="1276"/>
      </w:pPr>
      <w:bookmarkStart w:id="12" w:name="_Toc160794505"/>
      <w:r>
        <w:t>[Parts 2</w:t>
      </w:r>
      <w:r>
        <w:noBreakHyphen/>
        <w:t>9 have not come into operation.]</w:t>
      </w:r>
    </w:p>
    <w:p>
      <w:pPr>
        <w:pStyle w:val="Ednotepart"/>
        <w:ind w:left="1276" w:hanging="1276"/>
      </w:pPr>
      <w:r>
        <w:t>[Part 10 (other than s. 188) has not come into operation.]</w:t>
      </w:r>
    </w:p>
    <w:p>
      <w:pPr>
        <w:pStyle w:val="Heading5"/>
      </w:pPr>
      <w:bookmarkStart w:id="13" w:name="_Toc160807366"/>
      <w:r>
        <w:rPr>
          <w:rStyle w:val="CharSectno"/>
        </w:rPr>
        <w:t>188</w:t>
      </w:r>
      <w:r>
        <w:t>.</w:t>
      </w:r>
      <w:r>
        <w:tab/>
        <w:t>Exercising powers before commencement that rely on instruments that have not commenced</w:t>
      </w:r>
      <w:bookmarkEnd w:id="12"/>
      <w:bookmarkEnd w:id="13"/>
    </w:p>
    <w:p>
      <w:pPr>
        <w:pStyle w:val="Subsection"/>
        <w:keepNext/>
      </w:pPr>
      <w:r>
        <w:tab/>
        <w:t>(1)</w:t>
      </w:r>
      <w:r>
        <w:tab/>
        <w:t xml:space="preserve">If a power is exercised under the </w:t>
      </w:r>
      <w:r>
        <w:rPr>
          <w:i/>
        </w:rPr>
        <w:t>Interpretation Act 1984</w:t>
      </w:r>
      <w:r>
        <w:t xml:space="preserve"> section 25 (other than a power to make an instrument under Part 7 of this Act), the following that have been made at the time of the exercise of the power are taken to have commenced for the purposes of exercising the power —</w:t>
      </w:r>
    </w:p>
    <w:p>
      <w:pPr>
        <w:pStyle w:val="Indenta"/>
      </w:pPr>
      <w:r>
        <w:tab/>
        <w:t>(a)</w:t>
      </w:r>
      <w:r>
        <w:tab/>
        <w:t xml:space="preserve">the parking policy; </w:t>
      </w:r>
    </w:p>
    <w:p>
      <w:pPr>
        <w:pStyle w:val="Indenta"/>
      </w:pPr>
      <w:r>
        <w:tab/>
        <w:t>(b)</w:t>
      </w:r>
      <w:r>
        <w:tab/>
        <w:t xml:space="preserve">regulations made under section 128; </w:t>
      </w:r>
    </w:p>
    <w:p>
      <w:pPr>
        <w:pStyle w:val="Indenta"/>
      </w:pPr>
      <w:r>
        <w:tab/>
        <w:t>(c)</w:t>
      </w:r>
      <w:r>
        <w:tab/>
        <w:t>an approved form.</w:t>
      </w:r>
    </w:p>
    <w:p>
      <w:pPr>
        <w:pStyle w:val="Subsection"/>
      </w:pPr>
      <w:r>
        <w:tab/>
        <w:t>(2)</w:t>
      </w:r>
      <w:r>
        <w:tab/>
        <w:t xml:space="preserve">For the purposes of the </w:t>
      </w:r>
      <w:r>
        <w:rPr>
          <w:i/>
        </w:rPr>
        <w:t>Interpretation Act 1984</w:t>
      </w:r>
      <w:r>
        <w:t xml:space="preserve"> section 25(a), a reference to an instrument is taken to also include all of the following — </w:t>
      </w:r>
    </w:p>
    <w:p>
      <w:pPr>
        <w:pStyle w:val="Indenta"/>
      </w:pPr>
      <w:r>
        <w:tab/>
        <w:t>(a)</w:t>
      </w:r>
      <w:r>
        <w:tab/>
        <w:t xml:space="preserve">a parking space approval; </w:t>
      </w:r>
    </w:p>
    <w:p>
      <w:pPr>
        <w:pStyle w:val="Indenta"/>
      </w:pPr>
      <w:r>
        <w:tab/>
        <w:t>(b)</w:t>
      </w:r>
      <w:r>
        <w:tab/>
        <w:t>a pre</w:t>
      </w:r>
      <w:r>
        <w:noBreakHyphen/>
        <w:t xml:space="preserve">authorisation; </w:t>
      </w:r>
    </w:p>
    <w:p>
      <w:pPr>
        <w:pStyle w:val="Indenta"/>
      </w:pPr>
      <w:r>
        <w:lastRenderedPageBreak/>
        <w:tab/>
        <w:t>(c)</w:t>
      </w:r>
      <w:r>
        <w:tab/>
        <w:t>an approved form.</w:t>
      </w:r>
    </w:p>
    <w:p>
      <w:pPr>
        <w:pStyle w:val="Subsection"/>
      </w:pPr>
      <w:r>
        <w:tab/>
        <w:t>(3)</w:t>
      </w:r>
      <w:r>
        <w:tab/>
        <w:t>The CEO may give a notice before the day on which section 3 comes into operation to a person who the CEO considers may be a parking space licence holder whose licence may be renewed under Part 3 Division 5 on or after commencement day advising the person of a licence fee for renewal.</w:t>
      </w:r>
    </w:p>
    <w:p>
      <w:pPr>
        <w:pStyle w:val="Subsection"/>
      </w:pPr>
      <w:r>
        <w:tab/>
        <w:t>(4)</w:t>
      </w:r>
      <w:r>
        <w:tab/>
        <w:t xml:space="preserve">If a power is exercised under the </w:t>
      </w:r>
      <w:r>
        <w:rPr>
          <w:i/>
        </w:rPr>
        <w:t>Interpretation Act 1984</w:t>
      </w:r>
      <w:r>
        <w:t xml:space="preserve"> section 25 to make regulations under section 128(3), the parking policy is taken to have commenced for the purposes of exercising the power.</w:t>
      </w:r>
    </w:p>
    <w:p>
      <w:pPr>
        <w:pStyle w:val="Subsection"/>
      </w:pPr>
      <w:r>
        <w:tab/>
        <w:t>(5)</w:t>
      </w:r>
      <w:r>
        <w:tab/>
        <w:t xml:space="preserve">If a power is exercised under the </w:t>
      </w:r>
      <w:r>
        <w:rPr>
          <w:i/>
        </w:rPr>
        <w:t>Interpretation Act 1984</w:t>
      </w:r>
      <w:r>
        <w:t xml:space="preserve"> section 25 to make the parking policy and the parking policy refers to the regulations made under section 128, the regulations are taken to have commenced for the purposes of exercising the power.</w:t>
      </w:r>
    </w:p>
    <w:p>
      <w:pPr>
        <w:pStyle w:val="Ednotepart"/>
        <w:ind w:left="1276" w:hanging="1276"/>
      </w:pPr>
      <w:r>
        <w:t>[Part 11 has not come into operation.]</w:t>
      </w:r>
    </w:p>
    <w:p>
      <w:pPr>
        <w:pStyle w:val="Heading2"/>
      </w:pPr>
      <w:bookmarkStart w:id="14" w:name="_Toc160790660"/>
      <w:bookmarkStart w:id="15" w:name="_Toc160790921"/>
      <w:bookmarkStart w:id="16" w:name="_Toc160794511"/>
      <w:bookmarkStart w:id="17" w:name="_Toc160806629"/>
      <w:bookmarkStart w:id="18" w:name="_Toc160806650"/>
      <w:bookmarkStart w:id="19" w:name="_Toc160807367"/>
      <w:r>
        <w:rPr>
          <w:rStyle w:val="CharPartNo"/>
        </w:rPr>
        <w:lastRenderedPageBreak/>
        <w:t>Part 12</w:t>
      </w:r>
      <w:r>
        <w:rPr>
          <w:rStyle w:val="CharDivNo"/>
        </w:rPr>
        <w:t> </w:t>
      </w:r>
      <w:r>
        <w:t>—</w:t>
      </w:r>
      <w:r>
        <w:rPr>
          <w:rStyle w:val="CharDivText"/>
        </w:rPr>
        <w:t> </w:t>
      </w:r>
      <w:r>
        <w:rPr>
          <w:rStyle w:val="CharPartText"/>
          <w:i/>
        </w:rPr>
        <w:t>Perth Parking Management Act 1999</w:t>
      </w:r>
      <w:r>
        <w:rPr>
          <w:rStyle w:val="CharPartText"/>
        </w:rPr>
        <w:t xml:space="preserve"> amended</w:t>
      </w:r>
      <w:bookmarkEnd w:id="14"/>
      <w:bookmarkEnd w:id="15"/>
      <w:bookmarkEnd w:id="16"/>
      <w:bookmarkEnd w:id="17"/>
      <w:bookmarkEnd w:id="18"/>
      <w:bookmarkEnd w:id="19"/>
    </w:p>
    <w:p>
      <w:pPr>
        <w:pStyle w:val="Heading5"/>
      </w:pPr>
      <w:bookmarkStart w:id="20" w:name="_Toc160794512"/>
      <w:bookmarkStart w:id="21" w:name="_Toc160807368"/>
      <w:r>
        <w:rPr>
          <w:rStyle w:val="CharSectno"/>
        </w:rPr>
        <w:t>192</w:t>
      </w:r>
      <w:r>
        <w:t>.</w:t>
      </w:r>
      <w:r>
        <w:tab/>
        <w:t>Act amended</w:t>
      </w:r>
      <w:bookmarkEnd w:id="20"/>
      <w:bookmarkEnd w:id="21"/>
    </w:p>
    <w:p>
      <w:pPr>
        <w:pStyle w:val="Subsection"/>
      </w:pPr>
      <w:r>
        <w:tab/>
      </w:r>
      <w:r>
        <w:tab/>
        <w:t xml:space="preserve">This Part amends the </w:t>
      </w:r>
      <w:r>
        <w:rPr>
          <w:i/>
        </w:rPr>
        <w:t>Perth Parking Management Act 1999</w:t>
      </w:r>
      <w:r>
        <w:t>.</w:t>
      </w:r>
    </w:p>
    <w:p>
      <w:pPr>
        <w:pStyle w:val="Heading5"/>
      </w:pPr>
      <w:bookmarkStart w:id="22" w:name="_Toc160794513"/>
      <w:bookmarkStart w:id="23" w:name="_Toc160807369"/>
      <w:r>
        <w:rPr>
          <w:rStyle w:val="CharSectno"/>
        </w:rPr>
        <w:t>193</w:t>
      </w:r>
      <w:r>
        <w:t>.</w:t>
      </w:r>
      <w:r>
        <w:tab/>
        <w:t>Section 23 amended</w:t>
      </w:r>
      <w:bookmarkEnd w:id="22"/>
      <w:bookmarkEnd w:id="23"/>
    </w:p>
    <w:p>
      <w:pPr>
        <w:pStyle w:val="Subsection"/>
      </w:pPr>
      <w:r>
        <w:tab/>
        <w:t>(1)</w:t>
      </w:r>
      <w:r>
        <w:tab/>
        <w:t>Before section 23(1) insert:</w:t>
      </w:r>
    </w:p>
    <w:p>
      <w:pPr>
        <w:pStyle w:val="BlankOpen"/>
      </w:pPr>
    </w:p>
    <w:p>
      <w:pPr>
        <w:pStyle w:val="zSubsection"/>
      </w:pPr>
      <w:r>
        <w:tab/>
        <w:t>(1A)</w:t>
      </w:r>
      <w:r>
        <w:tab/>
        <w:t xml:space="preserve">In this section — </w:t>
      </w:r>
    </w:p>
    <w:p>
      <w:pPr>
        <w:pStyle w:val="zDefstart"/>
      </w:pPr>
      <w:r>
        <w:tab/>
      </w:r>
      <w:r>
        <w:rPr>
          <w:rStyle w:val="CharDefText"/>
        </w:rPr>
        <w:t>fundable project</w:t>
      </w:r>
      <w:r>
        <w:t xml:space="preserve">, in relation to the Perth parking management area — </w:t>
      </w:r>
    </w:p>
    <w:p>
      <w:pPr>
        <w:pStyle w:val="zDefpara"/>
      </w:pPr>
      <w:r>
        <w:tab/>
        <w:t>(a)</w:t>
      </w:r>
      <w:r>
        <w:tab/>
        <w:t xml:space="preserve">means any of the following — </w:t>
      </w:r>
    </w:p>
    <w:p>
      <w:pPr>
        <w:pStyle w:val="zDefsubpara"/>
      </w:pPr>
      <w:r>
        <w:tab/>
        <w:t>(i)</w:t>
      </w:r>
      <w:r>
        <w:tab/>
        <w:t xml:space="preserve">transport or accessibility infrastructure, projects or services within the area to promote a sustainable balance between different modes of transport; </w:t>
      </w:r>
    </w:p>
    <w:p>
      <w:pPr>
        <w:pStyle w:val="zDefsubpara"/>
      </w:pPr>
      <w:r>
        <w:tab/>
        <w:t>(ii)</w:t>
      </w:r>
      <w:r>
        <w:tab/>
        <w:t xml:space="preserve">infrastructure, projects or services (not related to transport or accessibility) within the area to improve economic activity or urban amenity; </w:t>
      </w:r>
    </w:p>
    <w:p>
      <w:pPr>
        <w:pStyle w:val="zDefsubpara"/>
      </w:pPr>
      <w:r>
        <w:tab/>
        <w:t>(iii)</w:t>
      </w:r>
      <w:r>
        <w:tab/>
        <w:t>traffic management within the area;</w:t>
      </w:r>
    </w:p>
    <w:p>
      <w:pPr>
        <w:pStyle w:val="zDefpara"/>
      </w:pPr>
      <w:r>
        <w:tab/>
      </w:r>
      <w:r>
        <w:tab/>
        <w:t>but</w:t>
      </w:r>
    </w:p>
    <w:p>
      <w:pPr>
        <w:pStyle w:val="zDefpara"/>
      </w:pPr>
      <w:r>
        <w:tab/>
        <w:t>(b)</w:t>
      </w:r>
      <w:r>
        <w:tab/>
        <w:t>does not include an event of a sporting, cultural or other nature (other than traffic management for the event).</w:t>
      </w:r>
    </w:p>
    <w:p>
      <w:pPr>
        <w:pStyle w:val="BlankClose"/>
      </w:pPr>
    </w:p>
    <w:p>
      <w:pPr>
        <w:pStyle w:val="Subsection"/>
        <w:keepNext/>
      </w:pPr>
      <w:r>
        <w:tab/>
        <w:t>(2)</w:t>
      </w:r>
      <w:r>
        <w:tab/>
        <w:t>In section 23(3):</w:t>
      </w:r>
    </w:p>
    <w:p>
      <w:pPr>
        <w:pStyle w:val="Indenta"/>
        <w:keepNext/>
      </w:pPr>
      <w:r>
        <w:tab/>
        <w:t>(a)</w:t>
      </w:r>
      <w:r>
        <w:tab/>
        <w:t>in paragraph (b) delete “administration.” and insert:</w:t>
      </w:r>
    </w:p>
    <w:p>
      <w:pPr>
        <w:pStyle w:val="BlankOpen"/>
      </w:pPr>
    </w:p>
    <w:p>
      <w:pPr>
        <w:pStyle w:val="Indenta"/>
        <w:keepNext/>
      </w:pPr>
      <w:r>
        <w:tab/>
      </w:r>
      <w:r>
        <w:tab/>
        <w:t>administration; or</w:t>
      </w:r>
    </w:p>
    <w:p>
      <w:pPr>
        <w:pStyle w:val="BlankClose"/>
      </w:pPr>
    </w:p>
    <w:p>
      <w:pPr>
        <w:pStyle w:val="Indenta"/>
      </w:pPr>
      <w:r>
        <w:lastRenderedPageBreak/>
        <w:tab/>
        <w:t>(b)</w:t>
      </w:r>
      <w:r>
        <w:tab/>
        <w:t>after paragraph (b) insert:</w:t>
      </w:r>
    </w:p>
    <w:p>
      <w:pPr>
        <w:pStyle w:val="BlankOpen"/>
      </w:pPr>
    </w:p>
    <w:p>
      <w:pPr>
        <w:pStyle w:val="zIndenta"/>
      </w:pPr>
      <w:r>
        <w:tab/>
        <w:t>(c)</w:t>
      </w:r>
      <w:r>
        <w:tab/>
        <w:t xml:space="preserve">for the purpose of a fundable project, or a purpose connected with a fundable project, within the Perth parking management area. </w:t>
      </w:r>
    </w:p>
    <w:p>
      <w:pPr>
        <w:pStyle w:val="BlankClose"/>
      </w:pPr>
    </w:p>
    <w:p>
      <w:pPr>
        <w:pStyle w:val="Subsection"/>
      </w:pPr>
      <w:r>
        <w:tab/>
        <w:t>(3)</w:t>
      </w:r>
      <w:r>
        <w:tab/>
        <w:t>After section 23(3) insert:</w:t>
      </w:r>
    </w:p>
    <w:p>
      <w:pPr>
        <w:pStyle w:val="BlankOpen"/>
      </w:pPr>
    </w:p>
    <w:p>
      <w:pPr>
        <w:pStyle w:val="zSubsection"/>
      </w:pPr>
      <w:r>
        <w:tab/>
        <w:t>(4)</w:t>
      </w:r>
      <w:r>
        <w:tab/>
        <w:t xml:space="preserve">Infrastructure, projects or services referred to in this section may include 1 or more of the following — </w:t>
      </w:r>
    </w:p>
    <w:p>
      <w:pPr>
        <w:pStyle w:val="zIndenta"/>
      </w:pPr>
      <w:r>
        <w:tab/>
        <w:t>(a)</w:t>
      </w:r>
      <w:r>
        <w:tab/>
        <w:t>capital costs relating to the infrastructure, projects or services;</w:t>
      </w:r>
    </w:p>
    <w:p>
      <w:pPr>
        <w:pStyle w:val="zIndenta"/>
      </w:pPr>
      <w:r>
        <w:tab/>
        <w:t>(b)</w:t>
      </w:r>
      <w:r>
        <w:tab/>
        <w:t>costs other than capital costs including running or administration costs relating to the infrastructure, projects or services.</w:t>
      </w:r>
    </w:p>
    <w:p>
      <w:pPr>
        <w:pStyle w:val="BlankClose"/>
      </w:pPr>
    </w:p>
    <w:p>
      <w:pPr>
        <w:pStyle w:val="Heading5"/>
      </w:pPr>
      <w:bookmarkStart w:id="24" w:name="_Toc160794514"/>
      <w:bookmarkStart w:id="25" w:name="_Toc160807370"/>
      <w:r>
        <w:rPr>
          <w:rStyle w:val="CharSectno"/>
        </w:rPr>
        <w:t>194</w:t>
      </w:r>
      <w:r>
        <w:t>.</w:t>
      </w:r>
      <w:r>
        <w:tab/>
        <w:t>Part 5 inserted</w:t>
      </w:r>
      <w:bookmarkEnd w:id="24"/>
      <w:bookmarkEnd w:id="25"/>
    </w:p>
    <w:p>
      <w:pPr>
        <w:pStyle w:val="Subsection"/>
      </w:pPr>
      <w:r>
        <w:tab/>
      </w:r>
      <w:r>
        <w:tab/>
        <w:t>After section 26 insert:</w:t>
      </w:r>
    </w:p>
    <w:p>
      <w:pPr>
        <w:pStyle w:val="BlankOpen"/>
      </w:pPr>
    </w:p>
    <w:p>
      <w:pPr>
        <w:pStyle w:val="zHeading2"/>
      </w:pPr>
      <w:bookmarkStart w:id="26" w:name="_Toc160790664"/>
      <w:bookmarkStart w:id="27" w:name="_Toc160790925"/>
      <w:bookmarkStart w:id="28" w:name="_Toc160794515"/>
      <w:bookmarkStart w:id="29" w:name="_Toc160806633"/>
      <w:bookmarkStart w:id="30" w:name="_Toc160806654"/>
      <w:bookmarkStart w:id="31" w:name="_Toc160807371"/>
      <w:r>
        <w:t xml:space="preserve">Part 5 — Transitional provision for </w:t>
      </w:r>
      <w:r>
        <w:rPr>
          <w:i/>
        </w:rPr>
        <w:t>Perth Parking Management Act 2024</w:t>
      </w:r>
      <w:bookmarkEnd w:id="26"/>
      <w:bookmarkEnd w:id="27"/>
      <w:bookmarkEnd w:id="28"/>
      <w:bookmarkEnd w:id="29"/>
      <w:bookmarkEnd w:id="30"/>
      <w:bookmarkEnd w:id="31"/>
    </w:p>
    <w:p>
      <w:pPr>
        <w:pStyle w:val="zHeading5"/>
      </w:pPr>
      <w:bookmarkStart w:id="32" w:name="_Toc160794516"/>
      <w:bookmarkStart w:id="33" w:name="_Toc160807372"/>
      <w:r>
        <w:t>27.</w:t>
      </w:r>
      <w:r>
        <w:tab/>
        <w:t>Money credited to Perth Parking Licensing Account before commencement day may be used for fundable project</w:t>
      </w:r>
      <w:bookmarkEnd w:id="32"/>
      <w:bookmarkEnd w:id="33"/>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Perth Parking Management Act 2024</w:t>
      </w:r>
      <w:r>
        <w:t xml:space="preserve"> Part 12 comes into operation.</w:t>
      </w:r>
    </w:p>
    <w:p>
      <w:pPr>
        <w:pStyle w:val="zSubsection"/>
        <w:keepNext/>
        <w:keepLines/>
      </w:pPr>
      <w:r>
        <w:lastRenderedPageBreak/>
        <w:tab/>
        <w:t>(2)</w:t>
      </w:r>
      <w:r>
        <w:tab/>
        <w:t>Section 23(1A), (3)(c) and (4) apply in relation to an amount charged to the Perth Parking Licensing Account whether or not the amount was credited to the Account before or after commencement day.</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pPr>
        <w:pStyle w:val="nHeading2"/>
      </w:pPr>
      <w:bookmarkStart w:id="34" w:name="_Toc160805149"/>
      <w:bookmarkStart w:id="35" w:name="_Toc160805182"/>
      <w:bookmarkStart w:id="36" w:name="_Toc160806635"/>
      <w:bookmarkStart w:id="37" w:name="_Toc160806656"/>
      <w:bookmarkStart w:id="38" w:name="_Toc160807373"/>
      <w:bookmarkStart w:id="39" w:name="_Toc160790666"/>
      <w:bookmarkStart w:id="40" w:name="_Toc160790927"/>
      <w:bookmarkStart w:id="41" w:name="_Toc160794517"/>
      <w:r>
        <w:lastRenderedPageBreak/>
        <w:t>Notes</w:t>
      </w:r>
      <w:bookmarkEnd w:id="34"/>
      <w:bookmarkEnd w:id="35"/>
      <w:bookmarkEnd w:id="36"/>
      <w:bookmarkEnd w:id="37"/>
      <w:bookmarkEnd w:id="38"/>
    </w:p>
    <w:p>
      <w:pPr>
        <w:pStyle w:val="nStatement"/>
      </w:pPr>
      <w:r>
        <w:t xml:space="preserve">This is a compilation of the </w:t>
      </w:r>
      <w:r>
        <w:rPr>
          <w:i/>
          <w:noProof/>
        </w:rPr>
        <w:t>Perth Parking Management Act 2024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2" w:name="_Toc160807374"/>
      <w:r>
        <w:t>Compilation table</w:t>
      </w:r>
      <w:bookmarkEnd w:id="4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8" w:space="0" w:color="auto"/>
            </w:tcBorders>
          </w:tcPr>
          <w:p>
            <w:pPr>
              <w:pStyle w:val="nTable"/>
              <w:spacing w:after="40"/>
            </w:pPr>
            <w:r>
              <w:rPr>
                <w:i/>
                <w:noProof/>
              </w:rPr>
              <w:t xml:space="preserve">Perth Parking Management Act 2024 </w:t>
            </w:r>
            <w:r>
              <w:rPr>
                <w:iCs/>
                <w:noProof/>
              </w:rPr>
              <w:t>Pt. 1 (other than s. 3-10), s. 188 and Pt. 12</w:t>
            </w:r>
          </w:p>
        </w:tc>
        <w:tc>
          <w:tcPr>
            <w:tcW w:w="1134" w:type="dxa"/>
            <w:tcBorders>
              <w:bottom w:val="single" w:sz="8" w:space="0" w:color="auto"/>
            </w:tcBorders>
          </w:tcPr>
          <w:p>
            <w:pPr>
              <w:pStyle w:val="nTable"/>
              <w:spacing w:after="40"/>
            </w:pPr>
            <w:r>
              <w:t>2 of 2024</w:t>
            </w:r>
          </w:p>
        </w:tc>
        <w:tc>
          <w:tcPr>
            <w:tcW w:w="1134" w:type="dxa"/>
            <w:tcBorders>
              <w:bottom w:val="single" w:sz="8" w:space="0" w:color="auto"/>
            </w:tcBorders>
          </w:tcPr>
          <w:p>
            <w:pPr>
              <w:pStyle w:val="nTable"/>
              <w:spacing w:after="40"/>
            </w:pPr>
            <w:r>
              <w:t>7 Mar 2024</w:t>
            </w:r>
          </w:p>
        </w:tc>
        <w:tc>
          <w:tcPr>
            <w:tcW w:w="2552" w:type="dxa"/>
            <w:tcBorders>
              <w:bottom w:val="single" w:sz="8" w:space="0" w:color="auto"/>
            </w:tcBorders>
          </w:tcPr>
          <w:p>
            <w:pPr>
              <w:pStyle w:val="nTable"/>
              <w:spacing w:after="40"/>
            </w:pPr>
            <w:r>
              <w:t>Pt. 1 (other than s. 3</w:t>
            </w:r>
            <w:r>
              <w:noBreakHyphen/>
              <w:t>10): 7 Mar 2024 (see s. 2(a));</w:t>
            </w:r>
            <w:r>
              <w:br/>
              <w:t>s. 188 and Pt. 12: 8 Mar 2024 (see s. 2(b))</w:t>
            </w:r>
          </w:p>
        </w:tc>
      </w:tr>
    </w:tbl>
    <w:p>
      <w:pPr>
        <w:pStyle w:val="nHeading3"/>
      </w:pPr>
      <w:bookmarkStart w:id="43" w:name="_Toc160807375"/>
      <w:r>
        <w:t>Uncommenced provisions table</w:t>
      </w:r>
      <w:bookmarkEnd w:id="4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nil"/>
            </w:tcBorders>
          </w:tcPr>
          <w:p>
            <w:pPr>
              <w:pStyle w:val="nTable"/>
              <w:spacing w:after="40"/>
              <w:rPr>
                <w:b/>
              </w:rPr>
            </w:pPr>
            <w:r>
              <w:rPr>
                <w:b/>
              </w:rPr>
              <w:t>Short title</w:t>
            </w:r>
          </w:p>
        </w:tc>
        <w:tc>
          <w:tcPr>
            <w:tcW w:w="1134" w:type="dxa"/>
            <w:tcBorders>
              <w:bottom w:val="nil"/>
            </w:tcBorders>
          </w:tcPr>
          <w:p>
            <w:pPr>
              <w:pStyle w:val="nTable"/>
              <w:spacing w:after="40"/>
              <w:rPr>
                <w:b/>
              </w:rPr>
            </w:pPr>
            <w:r>
              <w:rPr>
                <w:b/>
              </w:rPr>
              <w:t>Number and year</w:t>
            </w:r>
          </w:p>
        </w:tc>
        <w:tc>
          <w:tcPr>
            <w:tcW w:w="1134" w:type="dxa"/>
            <w:tcBorders>
              <w:bottom w:val="nil"/>
            </w:tcBorders>
          </w:tcPr>
          <w:p>
            <w:pPr>
              <w:pStyle w:val="nTable"/>
              <w:spacing w:after="40"/>
              <w:rPr>
                <w:b/>
              </w:rPr>
            </w:pPr>
            <w:r>
              <w:rPr>
                <w:b/>
              </w:rPr>
              <w:t>Assent</w:t>
            </w:r>
          </w:p>
        </w:tc>
        <w:tc>
          <w:tcPr>
            <w:tcW w:w="2552" w:type="dxa"/>
            <w:tcBorders>
              <w:bottom w:val="nil"/>
            </w:tcBorders>
          </w:tcPr>
          <w:p>
            <w:pPr>
              <w:pStyle w:val="nTable"/>
              <w:spacing w:after="40"/>
              <w:rPr>
                <w:b/>
              </w:rPr>
            </w:pPr>
            <w:r>
              <w:rPr>
                <w:b/>
              </w:rPr>
              <w:t>Commencement</w:t>
            </w:r>
          </w:p>
        </w:tc>
      </w:tr>
      <w:tr>
        <w:tc>
          <w:tcPr>
            <w:tcW w:w="2268" w:type="dxa"/>
            <w:tcBorders>
              <w:top w:val="nil"/>
              <w:bottom w:val="nil"/>
            </w:tcBorders>
          </w:tcPr>
          <w:p>
            <w:pPr>
              <w:pStyle w:val="nTable"/>
              <w:spacing w:after="40"/>
            </w:pPr>
            <w:r>
              <w:rPr>
                <w:i/>
                <w:noProof/>
              </w:rPr>
              <w:t xml:space="preserve">Perth Parking Management Act 2024 </w:t>
            </w:r>
            <w:r>
              <w:rPr>
                <w:iCs/>
                <w:noProof/>
              </w:rPr>
              <w:t>s. 3-10, Pt. 2</w:t>
            </w:r>
            <w:r>
              <w:rPr>
                <w:iCs/>
                <w:noProof/>
              </w:rPr>
              <w:noBreakHyphen/>
              <w:t>10 (other than s. 188) and Pt. 11</w:t>
            </w:r>
          </w:p>
        </w:tc>
        <w:tc>
          <w:tcPr>
            <w:tcW w:w="1134" w:type="dxa"/>
            <w:tcBorders>
              <w:top w:val="nil"/>
              <w:bottom w:val="nil"/>
            </w:tcBorders>
          </w:tcPr>
          <w:p>
            <w:pPr>
              <w:pStyle w:val="nTable"/>
              <w:spacing w:after="40"/>
            </w:pPr>
            <w:r>
              <w:t>2 of 2024</w:t>
            </w:r>
          </w:p>
        </w:tc>
        <w:tc>
          <w:tcPr>
            <w:tcW w:w="1134" w:type="dxa"/>
            <w:tcBorders>
              <w:top w:val="nil"/>
              <w:bottom w:val="nil"/>
            </w:tcBorders>
          </w:tcPr>
          <w:p>
            <w:pPr>
              <w:pStyle w:val="nTable"/>
              <w:spacing w:after="40"/>
            </w:pPr>
            <w:r>
              <w:t>7 Mar 2024</w:t>
            </w:r>
          </w:p>
        </w:tc>
        <w:tc>
          <w:tcPr>
            <w:tcW w:w="2552" w:type="dxa"/>
            <w:tcBorders>
              <w:top w:val="nil"/>
              <w:bottom w:val="nil"/>
            </w:tcBorders>
          </w:tcPr>
          <w:p>
            <w:pPr>
              <w:pStyle w:val="nTable"/>
              <w:spacing w:after="40"/>
            </w:pPr>
            <w:r>
              <w:t>To be proclaimed (see s. 2(c))</w:t>
            </w:r>
          </w:p>
        </w:tc>
      </w:tr>
      <w:tr>
        <w:tc>
          <w:tcPr>
            <w:tcW w:w="2268" w:type="dxa"/>
            <w:tcBorders>
              <w:top w:val="nil"/>
              <w:bottom w:val="single" w:sz="4" w:space="0" w:color="auto"/>
            </w:tcBorders>
          </w:tcPr>
          <w:p>
            <w:pPr>
              <w:pStyle w:val="nTable"/>
              <w:spacing w:after="40"/>
              <w:rPr>
                <w:i/>
                <w:noProof/>
              </w:rPr>
            </w:pPr>
            <w:r>
              <w:rPr>
                <w:i/>
                <w:noProof/>
              </w:rPr>
              <w:t xml:space="preserve">Perth Parking Management Amendment Act 2024 </w:t>
            </w:r>
            <w:r>
              <w:rPr>
                <w:iCs/>
                <w:noProof/>
              </w:rPr>
              <w:t>s. 3 and 4</w:t>
            </w:r>
          </w:p>
        </w:tc>
        <w:tc>
          <w:tcPr>
            <w:tcW w:w="1134" w:type="dxa"/>
            <w:tcBorders>
              <w:top w:val="nil"/>
              <w:bottom w:val="single" w:sz="4" w:space="0" w:color="auto"/>
            </w:tcBorders>
          </w:tcPr>
          <w:p>
            <w:pPr>
              <w:pStyle w:val="nTable"/>
              <w:spacing w:after="40"/>
            </w:pPr>
            <w:r>
              <w:t>3 of 2024</w:t>
            </w:r>
          </w:p>
        </w:tc>
        <w:tc>
          <w:tcPr>
            <w:tcW w:w="1134" w:type="dxa"/>
            <w:tcBorders>
              <w:top w:val="nil"/>
              <w:bottom w:val="single" w:sz="4" w:space="0" w:color="auto"/>
            </w:tcBorders>
          </w:tcPr>
          <w:p>
            <w:pPr>
              <w:pStyle w:val="nTable"/>
              <w:spacing w:after="40"/>
            </w:pPr>
            <w:r>
              <w:t>7 Mar 2024</w:t>
            </w:r>
          </w:p>
        </w:tc>
        <w:tc>
          <w:tcPr>
            <w:tcW w:w="2552" w:type="dxa"/>
            <w:tcBorders>
              <w:top w:val="nil"/>
              <w:bottom w:val="single" w:sz="4" w:space="0" w:color="auto"/>
            </w:tcBorders>
          </w:tcPr>
          <w:p>
            <w:pPr>
              <w:pStyle w:val="nTable"/>
              <w:spacing w:after="40"/>
            </w:pPr>
            <w:r>
              <w:t xml:space="preserve">Operative on the day on which the </w:t>
            </w:r>
            <w:r>
              <w:rPr>
                <w:i/>
                <w:iCs/>
              </w:rPr>
              <w:t>Perth Parking Management Act 2024</w:t>
            </w:r>
            <w:r>
              <w:t xml:space="preserve"> s. 3 comes into operation (see s. 2(b))</w:t>
            </w:r>
          </w:p>
        </w:tc>
      </w:tr>
    </w:tbl>
    <w:p>
      <w:pPr>
        <w:sectPr>
          <w:headerReference w:type="even" r:id="rId28"/>
          <w:headerReference w:type="default" r:id="rId29"/>
          <w:pgSz w:w="11907" w:h="16840" w:code="9"/>
          <w:pgMar w:top="2376" w:right="2405" w:bottom="3542" w:left="2405" w:header="706" w:footer="3544" w:gutter="0"/>
          <w:cols w:space="720"/>
          <w:noEndnote/>
          <w:docGrid w:linePitch="326"/>
        </w:sectPr>
      </w:pPr>
    </w:p>
    <w:bookmarkEnd w:id="39"/>
    <w:bookmarkEnd w:id="40"/>
    <w:bookmarkEnd w:id="41"/>
    <w:p>
      <w:pPr>
        <w:pStyle w:val="nHeading2"/>
        <w:rPr>
          <w:sz w:val="28"/>
        </w:rPr>
      </w:pPr>
      <w:r>
        <w:rPr>
          <w:sz w:val="28"/>
        </w:rPr>
        <w:lastRenderedPageBreak/>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assent day</w:t>
      </w:r>
      <w:r>
        <w:tab/>
        <w:t>2</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4VPgIAAHgEAAAOAAAAZHJzL2Uyb0RvYy54bWysVE1v2zAMvQ/YfxB0X+yk6ceMOEWWIsOA&#10;oC2QDj0rshQLkEVNUmJnv36U7KRZt9OwHBRSpEi+R9Kz+67R5CCcV2BKOh7llAjDoVJmV9LvL6tP&#10;d5T4wEzFNBhR0qPw9H7+8cOstYWYQA26Eo5gEOOL1pa0DsEWWeZ5LRrmR2CFQaME17CAqttllWMt&#10;Rm90Nsnzm6wFV1kHXHiPtw+9kc5TfCkFD09SehGILinWFtLp0rmNZzafsWLnmK0VH8pg/1BFw5TB&#10;pOdQDywwsnfqj1CN4g48yDDi0GQgpeIiYUA04/wdmk3NrEhYkBxvzzT5/xeWPx6eHVFVSa8oMazB&#10;Fi32oQanwjGS01pfoM/GolfovkCHTT7de7yMmDvpmviPaAjakebjmVrRBcLjo8ltnqOFo+lmeotK&#10;jJK9PbbOh68CGhKFkjrsXCKUHdY+9K4nl5jLg1bVSmmdFLfbLrUjB4ZdXqXfEP03N21Ii9mvrvMU&#10;2UB834fWBouJWHtMUQrdthsI2EJ1RPwO+vHxlq8UVrlmPjwzh/OCwHAHwhMeUgMmgUGiBKn8+bf7&#10;6I9tRCslLc5fSf2PPXOCEv3NYIM/j6fTOLBJmV7fTlBxl5btpcXsmyUg+DFum+VJjP5Bn0TpoHnF&#10;VVnErGhihmPukoaTuAz9VuCqcbFYJCccUcvC2mwsj6Ej1bEHL90rc3ZoVMAOP8JpUlnxrl+9b3xp&#10;AAcLpErNjAT3rA6843incRhWMe7PpZ683j4Y818AAAD//wMAUEsDBBQABgAIAAAAIQBjfy4b3AAA&#10;AAkBAAAPAAAAZHJzL2Rvd25yZXYueG1sTE/LTsMwELwj8Q/WInGjdsNDUYhTVUicqh4IpXB04yWJ&#10;Gq+D7bTh71lOcNudGc2jXM1uECcMsfekYblQIJAab3tqNexen29yEDEZsmbwhBq+McKqurwoTWH9&#10;mV7wVKdWsAnFwmjoUhoLKWPToTNx4Uck5j59cCbxG1ppgzmzuRtkptSDdKYnTujMiE8dNsd6cho+&#10;tv39dr9Zv+e1muq3r3lzvN0Hra+v5vUjiIRz+hPDb32uDhV3OviJbBSDBh6SGF3mGV/McxqIAyNZ&#10;fqdAVqX8v6D6AQAA//8DAFBLAQItABQABgAIAAAAIQC2gziS/gAAAOEBAAATAAAAAAAAAAAAAAAA&#10;AAAAAABbQ29udGVudF9UeXBlc10ueG1sUEsBAi0AFAAGAAgAAAAhADj9If/WAAAAlAEAAAsAAAAA&#10;AAAAAAAAAAAALwEAAF9yZWxzLy5yZWxzUEsBAi0AFAAGAAgAAAAhAHBkDhU+AgAAeAQAAA4AAAAA&#10;AAAAAAAAAAAALgIAAGRycy9lMm9Eb2MueG1sUEsBAi0AFAAGAAgAAAAhAGN/LhvcAAAACQEAAA8A&#10;AAAAAAAAAAAAAAAAmAQAAGRycy9kb3ducmV2LnhtbFBLBQYAAAAABAAEAPMAAAChBQ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00-b0-00</w:t>
    </w:r>
    <w:r>
      <w:rPr>
        <w:sz w:val="16"/>
      </w:rPr>
      <w:fldChar w:fldCharType="end"/>
    </w:r>
    <w:r>
      <w:rPr>
        <w:sz w:val="16"/>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b/>
        <w:bCs/>
        <w:sz w:val="20"/>
        <w:lang w:val="en-US"/>
      </w:rPr>
      <w:t>Error! Unknown document property name.</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Act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Parking Management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Act 2024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Act 2024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Act 2024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Parking Management Act 2024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6" w:name="Coversheet"/>
    <w:bookmarkEnd w:id="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Act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Act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Act 2024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3471D"/>
    <w:multiLevelType w:val="hybridMultilevel"/>
    <w:tmpl w:val="E604C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4"/>
  </w:num>
  <w:num w:numId="4">
    <w:abstractNumId w:val="12"/>
  </w:num>
  <w:num w:numId="5">
    <w:abstractNumId w:val="19"/>
  </w:num>
  <w:num w:numId="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203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30811320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212051623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05162346_GUID" w:val="caaf1470-4782-4d98-8d0d-80faf0b446b9"/>
    <w:docVar w:name="WAFER_202212080904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08090407_GUID" w:val="4f00a0f7-8300-45a5-9ee9-affa60320367"/>
    <w:docVar w:name="WAFER_202212091249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09124944_GUID" w:val="7a57b081-0d2b-4baf-8385-bd07559ad69c"/>
    <w:docVar w:name="WAFER_202302131315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213131515_GUID" w:val="7267c44c-c699-4cd9-ad66-edacff9f660f"/>
    <w:docVar w:name="WAFER_20230215124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215124936_GUID" w:val="32bd838c-4307-4c50-a959-be3e3f95a740"/>
    <w:docVar w:name="WAFER_202303010851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01085129_GUID" w:val="bacca100-06d8-4dde-b110-22d455896410"/>
    <w:docVar w:name="WAFER_202303100853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10085317_GUID" w:val="c0895a69-c548-4c30-89d9-dc25adfcff1d"/>
    <w:docVar w:name="WAFER_202303151537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15153706_GUID" w:val="82ca9436-6838-4b1d-825f-c33d1005aad8"/>
    <w:docVar w:name="WAFER_202303161348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16134803_GUID" w:val="28923b19-adaa-4979-aece-2b16b551b6c1"/>
    <w:docVar w:name="WAFER_202304031257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03125714_GUID" w:val="0ea3f59e-63b3-4a5d-8b68-94968ded76a0"/>
    <w:docVar w:name="WAFER_202304031400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03140011_GUID" w:val="624d8ff5-2ddd-4d25-9f17-fac7bffb4b3b"/>
    <w:docVar w:name="WAFER_202304110839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11083937_GUID" w:val="1f49d5e1-76aa-402b-ace4-694f12a41f36"/>
    <w:docVar w:name="WAFER_202304110841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11084102_GUID" w:val="40fc77ee-a6ee-4d01-8d6b-e421ea303a16"/>
    <w:docVar w:name="WAFER_202304171010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17101043_GUID" w:val="36b0aae3-2c8f-4574-bdf3-2b0285c499dd"/>
    <w:docVar w:name="WAFER_202304271215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27121541_GUID" w:val="4c1cbe85-72a9-4a27-a01e-ead10d4c2157"/>
    <w:docVar w:name="WAFER_202305011221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501122112_GUID" w:val="0f767a41-a1c8-4812-879e-7b5c316e4c34"/>
    <w:docVar w:name="WAFER_202305050916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05091657_GUID" w:val="f5824eb0-cd86-4e00-b516-ccc89c688d38"/>
    <w:docVar w:name="WAFER_202305081107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508110739_GUID" w:val="0fbf5fe7-1c8e-4085-a60f-f56ff99a240e"/>
    <w:docVar w:name="WAFER_202305250828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525082826_GUID" w:val="6d510e40-aecf-4219-91df-99787b1f8a5a"/>
    <w:docVar w:name="WAFER_202305250941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DraftersNotes.RemoveTags"/>
    <w:docVar w:name="WAFER_20230525094136_GUID" w:val="95e80725-1a8d-4efb-aa66-1b6475453840"/>
    <w:docVar w:name="WAFER_202305311306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531130621_GUID" w:val="ae04f403-bab3-4945-8ca3-3b711d552444"/>
    <w:docVar w:name="WAFER_202306011346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01134611_GUID" w:val="27b3b19a-73ca-4740-a16b-92c15dd8c78e"/>
    <w:docVar w:name="WAFER_202306011538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01153849_GUID" w:val="41520915-08f8-4e74-aa83-30ee88172883"/>
    <w:docVar w:name="WAFER_202306091542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09154252_GUID" w:val="e14d874c-1c66-499a-8342-eafa4576cbfc"/>
    <w:docVar w:name="WAFER_202308051507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DraftersNotes.RemoveTags"/>
    <w:docVar w:name="WAFER_20230805150734_GUID" w:val="b1918f4b-7948-4eb4-ade0-22f02e972a82"/>
    <w:docVar w:name="WAFER_20240308113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308113206_GUID" w:val="64de75e5-0b21-4b4a-9112-202a5e7beb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2033"/>
    <o:shapelayout v:ext="edit">
      <o:idmap v:ext="edit" data="1"/>
    </o:shapelayout>
  </w:shapeDefaults>
  <w:decimalSymbol w:val="."/>
  <w:listSeparator w:val=","/>
  <w15:docId w15:val="{31E0F8A5-3486-4F9B-96EF-E6B19B5D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uiPriority w:val="9"/>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uiPriority w:val="22"/>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uiPriority w:val="99"/>
    <w:pPr>
      <w:tabs>
        <w:tab w:val="num" w:pos="360"/>
      </w:tabs>
    </w:pPr>
  </w:style>
  <w:style w:type="paragraph" w:styleId="ListNumber4">
    <w:name w:val="List Number 4"/>
    <w:basedOn w:val="Normal"/>
    <w:uiPriority w:val="99"/>
    <w:pPr>
      <w:tabs>
        <w:tab w:val="num" w:pos="360"/>
      </w:tabs>
    </w:pPr>
  </w:style>
  <w:style w:type="paragraph" w:styleId="ListNumber5">
    <w:name w:val="List Number 5"/>
    <w:basedOn w:val="Normal"/>
    <w:uiPriority w:val="99"/>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ListParagraph">
    <w:name w:val="List Paragraph"/>
    <w:basedOn w:val="Normal"/>
    <w:uiPriority w:val="34"/>
    <w:qFormat/>
    <w:pPr>
      <w:spacing w:line="25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6975">
      <w:bodyDiv w:val="1"/>
      <w:marLeft w:val="0"/>
      <w:marRight w:val="0"/>
      <w:marTop w:val="0"/>
      <w:marBottom w:val="0"/>
      <w:divBdr>
        <w:top w:val="none" w:sz="0" w:space="0" w:color="auto"/>
        <w:left w:val="none" w:sz="0" w:space="0" w:color="auto"/>
        <w:bottom w:val="none" w:sz="0" w:space="0" w:color="auto"/>
        <w:right w:val="none" w:sz="0" w:space="0" w:color="auto"/>
      </w:divBdr>
    </w:div>
    <w:div w:id="201478570">
      <w:bodyDiv w:val="1"/>
      <w:marLeft w:val="0"/>
      <w:marRight w:val="0"/>
      <w:marTop w:val="0"/>
      <w:marBottom w:val="0"/>
      <w:divBdr>
        <w:top w:val="none" w:sz="0" w:space="0" w:color="auto"/>
        <w:left w:val="none" w:sz="0" w:space="0" w:color="auto"/>
        <w:bottom w:val="none" w:sz="0" w:space="0" w:color="auto"/>
        <w:right w:val="none" w:sz="0" w:space="0" w:color="auto"/>
      </w:divBdr>
    </w:div>
    <w:div w:id="456067326">
      <w:bodyDiv w:val="1"/>
      <w:marLeft w:val="0"/>
      <w:marRight w:val="0"/>
      <w:marTop w:val="0"/>
      <w:marBottom w:val="0"/>
      <w:divBdr>
        <w:top w:val="none" w:sz="0" w:space="0" w:color="auto"/>
        <w:left w:val="none" w:sz="0" w:space="0" w:color="auto"/>
        <w:bottom w:val="none" w:sz="0" w:space="0" w:color="auto"/>
        <w:right w:val="none" w:sz="0" w:space="0" w:color="auto"/>
      </w:divBdr>
    </w:div>
    <w:div w:id="464928257">
      <w:bodyDiv w:val="1"/>
      <w:marLeft w:val="0"/>
      <w:marRight w:val="0"/>
      <w:marTop w:val="0"/>
      <w:marBottom w:val="0"/>
      <w:divBdr>
        <w:top w:val="none" w:sz="0" w:space="0" w:color="auto"/>
        <w:left w:val="none" w:sz="0" w:space="0" w:color="auto"/>
        <w:bottom w:val="none" w:sz="0" w:space="0" w:color="auto"/>
        <w:right w:val="none" w:sz="0" w:space="0" w:color="auto"/>
      </w:divBdr>
    </w:div>
    <w:div w:id="715854292">
      <w:bodyDiv w:val="1"/>
      <w:marLeft w:val="0"/>
      <w:marRight w:val="0"/>
      <w:marTop w:val="0"/>
      <w:marBottom w:val="0"/>
      <w:divBdr>
        <w:top w:val="none" w:sz="0" w:space="0" w:color="auto"/>
        <w:left w:val="none" w:sz="0" w:space="0" w:color="auto"/>
        <w:bottom w:val="none" w:sz="0" w:space="0" w:color="auto"/>
        <w:right w:val="none" w:sz="0" w:space="0" w:color="auto"/>
      </w:divBdr>
    </w:div>
    <w:div w:id="729116575">
      <w:bodyDiv w:val="1"/>
      <w:marLeft w:val="0"/>
      <w:marRight w:val="0"/>
      <w:marTop w:val="0"/>
      <w:marBottom w:val="0"/>
      <w:divBdr>
        <w:top w:val="none" w:sz="0" w:space="0" w:color="auto"/>
        <w:left w:val="none" w:sz="0" w:space="0" w:color="auto"/>
        <w:bottom w:val="none" w:sz="0" w:space="0" w:color="auto"/>
        <w:right w:val="none" w:sz="0" w:space="0" w:color="auto"/>
      </w:divBdr>
    </w:div>
    <w:div w:id="800923501">
      <w:bodyDiv w:val="1"/>
      <w:marLeft w:val="0"/>
      <w:marRight w:val="0"/>
      <w:marTop w:val="0"/>
      <w:marBottom w:val="0"/>
      <w:divBdr>
        <w:top w:val="none" w:sz="0" w:space="0" w:color="auto"/>
        <w:left w:val="none" w:sz="0" w:space="0" w:color="auto"/>
        <w:bottom w:val="none" w:sz="0" w:space="0" w:color="auto"/>
        <w:right w:val="none" w:sz="0" w:space="0" w:color="auto"/>
      </w:divBdr>
    </w:div>
    <w:div w:id="1135414688">
      <w:bodyDiv w:val="1"/>
      <w:marLeft w:val="0"/>
      <w:marRight w:val="0"/>
      <w:marTop w:val="0"/>
      <w:marBottom w:val="0"/>
      <w:divBdr>
        <w:top w:val="none" w:sz="0" w:space="0" w:color="auto"/>
        <w:left w:val="none" w:sz="0" w:space="0" w:color="auto"/>
        <w:bottom w:val="none" w:sz="0" w:space="0" w:color="auto"/>
        <w:right w:val="none" w:sz="0" w:space="0" w:color="auto"/>
      </w:divBdr>
    </w:div>
    <w:div w:id="1653022678">
      <w:bodyDiv w:val="1"/>
      <w:marLeft w:val="0"/>
      <w:marRight w:val="0"/>
      <w:marTop w:val="0"/>
      <w:marBottom w:val="0"/>
      <w:divBdr>
        <w:top w:val="none" w:sz="0" w:space="0" w:color="auto"/>
        <w:left w:val="none" w:sz="0" w:space="0" w:color="auto"/>
        <w:bottom w:val="none" w:sz="0" w:space="0" w:color="auto"/>
        <w:right w:val="none" w:sz="0" w:space="0" w:color="auto"/>
      </w:divBdr>
    </w:div>
    <w:div w:id="1726904207">
      <w:bodyDiv w:val="1"/>
      <w:marLeft w:val="0"/>
      <w:marRight w:val="0"/>
      <w:marTop w:val="0"/>
      <w:marBottom w:val="0"/>
      <w:divBdr>
        <w:top w:val="none" w:sz="0" w:space="0" w:color="auto"/>
        <w:left w:val="none" w:sz="0" w:space="0" w:color="auto"/>
        <w:bottom w:val="none" w:sz="0" w:space="0" w:color="auto"/>
        <w:right w:val="none" w:sz="0" w:space="0" w:color="auto"/>
      </w:divBdr>
    </w:div>
    <w:div w:id="1752727454">
      <w:bodyDiv w:val="1"/>
      <w:marLeft w:val="0"/>
      <w:marRight w:val="0"/>
      <w:marTop w:val="0"/>
      <w:marBottom w:val="0"/>
      <w:divBdr>
        <w:top w:val="none" w:sz="0" w:space="0" w:color="auto"/>
        <w:left w:val="none" w:sz="0" w:space="0" w:color="auto"/>
        <w:bottom w:val="none" w:sz="0" w:space="0" w:color="auto"/>
        <w:right w:val="none" w:sz="0" w:space="0" w:color="auto"/>
      </w:divBdr>
    </w:div>
    <w:div w:id="1860966591">
      <w:bodyDiv w:val="1"/>
      <w:marLeft w:val="0"/>
      <w:marRight w:val="0"/>
      <w:marTop w:val="0"/>
      <w:marBottom w:val="0"/>
      <w:divBdr>
        <w:top w:val="none" w:sz="0" w:space="0" w:color="auto"/>
        <w:left w:val="none" w:sz="0" w:space="0" w:color="auto"/>
        <w:bottom w:val="none" w:sz="0" w:space="0" w:color="auto"/>
        <w:right w:val="none" w:sz="0" w:space="0" w:color="auto"/>
      </w:divBdr>
    </w:div>
    <w:div w:id="1884369406">
      <w:bodyDiv w:val="1"/>
      <w:marLeft w:val="0"/>
      <w:marRight w:val="0"/>
      <w:marTop w:val="0"/>
      <w:marBottom w:val="0"/>
      <w:divBdr>
        <w:top w:val="none" w:sz="0" w:space="0" w:color="auto"/>
        <w:left w:val="none" w:sz="0" w:space="0" w:color="auto"/>
        <w:bottom w:val="none" w:sz="0" w:space="0" w:color="auto"/>
        <w:right w:val="none" w:sz="0" w:space="0" w:color="auto"/>
      </w:divBdr>
    </w:div>
    <w:div w:id="1893079826">
      <w:bodyDiv w:val="1"/>
      <w:marLeft w:val="0"/>
      <w:marRight w:val="0"/>
      <w:marTop w:val="0"/>
      <w:marBottom w:val="0"/>
      <w:divBdr>
        <w:top w:val="none" w:sz="0" w:space="0" w:color="auto"/>
        <w:left w:val="none" w:sz="0" w:space="0" w:color="auto"/>
        <w:bottom w:val="none" w:sz="0" w:space="0" w:color="auto"/>
        <w:right w:val="none" w:sz="0" w:space="0" w:color="auto"/>
      </w:divBdr>
    </w:div>
    <w:div w:id="1899631322">
      <w:bodyDiv w:val="1"/>
      <w:marLeft w:val="0"/>
      <w:marRight w:val="0"/>
      <w:marTop w:val="0"/>
      <w:marBottom w:val="0"/>
      <w:divBdr>
        <w:top w:val="none" w:sz="0" w:space="0" w:color="auto"/>
        <w:left w:val="none" w:sz="0" w:space="0" w:color="auto"/>
        <w:bottom w:val="none" w:sz="0" w:space="0" w:color="auto"/>
        <w:right w:val="none" w:sz="0" w:space="0" w:color="auto"/>
      </w:divBdr>
    </w:div>
    <w:div w:id="1960600778">
      <w:bodyDiv w:val="1"/>
      <w:marLeft w:val="0"/>
      <w:marRight w:val="0"/>
      <w:marTop w:val="0"/>
      <w:marBottom w:val="0"/>
      <w:divBdr>
        <w:top w:val="none" w:sz="0" w:space="0" w:color="auto"/>
        <w:left w:val="none" w:sz="0" w:space="0" w:color="auto"/>
        <w:bottom w:val="none" w:sz="0" w:space="0" w:color="auto"/>
        <w:right w:val="none" w:sz="0" w:space="0" w:color="auto"/>
      </w:divBdr>
    </w:div>
    <w:div w:id="1966230838">
      <w:bodyDiv w:val="1"/>
      <w:marLeft w:val="0"/>
      <w:marRight w:val="0"/>
      <w:marTop w:val="0"/>
      <w:marBottom w:val="0"/>
      <w:divBdr>
        <w:top w:val="none" w:sz="0" w:space="0" w:color="auto"/>
        <w:left w:val="none" w:sz="0" w:space="0" w:color="auto"/>
        <w:bottom w:val="none" w:sz="0" w:space="0" w:color="auto"/>
        <w:right w:val="none" w:sz="0" w:space="0" w:color="auto"/>
      </w:divBdr>
    </w:div>
    <w:div w:id="2018000237">
      <w:bodyDiv w:val="1"/>
      <w:marLeft w:val="0"/>
      <w:marRight w:val="0"/>
      <w:marTop w:val="0"/>
      <w:marBottom w:val="0"/>
      <w:divBdr>
        <w:top w:val="none" w:sz="0" w:space="0" w:color="auto"/>
        <w:left w:val="none" w:sz="0" w:space="0" w:color="auto"/>
        <w:bottom w:val="none" w:sz="0" w:space="0" w:color="auto"/>
        <w:right w:val="none" w:sz="0" w:space="0" w:color="auto"/>
      </w:divBdr>
      <w:divsChild>
        <w:div w:id="1299989939">
          <w:marLeft w:val="0"/>
          <w:marRight w:val="0"/>
          <w:marTop w:val="0"/>
          <w:marBottom w:val="0"/>
          <w:divBdr>
            <w:top w:val="none" w:sz="0" w:space="0" w:color="auto"/>
            <w:left w:val="none" w:sz="0" w:space="0" w:color="auto"/>
            <w:bottom w:val="none" w:sz="0" w:space="0" w:color="auto"/>
            <w:right w:val="none" w:sz="0" w:space="0" w:color="auto"/>
          </w:divBdr>
        </w:div>
        <w:div w:id="198797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3D12-EC2F-4CE0-9ED4-FFC987F0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1198</Words>
  <Characters>5956</Characters>
  <Application>Microsoft Office Word</Application>
  <DocSecurity>0</DocSecurity>
  <Lines>238</Lines>
  <Paragraphs>145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7009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Act 2024 - 00-b0-00</dc:title>
  <dc:subject/>
  <dc:creator/>
  <cp:keywords/>
  <dc:description/>
  <cp:lastModifiedBy>Master Repository Process</cp:lastModifiedBy>
  <cp:revision>4</cp:revision>
  <cp:lastPrinted>2024-03-08T03:13:00Z</cp:lastPrinted>
  <dcterms:created xsi:type="dcterms:W3CDTF">2024-03-08T08:29:00Z</dcterms:created>
  <dcterms:modified xsi:type="dcterms:W3CDTF">2024-03-08T08:29:00Z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2024</vt:lpwstr>
  </property>
  <property fmtid="{D5CDD505-2E9C-101B-9397-08002B2CF9AE}" pid="3" name="DocumentType">
    <vt:lpwstr>Act</vt:lpwstr>
  </property>
  <property fmtid="{D5CDD505-2E9C-101B-9397-08002B2CF9AE}" pid="4" name="AsAtDate">
    <vt:lpwstr>08 Mar 2024</vt:lpwstr>
  </property>
  <property fmtid="{D5CDD505-2E9C-101B-9397-08002B2CF9AE}" pid="5" name="Suffix">
    <vt:lpwstr>00-b0-00</vt:lpwstr>
  </property>
  <property fmtid="{D5CDD505-2E9C-101B-9397-08002B2CF9AE}" pid="6" name="Official">
    <vt:lpwstr/>
  </property>
  <property fmtid="{D5CDD505-2E9C-101B-9397-08002B2CF9AE}" pid="7" name="CommencementDate">
    <vt:lpwstr>20240308</vt:lpwstr>
  </property>
  <property fmtid="{D5CDD505-2E9C-101B-9397-08002B2CF9AE}" pid="8" name="CommencementAsAt">
    <vt:filetime>2024-03-07T16:00:00Z</vt:filetime>
  </property>
  <property fmtid="{D5CDD505-2E9C-101B-9397-08002B2CF9AE}" pid="9" name="CommencementYear">
    <vt:lpwstr>2024</vt:lpwstr>
  </property>
</Properties>
</file>