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Guardianship and Administration Act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_Toc161906818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_Toc161906819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_Toc161906820 \h </w:instrText>
      </w:r>
      <w:r>
        <w:fldChar w:fldCharType="separate"/>
      </w:r>
      <w:r>
        <w:t>1</w:t>
      </w:r>
      <w:r>
        <w:fldChar w:fldCharType="end"/>
      </w:r>
    </w:p>
    <w:p>
      <w:pPr>
        <w:pStyle w:val="TOC8"/>
        <w:rPr>
          <w:rFonts w:asciiTheme="minorHAnsi" w:eastAsiaTheme="minorEastAsia" w:hAnsiTheme="minorHAnsi" w:cstheme="minorBidi"/>
          <w:szCs w:val="22"/>
        </w:rPr>
      </w:pPr>
      <w:r>
        <w:t>3AA</w:t>
      </w:r>
      <w:r>
        <w:rPr>
          <w:color w:val="000000" w:themeColor="text1"/>
        </w:rPr>
        <w:t>.</w:t>
      </w:r>
      <w:r>
        <w:rPr>
          <w:color w:val="000000" w:themeColor="text1"/>
        </w:rPr>
        <w:tab/>
        <w:t>Term used: medical research</w:t>
      </w:r>
      <w:r>
        <w:tab/>
      </w:r>
      <w:r>
        <w:fldChar w:fldCharType="begin"/>
      </w:r>
      <w:r>
        <w:instrText xml:space="preserve"> PAGEREF _Toc161906821 \h </w:instrText>
      </w:r>
      <w:r>
        <w:fldChar w:fldCharType="separate"/>
      </w:r>
      <w:r>
        <w:t>1</w:t>
      </w:r>
      <w:r>
        <w:fldChar w:fldCharType="end"/>
      </w:r>
    </w:p>
    <w:p>
      <w:pPr>
        <w:pStyle w:val="TOC8"/>
        <w:rPr>
          <w:rFonts w:asciiTheme="minorHAnsi" w:eastAsiaTheme="minorEastAsia" w:hAnsiTheme="minorHAnsi" w:cstheme="minorBidi"/>
          <w:szCs w:val="22"/>
        </w:rPr>
      </w:pPr>
      <w:r>
        <w:t>3A.</w:t>
      </w:r>
      <w:r>
        <w:tab/>
        <w:t>Inherent jurisdiction of Supreme Court not affected</w:t>
      </w:r>
      <w:r>
        <w:tab/>
      </w:r>
      <w:r>
        <w:fldChar w:fldCharType="begin"/>
      </w:r>
      <w:r>
        <w:instrText xml:space="preserve"> PAGEREF _Toc161906822 \h </w:instrText>
      </w:r>
      <w:r>
        <w:fldChar w:fldCharType="separate"/>
      </w:r>
      <w:r>
        <w:t>1</w:t>
      </w:r>
      <w:r>
        <w:fldChar w:fldCharType="end"/>
      </w:r>
    </w:p>
    <w:p>
      <w:pPr>
        <w:pStyle w:val="TOC8"/>
        <w:rPr>
          <w:rFonts w:asciiTheme="minorHAnsi" w:eastAsiaTheme="minorEastAsia" w:hAnsiTheme="minorHAnsi" w:cstheme="minorBidi"/>
          <w:szCs w:val="22"/>
        </w:rPr>
      </w:pPr>
      <w:r>
        <w:t>3B.</w:t>
      </w:r>
      <w:r>
        <w:tab/>
        <w:t>Act does not authorise decisions about voluntary assisted dying</w:t>
      </w:r>
      <w:r>
        <w:tab/>
      </w:r>
      <w:r>
        <w:fldChar w:fldCharType="begin"/>
      </w:r>
      <w:r>
        <w:instrText xml:space="preserve"> PAGEREF _Toc161906823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Principles to be observed by State Administrative Tribunal</w:t>
      </w:r>
    </w:p>
    <w:p>
      <w:pPr>
        <w:pStyle w:val="TOC8"/>
        <w:rPr>
          <w:rFonts w:asciiTheme="minorHAnsi" w:eastAsiaTheme="minorEastAsia" w:hAnsiTheme="minorHAnsi" w:cstheme="minorBidi"/>
          <w:szCs w:val="22"/>
        </w:rPr>
      </w:pPr>
      <w:r>
        <w:t>4</w:t>
      </w:r>
      <w:r>
        <w:rPr>
          <w:snapToGrid w:val="0"/>
        </w:rPr>
        <w:t>.</w:t>
      </w:r>
      <w:r>
        <w:rPr>
          <w:snapToGrid w:val="0"/>
        </w:rPr>
        <w:tab/>
        <w:t>Principles stated</w:t>
      </w:r>
      <w:r>
        <w:tab/>
      </w:r>
      <w:r>
        <w:fldChar w:fldCharType="begin"/>
      </w:r>
      <w:r>
        <w:instrText xml:space="preserve"> PAGEREF _Toc161906825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The State Administrative Tribunal</w:t>
      </w:r>
    </w:p>
    <w:p>
      <w:pPr>
        <w:pStyle w:val="TOC4"/>
        <w:tabs>
          <w:tab w:val="right" w:leader="dot" w:pos="7077"/>
        </w:tabs>
        <w:rPr>
          <w:rFonts w:asciiTheme="minorHAnsi" w:eastAsiaTheme="minorEastAsia" w:hAnsiTheme="minorHAnsi" w:cstheme="minorBidi"/>
          <w:b w:val="0"/>
          <w:szCs w:val="22"/>
        </w:rPr>
      </w:pPr>
      <w:r>
        <w:t>Division 1 — Functions and proceedings</w:t>
      </w:r>
    </w:p>
    <w:p>
      <w:pPr>
        <w:pStyle w:val="TOC8"/>
        <w:rPr>
          <w:rFonts w:asciiTheme="minorHAnsi" w:eastAsiaTheme="minorEastAsia" w:hAnsiTheme="minorHAnsi" w:cstheme="minorBidi"/>
          <w:szCs w:val="22"/>
        </w:rPr>
      </w:pPr>
      <w:r>
        <w:t>13</w:t>
      </w:r>
      <w:r>
        <w:rPr>
          <w:snapToGrid w:val="0"/>
        </w:rPr>
        <w:t>.</w:t>
      </w:r>
      <w:r>
        <w:rPr>
          <w:snapToGrid w:val="0"/>
        </w:rPr>
        <w:tab/>
        <w:t>Jurisdiction of State Administrative Tribunal</w:t>
      </w:r>
      <w:r>
        <w:tab/>
      </w:r>
      <w:r>
        <w:fldChar w:fldCharType="begin"/>
      </w:r>
      <w:r>
        <w:instrText xml:space="preserve"> PAGEREF _Toc161906828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Costs</w:t>
      </w:r>
      <w:r>
        <w:tab/>
      </w:r>
      <w:r>
        <w:fldChar w:fldCharType="begin"/>
      </w:r>
      <w:r>
        <w:instrText xml:space="preserve"> PAGEREF _Toc161906829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Further provisions as to proceedings</w:t>
      </w:r>
      <w:r>
        <w:tab/>
      </w:r>
      <w:r>
        <w:fldChar w:fldCharType="begin"/>
      </w:r>
      <w:r>
        <w:instrText xml:space="preserve"> PAGEREF _Toc161906830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Review of determination where State Administrative Tribunal comprises one member</w:t>
      </w:r>
    </w:p>
    <w:p>
      <w:pPr>
        <w:pStyle w:val="TOC8"/>
        <w:rPr>
          <w:rFonts w:asciiTheme="minorHAnsi" w:eastAsiaTheme="minorEastAsia" w:hAnsiTheme="minorHAnsi" w:cstheme="minorBidi"/>
          <w:szCs w:val="22"/>
        </w:rPr>
      </w:pPr>
      <w:r>
        <w:t>17A</w:t>
      </w:r>
      <w:r>
        <w:rPr>
          <w:snapToGrid w:val="0"/>
        </w:rPr>
        <w:t>.</w:t>
      </w:r>
      <w:r>
        <w:rPr>
          <w:snapToGrid w:val="0"/>
        </w:rPr>
        <w:tab/>
        <w:t>Review</w:t>
      </w:r>
      <w:r>
        <w:tab/>
      </w:r>
      <w:r>
        <w:fldChar w:fldCharType="begin"/>
      </w:r>
      <w:r>
        <w:instrText xml:space="preserve"> PAGEREF _Toc161906832 \h </w:instrText>
      </w:r>
      <w:r>
        <w:fldChar w:fldCharType="separate"/>
      </w:r>
      <w:r>
        <w:t>1</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Executive officer to give notice of review</w:t>
      </w:r>
      <w:r>
        <w:tab/>
      </w:r>
      <w:r>
        <w:fldChar w:fldCharType="begin"/>
      </w:r>
      <w:r>
        <w:instrText xml:space="preserve"> PAGEREF _Toc161906833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Appeals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18</w:t>
      </w:r>
      <w:r>
        <w:rPr>
          <w:snapToGrid w:val="0"/>
        </w:rPr>
        <w:t>.</w:t>
      </w:r>
      <w:r>
        <w:rPr>
          <w:snapToGrid w:val="0"/>
        </w:rPr>
        <w:tab/>
        <w:t>Term used: Court</w:t>
      </w:r>
      <w:r>
        <w:tab/>
      </w:r>
      <w:r>
        <w:fldChar w:fldCharType="begin"/>
      </w:r>
      <w:r>
        <w:instrText xml:space="preserve"> PAGEREF _Toc161906836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18A.</w:t>
      </w:r>
      <w:r>
        <w:tab/>
        <w:t>Application of Division</w:t>
      </w:r>
      <w:r>
        <w:tab/>
      </w:r>
      <w:r>
        <w:fldChar w:fldCharType="begin"/>
      </w:r>
      <w:r>
        <w:instrText xml:space="preserve"> PAGEREF _Toc161906837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Appeals by leave from determinations of State Administrative Tribunal generally</w:t>
      </w:r>
    </w:p>
    <w:p>
      <w:pPr>
        <w:pStyle w:val="TOC8"/>
        <w:rPr>
          <w:rFonts w:asciiTheme="minorHAnsi" w:eastAsiaTheme="minorEastAsia" w:hAnsiTheme="minorHAnsi" w:cstheme="minorBidi"/>
          <w:szCs w:val="22"/>
        </w:rPr>
      </w:pPr>
      <w:r>
        <w:t>19</w:t>
      </w:r>
      <w:r>
        <w:rPr>
          <w:snapToGrid w:val="0"/>
        </w:rPr>
        <w:t>.</w:t>
      </w:r>
      <w:r>
        <w:rPr>
          <w:snapToGrid w:val="0"/>
        </w:rPr>
        <w:tab/>
        <w:t>Right of appeal by leave</w:t>
      </w:r>
      <w:r>
        <w:tab/>
      </w:r>
      <w:r>
        <w:fldChar w:fldCharType="begin"/>
      </w:r>
      <w:r>
        <w:instrText xml:space="preserve"> PAGEREF _Toc161906839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leave</w:t>
      </w:r>
      <w:r>
        <w:tab/>
      </w:r>
      <w:r>
        <w:fldChar w:fldCharType="begin"/>
      </w:r>
      <w:r>
        <w:instrText xml:space="preserve"> PAGEREF _Toc161906840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Grounds</w:t>
      </w:r>
      <w:r>
        <w:tab/>
      </w:r>
      <w:r>
        <w:fldChar w:fldCharType="begin"/>
      </w:r>
      <w:r>
        <w:instrText xml:space="preserve"> PAGEREF _Toc161906841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Grant or refusal of leave</w:t>
      </w:r>
      <w:r>
        <w:tab/>
      </w:r>
      <w:r>
        <w:fldChar w:fldCharType="begin"/>
      </w:r>
      <w:r>
        <w:instrText xml:space="preserve"> PAGEREF _Toc161906842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Ancillary orders and directions</w:t>
      </w:r>
      <w:r>
        <w:tab/>
      </w:r>
      <w:r>
        <w:fldChar w:fldCharType="begin"/>
      </w:r>
      <w:r>
        <w:instrText xml:space="preserve"> PAGEREF _Toc161906843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 of application to Court</w:t>
      </w:r>
      <w:r>
        <w:tab/>
      </w:r>
      <w:r>
        <w:fldChar w:fldCharType="begin"/>
      </w:r>
      <w:r>
        <w:instrText xml:space="preserve"> PAGEREF _Toc161906844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 and appeal may be heard together</w:t>
      </w:r>
      <w:r>
        <w:tab/>
      </w:r>
      <w:r>
        <w:fldChar w:fldCharType="begin"/>
      </w:r>
      <w:r>
        <w:instrText xml:space="preserve"> PAGEREF _Toc161906845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Appeals from decisions relating to consent to performance of abortion</w:t>
      </w:r>
    </w:p>
    <w:p>
      <w:pPr>
        <w:pStyle w:val="TOC8"/>
        <w:rPr>
          <w:rFonts w:asciiTheme="minorHAnsi" w:eastAsiaTheme="minorEastAsia" w:hAnsiTheme="minorHAnsi" w:cstheme="minorBidi"/>
          <w:szCs w:val="22"/>
        </w:rPr>
      </w:pPr>
      <w:r>
        <w:t>25A.</w:t>
      </w:r>
      <w:r>
        <w:tab/>
        <w:t>Appeal from Tribunal’s decision relating to consent to performance of abortion</w:t>
      </w:r>
      <w:r>
        <w:tab/>
      </w:r>
      <w:r>
        <w:fldChar w:fldCharType="begin"/>
      </w:r>
      <w:r>
        <w:instrText xml:space="preserve"> PAGEREF _Toc161906847 \h </w:instrText>
      </w:r>
      <w:r>
        <w:fldChar w:fldCharType="separate"/>
      </w:r>
      <w:r>
        <w:t>1</w:t>
      </w:r>
      <w:r>
        <w:fldChar w:fldCharType="end"/>
      </w:r>
    </w:p>
    <w:p>
      <w:pPr>
        <w:pStyle w:val="TOC8"/>
        <w:rPr>
          <w:rFonts w:asciiTheme="minorHAnsi" w:eastAsiaTheme="minorEastAsia" w:hAnsiTheme="minorHAnsi" w:cstheme="minorBidi"/>
          <w:szCs w:val="22"/>
        </w:rPr>
      </w:pPr>
      <w:r>
        <w:t>25B.</w:t>
      </w:r>
      <w:r>
        <w:tab/>
        <w:t>Grounds</w:t>
      </w:r>
      <w:r>
        <w:tab/>
      </w:r>
      <w:r>
        <w:fldChar w:fldCharType="begin"/>
      </w:r>
      <w:r>
        <w:instrText xml:space="preserve"> PAGEREF _Toc161906848 \h </w:instrText>
      </w:r>
      <w:r>
        <w:fldChar w:fldCharType="separate"/>
      </w:r>
      <w:r>
        <w:t>1</w:t>
      </w:r>
      <w:r>
        <w:fldChar w:fldCharType="end"/>
      </w:r>
    </w:p>
    <w:p>
      <w:pPr>
        <w:pStyle w:val="TOC8"/>
        <w:rPr>
          <w:rFonts w:asciiTheme="minorHAnsi" w:eastAsiaTheme="minorEastAsia" w:hAnsiTheme="minorHAnsi" w:cstheme="minorBidi"/>
          <w:szCs w:val="22"/>
        </w:rPr>
      </w:pPr>
      <w:r>
        <w:t>25C.</w:t>
      </w:r>
      <w:r>
        <w:tab/>
        <w:t>Status of State Administrative Tribunal’s decision pending disposal of appeal</w:t>
      </w:r>
      <w:r>
        <w:tab/>
      </w:r>
      <w:r>
        <w:fldChar w:fldCharType="begin"/>
      </w:r>
      <w:r>
        <w:instrText xml:space="preserve"> PAGEREF _Toc161906849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appeals</w:t>
      </w:r>
    </w:p>
    <w:p>
      <w:pPr>
        <w:pStyle w:val="TOC8"/>
        <w:rPr>
          <w:rFonts w:asciiTheme="minorHAnsi" w:eastAsiaTheme="minorEastAsia" w:hAnsiTheme="minorHAnsi" w:cstheme="minorBidi"/>
          <w:szCs w:val="22"/>
        </w:rPr>
      </w:pPr>
      <w:r>
        <w:t>26</w:t>
      </w:r>
      <w:r>
        <w:rPr>
          <w:snapToGrid w:val="0"/>
        </w:rPr>
        <w:t>.</w:t>
      </w:r>
      <w:r>
        <w:rPr>
          <w:snapToGrid w:val="0"/>
        </w:rPr>
        <w:tab/>
        <w:t>Notice to other parties</w:t>
      </w:r>
      <w:r>
        <w:tab/>
      </w:r>
      <w:r>
        <w:fldChar w:fldCharType="begin"/>
      </w:r>
      <w:r>
        <w:instrText xml:space="preserve"> PAGEREF _Toc161906851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Amendment of grounds of appeal</w:t>
      </w:r>
      <w:r>
        <w:tab/>
      </w:r>
      <w:r>
        <w:fldChar w:fldCharType="begin"/>
      </w:r>
      <w:r>
        <w:instrText xml:space="preserve"> PAGEREF _Toc161906852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Status of State Administrative Tribunal’s determination pending disposal of appeal</w:t>
      </w:r>
      <w:r>
        <w:tab/>
      </w:r>
      <w:r>
        <w:fldChar w:fldCharType="begin"/>
      </w:r>
      <w:r>
        <w:instrText xml:space="preserve"> PAGEREF _Toc161906853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Nature of appeal, and evidence</w:t>
      </w:r>
      <w:r>
        <w:tab/>
      </w:r>
      <w:r>
        <w:fldChar w:fldCharType="begin"/>
      </w:r>
      <w:r>
        <w:instrText xml:space="preserve"> PAGEREF _Toc161906854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Powers of Court</w:t>
      </w:r>
      <w:r>
        <w:tab/>
      </w:r>
      <w:r>
        <w:fldChar w:fldCharType="begin"/>
      </w:r>
      <w:r>
        <w:instrText xml:space="preserve"> PAGEREF _Toc161906855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Want of form</w:t>
      </w:r>
      <w:r>
        <w:tab/>
      </w:r>
      <w:r>
        <w:fldChar w:fldCharType="begin"/>
      </w:r>
      <w:r>
        <w:instrText xml:space="preserve"> PAGEREF _Toc161906856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result of appeal to executive officer</w:t>
      </w:r>
      <w:r>
        <w:tab/>
      </w:r>
      <w:r>
        <w:fldChar w:fldCharType="begin"/>
      </w:r>
      <w:r>
        <w:instrText xml:space="preserve"> PAGEREF _Toc161906857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Discontinuance of appeal</w:t>
      </w:r>
      <w:r>
        <w:tab/>
      </w:r>
      <w:r>
        <w:fldChar w:fldCharType="begin"/>
      </w:r>
      <w:r>
        <w:instrText xml:space="preserve"> PAGEREF _Toc161906858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Dismissal for want of prosecution</w:t>
      </w:r>
      <w:r>
        <w:tab/>
      </w:r>
      <w:r>
        <w:fldChar w:fldCharType="begin"/>
      </w:r>
      <w:r>
        <w:instrText xml:space="preserve"> PAGEREF _Toc161906859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 for reinstatement of appeal</w:t>
      </w:r>
      <w:r>
        <w:tab/>
      </w:r>
      <w:r>
        <w:fldChar w:fldCharType="begin"/>
      </w:r>
      <w:r>
        <w:instrText xml:space="preserve"> PAGEREF _Toc161906860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Time may be extended or shortened</w:t>
      </w:r>
      <w:r>
        <w:tab/>
      </w:r>
      <w:r>
        <w:fldChar w:fldCharType="begin"/>
      </w:r>
      <w:r>
        <w:instrText xml:space="preserve"> PAGEREF _Toc161906861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Enforcement of order for costs</w:t>
      </w:r>
      <w:r>
        <w:tab/>
      </w:r>
      <w:r>
        <w:fldChar w:fldCharType="begin"/>
      </w:r>
      <w:r>
        <w:instrText xml:space="preserve"> PAGEREF _Toc161906862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Applications for guardianship and administration orders</w:t>
      </w:r>
    </w:p>
    <w:p>
      <w:pPr>
        <w:pStyle w:val="TOC8"/>
        <w:rPr>
          <w:rFonts w:asciiTheme="minorHAnsi" w:eastAsiaTheme="minorEastAsia" w:hAnsiTheme="minorHAnsi" w:cstheme="minorBidi"/>
          <w:szCs w:val="22"/>
        </w:rPr>
      </w:pPr>
      <w:r>
        <w:t>40</w:t>
      </w:r>
      <w:r>
        <w:rPr>
          <w:snapToGrid w:val="0"/>
        </w:rPr>
        <w:t>.</w:t>
      </w:r>
      <w:r>
        <w:rPr>
          <w:snapToGrid w:val="0"/>
        </w:rPr>
        <w:tab/>
        <w:t>Application</w:t>
      </w:r>
      <w:r>
        <w:tab/>
      </w:r>
      <w:r>
        <w:fldChar w:fldCharType="begin"/>
      </w:r>
      <w:r>
        <w:instrText xml:space="preserve"> PAGEREF _Toc161906864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hearing</w:t>
      </w:r>
      <w:r>
        <w:tab/>
      </w:r>
      <w:r>
        <w:fldChar w:fldCharType="begin"/>
      </w:r>
      <w:r>
        <w:instrText xml:space="preserve"> PAGEREF _Toc161906865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Guardianship</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Appointment of guardian</w:t>
      </w:r>
    </w:p>
    <w:p>
      <w:pPr>
        <w:pStyle w:val="TOC8"/>
        <w:rPr>
          <w:rFonts w:asciiTheme="minorHAnsi" w:eastAsiaTheme="minorEastAsia" w:hAnsiTheme="minorHAnsi" w:cstheme="minorBidi"/>
          <w:szCs w:val="22"/>
        </w:rPr>
      </w:pPr>
      <w:r>
        <w:t>43</w:t>
      </w:r>
      <w:r>
        <w:rPr>
          <w:snapToGrid w:val="0"/>
        </w:rPr>
        <w:t>.</w:t>
      </w:r>
      <w:r>
        <w:rPr>
          <w:snapToGrid w:val="0"/>
        </w:rPr>
        <w:tab/>
        <w:t>Making of guardianship order</w:t>
      </w:r>
      <w:r>
        <w:tab/>
      </w:r>
      <w:r>
        <w:fldChar w:fldCharType="begin"/>
      </w:r>
      <w:r>
        <w:instrText xml:space="preserve"> PAGEREF _Toc161906868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Who may be appointed guardian</w:t>
      </w:r>
      <w:r>
        <w:tab/>
      </w:r>
      <w:r>
        <w:fldChar w:fldCharType="begin"/>
      </w:r>
      <w:r>
        <w:instrText xml:space="preserve"> PAGEREF _Toc161906869 \h </w:instrText>
      </w:r>
      <w:r>
        <w:fldChar w:fldCharType="separate"/>
      </w:r>
      <w:r>
        <w:t>1</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Interstate arrangements for guardianship orders</w:t>
      </w:r>
      <w:r>
        <w:tab/>
      </w:r>
      <w:r>
        <w:fldChar w:fldCharType="begin"/>
      </w:r>
      <w:r>
        <w:instrText xml:space="preserve"> PAGEREF _Toc161906870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guardians</w:t>
      </w:r>
    </w:p>
    <w:p>
      <w:pPr>
        <w:pStyle w:val="TOC8"/>
        <w:rPr>
          <w:rFonts w:asciiTheme="minorHAnsi" w:eastAsiaTheme="minorEastAsia" w:hAnsiTheme="minorHAnsi" w:cstheme="minorBidi"/>
          <w:szCs w:val="22"/>
        </w:rPr>
      </w:pPr>
      <w:r>
        <w:t>45</w:t>
      </w:r>
      <w:r>
        <w:rPr>
          <w:snapToGrid w:val="0"/>
        </w:rPr>
        <w:t>.</w:t>
      </w:r>
      <w:r>
        <w:rPr>
          <w:snapToGrid w:val="0"/>
        </w:rPr>
        <w:tab/>
        <w:t>Authority of plenary guardian</w:t>
      </w:r>
      <w:r>
        <w:tab/>
      </w:r>
      <w:r>
        <w:fldChar w:fldCharType="begin"/>
      </w:r>
      <w:r>
        <w:instrText xml:space="preserve"> PAGEREF _Toc161906872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Authority of limited guardian</w:t>
      </w:r>
      <w:r>
        <w:tab/>
      </w:r>
      <w:r>
        <w:fldChar w:fldCharType="begin"/>
      </w:r>
      <w:r>
        <w:instrText xml:space="preserve"> PAGEREF _Toc161906873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Guardian may apply for directions</w:t>
      </w:r>
      <w:r>
        <w:tab/>
      </w:r>
      <w:r>
        <w:fldChar w:fldCharType="begin"/>
      </w:r>
      <w:r>
        <w:instrText xml:space="preserve"> PAGEREF _Toc161906874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Guardian may execute documents etc.</w:t>
      </w:r>
      <w:r>
        <w:tab/>
      </w:r>
      <w:r>
        <w:fldChar w:fldCharType="begin"/>
      </w:r>
      <w:r>
        <w:instrText xml:space="preserve"> PAGEREF _Toc161906875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Guardian may obtain warrant to enter</w:t>
      </w:r>
      <w:r>
        <w:tab/>
      </w:r>
      <w:r>
        <w:fldChar w:fldCharType="begin"/>
      </w:r>
      <w:r>
        <w:instrText xml:space="preserve"> PAGEREF _Toc161906876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Effect of actions etc. of guardian</w:t>
      </w:r>
      <w:r>
        <w:tab/>
      </w:r>
      <w:r>
        <w:fldChar w:fldCharType="begin"/>
      </w:r>
      <w:r>
        <w:instrText xml:space="preserve"> PAGEREF _Toc161906877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Guardian to act in best interests of represented person</w:t>
      </w:r>
      <w:r>
        <w:tab/>
      </w:r>
      <w:r>
        <w:fldChar w:fldCharType="begin"/>
      </w:r>
      <w:r>
        <w:instrText xml:space="preserve"> PAGEREF _Toc161906878 \h </w:instrText>
      </w:r>
      <w:r>
        <w:fldChar w:fldCharType="separate"/>
      </w:r>
      <w:r>
        <w:t>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Guardians to act unanimously</w:t>
      </w:r>
      <w:r>
        <w:tab/>
      </w:r>
      <w:r>
        <w:fldChar w:fldCharType="begin"/>
      </w:r>
      <w:r>
        <w:instrText xml:space="preserve"> PAGEREF _Toc161906879 \h </w:instrText>
      </w:r>
      <w:r>
        <w:fldChar w:fldCharType="separate"/>
      </w:r>
      <w:r>
        <w:t>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Death of joint guardian</w:t>
      </w:r>
      <w:r>
        <w:tab/>
      </w:r>
      <w:r>
        <w:fldChar w:fldCharType="begin"/>
      </w:r>
      <w:r>
        <w:instrText xml:space="preserve"> PAGEREF _Toc161906880 \h </w:instrText>
      </w:r>
      <w:r>
        <w:fldChar w:fldCharType="separate"/>
      </w:r>
      <w:r>
        <w:t>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Alternate guardian to take over on death of guardian</w:t>
      </w:r>
      <w:r>
        <w:tab/>
      </w:r>
      <w:r>
        <w:fldChar w:fldCharType="begin"/>
      </w:r>
      <w:r>
        <w:instrText xml:space="preserve"> PAGEREF _Toc161906881 \h </w:instrText>
      </w:r>
      <w:r>
        <w:fldChar w:fldCharType="separate"/>
      </w:r>
      <w:r>
        <w:t>1</w:t>
      </w:r>
      <w:r>
        <w:fldChar w:fldCharType="end"/>
      </w:r>
    </w:p>
    <w:p>
      <w:pPr>
        <w:pStyle w:val="TOC8"/>
        <w:rPr>
          <w:rFonts w:asciiTheme="minorHAnsi" w:eastAsiaTheme="minorEastAsia" w:hAnsiTheme="minorHAnsi" w:cstheme="minorBidi"/>
          <w:szCs w:val="22"/>
        </w:rPr>
      </w:pPr>
      <w:r>
        <w:t>55A.</w:t>
      </w:r>
      <w:r>
        <w:tab/>
        <w:t>Priority of guardianship order</w:t>
      </w:r>
      <w:r>
        <w:tab/>
      </w:r>
      <w:r>
        <w:fldChar w:fldCharType="begin"/>
      </w:r>
      <w:r>
        <w:instrText xml:space="preserve"> PAGEREF _Toc161906882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Limitations on sterilisation of persons under guardianship or where application for guardianship made</w:t>
      </w:r>
    </w:p>
    <w:p>
      <w:pPr>
        <w:pStyle w:val="TOC8"/>
        <w:rPr>
          <w:rFonts w:asciiTheme="minorHAnsi" w:eastAsiaTheme="minorEastAsia" w:hAnsiTheme="minorHAnsi" w:cstheme="minorBidi"/>
          <w:szCs w:val="22"/>
        </w:rPr>
      </w:pPr>
      <w:r>
        <w:t>56</w:t>
      </w:r>
      <w:r>
        <w:rPr>
          <w:snapToGrid w:val="0"/>
        </w:rPr>
        <w:t>.</w:t>
      </w:r>
      <w:r>
        <w:rPr>
          <w:snapToGrid w:val="0"/>
        </w:rPr>
        <w:tab/>
        <w:t>Terms used</w:t>
      </w:r>
      <w:r>
        <w:tab/>
      </w:r>
      <w:r>
        <w:fldChar w:fldCharType="begin"/>
      </w:r>
      <w:r>
        <w:instrText xml:space="preserve"> PAGEREF _Toc161906884 \h </w:instrText>
      </w:r>
      <w:r>
        <w:fldChar w:fldCharType="separate"/>
      </w:r>
      <w:r>
        <w:t>1</w:t>
      </w:r>
      <w:r>
        <w:fldChar w:fldCharType="end"/>
      </w:r>
    </w:p>
    <w:p>
      <w:pPr>
        <w:pStyle w:val="TOC8"/>
        <w:rPr>
          <w:rFonts w:asciiTheme="minorHAnsi" w:eastAsiaTheme="minorEastAsia" w:hAnsiTheme="minorHAnsi" w:cstheme="minorBidi"/>
          <w:szCs w:val="22"/>
        </w:rPr>
      </w:pPr>
      <w:r>
        <w:t>56A</w:t>
      </w:r>
      <w:r>
        <w:rPr>
          <w:snapToGrid w:val="0"/>
        </w:rPr>
        <w:t xml:space="preserve">. </w:t>
      </w:r>
      <w:r>
        <w:rPr>
          <w:snapToGrid w:val="0"/>
        </w:rPr>
        <w:tab/>
        <w:t>Only Full Tribunal to act under this Division</w:t>
      </w:r>
      <w:r>
        <w:tab/>
      </w:r>
      <w:r>
        <w:fldChar w:fldCharType="begin"/>
      </w:r>
      <w:r>
        <w:instrText xml:space="preserve"> PAGEREF _Toc161906885 \h </w:instrText>
      </w:r>
      <w:r>
        <w:fldChar w:fldCharType="separate"/>
      </w:r>
      <w:r>
        <w:t>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Prerequisites for sterilisation of persons to whom this Division applies</w:t>
      </w:r>
      <w:r>
        <w:tab/>
      </w:r>
      <w:r>
        <w:fldChar w:fldCharType="begin"/>
      </w:r>
      <w:r>
        <w:instrText xml:space="preserve"> PAGEREF _Toc161906886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Restriction on guardian’s consent</w:t>
      </w:r>
      <w:r>
        <w:tab/>
      </w:r>
      <w:r>
        <w:fldChar w:fldCharType="begin"/>
      </w:r>
      <w:r>
        <w:instrText xml:space="preserve"> PAGEREF _Toc161906887 \h </w:instrText>
      </w:r>
      <w:r>
        <w:fldChar w:fldCharType="separate"/>
      </w:r>
      <w:r>
        <w:t>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Application for consent</w:t>
      </w:r>
      <w:r>
        <w:tab/>
      </w:r>
      <w:r>
        <w:fldChar w:fldCharType="begin"/>
      </w:r>
      <w:r>
        <w:instrText xml:space="preserve"> PAGEREF _Toc161906888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Notice of hearing</w:t>
      </w:r>
      <w:r>
        <w:tab/>
      </w:r>
      <w:r>
        <w:fldChar w:fldCharType="begin"/>
      </w:r>
      <w:r>
        <w:instrText xml:space="preserve"> PAGEREF _Toc161906889 \h </w:instrText>
      </w:r>
      <w:r>
        <w:fldChar w:fldCharType="separate"/>
      </w:r>
      <w:r>
        <w:t>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State Administrative Tribunal may consent if in best interests of represented person</w:t>
      </w:r>
      <w:r>
        <w:tab/>
      </w:r>
      <w:r>
        <w:fldChar w:fldCharType="begin"/>
      </w:r>
      <w:r>
        <w:instrText xml:space="preserve"> PAGEREF _Toc161906890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Estate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Appointment of administrator</w:t>
      </w:r>
    </w:p>
    <w:p>
      <w:pPr>
        <w:pStyle w:val="TOC8"/>
        <w:rPr>
          <w:rFonts w:asciiTheme="minorHAnsi" w:eastAsiaTheme="minorEastAsia" w:hAnsiTheme="minorHAnsi" w:cstheme="minorBidi"/>
          <w:szCs w:val="22"/>
        </w:rPr>
      </w:pPr>
      <w:r>
        <w:t>64</w:t>
      </w:r>
      <w:r>
        <w:rPr>
          <w:snapToGrid w:val="0"/>
        </w:rPr>
        <w:t>.</w:t>
      </w:r>
      <w:r>
        <w:rPr>
          <w:snapToGrid w:val="0"/>
        </w:rPr>
        <w:tab/>
        <w:t>Making of administration order</w:t>
      </w:r>
      <w:r>
        <w:tab/>
      </w:r>
      <w:r>
        <w:fldChar w:fldCharType="begin"/>
      </w:r>
      <w:r>
        <w:instrText xml:space="preserve"> PAGEREF _Toc161906893 \h </w:instrText>
      </w:r>
      <w:r>
        <w:fldChar w:fldCharType="separate"/>
      </w:r>
      <w:r>
        <w:t>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Emergency provision</w:t>
      </w:r>
      <w:r>
        <w:tab/>
      </w:r>
      <w:r>
        <w:fldChar w:fldCharType="begin"/>
      </w:r>
      <w:r>
        <w:instrText xml:space="preserve"> PAGEREF _Toc161906894 \h </w:instrText>
      </w:r>
      <w:r>
        <w:fldChar w:fldCharType="separate"/>
      </w:r>
      <w:r>
        <w:t>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Acts may be authorised without administration order</w:t>
      </w:r>
      <w:r>
        <w:tab/>
      </w:r>
      <w:r>
        <w:fldChar w:fldCharType="begin"/>
      </w:r>
      <w:r>
        <w:instrText xml:space="preserve"> PAGEREF _Toc161906895 \h </w:instrText>
      </w:r>
      <w:r>
        <w:fldChar w:fldCharType="separate"/>
      </w:r>
      <w:r>
        <w:t>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Non</w:t>
      </w:r>
      <w:r>
        <w:rPr>
          <w:snapToGrid w:val="0"/>
        </w:rPr>
        <w:noBreakHyphen/>
        <w:t>residents etc.</w:t>
      </w:r>
      <w:r>
        <w:tab/>
      </w:r>
      <w:r>
        <w:fldChar w:fldCharType="begin"/>
      </w:r>
      <w:r>
        <w:instrText xml:space="preserve"> PAGEREF _Toc161906896 \h </w:instrText>
      </w:r>
      <w:r>
        <w:fldChar w:fldCharType="separate"/>
      </w:r>
      <w:r>
        <w:t>1</w:t>
      </w:r>
      <w:r>
        <w:fldChar w:fldCharType="end"/>
      </w:r>
    </w:p>
    <w:p>
      <w:pPr>
        <w:pStyle w:val="TOC8"/>
        <w:rPr>
          <w:rFonts w:asciiTheme="minorHAnsi" w:eastAsiaTheme="minorEastAsia" w:hAnsiTheme="minorHAnsi" w:cstheme="minorBidi"/>
          <w:szCs w:val="22"/>
        </w:rPr>
      </w:pPr>
      <w:r>
        <w:lastRenderedPageBreak/>
        <w:t>68</w:t>
      </w:r>
      <w:r>
        <w:rPr>
          <w:snapToGrid w:val="0"/>
        </w:rPr>
        <w:t>.</w:t>
      </w:r>
      <w:r>
        <w:rPr>
          <w:snapToGrid w:val="0"/>
        </w:rPr>
        <w:tab/>
        <w:t>Who may be appointed administrator</w:t>
      </w:r>
      <w:r>
        <w:tab/>
      </w:r>
      <w:r>
        <w:fldChar w:fldCharType="begin"/>
      </w:r>
      <w:r>
        <w:instrText xml:space="preserve"> PAGEREF _Toc161906897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administrators</w:t>
      </w:r>
    </w:p>
    <w:p>
      <w:pPr>
        <w:pStyle w:val="TOC8"/>
        <w:rPr>
          <w:rFonts w:asciiTheme="minorHAnsi" w:eastAsiaTheme="minorEastAsia" w:hAnsiTheme="minorHAnsi" w:cstheme="minorBidi"/>
          <w:szCs w:val="22"/>
        </w:rPr>
      </w:pPr>
      <w:r>
        <w:t>69</w:t>
      </w:r>
      <w:r>
        <w:rPr>
          <w:snapToGrid w:val="0"/>
        </w:rPr>
        <w:t>.</w:t>
      </w:r>
      <w:r>
        <w:rPr>
          <w:snapToGrid w:val="0"/>
        </w:rPr>
        <w:tab/>
        <w:t>Authority of administrator</w:t>
      </w:r>
      <w:r>
        <w:tab/>
      </w:r>
      <w:r>
        <w:fldChar w:fldCharType="begin"/>
      </w:r>
      <w:r>
        <w:instrText xml:space="preserve"> PAGEREF _Toc161906899 \h </w:instrText>
      </w:r>
      <w:r>
        <w:fldChar w:fldCharType="separate"/>
      </w:r>
      <w:r>
        <w:t>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Administrator to act in best interests of represented person</w:t>
      </w:r>
      <w:r>
        <w:tab/>
      </w:r>
      <w:r>
        <w:fldChar w:fldCharType="begin"/>
      </w:r>
      <w:r>
        <w:instrText xml:space="preserve"> PAGEREF _Toc161906900 \h </w:instrText>
      </w:r>
      <w:r>
        <w:fldChar w:fldCharType="separate"/>
      </w:r>
      <w:r>
        <w:t>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Authority which may be conferred on administrator</w:t>
      </w:r>
      <w:r>
        <w:tab/>
      </w:r>
      <w:r>
        <w:fldChar w:fldCharType="begin"/>
      </w:r>
      <w:r>
        <w:instrText xml:space="preserve"> PAGEREF _Toc161906901 \h </w:instrText>
      </w:r>
      <w:r>
        <w:fldChar w:fldCharType="separate"/>
      </w:r>
      <w:r>
        <w:t>1</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Amendment of order to confer particular function</w:t>
      </w:r>
      <w:r>
        <w:tab/>
      </w:r>
      <w:r>
        <w:fldChar w:fldCharType="begin"/>
      </w:r>
      <w:r>
        <w:instrText xml:space="preserve"> PAGEREF _Toc161906902 \h </w:instrText>
      </w:r>
      <w:r>
        <w:fldChar w:fldCharType="separate"/>
      </w:r>
      <w:r>
        <w:t>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Further provisions as to authority of administrators</w:t>
      </w:r>
      <w:r>
        <w:tab/>
      </w:r>
      <w:r>
        <w:fldChar w:fldCharType="begin"/>
      </w:r>
      <w:r>
        <w:instrText xml:space="preserve"> PAGEREF _Toc161906903 \h </w:instrText>
      </w:r>
      <w:r>
        <w:fldChar w:fldCharType="separate"/>
      </w:r>
      <w:r>
        <w:t>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Administrator may apply for directions</w:t>
      </w:r>
      <w:r>
        <w:tab/>
      </w:r>
      <w:r>
        <w:fldChar w:fldCharType="begin"/>
      </w:r>
      <w:r>
        <w:instrText xml:space="preserve"> PAGEREF _Toc161906904 \h </w:instrText>
      </w:r>
      <w:r>
        <w:fldChar w:fldCharType="separate"/>
      </w:r>
      <w:r>
        <w:t>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Administrators to act unanimously</w:t>
      </w:r>
      <w:r>
        <w:tab/>
      </w:r>
      <w:r>
        <w:fldChar w:fldCharType="begin"/>
      </w:r>
      <w:r>
        <w:instrText xml:space="preserve"> PAGEREF _Toc161906905 \h </w:instrText>
      </w:r>
      <w:r>
        <w:fldChar w:fldCharType="separate"/>
      </w:r>
      <w:r>
        <w:t>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Administrator may employ agents</w:t>
      </w:r>
      <w:r>
        <w:tab/>
      </w:r>
      <w:r>
        <w:fldChar w:fldCharType="begin"/>
      </w:r>
      <w:r>
        <w:instrText xml:space="preserve"> PAGEREF _Toc161906906 \h </w:instrText>
      </w:r>
      <w:r>
        <w:fldChar w:fldCharType="separate"/>
      </w:r>
      <w:r>
        <w:t>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Represented person incapable of dealing with estate</w:t>
      </w:r>
      <w:r>
        <w:tab/>
      </w:r>
      <w:r>
        <w:fldChar w:fldCharType="begin"/>
      </w:r>
      <w:r>
        <w:instrText xml:space="preserve"> PAGEREF _Toc161906907 \h </w:instrText>
      </w:r>
      <w:r>
        <w:fldChar w:fldCharType="separate"/>
      </w:r>
      <w:r>
        <w:t>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Cessation of authority of administrator</w:t>
      </w:r>
      <w:r>
        <w:tab/>
      </w:r>
      <w:r>
        <w:fldChar w:fldCharType="begin"/>
      </w:r>
      <w:r>
        <w:instrText xml:space="preserve"> PAGEREF _Toc161906908 \h </w:instrText>
      </w:r>
      <w:r>
        <w:fldChar w:fldCharType="separate"/>
      </w:r>
      <w:r>
        <w:t>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Represented person bound by acts of administrator</w:t>
      </w:r>
      <w:r>
        <w:tab/>
      </w:r>
      <w:r>
        <w:fldChar w:fldCharType="begin"/>
      </w:r>
      <w:r>
        <w:instrText xml:space="preserve"> PAGEREF _Toc161906909 \h </w:instrText>
      </w:r>
      <w:r>
        <w:fldChar w:fldCharType="separate"/>
      </w:r>
      <w:r>
        <w:t>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Accounts</w:t>
      </w:r>
      <w:r>
        <w:tab/>
      </w:r>
      <w:r>
        <w:fldChar w:fldCharType="begin"/>
      </w:r>
      <w:r>
        <w:instrText xml:space="preserve"> PAGEREF _Toc161906910 \h </w:instrText>
      </w:r>
      <w:r>
        <w:fldChar w:fldCharType="separate"/>
      </w:r>
      <w:r>
        <w:t>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Enforcement of security</w:t>
      </w:r>
      <w:r>
        <w:tab/>
      </w:r>
      <w:r>
        <w:fldChar w:fldCharType="begin"/>
      </w:r>
      <w:r>
        <w:instrText xml:space="preserve"> PAGEREF _Toc161906911 \h </w:instrText>
      </w:r>
      <w:r>
        <w:fldChar w:fldCharType="separate"/>
      </w:r>
      <w:r>
        <w:t>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Transactions may be set aside</w:t>
      </w:r>
      <w:r>
        <w:tab/>
      </w:r>
      <w:r>
        <w:fldChar w:fldCharType="begin"/>
      </w:r>
      <w:r>
        <w:instrText xml:space="preserve"> PAGEREF _Toc161906912 \h </w:instrText>
      </w:r>
      <w:r>
        <w:fldChar w:fldCharType="separate"/>
      </w:r>
      <w:r>
        <w:t>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Saving for certain rules of court</w:t>
      </w:r>
      <w:r>
        <w:tab/>
      </w:r>
      <w:r>
        <w:fldChar w:fldCharType="begin"/>
      </w:r>
      <w:r>
        <w:instrText xml:space="preserve"> PAGEREF _Toc161906913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Interjurisdictional arrangements in relation to administration powers</w:t>
      </w:r>
    </w:p>
    <w:p>
      <w:pPr>
        <w:pStyle w:val="TOC8"/>
        <w:rPr>
          <w:rFonts w:asciiTheme="minorHAnsi" w:eastAsiaTheme="minorEastAsia" w:hAnsiTheme="minorHAnsi" w:cstheme="minorBidi"/>
          <w:szCs w:val="22"/>
        </w:rPr>
      </w:pPr>
      <w:r>
        <w:t>83A</w:t>
      </w:r>
      <w:r>
        <w:rPr>
          <w:snapToGrid w:val="0"/>
        </w:rPr>
        <w:t>.</w:t>
      </w:r>
      <w:r>
        <w:rPr>
          <w:snapToGrid w:val="0"/>
        </w:rPr>
        <w:tab/>
        <w:t>Reciprocating States</w:t>
      </w:r>
      <w:r>
        <w:tab/>
      </w:r>
      <w:r>
        <w:fldChar w:fldCharType="begin"/>
      </w:r>
      <w:r>
        <w:instrText xml:space="preserve"> PAGEREF _Toc161906915 \h </w:instrText>
      </w:r>
      <w:r>
        <w:fldChar w:fldCharType="separate"/>
      </w:r>
      <w:r>
        <w:t>1</w:t>
      </w:r>
      <w:r>
        <w:fldChar w:fldCharType="end"/>
      </w:r>
    </w:p>
    <w:p>
      <w:pPr>
        <w:pStyle w:val="TOC8"/>
        <w:rPr>
          <w:rFonts w:asciiTheme="minorHAnsi" w:eastAsiaTheme="minorEastAsia" w:hAnsiTheme="minorHAnsi" w:cstheme="minorBidi"/>
          <w:szCs w:val="22"/>
        </w:rPr>
      </w:pPr>
      <w:r>
        <w:t>83B</w:t>
      </w:r>
      <w:r>
        <w:rPr>
          <w:snapToGrid w:val="0"/>
        </w:rPr>
        <w:t>.</w:t>
      </w:r>
      <w:r>
        <w:rPr>
          <w:snapToGrid w:val="0"/>
        </w:rPr>
        <w:tab/>
        <w:t>Foreign administrator may authorise Public Trustee to administer property in this State</w:t>
      </w:r>
      <w:r>
        <w:tab/>
      </w:r>
      <w:r>
        <w:fldChar w:fldCharType="begin"/>
      </w:r>
      <w:r>
        <w:instrText xml:space="preserve"> PAGEREF _Toc161906916 \h </w:instrText>
      </w:r>
      <w:r>
        <w:fldChar w:fldCharType="separate"/>
      </w:r>
      <w:r>
        <w:t>1</w:t>
      </w:r>
      <w:r>
        <w:fldChar w:fldCharType="end"/>
      </w:r>
    </w:p>
    <w:p>
      <w:pPr>
        <w:pStyle w:val="TOC8"/>
        <w:rPr>
          <w:rFonts w:asciiTheme="minorHAnsi" w:eastAsiaTheme="minorEastAsia" w:hAnsiTheme="minorHAnsi" w:cstheme="minorBidi"/>
          <w:szCs w:val="22"/>
        </w:rPr>
      </w:pPr>
      <w:r>
        <w:t>83C</w:t>
      </w:r>
      <w:r>
        <w:rPr>
          <w:snapToGrid w:val="0"/>
        </w:rPr>
        <w:t>.</w:t>
      </w:r>
      <w:r>
        <w:rPr>
          <w:snapToGrid w:val="0"/>
        </w:rPr>
        <w:tab/>
        <w:t>Administrator may authorise relevant official to administer property in reciprocating State</w:t>
      </w:r>
      <w:r>
        <w:tab/>
      </w:r>
      <w:r>
        <w:fldChar w:fldCharType="begin"/>
      </w:r>
      <w:r>
        <w:instrText xml:space="preserve"> PAGEREF _Toc161906917 \h </w:instrText>
      </w:r>
      <w:r>
        <w:fldChar w:fldCharType="separate"/>
      </w:r>
      <w:r>
        <w:t>1</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Interstate arrangements for recognition of administration orders</w:t>
      </w:r>
      <w:r>
        <w:tab/>
      </w:r>
      <w:r>
        <w:fldChar w:fldCharType="begin"/>
      </w:r>
      <w:r>
        <w:instrText xml:space="preserve"> PAGEREF _Toc161906918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Review of orders</w:t>
      </w:r>
    </w:p>
    <w:p>
      <w:pPr>
        <w:pStyle w:val="TOC8"/>
        <w:rPr>
          <w:rFonts w:asciiTheme="minorHAnsi" w:eastAsiaTheme="minorEastAsia" w:hAnsiTheme="minorHAnsi" w:cstheme="minorBidi"/>
          <w:szCs w:val="22"/>
        </w:rPr>
      </w:pPr>
      <w:r>
        <w:t>84</w:t>
      </w:r>
      <w:r>
        <w:rPr>
          <w:snapToGrid w:val="0"/>
        </w:rPr>
        <w:t>.</w:t>
      </w:r>
      <w:r>
        <w:rPr>
          <w:snapToGrid w:val="0"/>
        </w:rPr>
        <w:tab/>
        <w:t>State Administrative Tribunal to review orders periodically</w:t>
      </w:r>
      <w:r>
        <w:tab/>
      </w:r>
      <w:r>
        <w:fldChar w:fldCharType="begin"/>
      </w:r>
      <w:r>
        <w:instrText xml:space="preserve"> PAGEREF _Toc161906920 \h </w:instrText>
      </w:r>
      <w:r>
        <w:fldChar w:fldCharType="separate"/>
      </w:r>
      <w:r>
        <w:t>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Circumstances in which review mandatory</w:t>
      </w:r>
      <w:r>
        <w:tab/>
      </w:r>
      <w:r>
        <w:fldChar w:fldCharType="begin"/>
      </w:r>
      <w:r>
        <w:instrText xml:space="preserve"> PAGEREF _Toc161906921 \h </w:instrText>
      </w:r>
      <w:r>
        <w:fldChar w:fldCharType="separate"/>
      </w:r>
      <w:r>
        <w:t>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Review on application</w:t>
      </w:r>
      <w:r>
        <w:tab/>
      </w:r>
      <w:r>
        <w:fldChar w:fldCharType="begin"/>
      </w:r>
      <w:r>
        <w:instrText xml:space="preserve"> PAGEREF _Toc161906922 \h </w:instrText>
      </w:r>
      <w:r>
        <w:fldChar w:fldCharType="separate"/>
      </w:r>
      <w:r>
        <w:t>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Leave to apply for review</w:t>
      </w:r>
      <w:r>
        <w:tab/>
      </w:r>
      <w:r>
        <w:fldChar w:fldCharType="begin"/>
      </w:r>
      <w:r>
        <w:instrText xml:space="preserve"> PAGEREF _Toc161906923 \h </w:instrText>
      </w:r>
      <w:r>
        <w:fldChar w:fldCharType="separate"/>
      </w:r>
      <w:r>
        <w:t>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Application for review</w:t>
      </w:r>
      <w:r>
        <w:tab/>
      </w:r>
      <w:r>
        <w:fldChar w:fldCharType="begin"/>
      </w:r>
      <w:r>
        <w:instrText xml:space="preserve"> PAGEREF _Toc161906924 \h </w:instrText>
      </w:r>
      <w:r>
        <w:fldChar w:fldCharType="separate"/>
      </w:r>
      <w:r>
        <w:t>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Notice of review</w:t>
      </w:r>
      <w:r>
        <w:tab/>
      </w:r>
      <w:r>
        <w:fldChar w:fldCharType="begin"/>
      </w:r>
      <w:r>
        <w:instrText xml:space="preserve"> PAGEREF _Toc161906925 \h </w:instrText>
      </w:r>
      <w:r>
        <w:fldChar w:fldCharType="separate"/>
      </w:r>
      <w:r>
        <w:t>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Powers of State Administrative Tribunal on review</w:t>
      </w:r>
      <w:r>
        <w:tab/>
      </w:r>
      <w:r>
        <w:fldChar w:fldCharType="begin"/>
      </w:r>
      <w:r>
        <w:instrText xml:space="preserve"> PAGEREF _Toc161906926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The Public Advocate</w:t>
      </w:r>
    </w:p>
    <w:p>
      <w:pPr>
        <w:pStyle w:val="TOC8"/>
        <w:rPr>
          <w:rFonts w:asciiTheme="minorHAnsi" w:eastAsiaTheme="minorEastAsia" w:hAnsiTheme="minorHAnsi" w:cstheme="minorBidi"/>
          <w:szCs w:val="22"/>
        </w:rPr>
      </w:pPr>
      <w:r>
        <w:t>91</w:t>
      </w:r>
      <w:r>
        <w:rPr>
          <w:snapToGrid w:val="0"/>
        </w:rPr>
        <w:t>.</w:t>
      </w:r>
      <w:r>
        <w:rPr>
          <w:snapToGrid w:val="0"/>
        </w:rPr>
        <w:tab/>
        <w:t>Public Advocate</w:t>
      </w:r>
      <w:r>
        <w:tab/>
      </w:r>
      <w:r>
        <w:fldChar w:fldCharType="begin"/>
      </w:r>
      <w:r>
        <w:instrText xml:space="preserve"> PAGEREF _Toc161906928 \h </w:instrText>
      </w:r>
      <w:r>
        <w:fldChar w:fldCharType="separate"/>
      </w:r>
      <w:r>
        <w:t>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Resignation, removal etc.</w:t>
      </w:r>
      <w:r>
        <w:tab/>
      </w:r>
      <w:r>
        <w:fldChar w:fldCharType="begin"/>
      </w:r>
      <w:r>
        <w:instrText xml:space="preserve"> PAGEREF _Toc161906929 \h </w:instrText>
      </w:r>
      <w:r>
        <w:fldChar w:fldCharType="separate"/>
      </w:r>
      <w:r>
        <w:t>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Acting Public Advocate</w:t>
      </w:r>
      <w:r>
        <w:tab/>
      </w:r>
      <w:r>
        <w:fldChar w:fldCharType="begin"/>
      </w:r>
      <w:r>
        <w:instrText xml:space="preserve"> PAGEREF _Toc161906930 \h </w:instrText>
      </w:r>
      <w:r>
        <w:fldChar w:fldCharType="separate"/>
      </w:r>
      <w:r>
        <w:t>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Staff</w:t>
      </w:r>
      <w:r>
        <w:tab/>
      </w:r>
      <w:r>
        <w:fldChar w:fldCharType="begin"/>
      </w:r>
      <w:r>
        <w:instrText xml:space="preserve"> PAGEREF _Toc161906931 \h </w:instrText>
      </w:r>
      <w:r>
        <w:fldChar w:fldCharType="separate"/>
      </w:r>
      <w:r>
        <w:t>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Powers of delegation</w:t>
      </w:r>
      <w:r>
        <w:tab/>
      </w:r>
      <w:r>
        <w:fldChar w:fldCharType="begin"/>
      </w:r>
      <w:r>
        <w:instrText xml:space="preserve"> PAGEREF _Toc161906932 \h </w:instrText>
      </w:r>
      <w:r>
        <w:fldChar w:fldCharType="separate"/>
      </w:r>
      <w:r>
        <w:t>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Existing rights etc.</w:t>
      </w:r>
      <w:r>
        <w:tab/>
      </w:r>
      <w:r>
        <w:fldChar w:fldCharType="begin"/>
      </w:r>
      <w:r>
        <w:instrText xml:space="preserve"> PAGEREF _Toc161906933 \h </w:instrText>
      </w:r>
      <w:r>
        <w:fldChar w:fldCharType="separate"/>
      </w:r>
      <w:r>
        <w:t>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Functions of Public Advocate</w:t>
      </w:r>
      <w:r>
        <w:tab/>
      </w:r>
      <w:r>
        <w:fldChar w:fldCharType="begin"/>
      </w:r>
      <w:r>
        <w:instrText xml:space="preserve"> PAGEREF _Toc161906934 \h </w:instrText>
      </w:r>
      <w:r>
        <w:fldChar w:fldCharType="separate"/>
      </w:r>
      <w:r>
        <w:t>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Notification to Public Advocate as to mentally impaired accused</w:t>
      </w:r>
      <w:r>
        <w:tab/>
      </w:r>
      <w:r>
        <w:fldChar w:fldCharType="begin"/>
      </w:r>
      <w:r>
        <w:instrText xml:space="preserve"> PAGEREF _Toc161906935 \h </w:instrText>
      </w:r>
      <w:r>
        <w:fldChar w:fldCharType="separate"/>
      </w:r>
      <w:r>
        <w:t>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Public Advocate to act on death of guardian or administrator</w:t>
      </w:r>
      <w:r>
        <w:tab/>
      </w:r>
      <w:r>
        <w:fldChar w:fldCharType="begin"/>
      </w:r>
      <w:r>
        <w:instrText xml:space="preserve"> PAGEREF _Toc161906936 \h </w:instrText>
      </w:r>
      <w:r>
        <w:fldChar w:fldCharType="separate"/>
      </w:r>
      <w:r>
        <w:t>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Judicial notice</w:t>
      </w:r>
      <w:r>
        <w:tab/>
      </w:r>
      <w:r>
        <w:fldChar w:fldCharType="begin"/>
      </w:r>
      <w:r>
        <w:instrText xml:space="preserve"> PAGEREF _Toc161906937 \h </w:instrText>
      </w:r>
      <w:r>
        <w:fldChar w:fldCharType="separate"/>
      </w:r>
      <w:r>
        <w:t>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Annual report of Public Advocate</w:t>
      </w:r>
      <w:r>
        <w:tab/>
      </w:r>
      <w:r>
        <w:fldChar w:fldCharType="begin"/>
      </w:r>
      <w:r>
        <w:instrText xml:space="preserve"> PAGEREF _Toc161906938 \h </w:instrText>
      </w:r>
      <w:r>
        <w:fldChar w:fldCharType="separate"/>
      </w:r>
      <w:r>
        <w:t>1</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Public Advocate may raise matters with Minister</w:t>
      </w:r>
      <w:r>
        <w:tab/>
      </w:r>
      <w:r>
        <w:fldChar w:fldCharType="begin"/>
      </w:r>
      <w:r>
        <w:instrText xml:space="preserve"> PAGEREF _Toc161906939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Enduring powers of attorney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_Toc161906941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Other Acts</w:t>
      </w:r>
      <w:r>
        <w:tab/>
      </w:r>
      <w:r>
        <w:fldChar w:fldCharType="begin"/>
      </w:r>
      <w:r>
        <w:instrText xml:space="preserve"> PAGEREF _Toc161906942 \h </w:instrText>
      </w:r>
      <w:r>
        <w:fldChar w:fldCharType="separate"/>
      </w:r>
      <w:r>
        <w:t>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Execution of enduring power of attorney</w:t>
      </w:r>
      <w:r>
        <w:tab/>
      </w:r>
      <w:r>
        <w:fldChar w:fldCharType="begin"/>
      </w:r>
      <w:r>
        <w:instrText xml:space="preserve"> PAGEREF _Toc161906943 \h </w:instrText>
      </w:r>
      <w:r>
        <w:fldChar w:fldCharType="separate"/>
      </w:r>
      <w:r>
        <w:t>1</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Recognition of powers of attorney created in other jurisdictions</w:t>
      </w:r>
      <w:r>
        <w:tab/>
      </w:r>
      <w:r>
        <w:fldChar w:fldCharType="begin"/>
      </w:r>
      <w:r>
        <w:instrText xml:space="preserve"> PAGEREF _Toc161906944 \h </w:instrText>
      </w:r>
      <w:r>
        <w:fldChar w:fldCharType="separate"/>
      </w:r>
      <w:r>
        <w:t>1</w:t>
      </w:r>
      <w:r>
        <w:fldChar w:fldCharType="end"/>
      </w:r>
    </w:p>
    <w:p>
      <w:pPr>
        <w:pStyle w:val="TOC8"/>
        <w:rPr>
          <w:rFonts w:asciiTheme="minorHAnsi" w:eastAsiaTheme="minorEastAsia" w:hAnsiTheme="minorHAnsi" w:cstheme="minorBidi"/>
          <w:szCs w:val="22"/>
        </w:rPr>
      </w:pPr>
      <w:r>
        <w:t>104B.</w:t>
      </w:r>
      <w:r>
        <w:tab/>
        <w:t>Substitute donees</w:t>
      </w:r>
      <w:r>
        <w:tab/>
      </w:r>
      <w:r>
        <w:fldChar w:fldCharType="begin"/>
      </w:r>
      <w:r>
        <w:instrText xml:space="preserve"> PAGEREF _Toc161906945 \h </w:instrText>
      </w:r>
      <w:r>
        <w:fldChar w:fldCharType="separate"/>
      </w:r>
      <w:r>
        <w:t>1</w:t>
      </w:r>
      <w:r>
        <w:fldChar w:fldCharType="end"/>
      </w:r>
    </w:p>
    <w:p>
      <w:pPr>
        <w:pStyle w:val="TOC8"/>
        <w:rPr>
          <w:rFonts w:asciiTheme="minorHAnsi" w:eastAsiaTheme="minorEastAsia" w:hAnsiTheme="minorHAnsi" w:cstheme="minorBidi"/>
          <w:szCs w:val="22"/>
        </w:rPr>
      </w:pPr>
      <w:r>
        <w:t>104C.</w:t>
      </w:r>
      <w:r>
        <w:tab/>
        <w:t>Eligibility for appointment as donee or substitute donee</w:t>
      </w:r>
      <w:r>
        <w:tab/>
      </w:r>
      <w:r>
        <w:fldChar w:fldCharType="begin"/>
      </w:r>
      <w:r>
        <w:instrText xml:space="preserve"> PAGEREF _Toc161906946 \h </w:instrText>
      </w:r>
      <w:r>
        <w:fldChar w:fldCharType="separate"/>
      </w:r>
      <w:r>
        <w:t>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Enduring power of attorney survives incapacity</w:t>
      </w:r>
      <w:r>
        <w:tab/>
      </w:r>
      <w:r>
        <w:fldChar w:fldCharType="begin"/>
      </w:r>
      <w:r>
        <w:instrText xml:space="preserve"> PAGEREF _Toc161906947 \h </w:instrText>
      </w:r>
      <w:r>
        <w:fldChar w:fldCharType="separate"/>
      </w:r>
      <w:r>
        <w:t>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Donee may apply for declaration of legal incapacity</w:t>
      </w:r>
      <w:r>
        <w:tab/>
      </w:r>
      <w:r>
        <w:fldChar w:fldCharType="begin"/>
      </w:r>
      <w:r>
        <w:instrText xml:space="preserve"> PAGEREF _Toc161906948 \h </w:instrText>
      </w:r>
      <w:r>
        <w:fldChar w:fldCharType="separate"/>
      </w:r>
      <w:r>
        <w:t>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Obligations of donee</w:t>
      </w:r>
      <w:r>
        <w:tab/>
      </w:r>
      <w:r>
        <w:fldChar w:fldCharType="begin"/>
      </w:r>
      <w:r>
        <w:instrText xml:space="preserve"> PAGEREF _Toc161906949 \h </w:instrText>
      </w:r>
      <w:r>
        <w:fldChar w:fldCharType="separate"/>
      </w:r>
      <w:r>
        <w:t>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administrator</w:t>
      </w:r>
      <w:r>
        <w:tab/>
      </w:r>
      <w:r>
        <w:fldChar w:fldCharType="begin"/>
      </w:r>
      <w:r>
        <w:instrText xml:space="preserve"> PAGEREF _Toc161906950 \h </w:instrText>
      </w:r>
      <w:r>
        <w:fldChar w:fldCharType="separate"/>
      </w:r>
      <w:r>
        <w:t>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On application State Administrative Tribunal may intervene</w:t>
      </w:r>
      <w:r>
        <w:tab/>
      </w:r>
      <w:r>
        <w:fldChar w:fldCharType="begin"/>
      </w:r>
      <w:r>
        <w:instrText xml:space="preserve"> PAGEREF _Toc161906951 \h </w:instrText>
      </w:r>
      <w:r>
        <w:fldChar w:fldCharType="separate"/>
      </w:r>
      <w:r>
        <w:t>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Notice of application</w:t>
      </w:r>
      <w:r>
        <w:tab/>
      </w:r>
      <w:r>
        <w:fldChar w:fldCharType="begin"/>
      </w:r>
      <w:r>
        <w:instrText xml:space="preserve"> PAGEREF _Toc161906952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Enduring powers of guardianship</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110A.</w:t>
      </w:r>
      <w:r>
        <w:tab/>
        <w:t>Term used: appointor</w:t>
      </w:r>
      <w:r>
        <w:tab/>
      </w:r>
      <w:r>
        <w:fldChar w:fldCharType="begin"/>
      </w:r>
      <w:r>
        <w:instrText xml:space="preserve"> PAGEREF _Toc161906955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Making of enduring power of guardianship</w:t>
      </w:r>
    </w:p>
    <w:p>
      <w:pPr>
        <w:pStyle w:val="TOC8"/>
        <w:rPr>
          <w:rFonts w:asciiTheme="minorHAnsi" w:eastAsiaTheme="minorEastAsia" w:hAnsiTheme="minorHAnsi" w:cstheme="minorBidi"/>
          <w:szCs w:val="22"/>
        </w:rPr>
      </w:pPr>
      <w:r>
        <w:t>110B.</w:t>
      </w:r>
      <w:r>
        <w:tab/>
        <w:t>Appointing enduring guardian</w:t>
      </w:r>
      <w:r>
        <w:tab/>
      </w:r>
      <w:r>
        <w:fldChar w:fldCharType="begin"/>
      </w:r>
      <w:r>
        <w:instrText xml:space="preserve"> PAGEREF _Toc161906957 \h </w:instrText>
      </w:r>
      <w:r>
        <w:fldChar w:fldCharType="separate"/>
      </w:r>
      <w:r>
        <w:t>1</w:t>
      </w:r>
      <w:r>
        <w:fldChar w:fldCharType="end"/>
      </w:r>
    </w:p>
    <w:p>
      <w:pPr>
        <w:pStyle w:val="TOC8"/>
        <w:rPr>
          <w:rFonts w:asciiTheme="minorHAnsi" w:eastAsiaTheme="minorEastAsia" w:hAnsiTheme="minorHAnsi" w:cstheme="minorBidi"/>
          <w:szCs w:val="22"/>
        </w:rPr>
      </w:pPr>
      <w:r>
        <w:t>110C.</w:t>
      </w:r>
      <w:r>
        <w:tab/>
        <w:t>Substitute enduring guardians</w:t>
      </w:r>
      <w:r>
        <w:tab/>
      </w:r>
      <w:r>
        <w:fldChar w:fldCharType="begin"/>
      </w:r>
      <w:r>
        <w:instrText xml:space="preserve"> PAGEREF _Toc161906958 \h </w:instrText>
      </w:r>
      <w:r>
        <w:fldChar w:fldCharType="separate"/>
      </w:r>
      <w:r>
        <w:t>1</w:t>
      </w:r>
      <w:r>
        <w:fldChar w:fldCharType="end"/>
      </w:r>
    </w:p>
    <w:p>
      <w:pPr>
        <w:pStyle w:val="TOC8"/>
        <w:rPr>
          <w:rFonts w:asciiTheme="minorHAnsi" w:eastAsiaTheme="minorEastAsia" w:hAnsiTheme="minorHAnsi" w:cstheme="minorBidi"/>
          <w:szCs w:val="22"/>
        </w:rPr>
      </w:pPr>
      <w:r>
        <w:t>110D.</w:t>
      </w:r>
      <w:r>
        <w:tab/>
        <w:t>Who is eligible to be appointed</w:t>
      </w:r>
      <w:r>
        <w:tab/>
      </w:r>
      <w:r>
        <w:fldChar w:fldCharType="begin"/>
      </w:r>
      <w:r>
        <w:instrText xml:space="preserve"> PAGEREF _Toc161906959 \h </w:instrText>
      </w:r>
      <w:r>
        <w:fldChar w:fldCharType="separate"/>
      </w:r>
      <w:r>
        <w:t>1</w:t>
      </w:r>
      <w:r>
        <w:fldChar w:fldCharType="end"/>
      </w:r>
    </w:p>
    <w:p>
      <w:pPr>
        <w:pStyle w:val="TOC8"/>
        <w:rPr>
          <w:rFonts w:asciiTheme="minorHAnsi" w:eastAsiaTheme="minorEastAsia" w:hAnsiTheme="minorHAnsi" w:cstheme="minorBidi"/>
          <w:szCs w:val="22"/>
        </w:rPr>
      </w:pPr>
      <w:r>
        <w:t>110E.</w:t>
      </w:r>
      <w:r>
        <w:tab/>
        <w:t>Formal requirements</w:t>
      </w:r>
      <w:r>
        <w:tab/>
      </w:r>
      <w:r>
        <w:fldChar w:fldCharType="begin"/>
      </w:r>
      <w:r>
        <w:instrText xml:space="preserve"> PAGEREF _Toc161906960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Operation of enduring power of guardianship</w:t>
      </w:r>
    </w:p>
    <w:p>
      <w:pPr>
        <w:pStyle w:val="TOC8"/>
        <w:rPr>
          <w:rFonts w:asciiTheme="minorHAnsi" w:eastAsiaTheme="minorEastAsia" w:hAnsiTheme="minorHAnsi" w:cstheme="minorBidi"/>
          <w:szCs w:val="22"/>
        </w:rPr>
      </w:pPr>
      <w:r>
        <w:t>110F.</w:t>
      </w:r>
      <w:r>
        <w:tab/>
        <w:t>When enduring guardian may act</w:t>
      </w:r>
      <w:r>
        <w:tab/>
      </w:r>
      <w:r>
        <w:fldChar w:fldCharType="begin"/>
      </w:r>
      <w:r>
        <w:instrText xml:space="preserve"> PAGEREF _Toc161906962 \h </w:instrText>
      </w:r>
      <w:r>
        <w:fldChar w:fldCharType="separate"/>
      </w:r>
      <w:r>
        <w:t>1</w:t>
      </w:r>
      <w:r>
        <w:fldChar w:fldCharType="end"/>
      </w:r>
    </w:p>
    <w:p>
      <w:pPr>
        <w:pStyle w:val="TOC8"/>
        <w:rPr>
          <w:rFonts w:asciiTheme="minorHAnsi" w:eastAsiaTheme="minorEastAsia" w:hAnsiTheme="minorHAnsi" w:cstheme="minorBidi"/>
          <w:szCs w:val="22"/>
        </w:rPr>
      </w:pPr>
      <w:r>
        <w:t>110G.</w:t>
      </w:r>
      <w:r>
        <w:tab/>
        <w:t>Functions generally</w:t>
      </w:r>
      <w:r>
        <w:tab/>
      </w:r>
      <w:r>
        <w:fldChar w:fldCharType="begin"/>
      </w:r>
      <w:r>
        <w:instrText xml:space="preserve"> PAGEREF _Toc161906963 \h </w:instrText>
      </w:r>
      <w:r>
        <w:fldChar w:fldCharType="separate"/>
      </w:r>
      <w:r>
        <w:t>1</w:t>
      </w:r>
      <w:r>
        <w:fldChar w:fldCharType="end"/>
      </w:r>
    </w:p>
    <w:p>
      <w:pPr>
        <w:pStyle w:val="TOC8"/>
        <w:rPr>
          <w:rFonts w:asciiTheme="minorHAnsi" w:eastAsiaTheme="minorEastAsia" w:hAnsiTheme="minorHAnsi" w:cstheme="minorBidi"/>
          <w:szCs w:val="22"/>
        </w:rPr>
      </w:pPr>
      <w:r>
        <w:t>110H.</w:t>
      </w:r>
      <w:r>
        <w:tab/>
        <w:t>Certain provisions apply in relation to enduring guardian and appointor</w:t>
      </w:r>
      <w:r>
        <w:tab/>
      </w:r>
      <w:r>
        <w:fldChar w:fldCharType="begin"/>
      </w:r>
      <w:r>
        <w:instrText xml:space="preserve"> PAGEREF _Toc161906964 \h </w:instrText>
      </w:r>
      <w:r>
        <w:fldChar w:fldCharType="separate"/>
      </w:r>
      <w:r>
        <w:t>1</w:t>
      </w:r>
      <w:r>
        <w:fldChar w:fldCharType="end"/>
      </w:r>
    </w:p>
    <w:p>
      <w:pPr>
        <w:pStyle w:val="TOC8"/>
        <w:rPr>
          <w:rFonts w:asciiTheme="minorHAnsi" w:eastAsiaTheme="minorEastAsia" w:hAnsiTheme="minorHAnsi" w:cstheme="minorBidi"/>
          <w:szCs w:val="22"/>
        </w:rPr>
      </w:pPr>
      <w:r>
        <w:t>110I.</w:t>
      </w:r>
      <w:r>
        <w:tab/>
        <w:t>Priority of enduring power of guardianship</w:t>
      </w:r>
      <w:r>
        <w:tab/>
      </w:r>
      <w:r>
        <w:fldChar w:fldCharType="begin"/>
      </w:r>
      <w:r>
        <w:instrText xml:space="preserve"> PAGEREF _Toc161906965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Jurisdiction of State Administrative Tribunal</w:t>
      </w:r>
    </w:p>
    <w:p>
      <w:pPr>
        <w:pStyle w:val="TOC8"/>
        <w:rPr>
          <w:rFonts w:asciiTheme="minorHAnsi" w:eastAsiaTheme="minorEastAsia" w:hAnsiTheme="minorHAnsi" w:cstheme="minorBidi"/>
          <w:szCs w:val="22"/>
        </w:rPr>
      </w:pPr>
      <w:r>
        <w:t>110J.</w:t>
      </w:r>
      <w:r>
        <w:tab/>
        <w:t>Who may apply</w:t>
      </w:r>
      <w:r>
        <w:tab/>
      </w:r>
      <w:r>
        <w:fldChar w:fldCharType="begin"/>
      </w:r>
      <w:r>
        <w:instrText xml:space="preserve"> PAGEREF _Toc161906967 \h </w:instrText>
      </w:r>
      <w:r>
        <w:fldChar w:fldCharType="separate"/>
      </w:r>
      <w:r>
        <w:t>1</w:t>
      </w:r>
      <w:r>
        <w:fldChar w:fldCharType="end"/>
      </w:r>
    </w:p>
    <w:p>
      <w:pPr>
        <w:pStyle w:val="TOC8"/>
        <w:rPr>
          <w:rFonts w:asciiTheme="minorHAnsi" w:eastAsiaTheme="minorEastAsia" w:hAnsiTheme="minorHAnsi" w:cstheme="minorBidi"/>
          <w:szCs w:val="22"/>
        </w:rPr>
      </w:pPr>
      <w:r>
        <w:t>110K.</w:t>
      </w:r>
      <w:r>
        <w:tab/>
        <w:t>Declaration about validity of enduring power of guardianship</w:t>
      </w:r>
      <w:r>
        <w:tab/>
      </w:r>
      <w:r>
        <w:fldChar w:fldCharType="begin"/>
      </w:r>
      <w:r>
        <w:instrText xml:space="preserve"> PAGEREF _Toc161906968 \h </w:instrText>
      </w:r>
      <w:r>
        <w:fldChar w:fldCharType="separate"/>
      </w:r>
      <w:r>
        <w:t>1</w:t>
      </w:r>
      <w:r>
        <w:fldChar w:fldCharType="end"/>
      </w:r>
    </w:p>
    <w:p>
      <w:pPr>
        <w:pStyle w:val="TOC8"/>
        <w:rPr>
          <w:rFonts w:asciiTheme="minorHAnsi" w:eastAsiaTheme="minorEastAsia" w:hAnsiTheme="minorHAnsi" w:cstheme="minorBidi"/>
          <w:szCs w:val="22"/>
        </w:rPr>
      </w:pPr>
      <w:r>
        <w:t>110L.</w:t>
      </w:r>
      <w:r>
        <w:tab/>
        <w:t>Declaration of incapacity of appointor</w:t>
      </w:r>
      <w:r>
        <w:tab/>
      </w:r>
      <w:r>
        <w:fldChar w:fldCharType="begin"/>
      </w:r>
      <w:r>
        <w:instrText xml:space="preserve"> PAGEREF _Toc161906969 \h </w:instrText>
      </w:r>
      <w:r>
        <w:fldChar w:fldCharType="separate"/>
      </w:r>
      <w:r>
        <w:t>1</w:t>
      </w:r>
      <w:r>
        <w:fldChar w:fldCharType="end"/>
      </w:r>
    </w:p>
    <w:p>
      <w:pPr>
        <w:pStyle w:val="TOC8"/>
        <w:rPr>
          <w:rFonts w:asciiTheme="minorHAnsi" w:eastAsiaTheme="minorEastAsia" w:hAnsiTheme="minorHAnsi" w:cstheme="minorBidi"/>
          <w:szCs w:val="22"/>
        </w:rPr>
      </w:pPr>
      <w:r>
        <w:t>110M.</w:t>
      </w:r>
      <w:r>
        <w:tab/>
        <w:t>Directions as to construction of terms etc.</w:t>
      </w:r>
      <w:r>
        <w:tab/>
      </w:r>
      <w:r>
        <w:fldChar w:fldCharType="begin"/>
      </w:r>
      <w:r>
        <w:instrText xml:space="preserve"> PAGEREF _Toc161906970 \h </w:instrText>
      </w:r>
      <w:r>
        <w:fldChar w:fldCharType="separate"/>
      </w:r>
      <w:r>
        <w:t>1</w:t>
      </w:r>
      <w:r>
        <w:fldChar w:fldCharType="end"/>
      </w:r>
    </w:p>
    <w:p>
      <w:pPr>
        <w:pStyle w:val="TOC8"/>
        <w:rPr>
          <w:rFonts w:asciiTheme="minorHAnsi" w:eastAsiaTheme="minorEastAsia" w:hAnsiTheme="minorHAnsi" w:cstheme="minorBidi"/>
          <w:szCs w:val="22"/>
        </w:rPr>
      </w:pPr>
      <w:r>
        <w:t>110N.</w:t>
      </w:r>
      <w:r>
        <w:tab/>
        <w:t>Revocation or variation of enduring power of guardianship</w:t>
      </w:r>
      <w:r>
        <w:tab/>
      </w:r>
      <w:r>
        <w:fldChar w:fldCharType="begin"/>
      </w:r>
      <w:r>
        <w:instrText xml:space="preserve"> PAGEREF _Toc161906971 \h </w:instrText>
      </w:r>
      <w:r>
        <w:fldChar w:fldCharType="separate"/>
      </w:r>
      <w:r>
        <w:t>1</w:t>
      </w:r>
      <w:r>
        <w:fldChar w:fldCharType="end"/>
      </w:r>
    </w:p>
    <w:p>
      <w:pPr>
        <w:pStyle w:val="TOC8"/>
        <w:rPr>
          <w:rFonts w:asciiTheme="minorHAnsi" w:eastAsiaTheme="minorEastAsia" w:hAnsiTheme="minorHAnsi" w:cstheme="minorBidi"/>
          <w:szCs w:val="22"/>
        </w:rPr>
      </w:pPr>
      <w:r>
        <w:t>110O.</w:t>
      </w:r>
      <w:r>
        <w:tab/>
        <w:t>Recognition of instrument created in another jurisdiction</w:t>
      </w:r>
      <w:r>
        <w:tab/>
      </w:r>
      <w:r>
        <w:fldChar w:fldCharType="begin"/>
      </w:r>
      <w:r>
        <w:instrText xml:space="preserve"> PAGEREF _Toc161906972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9B</w:t>
      </w:r>
      <w:r>
        <w:rPr>
          <w:b w:val="0"/>
        </w:rPr>
        <w:t> </w:t>
      </w:r>
      <w:r>
        <w:t>—</w:t>
      </w:r>
      <w:r>
        <w:rPr>
          <w:b w:val="0"/>
        </w:rPr>
        <w:t> </w:t>
      </w:r>
      <w:r>
        <w:t>Advance health directives</w:t>
      </w:r>
    </w:p>
    <w:p>
      <w:pPr>
        <w:pStyle w:val="TOC4"/>
        <w:tabs>
          <w:tab w:val="right" w:leader="dot" w:pos="7077"/>
        </w:tabs>
        <w:rPr>
          <w:rFonts w:asciiTheme="minorHAnsi" w:eastAsiaTheme="minorEastAsia" w:hAnsiTheme="minorHAnsi" w:cstheme="minorBidi"/>
          <w:b w:val="0"/>
          <w:szCs w:val="22"/>
        </w:rPr>
      </w:pPr>
      <w:r>
        <w:t>Division 1 — Making of advance health directive</w:t>
      </w:r>
    </w:p>
    <w:p>
      <w:pPr>
        <w:pStyle w:val="TOC8"/>
        <w:rPr>
          <w:rFonts w:asciiTheme="minorHAnsi" w:eastAsiaTheme="minorEastAsia" w:hAnsiTheme="minorHAnsi" w:cstheme="minorBidi"/>
          <w:szCs w:val="22"/>
        </w:rPr>
      </w:pPr>
      <w:r>
        <w:t>110P.</w:t>
      </w:r>
      <w:r>
        <w:tab/>
        <w:t>Making advance health directive</w:t>
      </w:r>
      <w:r>
        <w:tab/>
      </w:r>
      <w:r>
        <w:fldChar w:fldCharType="begin"/>
      </w:r>
      <w:r>
        <w:instrText xml:space="preserve"> PAGEREF _Toc161906975 \h </w:instrText>
      </w:r>
      <w:r>
        <w:fldChar w:fldCharType="separate"/>
      </w:r>
      <w:r>
        <w:t>1</w:t>
      </w:r>
      <w:r>
        <w:fldChar w:fldCharType="end"/>
      </w:r>
    </w:p>
    <w:p>
      <w:pPr>
        <w:pStyle w:val="TOC8"/>
        <w:rPr>
          <w:rFonts w:asciiTheme="minorHAnsi" w:eastAsiaTheme="minorEastAsia" w:hAnsiTheme="minorHAnsi" w:cstheme="minorBidi"/>
          <w:szCs w:val="22"/>
        </w:rPr>
      </w:pPr>
      <w:r>
        <w:t>110Q.</w:t>
      </w:r>
      <w:r>
        <w:tab/>
        <w:t>Formal requirements</w:t>
      </w:r>
      <w:r>
        <w:tab/>
      </w:r>
      <w:r>
        <w:fldChar w:fldCharType="begin"/>
      </w:r>
      <w:r>
        <w:instrText xml:space="preserve"> PAGEREF _Toc161906976 \h </w:instrText>
      </w:r>
      <w:r>
        <w:fldChar w:fldCharType="separate"/>
      </w:r>
      <w:r>
        <w:t>1</w:t>
      </w:r>
      <w:r>
        <w:fldChar w:fldCharType="end"/>
      </w:r>
    </w:p>
    <w:p>
      <w:pPr>
        <w:pStyle w:val="TOC8"/>
        <w:rPr>
          <w:rFonts w:asciiTheme="minorHAnsi" w:eastAsiaTheme="minorEastAsia" w:hAnsiTheme="minorHAnsi" w:cstheme="minorBidi"/>
          <w:szCs w:val="22"/>
        </w:rPr>
      </w:pPr>
      <w:r>
        <w:t>110QA.</w:t>
      </w:r>
      <w:r>
        <w:tab/>
        <w:t>Maker may indicate in directive whether advice obtained</w:t>
      </w:r>
      <w:r>
        <w:tab/>
      </w:r>
      <w:r>
        <w:fldChar w:fldCharType="begin"/>
      </w:r>
      <w:r>
        <w:instrText xml:space="preserve"> PAGEREF _Toc161906977 \h </w:instrText>
      </w:r>
      <w:r>
        <w:fldChar w:fldCharType="separate"/>
      </w:r>
      <w:r>
        <w:t>1</w:t>
      </w:r>
      <w:r>
        <w:fldChar w:fldCharType="end"/>
      </w:r>
    </w:p>
    <w:p>
      <w:pPr>
        <w:pStyle w:val="TOC8"/>
        <w:rPr>
          <w:rFonts w:asciiTheme="minorHAnsi" w:eastAsiaTheme="minorEastAsia" w:hAnsiTheme="minorHAnsi" w:cstheme="minorBidi"/>
          <w:szCs w:val="22"/>
        </w:rPr>
      </w:pPr>
      <w:r>
        <w:t>110R.</w:t>
      </w:r>
      <w:r>
        <w:tab/>
        <w:t>Requirements in relation to treatment decision in advance health directive</w:t>
      </w:r>
      <w:r>
        <w:tab/>
      </w:r>
      <w:r>
        <w:fldChar w:fldCharType="begin"/>
      </w:r>
      <w:r>
        <w:instrText xml:space="preserve"> PAGEREF _Toc161906978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Operation of advance health directive</w:t>
      </w:r>
    </w:p>
    <w:p>
      <w:pPr>
        <w:pStyle w:val="TOC8"/>
        <w:rPr>
          <w:rFonts w:asciiTheme="minorHAnsi" w:eastAsiaTheme="minorEastAsia" w:hAnsiTheme="minorHAnsi" w:cstheme="minorBidi"/>
          <w:szCs w:val="22"/>
        </w:rPr>
      </w:pPr>
      <w:r>
        <w:t>110S.</w:t>
      </w:r>
      <w:r>
        <w:tab/>
        <w:t>Operation generally</w:t>
      </w:r>
      <w:r>
        <w:tab/>
      </w:r>
      <w:r>
        <w:fldChar w:fldCharType="begin"/>
      </w:r>
      <w:r>
        <w:instrText xml:space="preserve"> PAGEREF _Toc161906980 \h </w:instrText>
      </w:r>
      <w:r>
        <w:fldChar w:fldCharType="separate"/>
      </w:r>
      <w:r>
        <w:t>1</w:t>
      </w:r>
      <w:r>
        <w:fldChar w:fldCharType="end"/>
      </w:r>
    </w:p>
    <w:p>
      <w:pPr>
        <w:pStyle w:val="TOC8"/>
        <w:rPr>
          <w:rFonts w:asciiTheme="minorHAnsi" w:eastAsiaTheme="minorEastAsia" w:hAnsiTheme="minorHAnsi" w:cstheme="minorBidi"/>
          <w:szCs w:val="22"/>
        </w:rPr>
      </w:pPr>
      <w:r>
        <w:t>110T.</w:t>
      </w:r>
      <w:r>
        <w:tab/>
        <w:t>Effect of subsequent enduring power of guardianship</w:t>
      </w:r>
      <w:r>
        <w:tab/>
      </w:r>
      <w:r>
        <w:fldChar w:fldCharType="begin"/>
      </w:r>
      <w:r>
        <w:instrText xml:space="preserve"> PAGEREF _Toc161906981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110U.</w:t>
      </w:r>
      <w:r>
        <w:tab/>
        <w:t>Priority of treatment decision in advance health directive</w:t>
      </w:r>
      <w:r>
        <w:tab/>
      </w:r>
      <w:r>
        <w:fldChar w:fldCharType="begin"/>
      </w:r>
      <w:r>
        <w:instrText xml:space="preserve"> PAGEREF _Toc161906982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110V.</w:t>
      </w:r>
      <w:r>
        <w:tab/>
        <w:t>Who may apply</w:t>
      </w:r>
      <w:r>
        <w:tab/>
      </w:r>
      <w:r>
        <w:fldChar w:fldCharType="begin"/>
      </w:r>
      <w:r>
        <w:instrText xml:space="preserve"> PAGEREF _Toc161906984 \h </w:instrText>
      </w:r>
      <w:r>
        <w:fldChar w:fldCharType="separate"/>
      </w:r>
      <w:r>
        <w:t>1</w:t>
      </w:r>
      <w:r>
        <w:fldChar w:fldCharType="end"/>
      </w:r>
    </w:p>
    <w:p>
      <w:pPr>
        <w:pStyle w:val="TOC8"/>
        <w:rPr>
          <w:rFonts w:asciiTheme="minorHAnsi" w:eastAsiaTheme="minorEastAsia" w:hAnsiTheme="minorHAnsi" w:cstheme="minorBidi"/>
          <w:szCs w:val="22"/>
        </w:rPr>
      </w:pPr>
      <w:r>
        <w:t>110W.</w:t>
      </w:r>
      <w:r>
        <w:tab/>
        <w:t>Declaration about validity of directive or treatment decision</w:t>
      </w:r>
      <w:r>
        <w:tab/>
      </w:r>
      <w:r>
        <w:fldChar w:fldCharType="begin"/>
      </w:r>
      <w:r>
        <w:instrText xml:space="preserve"> PAGEREF _Toc161906985 \h </w:instrText>
      </w:r>
      <w:r>
        <w:fldChar w:fldCharType="separate"/>
      </w:r>
      <w:r>
        <w:t>1</w:t>
      </w:r>
      <w:r>
        <w:fldChar w:fldCharType="end"/>
      </w:r>
    </w:p>
    <w:p>
      <w:pPr>
        <w:pStyle w:val="TOC8"/>
        <w:rPr>
          <w:rFonts w:asciiTheme="minorHAnsi" w:eastAsiaTheme="minorEastAsia" w:hAnsiTheme="minorHAnsi" w:cstheme="minorBidi"/>
          <w:szCs w:val="22"/>
        </w:rPr>
      </w:pPr>
      <w:r>
        <w:t>110X.</w:t>
      </w:r>
      <w:r>
        <w:tab/>
        <w:t>Declaration of incapacity of maker</w:t>
      </w:r>
      <w:r>
        <w:tab/>
      </w:r>
      <w:r>
        <w:fldChar w:fldCharType="begin"/>
      </w:r>
      <w:r>
        <w:instrText xml:space="preserve"> PAGEREF _Toc161906986 \h </w:instrText>
      </w:r>
      <w:r>
        <w:fldChar w:fldCharType="separate"/>
      </w:r>
      <w:r>
        <w:t>1</w:t>
      </w:r>
      <w:r>
        <w:fldChar w:fldCharType="end"/>
      </w:r>
    </w:p>
    <w:p>
      <w:pPr>
        <w:pStyle w:val="TOC8"/>
        <w:rPr>
          <w:rFonts w:asciiTheme="minorHAnsi" w:eastAsiaTheme="minorEastAsia" w:hAnsiTheme="minorHAnsi" w:cstheme="minorBidi"/>
          <w:szCs w:val="22"/>
        </w:rPr>
      </w:pPr>
      <w:r>
        <w:t>110Y.</w:t>
      </w:r>
      <w:r>
        <w:tab/>
        <w:t>Directions as to construction of terms etc.</w:t>
      </w:r>
      <w:r>
        <w:tab/>
      </w:r>
      <w:r>
        <w:fldChar w:fldCharType="begin"/>
      </w:r>
      <w:r>
        <w:instrText xml:space="preserve"> PAGEREF _Toc161906987 \h </w:instrText>
      </w:r>
      <w:r>
        <w:fldChar w:fldCharType="separate"/>
      </w:r>
      <w:r>
        <w:t>1</w:t>
      </w:r>
      <w:r>
        <w:fldChar w:fldCharType="end"/>
      </w:r>
    </w:p>
    <w:p>
      <w:pPr>
        <w:pStyle w:val="TOC8"/>
        <w:rPr>
          <w:rFonts w:asciiTheme="minorHAnsi" w:eastAsiaTheme="minorEastAsia" w:hAnsiTheme="minorHAnsi" w:cstheme="minorBidi"/>
          <w:szCs w:val="22"/>
        </w:rPr>
      </w:pPr>
      <w:r>
        <w:t>110Z.</w:t>
      </w:r>
      <w:r>
        <w:tab/>
        <w:t>Declaration that treatment decision has been revoked</w:t>
      </w:r>
      <w:r>
        <w:tab/>
      </w:r>
      <w:r>
        <w:fldChar w:fldCharType="begin"/>
      </w:r>
      <w:r>
        <w:instrText xml:space="preserve"> PAGEREF _Toc161906988 \h </w:instrText>
      </w:r>
      <w:r>
        <w:fldChar w:fldCharType="separate"/>
      </w:r>
      <w:r>
        <w:t>1</w:t>
      </w:r>
      <w:r>
        <w:fldChar w:fldCharType="end"/>
      </w:r>
    </w:p>
    <w:p>
      <w:pPr>
        <w:pStyle w:val="TOC8"/>
        <w:rPr>
          <w:rFonts w:asciiTheme="minorHAnsi" w:eastAsiaTheme="minorEastAsia" w:hAnsiTheme="minorHAnsi" w:cstheme="minorBidi"/>
          <w:szCs w:val="22"/>
        </w:rPr>
      </w:pPr>
      <w:r>
        <w:t>110ZA.</w:t>
      </w:r>
      <w:r>
        <w:tab/>
        <w:t>Recognition of instrument created in another jurisdiction</w:t>
      </w:r>
      <w:r>
        <w:tab/>
      </w:r>
      <w:r>
        <w:fldChar w:fldCharType="begin"/>
      </w:r>
      <w:r>
        <w:instrText xml:space="preserve"> PAGEREF _Toc161906989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110ZB.</w:t>
      </w:r>
      <w:r>
        <w:tab/>
        <w:t>Common law preserved</w:t>
      </w:r>
      <w:r>
        <w:tab/>
      </w:r>
      <w:r>
        <w:fldChar w:fldCharType="begin"/>
      </w:r>
      <w:r>
        <w:instrText xml:space="preserve"> PAGEREF _Toc161906991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9C</w:t>
      </w:r>
      <w:r>
        <w:rPr>
          <w:b w:val="0"/>
        </w:rPr>
        <w:t> </w:t>
      </w:r>
      <w:r>
        <w:t>—</w:t>
      </w:r>
      <w:r>
        <w:rPr>
          <w:b w:val="0"/>
        </w:rPr>
        <w:t> </w:t>
      </w:r>
      <w:r>
        <w:t>Persons responsible for patients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110ZC.</w:t>
      </w:r>
      <w:r>
        <w:tab/>
        <w:t>Term used: patient</w:t>
      </w:r>
      <w:r>
        <w:tab/>
      </w:r>
      <w:r>
        <w:fldChar w:fldCharType="begin"/>
      </w:r>
      <w:r>
        <w:instrText xml:space="preserve"> PAGEREF _Toc161906994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Treatment decisions by persons responsible for patients</w:t>
      </w:r>
    </w:p>
    <w:p>
      <w:pPr>
        <w:pStyle w:val="TOC8"/>
        <w:rPr>
          <w:rFonts w:asciiTheme="minorHAnsi" w:eastAsiaTheme="minorEastAsia" w:hAnsiTheme="minorHAnsi" w:cstheme="minorBidi"/>
          <w:szCs w:val="22"/>
        </w:rPr>
      </w:pPr>
      <w:r>
        <w:t>110ZD.</w:t>
      </w:r>
      <w:r>
        <w:tab/>
        <w:t>Circumstances in which person responsible may make treatment decision</w:t>
      </w:r>
      <w:r>
        <w:tab/>
      </w:r>
      <w:r>
        <w:fldChar w:fldCharType="begin"/>
      </w:r>
      <w:r>
        <w:instrText xml:space="preserve"> PAGEREF _Toc161906996 \h </w:instrText>
      </w:r>
      <w:r>
        <w:fldChar w:fldCharType="separate"/>
      </w:r>
      <w:r>
        <w:t>1</w:t>
      </w:r>
      <w:r>
        <w:fldChar w:fldCharType="end"/>
      </w:r>
    </w:p>
    <w:p>
      <w:pPr>
        <w:pStyle w:val="TOC8"/>
        <w:rPr>
          <w:rFonts w:asciiTheme="minorHAnsi" w:eastAsiaTheme="minorEastAsia" w:hAnsiTheme="minorHAnsi" w:cstheme="minorBidi"/>
          <w:szCs w:val="22"/>
        </w:rPr>
      </w:pPr>
      <w:r>
        <w:t>110ZE.</w:t>
      </w:r>
      <w:r>
        <w:tab/>
        <w:t>Priority of treatment decision of person responsible</w:t>
      </w:r>
      <w:r>
        <w:tab/>
      </w:r>
      <w:r>
        <w:fldChar w:fldCharType="begin"/>
      </w:r>
      <w:r>
        <w:instrText xml:space="preserve"> PAGEREF _Toc161906997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110ZF.</w:t>
      </w:r>
      <w:r>
        <w:tab/>
        <w:t>Who may apply</w:t>
      </w:r>
      <w:r>
        <w:tab/>
      </w:r>
      <w:r>
        <w:fldChar w:fldCharType="begin"/>
      </w:r>
      <w:r>
        <w:instrText xml:space="preserve"> PAGEREF _Toc161906999 \h </w:instrText>
      </w:r>
      <w:r>
        <w:fldChar w:fldCharType="separate"/>
      </w:r>
      <w:r>
        <w:t>1</w:t>
      </w:r>
      <w:r>
        <w:fldChar w:fldCharType="end"/>
      </w:r>
    </w:p>
    <w:p>
      <w:pPr>
        <w:pStyle w:val="TOC8"/>
        <w:rPr>
          <w:rFonts w:asciiTheme="minorHAnsi" w:eastAsiaTheme="minorEastAsia" w:hAnsiTheme="minorHAnsi" w:cstheme="minorBidi"/>
          <w:szCs w:val="22"/>
        </w:rPr>
      </w:pPr>
      <w:r>
        <w:t>110ZG.</w:t>
      </w:r>
      <w:r>
        <w:tab/>
        <w:t>Declaration that person responsible may make treatment decision</w:t>
      </w:r>
      <w:r>
        <w:tab/>
      </w:r>
      <w:r>
        <w:fldChar w:fldCharType="begin"/>
      </w:r>
      <w:r>
        <w:instrText xml:space="preserve"> PAGEREF _Toc161907000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9D</w:t>
      </w:r>
      <w:r>
        <w:rPr>
          <w:b w:val="0"/>
        </w:rPr>
        <w:t> </w:t>
      </w:r>
      <w:r>
        <w:t>—</w:t>
      </w:r>
      <w:r>
        <w:rPr>
          <w:b w:val="0"/>
        </w:rPr>
        <w:t> </w:t>
      </w:r>
      <w:r>
        <w:t>Treatment decisions in relation to patients under legal incapacity</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110ZH.</w:t>
      </w:r>
      <w:r>
        <w:tab/>
        <w:t>Terms used</w:t>
      </w:r>
      <w:r>
        <w:tab/>
      </w:r>
      <w:r>
        <w:fldChar w:fldCharType="begin"/>
      </w:r>
      <w:r>
        <w:instrText xml:space="preserve"> PAGEREF _Toc161907003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Provision of treatment</w:t>
      </w:r>
    </w:p>
    <w:p>
      <w:pPr>
        <w:pStyle w:val="TOC6"/>
        <w:tabs>
          <w:tab w:val="right" w:leader="dot" w:pos="7077"/>
        </w:tabs>
        <w:rPr>
          <w:rFonts w:asciiTheme="minorHAnsi" w:eastAsiaTheme="minorEastAsia" w:hAnsiTheme="minorHAnsi" w:cstheme="minorBidi"/>
          <w:b w:val="0"/>
          <w:sz w:val="22"/>
          <w:szCs w:val="22"/>
        </w:rPr>
      </w:pPr>
      <w:r>
        <w:t>Subdivision 1 — Urgent treatment</w:t>
      </w:r>
    </w:p>
    <w:p>
      <w:pPr>
        <w:pStyle w:val="TOC8"/>
        <w:rPr>
          <w:rFonts w:asciiTheme="minorHAnsi" w:eastAsiaTheme="minorEastAsia" w:hAnsiTheme="minorHAnsi" w:cstheme="minorBidi"/>
          <w:szCs w:val="22"/>
        </w:rPr>
      </w:pPr>
      <w:r>
        <w:t>110ZI.</w:t>
      </w:r>
      <w:r>
        <w:tab/>
        <w:t>Urgent treatment generally</w:t>
      </w:r>
      <w:r>
        <w:tab/>
      </w:r>
      <w:r>
        <w:fldChar w:fldCharType="begin"/>
      </w:r>
      <w:r>
        <w:instrText xml:space="preserve"> PAGEREF _Toc161907006 \h </w:instrText>
      </w:r>
      <w:r>
        <w:fldChar w:fldCharType="separate"/>
      </w:r>
      <w:r>
        <w:t>1</w:t>
      </w:r>
      <w:r>
        <w:fldChar w:fldCharType="end"/>
      </w:r>
    </w:p>
    <w:p>
      <w:pPr>
        <w:pStyle w:val="TOC8"/>
        <w:rPr>
          <w:rFonts w:asciiTheme="minorHAnsi" w:eastAsiaTheme="minorEastAsia" w:hAnsiTheme="minorHAnsi" w:cstheme="minorBidi"/>
          <w:szCs w:val="22"/>
        </w:rPr>
      </w:pPr>
      <w:r>
        <w:t>110ZIA.</w:t>
      </w:r>
      <w:r>
        <w:tab/>
        <w:t>Urgent treatment after attempted suicide</w:t>
      </w:r>
      <w:r>
        <w:tab/>
      </w:r>
      <w:r>
        <w:fldChar w:fldCharType="begin"/>
      </w:r>
      <w:r>
        <w:instrText xml:space="preserve"> PAGEREF _Toc161907007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treatment</w:t>
      </w:r>
    </w:p>
    <w:p>
      <w:pPr>
        <w:pStyle w:val="TOC8"/>
        <w:rPr>
          <w:rFonts w:asciiTheme="minorHAnsi" w:eastAsiaTheme="minorEastAsia" w:hAnsiTheme="minorHAnsi" w:cstheme="minorBidi"/>
          <w:szCs w:val="22"/>
        </w:rPr>
      </w:pPr>
      <w:r>
        <w:t>110ZIB.</w:t>
      </w:r>
      <w:r>
        <w:tab/>
        <w:t>Application of Subdivision</w:t>
      </w:r>
      <w:r>
        <w:tab/>
      </w:r>
      <w:r>
        <w:fldChar w:fldCharType="begin"/>
      </w:r>
      <w:r>
        <w:instrText xml:space="preserve"> PAGEREF _Toc161907009 \h </w:instrText>
      </w:r>
      <w:r>
        <w:fldChar w:fldCharType="separate"/>
      </w:r>
      <w:r>
        <w:t>1</w:t>
      </w:r>
      <w:r>
        <w:fldChar w:fldCharType="end"/>
      </w:r>
    </w:p>
    <w:p>
      <w:pPr>
        <w:pStyle w:val="TOC8"/>
        <w:rPr>
          <w:rFonts w:asciiTheme="minorHAnsi" w:eastAsiaTheme="minorEastAsia" w:hAnsiTheme="minorHAnsi" w:cstheme="minorBidi"/>
          <w:szCs w:val="22"/>
        </w:rPr>
      </w:pPr>
      <w:r>
        <w:t>110ZJ.</w:t>
      </w:r>
      <w:r>
        <w:tab/>
        <w:t>Order of priority of persons who may make treatment decision in relation to patient</w:t>
      </w:r>
      <w:r>
        <w:tab/>
      </w:r>
      <w:r>
        <w:fldChar w:fldCharType="begin"/>
      </w:r>
      <w:r>
        <w:instrText xml:space="preserve"> PAGEREF _Toc161907010 \h </w:instrText>
      </w:r>
      <w:r>
        <w:fldChar w:fldCharType="separate"/>
      </w:r>
      <w:r>
        <w:t>1</w:t>
      </w:r>
      <w:r>
        <w:fldChar w:fldCharType="end"/>
      </w:r>
    </w:p>
    <w:p>
      <w:pPr>
        <w:pStyle w:val="TOC8"/>
        <w:rPr>
          <w:rFonts w:asciiTheme="minorHAnsi" w:eastAsiaTheme="minorEastAsia" w:hAnsiTheme="minorHAnsi" w:cstheme="minorBidi"/>
          <w:szCs w:val="22"/>
        </w:rPr>
      </w:pPr>
      <w:r>
        <w:t>110ZK.</w:t>
      </w:r>
      <w:r>
        <w:tab/>
        <w:t>Reliance by health professional on treatment decision</w:t>
      </w:r>
      <w:r>
        <w:tab/>
      </w:r>
      <w:r>
        <w:fldChar w:fldCharType="begin"/>
      </w:r>
      <w:r>
        <w:instrText xml:space="preserve"> PAGEREF _Toc161907011 \h </w:instrText>
      </w:r>
      <w:r>
        <w:fldChar w:fldCharType="separate"/>
      </w:r>
      <w:r>
        <w:t>1</w:t>
      </w:r>
      <w:r>
        <w:fldChar w:fldCharType="end"/>
      </w:r>
    </w:p>
    <w:p>
      <w:pPr>
        <w:pStyle w:val="TOC8"/>
        <w:rPr>
          <w:rFonts w:asciiTheme="minorHAnsi" w:eastAsiaTheme="minorEastAsia" w:hAnsiTheme="minorHAnsi" w:cstheme="minorBidi"/>
          <w:szCs w:val="22"/>
        </w:rPr>
      </w:pPr>
      <w:r>
        <w:t>110ZL.</w:t>
      </w:r>
      <w:r>
        <w:tab/>
        <w:t>Validity of certain treatment decisions</w:t>
      </w:r>
      <w:r>
        <w:tab/>
      </w:r>
      <w:r>
        <w:fldChar w:fldCharType="begin"/>
      </w:r>
      <w:r>
        <w:instrText xml:space="preserve"> PAGEREF _Toc161907012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Performance of abortion</w:t>
      </w:r>
    </w:p>
    <w:p>
      <w:pPr>
        <w:pStyle w:val="TOC8"/>
        <w:rPr>
          <w:rFonts w:asciiTheme="minorHAnsi" w:eastAsiaTheme="minorEastAsia" w:hAnsiTheme="minorHAnsi" w:cstheme="minorBidi"/>
          <w:szCs w:val="22"/>
        </w:rPr>
      </w:pPr>
      <w:r>
        <w:t>110ZLA.</w:t>
      </w:r>
      <w:r>
        <w:tab/>
        <w:t>Treatment decisions in relation to performance of abortion</w:t>
      </w:r>
      <w:r>
        <w:tab/>
      </w:r>
      <w:r>
        <w:fldChar w:fldCharType="begin"/>
      </w:r>
      <w:r>
        <w:instrText xml:space="preserve"> PAGEREF _Toc161907014 \h </w:instrText>
      </w:r>
      <w:r>
        <w:fldChar w:fldCharType="separate"/>
      </w:r>
      <w:r>
        <w:t>1</w:t>
      </w:r>
      <w:r>
        <w:fldChar w:fldCharType="end"/>
      </w:r>
    </w:p>
    <w:p>
      <w:pPr>
        <w:pStyle w:val="TOC8"/>
        <w:rPr>
          <w:rFonts w:asciiTheme="minorHAnsi" w:eastAsiaTheme="minorEastAsia" w:hAnsiTheme="minorHAnsi" w:cstheme="minorBidi"/>
          <w:szCs w:val="22"/>
        </w:rPr>
      </w:pPr>
      <w:r>
        <w:t>110ZLB.</w:t>
      </w:r>
      <w:r>
        <w:tab/>
        <w:t>Performance of abortion without advance health directive or State Administrative Tribunal consent an offence</w:t>
      </w:r>
      <w:r>
        <w:tab/>
      </w:r>
      <w:r>
        <w:fldChar w:fldCharType="begin"/>
      </w:r>
      <w:r>
        <w:instrText xml:space="preserve"> PAGEREF _Toc161907015 \h </w:instrText>
      </w:r>
      <w:r>
        <w:fldChar w:fldCharType="separate"/>
      </w:r>
      <w:r>
        <w:t>1</w:t>
      </w:r>
      <w:r>
        <w:fldChar w:fldCharType="end"/>
      </w:r>
    </w:p>
    <w:p>
      <w:pPr>
        <w:pStyle w:val="TOC8"/>
        <w:rPr>
          <w:rFonts w:asciiTheme="minorHAnsi" w:eastAsiaTheme="minorEastAsia" w:hAnsiTheme="minorHAnsi" w:cstheme="minorBidi"/>
          <w:szCs w:val="22"/>
        </w:rPr>
      </w:pPr>
      <w:r>
        <w:t>110ZLC.</w:t>
      </w:r>
      <w:r>
        <w:tab/>
        <w:t>Effect of State Administrative Tribunal consent</w:t>
      </w:r>
      <w:r>
        <w:tab/>
      </w:r>
      <w:r>
        <w:fldChar w:fldCharType="begin"/>
      </w:r>
      <w:r>
        <w:instrText xml:space="preserve"> PAGEREF _Toc161907016 \h </w:instrText>
      </w:r>
      <w:r>
        <w:fldChar w:fldCharType="separate"/>
      </w:r>
      <w:r>
        <w:t>1</w:t>
      </w:r>
      <w:r>
        <w:fldChar w:fldCharType="end"/>
      </w:r>
    </w:p>
    <w:p>
      <w:pPr>
        <w:pStyle w:val="TOC8"/>
        <w:rPr>
          <w:rFonts w:asciiTheme="minorHAnsi" w:eastAsiaTheme="minorEastAsia" w:hAnsiTheme="minorHAnsi" w:cstheme="minorBidi"/>
          <w:szCs w:val="22"/>
        </w:rPr>
      </w:pPr>
      <w:r>
        <w:t>110ZLD.</w:t>
      </w:r>
      <w:r>
        <w:tab/>
        <w:t>Reliance by health professional on treatment decisions in respect of performance of abortion</w:t>
      </w:r>
      <w:r>
        <w:tab/>
      </w:r>
      <w:r>
        <w:fldChar w:fldCharType="begin"/>
      </w:r>
      <w:r>
        <w:instrText xml:space="preserve"> PAGEREF _Toc161907017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6"/>
        <w:tabs>
          <w:tab w:val="right" w:leader="dot" w:pos="7077"/>
        </w:tabs>
        <w:rPr>
          <w:rFonts w:asciiTheme="minorHAnsi" w:eastAsiaTheme="minorEastAsia" w:hAnsiTheme="minorHAnsi" w:cstheme="minorBidi"/>
          <w:b w:val="0"/>
          <w:sz w:val="22"/>
          <w:szCs w:val="22"/>
        </w:rPr>
      </w:pPr>
      <w:r>
        <w:t>Subdivision 1 — Declarations for purposes of s. 110ZJ</w:t>
      </w:r>
    </w:p>
    <w:p>
      <w:pPr>
        <w:pStyle w:val="TOC8"/>
        <w:rPr>
          <w:rFonts w:asciiTheme="minorHAnsi" w:eastAsiaTheme="minorEastAsia" w:hAnsiTheme="minorHAnsi" w:cstheme="minorBidi"/>
          <w:szCs w:val="22"/>
        </w:rPr>
      </w:pPr>
      <w:r>
        <w:t>110ZM.</w:t>
      </w:r>
      <w:r>
        <w:tab/>
        <w:t>Who may apply</w:t>
      </w:r>
      <w:r>
        <w:tab/>
      </w:r>
      <w:r>
        <w:fldChar w:fldCharType="begin"/>
      </w:r>
      <w:r>
        <w:instrText xml:space="preserve"> PAGEREF _Toc161907020 \h </w:instrText>
      </w:r>
      <w:r>
        <w:fldChar w:fldCharType="separate"/>
      </w:r>
      <w:r>
        <w:t>1</w:t>
      </w:r>
      <w:r>
        <w:fldChar w:fldCharType="end"/>
      </w:r>
    </w:p>
    <w:p>
      <w:pPr>
        <w:pStyle w:val="TOC8"/>
        <w:rPr>
          <w:rFonts w:asciiTheme="minorHAnsi" w:eastAsiaTheme="minorEastAsia" w:hAnsiTheme="minorHAnsi" w:cstheme="minorBidi"/>
          <w:szCs w:val="22"/>
        </w:rPr>
      </w:pPr>
      <w:r>
        <w:t>110ZN.</w:t>
      </w:r>
      <w:r>
        <w:tab/>
        <w:t>Declaration as to who may make treatment decision</w:t>
      </w:r>
      <w:r>
        <w:tab/>
      </w:r>
      <w:r>
        <w:fldChar w:fldCharType="begin"/>
      </w:r>
      <w:r>
        <w:instrText xml:space="preserve"> PAGEREF _Toc161907021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Decisions for purposes of s. 110ZLA</w:t>
      </w:r>
    </w:p>
    <w:p>
      <w:pPr>
        <w:pStyle w:val="TOC8"/>
        <w:rPr>
          <w:rFonts w:asciiTheme="minorHAnsi" w:eastAsiaTheme="minorEastAsia" w:hAnsiTheme="minorHAnsi" w:cstheme="minorBidi"/>
          <w:szCs w:val="22"/>
        </w:rPr>
      </w:pPr>
      <w:r>
        <w:t>110ZNA.</w:t>
      </w:r>
      <w:r>
        <w:tab/>
        <w:t>Only Full Tribunal to act under this Subdivision</w:t>
      </w:r>
      <w:r>
        <w:tab/>
      </w:r>
      <w:r>
        <w:fldChar w:fldCharType="begin"/>
      </w:r>
      <w:r>
        <w:instrText xml:space="preserve"> PAGEREF _Toc161907023 \h </w:instrText>
      </w:r>
      <w:r>
        <w:fldChar w:fldCharType="separate"/>
      </w:r>
      <w:r>
        <w:t>1</w:t>
      </w:r>
      <w:r>
        <w:fldChar w:fldCharType="end"/>
      </w:r>
    </w:p>
    <w:p>
      <w:pPr>
        <w:pStyle w:val="TOC8"/>
        <w:rPr>
          <w:rFonts w:asciiTheme="minorHAnsi" w:eastAsiaTheme="minorEastAsia" w:hAnsiTheme="minorHAnsi" w:cstheme="minorBidi"/>
          <w:szCs w:val="22"/>
        </w:rPr>
      </w:pPr>
      <w:r>
        <w:t>110ZNB.</w:t>
      </w:r>
      <w:r>
        <w:tab/>
        <w:t>Who may apply for decision under this Subdivision</w:t>
      </w:r>
      <w:r>
        <w:tab/>
      </w:r>
      <w:r>
        <w:fldChar w:fldCharType="begin"/>
      </w:r>
      <w:r>
        <w:instrText xml:space="preserve"> PAGEREF _Toc161907024 \h </w:instrText>
      </w:r>
      <w:r>
        <w:fldChar w:fldCharType="separate"/>
      </w:r>
      <w:r>
        <w:t>1</w:t>
      </w:r>
      <w:r>
        <w:fldChar w:fldCharType="end"/>
      </w:r>
    </w:p>
    <w:p>
      <w:pPr>
        <w:pStyle w:val="TOC8"/>
        <w:rPr>
          <w:rFonts w:asciiTheme="minorHAnsi" w:eastAsiaTheme="minorEastAsia" w:hAnsiTheme="minorHAnsi" w:cstheme="minorBidi"/>
          <w:szCs w:val="22"/>
        </w:rPr>
      </w:pPr>
      <w:r>
        <w:t>110ZNC.</w:t>
      </w:r>
      <w:r>
        <w:tab/>
        <w:t>Notice of hearing</w:t>
      </w:r>
      <w:r>
        <w:tab/>
      </w:r>
      <w:r>
        <w:fldChar w:fldCharType="begin"/>
      </w:r>
      <w:r>
        <w:instrText xml:space="preserve"> PAGEREF _Toc161907025 \h </w:instrText>
      </w:r>
      <w:r>
        <w:fldChar w:fldCharType="separate"/>
      </w:r>
      <w:r>
        <w:t>1</w:t>
      </w:r>
      <w:r>
        <w:fldChar w:fldCharType="end"/>
      </w:r>
    </w:p>
    <w:p>
      <w:pPr>
        <w:pStyle w:val="TOC8"/>
        <w:rPr>
          <w:rFonts w:asciiTheme="minorHAnsi" w:eastAsiaTheme="minorEastAsia" w:hAnsiTheme="minorHAnsi" w:cstheme="minorBidi"/>
          <w:szCs w:val="22"/>
        </w:rPr>
      </w:pPr>
      <w:r>
        <w:t>110ZND.</w:t>
      </w:r>
      <w:r>
        <w:tab/>
        <w:t>State Administrative Tribunal consent to performance of abortion</w:t>
      </w:r>
      <w:r>
        <w:tab/>
      </w:r>
      <w:r>
        <w:fldChar w:fldCharType="begin"/>
      </w:r>
      <w:r>
        <w:instrText xml:space="preserve"> PAGEREF _Toc161907026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9E</w:t>
      </w:r>
      <w:r>
        <w:rPr>
          <w:color w:val="000000" w:themeColor="text1"/>
        </w:rPr>
        <w:t> — </w:t>
      </w:r>
      <w:r>
        <w:t>Medical research</w:t>
      </w:r>
    </w:p>
    <w:p>
      <w:pPr>
        <w:pStyle w:val="TOC4"/>
        <w:tabs>
          <w:tab w:val="right" w:leader="dot" w:pos="7077"/>
        </w:tabs>
        <w:rPr>
          <w:rFonts w:asciiTheme="minorHAnsi" w:eastAsiaTheme="minorEastAsia" w:hAnsiTheme="minorHAnsi" w:cstheme="minorBidi"/>
          <w:b w:val="0"/>
          <w:szCs w:val="22"/>
        </w:rPr>
      </w:pPr>
      <w:r>
        <w:t>Division 1</w:t>
      </w:r>
      <w:r>
        <w:rPr>
          <w:color w:val="000000" w:themeColor="text1"/>
        </w:rPr>
        <w:t> — </w:t>
      </w:r>
      <w:r>
        <w:t>Preliminary</w:t>
      </w:r>
    </w:p>
    <w:p>
      <w:pPr>
        <w:pStyle w:val="TOC8"/>
        <w:rPr>
          <w:rFonts w:asciiTheme="minorHAnsi" w:eastAsiaTheme="minorEastAsia" w:hAnsiTheme="minorHAnsi" w:cstheme="minorBidi"/>
          <w:szCs w:val="22"/>
        </w:rPr>
      </w:pPr>
      <w:r>
        <w:t>110ZO</w:t>
      </w:r>
      <w:r>
        <w:rPr>
          <w:color w:val="000000" w:themeColor="text1"/>
        </w:rPr>
        <w:t>.</w:t>
      </w:r>
      <w:r>
        <w:rPr>
          <w:color w:val="000000" w:themeColor="text1"/>
        </w:rPr>
        <w:tab/>
        <w:t>Terms used</w:t>
      </w:r>
      <w:r>
        <w:tab/>
      </w:r>
      <w:r>
        <w:fldChar w:fldCharType="begin"/>
      </w:r>
      <w:r>
        <w:instrText xml:space="preserve"> PAGEREF _Toc161907029 \h </w:instrText>
      </w:r>
      <w:r>
        <w:fldChar w:fldCharType="separate"/>
      </w:r>
      <w:r>
        <w:t>1</w:t>
      </w:r>
      <w:r>
        <w:fldChar w:fldCharType="end"/>
      </w:r>
    </w:p>
    <w:p>
      <w:pPr>
        <w:pStyle w:val="TOC8"/>
        <w:rPr>
          <w:rFonts w:asciiTheme="minorHAnsi" w:eastAsiaTheme="minorEastAsia" w:hAnsiTheme="minorHAnsi" w:cstheme="minorBidi"/>
          <w:szCs w:val="22"/>
        </w:rPr>
      </w:pPr>
      <w:r>
        <w:t>110ZP</w:t>
      </w:r>
      <w:r>
        <w:rPr>
          <w:color w:val="000000" w:themeColor="text1"/>
        </w:rPr>
        <w:t>.</w:t>
      </w:r>
      <w:r>
        <w:rPr>
          <w:color w:val="000000" w:themeColor="text1"/>
        </w:rPr>
        <w:tab/>
        <w:t>Term used: research decision</w:t>
      </w:r>
      <w:r>
        <w:rPr>
          <w:color w:val="000000" w:themeColor="text1"/>
        </w:rPr>
        <w:noBreakHyphen/>
        <w:t>maker</w:t>
      </w:r>
      <w:r>
        <w:tab/>
      </w:r>
      <w:r>
        <w:fldChar w:fldCharType="begin"/>
      </w:r>
      <w:r>
        <w:instrText xml:space="preserve"> PAGEREF _Toc161907030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110ZQ</w:t>
      </w:r>
      <w:r>
        <w:rPr>
          <w:color w:val="000000" w:themeColor="text1"/>
        </w:rPr>
        <w:t>.</w:t>
      </w:r>
      <w:r>
        <w:rPr>
          <w:color w:val="000000" w:themeColor="text1"/>
        </w:rPr>
        <w:tab/>
        <w:t>Substitute decision</w:t>
      </w:r>
      <w:r>
        <w:rPr>
          <w:color w:val="000000" w:themeColor="text1"/>
        </w:rPr>
        <w:noBreakHyphen/>
        <w:t>maker for a research candidate</w:t>
      </w:r>
      <w:r>
        <w:tab/>
      </w:r>
      <w:r>
        <w:fldChar w:fldCharType="begin"/>
      </w:r>
      <w:r>
        <w:instrText xml:space="preserve"> PAGEREF _Toc161907031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color w:val="000000" w:themeColor="text1"/>
        </w:rPr>
        <w:t> — </w:t>
      </w:r>
      <w:r>
        <w:t>Decisions about medical research</w:t>
      </w:r>
    </w:p>
    <w:p>
      <w:pPr>
        <w:pStyle w:val="TOC8"/>
        <w:rPr>
          <w:rFonts w:asciiTheme="minorHAnsi" w:eastAsiaTheme="minorEastAsia" w:hAnsiTheme="minorHAnsi" w:cstheme="minorBidi"/>
          <w:szCs w:val="22"/>
        </w:rPr>
      </w:pPr>
      <w:r>
        <w:t>110ZR</w:t>
      </w:r>
      <w:r>
        <w:rPr>
          <w:color w:val="000000" w:themeColor="text1"/>
        </w:rPr>
        <w:t>.</w:t>
      </w:r>
      <w:r>
        <w:rPr>
          <w:color w:val="000000" w:themeColor="text1"/>
        </w:rPr>
        <w:tab/>
        <w:t>Medical research with consent of research decision</w:t>
      </w:r>
      <w:r>
        <w:rPr>
          <w:color w:val="000000" w:themeColor="text1"/>
        </w:rPr>
        <w:noBreakHyphen/>
        <w:t>maker</w:t>
      </w:r>
      <w:r>
        <w:tab/>
      </w:r>
      <w:r>
        <w:fldChar w:fldCharType="begin"/>
      </w:r>
      <w:r>
        <w:instrText xml:space="preserve"> PAGEREF _Toc161907033 \h </w:instrText>
      </w:r>
      <w:r>
        <w:fldChar w:fldCharType="separate"/>
      </w:r>
      <w:r>
        <w:t>1</w:t>
      </w:r>
      <w:r>
        <w:fldChar w:fldCharType="end"/>
      </w:r>
    </w:p>
    <w:p>
      <w:pPr>
        <w:pStyle w:val="TOC8"/>
        <w:rPr>
          <w:rFonts w:asciiTheme="minorHAnsi" w:eastAsiaTheme="minorEastAsia" w:hAnsiTheme="minorHAnsi" w:cstheme="minorBidi"/>
          <w:szCs w:val="22"/>
        </w:rPr>
      </w:pPr>
      <w:r>
        <w:t>110ZS</w:t>
      </w:r>
      <w:r>
        <w:rPr>
          <w:color w:val="000000" w:themeColor="text1"/>
        </w:rPr>
        <w:t>.</w:t>
      </w:r>
      <w:r>
        <w:rPr>
          <w:color w:val="000000" w:themeColor="text1"/>
        </w:rPr>
        <w:tab/>
        <w:t>Urgent medical research without consent</w:t>
      </w:r>
      <w:r>
        <w:tab/>
      </w:r>
      <w:r>
        <w:fldChar w:fldCharType="begin"/>
      </w:r>
      <w:r>
        <w:instrText xml:space="preserve"> PAGEREF _Toc161907034 \h </w:instrText>
      </w:r>
      <w:r>
        <w:fldChar w:fldCharType="separate"/>
      </w:r>
      <w:r>
        <w:t>1</w:t>
      </w:r>
      <w:r>
        <w:fldChar w:fldCharType="end"/>
      </w:r>
    </w:p>
    <w:p>
      <w:pPr>
        <w:pStyle w:val="TOC8"/>
        <w:rPr>
          <w:rFonts w:asciiTheme="minorHAnsi" w:eastAsiaTheme="minorEastAsia" w:hAnsiTheme="minorHAnsi" w:cstheme="minorBidi"/>
          <w:szCs w:val="22"/>
        </w:rPr>
      </w:pPr>
      <w:r>
        <w:t>110ZT</w:t>
      </w:r>
      <w:r>
        <w:rPr>
          <w:color w:val="000000" w:themeColor="text1"/>
        </w:rPr>
        <w:t>.</w:t>
      </w:r>
      <w:r>
        <w:rPr>
          <w:color w:val="000000" w:themeColor="text1"/>
        </w:rPr>
        <w:tab/>
        <w:t>Particular medical research not permitted</w:t>
      </w:r>
      <w:r>
        <w:tab/>
      </w:r>
      <w:r>
        <w:fldChar w:fldCharType="begin"/>
      </w:r>
      <w:r>
        <w:instrText xml:space="preserve"> PAGEREF _Toc161907035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color w:val="000000" w:themeColor="text1"/>
        </w:rPr>
        <w:t> — </w:t>
      </w:r>
      <w:r>
        <w:t>Provisions about research decisions and urgent medical research decisions</w:t>
      </w:r>
    </w:p>
    <w:p>
      <w:pPr>
        <w:pStyle w:val="TOC8"/>
        <w:rPr>
          <w:rFonts w:asciiTheme="minorHAnsi" w:eastAsiaTheme="minorEastAsia" w:hAnsiTheme="minorHAnsi" w:cstheme="minorBidi"/>
          <w:szCs w:val="22"/>
        </w:rPr>
      </w:pPr>
      <w:r>
        <w:t>110ZU</w:t>
      </w:r>
      <w:r>
        <w:rPr>
          <w:color w:val="000000" w:themeColor="text1"/>
        </w:rPr>
        <w:t>.</w:t>
      </w:r>
      <w:r>
        <w:rPr>
          <w:color w:val="000000" w:themeColor="text1"/>
        </w:rPr>
        <w:tab/>
        <w:t>Assessment by independent medical practitioner of research candidate’s best interests</w:t>
      </w:r>
      <w:r>
        <w:tab/>
      </w:r>
      <w:r>
        <w:fldChar w:fldCharType="begin"/>
      </w:r>
      <w:r>
        <w:instrText xml:space="preserve"> PAGEREF _Toc161907037 \h </w:instrText>
      </w:r>
      <w:r>
        <w:fldChar w:fldCharType="separate"/>
      </w:r>
      <w:r>
        <w:t>1</w:t>
      </w:r>
      <w:r>
        <w:fldChar w:fldCharType="end"/>
      </w:r>
    </w:p>
    <w:p>
      <w:pPr>
        <w:pStyle w:val="TOC8"/>
        <w:rPr>
          <w:rFonts w:asciiTheme="minorHAnsi" w:eastAsiaTheme="minorEastAsia" w:hAnsiTheme="minorHAnsi" w:cstheme="minorBidi"/>
          <w:szCs w:val="22"/>
        </w:rPr>
      </w:pPr>
      <w:r>
        <w:t>110ZV</w:t>
      </w:r>
      <w:r>
        <w:rPr>
          <w:color w:val="000000" w:themeColor="text1"/>
        </w:rPr>
        <w:t>.</w:t>
      </w:r>
      <w:r>
        <w:rPr>
          <w:color w:val="000000" w:themeColor="text1"/>
        </w:rPr>
        <w:tab/>
        <w:t>Assessment by independent medical practitioner of likelihood of research candidate regaining ability to consent</w:t>
      </w:r>
      <w:r>
        <w:tab/>
      </w:r>
      <w:r>
        <w:fldChar w:fldCharType="begin"/>
      </w:r>
      <w:r>
        <w:instrText xml:space="preserve"> PAGEREF _Toc161907038 \h </w:instrText>
      </w:r>
      <w:r>
        <w:fldChar w:fldCharType="separate"/>
      </w:r>
      <w:r>
        <w:t>1</w:t>
      </w:r>
      <w:r>
        <w:fldChar w:fldCharType="end"/>
      </w:r>
    </w:p>
    <w:p>
      <w:pPr>
        <w:pStyle w:val="TOC8"/>
        <w:rPr>
          <w:rFonts w:asciiTheme="minorHAnsi" w:eastAsiaTheme="minorEastAsia" w:hAnsiTheme="minorHAnsi" w:cstheme="minorBidi"/>
          <w:szCs w:val="22"/>
        </w:rPr>
      </w:pPr>
      <w:r>
        <w:t>110ZW</w:t>
      </w:r>
      <w:r>
        <w:rPr>
          <w:color w:val="000000" w:themeColor="text1"/>
        </w:rPr>
        <w:t>.</w:t>
      </w:r>
      <w:r>
        <w:rPr>
          <w:color w:val="000000" w:themeColor="text1"/>
        </w:rPr>
        <w:tab/>
        <w:t>Assessment by independent medical practitioner of risks</w:t>
      </w:r>
      <w:r>
        <w:tab/>
      </w:r>
      <w:r>
        <w:fldChar w:fldCharType="begin"/>
      </w:r>
      <w:r>
        <w:instrText xml:space="preserve"> PAGEREF _Toc161907039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color w:val="000000" w:themeColor="text1"/>
        </w:rPr>
        <w:t> — </w:t>
      </w:r>
      <w:r>
        <w:t>Effect of research decisions and urgent medical research decisions</w:t>
      </w:r>
    </w:p>
    <w:p>
      <w:pPr>
        <w:pStyle w:val="TOC8"/>
        <w:rPr>
          <w:rFonts w:asciiTheme="minorHAnsi" w:eastAsiaTheme="minorEastAsia" w:hAnsiTheme="minorHAnsi" w:cstheme="minorBidi"/>
          <w:szCs w:val="22"/>
        </w:rPr>
      </w:pPr>
      <w:r>
        <w:t>110ZX</w:t>
      </w:r>
      <w:r>
        <w:rPr>
          <w:color w:val="000000" w:themeColor="text1"/>
        </w:rPr>
        <w:t>.</w:t>
      </w:r>
      <w:r>
        <w:rPr>
          <w:color w:val="000000" w:themeColor="text1"/>
        </w:rPr>
        <w:tab/>
        <w:t>Reliance by researcher on research decision or urgent medical research decision</w:t>
      </w:r>
      <w:r>
        <w:tab/>
      </w:r>
      <w:r>
        <w:fldChar w:fldCharType="begin"/>
      </w:r>
      <w:r>
        <w:instrText xml:space="preserve"> PAGEREF _Toc161907041 \h </w:instrText>
      </w:r>
      <w:r>
        <w:fldChar w:fldCharType="separate"/>
      </w:r>
      <w:r>
        <w:t>1</w:t>
      </w:r>
      <w:r>
        <w:fldChar w:fldCharType="end"/>
      </w:r>
    </w:p>
    <w:p>
      <w:pPr>
        <w:pStyle w:val="TOC8"/>
        <w:rPr>
          <w:rFonts w:asciiTheme="minorHAnsi" w:eastAsiaTheme="minorEastAsia" w:hAnsiTheme="minorHAnsi" w:cstheme="minorBidi"/>
          <w:szCs w:val="22"/>
        </w:rPr>
      </w:pPr>
      <w:r>
        <w:t>110ZY</w:t>
      </w:r>
      <w:r>
        <w:rPr>
          <w:color w:val="000000" w:themeColor="text1"/>
        </w:rPr>
        <w:t>.</w:t>
      </w:r>
      <w:r>
        <w:rPr>
          <w:color w:val="000000" w:themeColor="text1"/>
        </w:rPr>
        <w:tab/>
        <w:t>Validity of certain research decisions or urgent medical research decisions</w:t>
      </w:r>
      <w:r>
        <w:tab/>
      </w:r>
      <w:r>
        <w:fldChar w:fldCharType="begin"/>
      </w:r>
      <w:r>
        <w:instrText xml:space="preserve"> PAGEREF _Toc161907042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color w:val="000000" w:themeColor="text1"/>
        </w:rPr>
        <w:t> — </w:t>
      </w:r>
      <w:r>
        <w:t>Jurisdiction of State Administrative Tribunal</w:t>
      </w:r>
    </w:p>
    <w:p>
      <w:pPr>
        <w:pStyle w:val="TOC8"/>
        <w:rPr>
          <w:rFonts w:asciiTheme="minorHAnsi" w:eastAsiaTheme="minorEastAsia" w:hAnsiTheme="minorHAnsi" w:cstheme="minorBidi"/>
          <w:szCs w:val="22"/>
        </w:rPr>
      </w:pPr>
      <w:r>
        <w:t>110ZZ</w:t>
      </w:r>
      <w:r>
        <w:rPr>
          <w:color w:val="000000" w:themeColor="text1"/>
        </w:rPr>
        <w:t>.</w:t>
      </w:r>
      <w:r>
        <w:rPr>
          <w:color w:val="000000" w:themeColor="text1"/>
        </w:rPr>
        <w:tab/>
        <w:t>Applying for review of decision made under this Part</w:t>
      </w:r>
      <w:r>
        <w:tab/>
      </w:r>
      <w:r>
        <w:fldChar w:fldCharType="begin"/>
      </w:r>
      <w:r>
        <w:instrText xml:space="preserve"> PAGEREF _Toc161907044 \h </w:instrText>
      </w:r>
      <w:r>
        <w:fldChar w:fldCharType="separate"/>
      </w:r>
      <w:r>
        <w:t>1</w:t>
      </w:r>
      <w:r>
        <w:fldChar w:fldCharType="end"/>
      </w:r>
    </w:p>
    <w:p>
      <w:pPr>
        <w:pStyle w:val="TOC8"/>
        <w:rPr>
          <w:rFonts w:asciiTheme="minorHAnsi" w:eastAsiaTheme="minorEastAsia" w:hAnsiTheme="minorHAnsi" w:cstheme="minorBidi"/>
          <w:szCs w:val="22"/>
        </w:rPr>
      </w:pPr>
      <w:r>
        <w:t>110ZZA</w:t>
      </w:r>
      <w:r>
        <w:rPr>
          <w:color w:val="000000" w:themeColor="text1"/>
        </w:rPr>
        <w:t>.</w:t>
      </w:r>
      <w:r>
        <w:rPr>
          <w:color w:val="000000" w:themeColor="text1"/>
        </w:rPr>
        <w:tab/>
        <w:t>Procedure on review</w:t>
      </w:r>
      <w:r>
        <w:tab/>
      </w:r>
      <w:r>
        <w:fldChar w:fldCharType="begin"/>
      </w:r>
      <w:r>
        <w:instrText xml:space="preserve"> PAGEREF _Toc161907045 \h </w:instrText>
      </w:r>
      <w:r>
        <w:fldChar w:fldCharType="separate"/>
      </w:r>
      <w:r>
        <w:t>1</w:t>
      </w:r>
      <w:r>
        <w:fldChar w:fldCharType="end"/>
      </w:r>
    </w:p>
    <w:p>
      <w:pPr>
        <w:pStyle w:val="TOC8"/>
        <w:rPr>
          <w:rFonts w:asciiTheme="minorHAnsi" w:eastAsiaTheme="minorEastAsia" w:hAnsiTheme="minorHAnsi" w:cstheme="minorBidi"/>
          <w:szCs w:val="22"/>
        </w:rPr>
      </w:pPr>
      <w:r>
        <w:t>110ZZB</w:t>
      </w:r>
      <w:r>
        <w:rPr>
          <w:color w:val="000000" w:themeColor="text1"/>
        </w:rPr>
        <w:t>.</w:t>
      </w:r>
      <w:r>
        <w:rPr>
          <w:color w:val="000000" w:themeColor="text1"/>
        </w:rPr>
        <w:tab/>
        <w:t>Effect of State Administrative Tribunal’s decision under this Division</w:t>
      </w:r>
      <w:r>
        <w:tab/>
      </w:r>
      <w:r>
        <w:fldChar w:fldCharType="begin"/>
      </w:r>
      <w:r>
        <w:instrText xml:space="preserve"> PAGEREF _Toc161907046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w:t>
      </w:r>
      <w:r>
        <w:rPr>
          <w:color w:val="000000" w:themeColor="text1"/>
        </w:rPr>
        <w:t> — </w:t>
      </w:r>
      <w:r>
        <w:t>Reporting</w:t>
      </w:r>
    </w:p>
    <w:p>
      <w:pPr>
        <w:pStyle w:val="TOC8"/>
        <w:rPr>
          <w:rFonts w:asciiTheme="minorHAnsi" w:eastAsiaTheme="minorEastAsia" w:hAnsiTheme="minorHAnsi" w:cstheme="minorBidi"/>
          <w:szCs w:val="22"/>
        </w:rPr>
      </w:pPr>
      <w:r>
        <w:t>110ZZC</w:t>
      </w:r>
      <w:r>
        <w:rPr>
          <w:color w:val="000000" w:themeColor="text1"/>
        </w:rPr>
        <w:t>.</w:t>
      </w:r>
      <w:r>
        <w:rPr>
          <w:color w:val="000000" w:themeColor="text1"/>
        </w:rPr>
        <w:tab/>
        <w:t>Researcher to report medical research conducted under this Part to Health Minister</w:t>
      </w:r>
      <w:r>
        <w:tab/>
      </w:r>
      <w:r>
        <w:fldChar w:fldCharType="begin"/>
      </w:r>
      <w:r>
        <w:instrText xml:space="preserve"> PAGEREF _Toc161907048 \h </w:instrText>
      </w:r>
      <w:r>
        <w:fldChar w:fldCharType="separate"/>
      </w:r>
      <w:r>
        <w:t>1</w:t>
      </w:r>
      <w:r>
        <w:fldChar w:fldCharType="end"/>
      </w:r>
    </w:p>
    <w:p>
      <w:pPr>
        <w:pStyle w:val="TOC8"/>
        <w:rPr>
          <w:rFonts w:asciiTheme="minorHAnsi" w:eastAsiaTheme="minorEastAsia" w:hAnsiTheme="minorHAnsi" w:cstheme="minorBidi"/>
          <w:szCs w:val="22"/>
        </w:rPr>
      </w:pPr>
      <w:r>
        <w:t>110ZZD</w:t>
      </w:r>
      <w:r>
        <w:rPr>
          <w:color w:val="000000" w:themeColor="text1"/>
        </w:rPr>
        <w:t>.</w:t>
      </w:r>
      <w:r>
        <w:rPr>
          <w:color w:val="000000" w:themeColor="text1"/>
        </w:rPr>
        <w:tab/>
        <w:t>Health Minister to report to Parliament on medical research carried out under this Part</w:t>
      </w:r>
      <w:r>
        <w:tab/>
      </w:r>
      <w:r>
        <w:fldChar w:fldCharType="begin"/>
      </w:r>
      <w:r>
        <w:instrText xml:space="preserve"> PAGEREF _Toc161907049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w:t>
      </w:r>
      <w:r>
        <w:rPr>
          <w:color w:val="000000" w:themeColor="text1"/>
        </w:rPr>
        <w:t> — </w:t>
      </w:r>
      <w:r>
        <w:t>Reviews</w:t>
      </w:r>
    </w:p>
    <w:p>
      <w:pPr>
        <w:pStyle w:val="TOC8"/>
        <w:rPr>
          <w:rFonts w:asciiTheme="minorHAnsi" w:eastAsiaTheme="minorEastAsia" w:hAnsiTheme="minorHAnsi" w:cstheme="minorBidi"/>
          <w:szCs w:val="22"/>
        </w:rPr>
      </w:pPr>
      <w:r>
        <w:t>110ZZE</w:t>
      </w:r>
      <w:r>
        <w:rPr>
          <w:color w:val="000000" w:themeColor="text1"/>
        </w:rPr>
        <w:t>.</w:t>
      </w:r>
      <w:r>
        <w:rPr>
          <w:color w:val="000000" w:themeColor="text1"/>
        </w:rPr>
        <w:tab/>
        <w:t>Review of this Part</w:t>
      </w:r>
      <w:r>
        <w:tab/>
      </w:r>
      <w:r>
        <w:fldChar w:fldCharType="begin"/>
      </w:r>
      <w:r>
        <w:instrText xml:space="preserve"> PAGEREF _Toc161907051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 — Miscellaneous provisions</w:t>
      </w:r>
    </w:p>
    <w:p>
      <w:pPr>
        <w:pStyle w:val="TOC8"/>
        <w:rPr>
          <w:rFonts w:asciiTheme="minorHAnsi" w:eastAsiaTheme="minorEastAsia" w:hAnsiTheme="minorHAnsi" w:cstheme="minorBidi"/>
          <w:szCs w:val="22"/>
        </w:rPr>
      </w:pPr>
      <w:r>
        <w:t>111</w:t>
      </w:r>
      <w:r>
        <w:rPr>
          <w:snapToGrid w:val="0"/>
        </w:rPr>
        <w:t>.</w:t>
      </w:r>
      <w:r>
        <w:rPr>
          <w:snapToGrid w:val="0"/>
        </w:rPr>
        <w:tab/>
        <w:t>Declaration as to capacity to vote</w:t>
      </w:r>
      <w:r>
        <w:tab/>
      </w:r>
      <w:r>
        <w:fldChar w:fldCharType="begin"/>
      </w:r>
      <w:r>
        <w:instrText xml:space="preserve"> PAGEREF _Toc161907053 \h </w:instrText>
      </w:r>
      <w:r>
        <w:fldChar w:fldCharType="separate"/>
      </w:r>
      <w:r>
        <w:t>1</w:t>
      </w:r>
      <w:r>
        <w:fldChar w:fldCharType="end"/>
      </w:r>
    </w:p>
    <w:p>
      <w:pPr>
        <w:pStyle w:val="TOC8"/>
        <w:rPr>
          <w:rFonts w:asciiTheme="minorHAnsi" w:eastAsiaTheme="minorEastAsia" w:hAnsiTheme="minorHAnsi" w:cstheme="minorBidi"/>
          <w:szCs w:val="22"/>
        </w:rPr>
      </w:pPr>
      <w:r>
        <w:t>111A.</w:t>
      </w:r>
      <w:r>
        <w:tab/>
        <w:t xml:space="preserve">Applications under </w:t>
      </w:r>
      <w:r>
        <w:rPr>
          <w:i/>
          <w:iCs/>
        </w:rPr>
        <w:t xml:space="preserve">Wills Act 1970 </w:t>
      </w:r>
      <w:r>
        <w:t>s. 40</w:t>
      </w:r>
      <w:r>
        <w:tab/>
      </w:r>
      <w:r>
        <w:fldChar w:fldCharType="begin"/>
      </w:r>
      <w:r>
        <w:instrText xml:space="preserve"> PAGEREF _Toc161907054 \h </w:instrText>
      </w:r>
      <w:r>
        <w:fldChar w:fldCharType="separate"/>
      </w:r>
      <w:r>
        <w:t>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Inspection of records</w:t>
      </w:r>
      <w:r>
        <w:tab/>
      </w:r>
      <w:r>
        <w:fldChar w:fldCharType="begin"/>
      </w:r>
      <w:r>
        <w:instrText xml:space="preserve"> PAGEREF _Toc161907055 \h </w:instrText>
      </w:r>
      <w:r>
        <w:fldChar w:fldCharType="separate"/>
      </w:r>
      <w:r>
        <w:t>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Confidentiality</w:t>
      </w:r>
      <w:r>
        <w:tab/>
      </w:r>
      <w:r>
        <w:fldChar w:fldCharType="begin"/>
      </w:r>
      <w:r>
        <w:instrText xml:space="preserve"> PAGEREF _Toc161907056 \h </w:instrText>
      </w:r>
      <w:r>
        <w:fldChar w:fldCharType="separate"/>
      </w:r>
      <w:r>
        <w:t>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Immunity</w:t>
      </w:r>
      <w:r>
        <w:tab/>
      </w:r>
      <w:r>
        <w:fldChar w:fldCharType="begin"/>
      </w:r>
      <w:r>
        <w:instrText xml:space="preserve"> PAGEREF _Toc161907057 \h </w:instrText>
      </w:r>
      <w:r>
        <w:fldChar w:fldCharType="separate"/>
      </w:r>
      <w:r>
        <w:t>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Service of notices</w:t>
      </w:r>
      <w:r>
        <w:tab/>
      </w:r>
      <w:r>
        <w:fldChar w:fldCharType="begin"/>
      </w:r>
      <w:r>
        <w:instrText xml:space="preserve"> PAGEREF _Toc161907058 \h </w:instrText>
      </w:r>
      <w:r>
        <w:fldChar w:fldCharType="separate"/>
      </w:r>
      <w:r>
        <w:t>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Remuneration</w:t>
      </w:r>
      <w:r>
        <w:tab/>
      </w:r>
      <w:r>
        <w:fldChar w:fldCharType="begin"/>
      </w:r>
      <w:r>
        <w:instrText xml:space="preserve"> PAGEREF _Toc161907059 \h </w:instrText>
      </w:r>
      <w:r>
        <w:fldChar w:fldCharType="separate"/>
      </w:r>
      <w:r>
        <w:t>1</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Expenses</w:t>
      </w:r>
      <w:r>
        <w:tab/>
      </w:r>
      <w:r>
        <w:fldChar w:fldCharType="begin"/>
      </w:r>
      <w:r>
        <w:instrText xml:space="preserve"> PAGEREF _Toc161907060 \h </w:instrText>
      </w:r>
      <w:r>
        <w:fldChar w:fldCharType="separate"/>
      </w:r>
      <w:r>
        <w:t>1</w:t>
      </w:r>
      <w:r>
        <w:fldChar w:fldCharType="end"/>
      </w:r>
    </w:p>
    <w:p>
      <w:pPr>
        <w:pStyle w:val="TOC8"/>
        <w:rPr>
          <w:rFonts w:asciiTheme="minorHAnsi" w:eastAsiaTheme="minorEastAsia" w:hAnsiTheme="minorHAnsi" w:cstheme="minorBidi"/>
          <w:szCs w:val="22"/>
        </w:rPr>
      </w:pPr>
      <w:r>
        <w:t>119.</w:t>
      </w:r>
      <w:r>
        <w:tab/>
        <w:t>Order of priority of enduring guardian and guardian for matters other than treatment decisions</w:t>
      </w:r>
      <w:r>
        <w:tab/>
      </w:r>
      <w:r>
        <w:fldChar w:fldCharType="begin"/>
      </w:r>
      <w:r>
        <w:instrText xml:space="preserve"> PAGEREF _Toc161907061 \h </w:instrText>
      </w:r>
      <w:r>
        <w:fldChar w:fldCharType="separate"/>
      </w:r>
      <w:r>
        <w:t>1</w:t>
      </w:r>
      <w:r>
        <w:fldChar w:fldCharType="end"/>
      </w:r>
    </w:p>
    <w:p>
      <w:pPr>
        <w:pStyle w:val="TOC8"/>
        <w:rPr>
          <w:rFonts w:asciiTheme="minorHAnsi" w:eastAsiaTheme="minorEastAsia" w:hAnsiTheme="minorHAnsi" w:cstheme="minorBidi"/>
          <w:szCs w:val="22"/>
        </w:rPr>
      </w:pPr>
      <w:r>
        <w:t>119A.</w:t>
      </w:r>
      <w:r>
        <w:tab/>
        <w:t>No fee for application to State Administrative Tribunal</w:t>
      </w:r>
      <w:r>
        <w:tab/>
      </w:r>
      <w:r>
        <w:fldChar w:fldCharType="begin"/>
      </w:r>
      <w:r>
        <w:instrText xml:space="preserve"> PAGEREF _Toc161907062 \h </w:instrText>
      </w:r>
      <w:r>
        <w:fldChar w:fldCharType="separate"/>
      </w:r>
      <w:r>
        <w:t>1</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Regulations</w:t>
      </w:r>
      <w:r>
        <w:tab/>
      </w:r>
      <w:r>
        <w:fldChar w:fldCharType="begin"/>
      </w:r>
      <w:r>
        <w:instrText xml:space="preserve"> PAGEREF _Toc161907063 \h </w:instrText>
      </w:r>
      <w:r>
        <w:fldChar w:fldCharType="separate"/>
      </w:r>
      <w:r>
        <w:t>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Transitional provisions</w:t>
      </w:r>
      <w:r>
        <w:tab/>
      </w:r>
      <w:r>
        <w:fldChar w:fldCharType="begin"/>
      </w:r>
      <w:r>
        <w:instrText xml:space="preserve"> PAGEREF _Toc161907064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Provisions as to proceedings of State Administrative Tribunal</w:t>
      </w:r>
    </w:p>
    <w:p>
      <w:pPr>
        <w:pStyle w:val="TOC8"/>
        <w:rPr>
          <w:rFonts w:asciiTheme="minorHAnsi" w:eastAsiaTheme="minorEastAsia" w:hAnsiTheme="minorHAnsi" w:cstheme="minorBidi"/>
          <w:szCs w:val="22"/>
        </w:rPr>
      </w:pPr>
      <w:r>
        <w:t>11.</w:t>
      </w:r>
      <w:r>
        <w:tab/>
        <w:t>Hearings</w:t>
      </w:r>
      <w:r>
        <w:tab/>
      </w:r>
      <w:r>
        <w:fldChar w:fldCharType="begin"/>
      </w:r>
      <w:r>
        <w:instrText xml:space="preserve"> PAGEREF _Toc161907066 \h </w:instrText>
      </w:r>
      <w:r>
        <w:fldChar w:fldCharType="separate"/>
      </w:r>
      <w:r>
        <w:t>1</w:t>
      </w:r>
      <w:r>
        <w:fldChar w:fldCharType="end"/>
      </w:r>
    </w:p>
    <w:p>
      <w:pPr>
        <w:pStyle w:val="TOC8"/>
        <w:rPr>
          <w:rFonts w:asciiTheme="minorHAnsi" w:eastAsiaTheme="minorEastAsia" w:hAnsiTheme="minorHAnsi" w:cstheme="minorBidi"/>
          <w:szCs w:val="22"/>
        </w:rPr>
      </w:pPr>
      <w:r>
        <w:t>12.</w:t>
      </w:r>
      <w:r>
        <w:tab/>
        <w:t>Limitations on publication of proceedings</w:t>
      </w:r>
      <w:r>
        <w:tab/>
      </w:r>
      <w:r>
        <w:fldChar w:fldCharType="begin"/>
      </w:r>
      <w:r>
        <w:instrText xml:space="preserve"> PAGEREF _Toc161907067 \h </w:instrText>
      </w:r>
      <w:r>
        <w:fldChar w:fldCharType="separate"/>
      </w:r>
      <w:r>
        <w:t>1</w:t>
      </w:r>
      <w:r>
        <w:fldChar w:fldCharType="end"/>
      </w:r>
    </w:p>
    <w:p>
      <w:pPr>
        <w:pStyle w:val="TOC8"/>
        <w:rPr>
          <w:rFonts w:asciiTheme="minorHAnsi" w:eastAsiaTheme="minorEastAsia" w:hAnsiTheme="minorHAnsi" w:cstheme="minorBidi"/>
          <w:szCs w:val="22"/>
        </w:rPr>
      </w:pPr>
      <w:r>
        <w:t>13.</w:t>
      </w:r>
      <w:r>
        <w:tab/>
        <w:t>Entitlement to appear, and representation</w:t>
      </w:r>
      <w:r>
        <w:tab/>
      </w:r>
      <w:r>
        <w:fldChar w:fldCharType="begin"/>
      </w:r>
      <w:r>
        <w:instrText xml:space="preserve"> PAGEREF _Toc161907068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2 — Functions for administration of estates</w:t>
      </w:r>
    </w:p>
    <w:p>
      <w:pPr>
        <w:pStyle w:val="TOC4"/>
        <w:tabs>
          <w:tab w:val="right" w:leader="dot" w:pos="7077"/>
        </w:tabs>
        <w:rPr>
          <w:rFonts w:asciiTheme="minorHAnsi" w:eastAsiaTheme="minorEastAsia" w:hAnsiTheme="minorHAnsi" w:cstheme="minorBidi"/>
          <w:b w:val="0"/>
          <w:szCs w:val="22"/>
        </w:rPr>
      </w:pPr>
      <w:r>
        <w:rPr>
          <w:rFonts w:eastAsia="MS Mincho"/>
        </w:rPr>
        <w:t>Part A</w:t>
      </w:r>
      <w:r>
        <w:rPr>
          <w:rFonts w:eastAsia="MS Mincho"/>
          <w:b w:val="0"/>
        </w:rPr>
        <w:t> </w:t>
      </w:r>
      <w:r>
        <w:rPr>
          <w:rFonts w:eastAsia="MS Mincho"/>
        </w:rPr>
        <w:t>— Administrator</w:t>
      </w:r>
    </w:p>
    <w:p>
      <w:pPr>
        <w:pStyle w:val="TOC4"/>
        <w:tabs>
          <w:tab w:val="right" w:leader="dot" w:pos="7077"/>
        </w:tabs>
        <w:rPr>
          <w:rFonts w:asciiTheme="minorHAnsi" w:eastAsiaTheme="minorEastAsia" w:hAnsiTheme="minorHAnsi" w:cstheme="minorBidi"/>
          <w:b w:val="0"/>
          <w:szCs w:val="22"/>
        </w:rPr>
      </w:pPr>
      <w:r>
        <w:rPr>
          <w:rFonts w:eastAsia="MS Mincho"/>
        </w:rPr>
        <w:t>Part B — State Administrative Tribunal</w:t>
      </w:r>
    </w:p>
    <w:p>
      <w:pPr>
        <w:pStyle w:val="TOC2"/>
        <w:tabs>
          <w:tab w:val="right" w:leader="dot" w:pos="7077"/>
        </w:tabs>
        <w:rPr>
          <w:rFonts w:asciiTheme="minorHAnsi" w:eastAsiaTheme="minorEastAsia" w:hAnsiTheme="minorHAnsi" w:cstheme="minorBidi"/>
          <w:b w:val="0"/>
          <w:sz w:val="22"/>
          <w:szCs w:val="22"/>
        </w:rPr>
      </w:pPr>
      <w:r>
        <w:rPr>
          <w:rFonts w:eastAsia="MS Mincho"/>
        </w:rPr>
        <w:t>Schedule 3 — Forms for enduring power of attorney</w:t>
      </w:r>
    </w:p>
    <w:p>
      <w:pPr>
        <w:pStyle w:val="TOC2"/>
        <w:tabs>
          <w:tab w:val="right" w:leader="dot" w:pos="7077"/>
        </w:tabs>
        <w:rPr>
          <w:rFonts w:asciiTheme="minorHAnsi" w:eastAsiaTheme="minorEastAsia" w:hAnsiTheme="minorHAnsi" w:cstheme="minorBidi"/>
          <w:b w:val="0"/>
          <w:sz w:val="22"/>
          <w:szCs w:val="22"/>
        </w:rPr>
      </w:pPr>
      <w:r>
        <w:t>Schedule 5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matters for </w:t>
      </w:r>
      <w:r>
        <w:rPr>
          <w:i/>
        </w:rPr>
        <w:t>Guardianship and Administration Act 1990</w:t>
      </w:r>
    </w:p>
    <w:p>
      <w:pPr>
        <w:pStyle w:val="TOC8"/>
        <w:rPr>
          <w:rFonts w:asciiTheme="minorHAnsi" w:eastAsiaTheme="minorEastAsia" w:hAnsiTheme="minorHAnsi" w:cstheme="minorBidi"/>
          <w:szCs w:val="22"/>
        </w:rPr>
      </w:pPr>
      <w:r>
        <w:t>1A.</w:t>
      </w:r>
      <w:r>
        <w:tab/>
        <w:t>Application of this Division</w:t>
      </w:r>
      <w:r>
        <w:tab/>
      </w:r>
      <w:r>
        <w:fldChar w:fldCharType="begin"/>
      </w:r>
      <w:r>
        <w:instrText xml:space="preserve"> PAGEREF _Toc161907075 \h </w:instrText>
      </w:r>
      <w:r>
        <w:fldChar w:fldCharType="separate"/>
      </w:r>
      <w:r>
        <w:t>1</w:t>
      </w:r>
      <w:r>
        <w:fldChar w:fldCharType="end"/>
      </w:r>
    </w:p>
    <w:p>
      <w:pPr>
        <w:pStyle w:val="TOC8"/>
        <w:rPr>
          <w:rFonts w:asciiTheme="minorHAnsi" w:eastAsiaTheme="minorEastAsia" w:hAnsiTheme="minorHAnsi" w:cstheme="minorBidi"/>
          <w:szCs w:val="22"/>
        </w:rPr>
      </w:pPr>
      <w:r>
        <w:t xml:space="preserve">1. </w:t>
      </w:r>
      <w:r>
        <w:tab/>
        <w:t>Existing functions of Public Trustee to continue</w:t>
      </w:r>
      <w:r>
        <w:tab/>
      </w:r>
      <w:r>
        <w:fldChar w:fldCharType="begin"/>
      </w:r>
      <w:r>
        <w:instrText xml:space="preserve"> PAGEREF _Toc161907076 \h </w:instrText>
      </w:r>
      <w:r>
        <w:fldChar w:fldCharType="separate"/>
      </w:r>
      <w:r>
        <w:t>1</w:t>
      </w:r>
      <w:r>
        <w:fldChar w:fldCharType="end"/>
      </w:r>
    </w:p>
    <w:p>
      <w:pPr>
        <w:pStyle w:val="TOC8"/>
        <w:rPr>
          <w:rFonts w:asciiTheme="minorHAnsi" w:eastAsiaTheme="minorEastAsia" w:hAnsiTheme="minorHAnsi" w:cstheme="minorBidi"/>
          <w:szCs w:val="22"/>
        </w:rPr>
      </w:pPr>
      <w:r>
        <w:t xml:space="preserve">2. </w:t>
      </w:r>
      <w:r>
        <w:tab/>
        <w:t xml:space="preserve">Existing managers under </w:t>
      </w:r>
      <w:r>
        <w:rPr>
          <w:i/>
        </w:rPr>
        <w:t>Mental Health Act 1962</w:t>
      </w:r>
      <w:r>
        <w:t xml:space="preserve"> to continue</w:t>
      </w:r>
      <w:r>
        <w:tab/>
      </w:r>
      <w:r>
        <w:fldChar w:fldCharType="begin"/>
      </w:r>
      <w:r>
        <w:instrText xml:space="preserve"> PAGEREF _Toc161907077 \h </w:instrText>
      </w:r>
      <w:r>
        <w:fldChar w:fldCharType="separate"/>
      </w:r>
      <w:r>
        <w:t>1</w:t>
      </w:r>
      <w:r>
        <w:fldChar w:fldCharType="end"/>
      </w:r>
    </w:p>
    <w:p>
      <w:pPr>
        <w:pStyle w:val="TOC8"/>
        <w:rPr>
          <w:rFonts w:asciiTheme="minorHAnsi" w:eastAsiaTheme="minorEastAsia" w:hAnsiTheme="minorHAnsi" w:cstheme="minorBidi"/>
          <w:szCs w:val="22"/>
        </w:rPr>
      </w:pPr>
      <w:r>
        <w:lastRenderedPageBreak/>
        <w:t xml:space="preserve">3. </w:t>
      </w:r>
      <w:r>
        <w:tab/>
        <w:t>Application for administration order may be made</w:t>
      </w:r>
      <w:r>
        <w:tab/>
      </w:r>
      <w:r>
        <w:fldChar w:fldCharType="begin"/>
      </w:r>
      <w:r>
        <w:instrText xml:space="preserve"> PAGEREF _Toc161907078 \h </w:instrText>
      </w:r>
      <w:r>
        <w:fldChar w:fldCharType="separate"/>
      </w:r>
      <w:r>
        <w:t>1</w:t>
      </w:r>
      <w:r>
        <w:fldChar w:fldCharType="end"/>
      </w:r>
    </w:p>
    <w:p>
      <w:pPr>
        <w:pStyle w:val="TOC8"/>
        <w:rPr>
          <w:rFonts w:asciiTheme="minorHAnsi" w:eastAsiaTheme="minorEastAsia" w:hAnsiTheme="minorHAnsi" w:cstheme="minorBidi"/>
          <w:szCs w:val="22"/>
        </w:rPr>
      </w:pPr>
      <w:r>
        <w:t xml:space="preserve">4. </w:t>
      </w:r>
      <w:r>
        <w:tab/>
        <w:t>References in other laws</w:t>
      </w:r>
      <w:r>
        <w:tab/>
      </w:r>
      <w:r>
        <w:fldChar w:fldCharType="begin"/>
      </w:r>
      <w:r>
        <w:instrText xml:space="preserve"> PAGEREF _Toc161907079 \h </w:instrText>
      </w:r>
      <w:r>
        <w:fldChar w:fldCharType="separate"/>
      </w:r>
      <w:r>
        <w:t>1</w:t>
      </w:r>
      <w:r>
        <w:fldChar w:fldCharType="end"/>
      </w:r>
    </w:p>
    <w:p>
      <w:pPr>
        <w:pStyle w:val="TOC8"/>
        <w:rPr>
          <w:rFonts w:asciiTheme="minorHAnsi" w:eastAsiaTheme="minorEastAsia" w:hAnsiTheme="minorHAnsi" w:cstheme="minorBidi"/>
          <w:szCs w:val="22"/>
        </w:rPr>
      </w:pPr>
      <w:r>
        <w:t xml:space="preserve">5. </w:t>
      </w:r>
      <w:r>
        <w:tab/>
        <w:t xml:space="preserve">Proceedings in progress under </w:t>
      </w:r>
      <w:r>
        <w:rPr>
          <w:i/>
        </w:rPr>
        <w:t>Mental Health Act 1962</w:t>
      </w:r>
      <w:r>
        <w:t xml:space="preserve"> Pt. VI</w:t>
      </w:r>
      <w:r>
        <w:tab/>
      </w:r>
      <w:r>
        <w:fldChar w:fldCharType="begin"/>
      </w:r>
      <w:r>
        <w:instrText xml:space="preserve"> PAGEREF _Toc161907080 \h </w:instrText>
      </w:r>
      <w:r>
        <w:fldChar w:fldCharType="separate"/>
      </w:r>
      <w:r>
        <w:t>1</w:t>
      </w:r>
      <w:r>
        <w:fldChar w:fldCharType="end"/>
      </w:r>
    </w:p>
    <w:p>
      <w:pPr>
        <w:pStyle w:val="TOC8"/>
        <w:rPr>
          <w:rFonts w:asciiTheme="minorHAnsi" w:eastAsiaTheme="minorEastAsia" w:hAnsiTheme="minorHAnsi" w:cstheme="minorBidi"/>
          <w:szCs w:val="22"/>
        </w:rPr>
      </w:pPr>
      <w:r>
        <w:t>6.</w:t>
      </w:r>
      <w:r>
        <w:tab/>
        <w:t>Final accounts where administration order made</w:t>
      </w:r>
      <w:r>
        <w:tab/>
      </w:r>
      <w:r>
        <w:fldChar w:fldCharType="begin"/>
      </w:r>
      <w:r>
        <w:instrText xml:space="preserve"> PAGEREF _Toc161907081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in connection with </w:t>
      </w:r>
      <w:r>
        <w:rPr>
          <w:i/>
        </w:rPr>
        <w:t>Mental Health Act 2014</w:t>
      </w:r>
    </w:p>
    <w:p>
      <w:pPr>
        <w:pStyle w:val="TOC8"/>
        <w:rPr>
          <w:rFonts w:asciiTheme="minorHAnsi" w:eastAsiaTheme="minorEastAsia" w:hAnsiTheme="minorHAnsi" w:cstheme="minorBidi"/>
          <w:szCs w:val="22"/>
        </w:rPr>
      </w:pPr>
      <w:r>
        <w:t>7.</w:t>
      </w:r>
      <w:r>
        <w:tab/>
        <w:t>Estates being managed by Public Trustee under Division 1</w:t>
      </w:r>
      <w:r>
        <w:tab/>
      </w:r>
      <w:r>
        <w:fldChar w:fldCharType="begin"/>
      </w:r>
      <w:r>
        <w:instrText xml:space="preserve"> PAGEREF _Toc161907083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_Toc161907085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_Toc161907086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_Toc161907087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No. 55 of 2004 s. 417; No. 25 of 2008 s. 4.]</w:t>
      </w:r>
    </w:p>
    <w:p>
      <w:pPr>
        <w:pStyle w:val="Heading2"/>
      </w:pPr>
      <w:bookmarkStart w:id="2" w:name="_Toc161843143"/>
      <w:bookmarkStart w:id="3" w:name="_Toc161845836"/>
      <w:bookmarkStart w:id="4" w:name="_Toc16190681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161906818"/>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w:t>
      </w:r>
    </w:p>
    <w:p>
      <w:pPr>
        <w:pStyle w:val="Heading5"/>
        <w:rPr>
          <w:snapToGrid w:val="0"/>
        </w:rPr>
      </w:pPr>
      <w:bookmarkStart w:id="6" w:name="_Toc161906819"/>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7" w:name="_Toc161906820"/>
      <w:r>
        <w:rPr>
          <w:rStyle w:val="CharSectno"/>
        </w:rPr>
        <w:t>3</w:t>
      </w:r>
      <w:r>
        <w:rPr>
          <w:snapToGrid w:val="0"/>
        </w:rPr>
        <w:t>.</w:t>
      </w:r>
      <w:r>
        <w:rPr>
          <w:snapToGrid w:val="0"/>
        </w:rPr>
        <w:tab/>
        <w:t>Terms used</w:t>
      </w:r>
      <w:bookmarkEnd w:id="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lastRenderedPageBreak/>
        <w:tab/>
      </w:r>
      <w:r>
        <w:rPr>
          <w:rStyle w:val="CharDefText"/>
        </w:rPr>
        <w:t>determination</w:t>
      </w:r>
      <w:r>
        <w:t>, in relation to the State Administrative Tribunal, means — </w:t>
      </w:r>
    </w:p>
    <w:p>
      <w:pPr>
        <w:pStyle w:val="Defpara"/>
      </w:pPr>
      <w:r>
        <w:tab/>
        <w:t>(a)</w:t>
      </w:r>
      <w:r>
        <w:tab/>
        <w:t>a grant or refusal of leave under section 87;</w:t>
      </w:r>
      <w:r>
        <w:rPr>
          <w:color w:val="000000" w:themeColor="text1"/>
        </w:rPr>
        <w:t xml:space="preserve"> or</w:t>
      </w:r>
    </w:p>
    <w:p>
      <w:pPr>
        <w:pStyle w:val="Defpara"/>
      </w:pPr>
      <w:r>
        <w:tab/>
        <w:t>(b)</w:t>
      </w:r>
      <w:r>
        <w:tab/>
        <w:t>the making of, or refusal to make, an order under section 43 or 64;</w:t>
      </w:r>
      <w:r>
        <w:rPr>
          <w:color w:val="000000" w:themeColor="text1"/>
        </w:rPr>
        <w:t xml:space="preserve"> or</w:t>
      </w:r>
    </w:p>
    <w:p>
      <w:pPr>
        <w:pStyle w:val="Defpara"/>
      </w:pPr>
      <w:r>
        <w:tab/>
        <w:t>(c)</w:t>
      </w:r>
      <w:r>
        <w:tab/>
        <w:t>the refusal to issue a warrant under section 49;</w:t>
      </w:r>
      <w:r>
        <w:rPr>
          <w:color w:val="000000" w:themeColor="text1"/>
        </w:rPr>
        <w:t xml:space="preserve"> or</w:t>
      </w:r>
    </w:p>
    <w:p>
      <w:pPr>
        <w:pStyle w:val="Defpara"/>
      </w:pPr>
      <w:r>
        <w:tab/>
        <w:t>(d)</w:t>
      </w:r>
      <w:r>
        <w:tab/>
        <w:t>the making of, or refusal to make, an order on a review under section 84, 85 or 86;</w:t>
      </w:r>
      <w:r>
        <w:rPr>
          <w:color w:val="000000" w:themeColor="text1"/>
        </w:rPr>
        <w:t xml:space="preserve"> or</w:t>
      </w:r>
    </w:p>
    <w:p>
      <w:pPr>
        <w:pStyle w:val="Defpara"/>
      </w:pPr>
      <w:r>
        <w:tab/>
        <w:t>(e)</w:t>
      </w:r>
      <w:r>
        <w:tab/>
        <w:t>the giving of a direction under section 47 or 74;</w:t>
      </w:r>
      <w:r>
        <w:rPr>
          <w:color w:val="000000" w:themeColor="text1"/>
        </w:rPr>
        <w:t xml:space="preserve"> or</w:t>
      </w:r>
    </w:p>
    <w:p>
      <w:pPr>
        <w:pStyle w:val="Defpara"/>
      </w:pPr>
      <w:r>
        <w:tab/>
        <w:t>(f)</w:t>
      </w:r>
      <w:r>
        <w:tab/>
        <w:t>the giving or refusal of consent under section 63;</w:t>
      </w:r>
      <w:r>
        <w:rPr>
          <w:color w:val="000000" w:themeColor="text1"/>
        </w:rPr>
        <w:t xml:space="preserve"> or</w:t>
      </w:r>
    </w:p>
    <w:p>
      <w:pPr>
        <w:pStyle w:val="Defpara"/>
      </w:pPr>
      <w:r>
        <w:tab/>
        <w:t>(g)</w:t>
      </w:r>
      <w:r>
        <w:tab/>
        <w:t xml:space="preserve">the making of or refusal to make a declaration under section 111 or the revocation of or refusal to revoke such a </w:t>
      </w:r>
      <w:r>
        <w:rPr>
          <w:color w:val="000000" w:themeColor="text1"/>
        </w:rPr>
        <w:t>declaration; or</w:t>
      </w:r>
    </w:p>
    <w:p>
      <w:pPr>
        <w:pStyle w:val="Defpara"/>
      </w:pPr>
      <w:r>
        <w:tab/>
        <w:t>(h)</w:t>
      </w:r>
      <w:r>
        <w:tab/>
        <w:t xml:space="preserve">the making of, or refusal to make, an order under section 66, 104A(2), 106, 109 or </w:t>
      </w:r>
      <w:r>
        <w:rPr>
          <w:color w:val="000000" w:themeColor="text1"/>
        </w:rPr>
        <w:t>112(4); or</w:t>
      </w:r>
    </w:p>
    <w:p>
      <w:pPr>
        <w:pStyle w:val="Defpara"/>
      </w:pPr>
      <w:r>
        <w:rPr>
          <w:color w:val="000000" w:themeColor="text1"/>
        </w:rPr>
        <w:tab/>
        <w:t>(i)</w:t>
      </w:r>
      <w:r>
        <w:rPr>
          <w:color w:val="000000" w:themeColor="text1"/>
        </w:rPr>
        <w:tab/>
        <w:t xml:space="preserve">a decision made under Part 9E Division 5; </w:t>
      </w:r>
    </w:p>
    <w:p>
      <w:pPr>
        <w:pStyle w:val="Defstart"/>
      </w:pPr>
      <w:r>
        <w:rPr>
          <w:color w:val="000000" w:themeColor="text1"/>
        </w:rPr>
        <w:tab/>
      </w:r>
      <w:r>
        <w:rPr>
          <w:rStyle w:val="CharDefText"/>
          <w:color w:val="000000" w:themeColor="text1"/>
        </w:rPr>
        <w:t>electroconvulsive therapy</w:t>
      </w:r>
      <w:r>
        <w:rPr>
          <w:color w:val="000000" w:themeColor="text1"/>
        </w:rPr>
        <w:t xml:space="preserve"> has the meaning given in the </w:t>
      </w:r>
      <w:r>
        <w:rPr>
          <w:i/>
          <w:color w:val="000000" w:themeColor="text1"/>
        </w:rPr>
        <w:t>Mental Health Act 2014</w:t>
      </w:r>
      <w:r>
        <w:rPr>
          <w:color w:val="000000" w:themeColor="text1"/>
        </w:rPr>
        <w:t xml:space="preserve"> section 192;</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lastRenderedPageBreak/>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tab/>
      </w:r>
      <w:r>
        <w:rPr>
          <w:rStyle w:val="CharDefText"/>
          <w:color w:val="000000" w:themeColor="text1"/>
        </w:rPr>
        <w:t>medical research</w:t>
      </w:r>
      <w:r>
        <w:t xml:space="preserve"> has the meaning given in section 3AA;</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lastRenderedPageBreak/>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332"/>
          <w:tab w:val="right" w:pos="1320"/>
          <w:tab w:val="left" w:pos="1610"/>
        </w:tabs>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tab/>
      </w:r>
      <w:r>
        <w:rPr>
          <w:rStyle w:val="CharDefText"/>
          <w:color w:val="000000" w:themeColor="text1"/>
        </w:rPr>
        <w:t>personal information</w:t>
      </w:r>
      <w:r>
        <w:t xml:space="preserve"> has the meaning given in the </w:t>
      </w:r>
      <w:r>
        <w:rPr>
          <w:i/>
        </w:rPr>
        <w:t>Freedom of Information Act 1992</w:t>
      </w:r>
      <w:r>
        <w:t xml:space="preserve"> Glossary clause 1;</w:t>
      </w:r>
    </w:p>
    <w:p>
      <w:pPr>
        <w:pStyle w:val="Defstart"/>
      </w:pPr>
      <w:r>
        <w:tab/>
      </w:r>
      <w:r>
        <w:rPr>
          <w:rStyle w:val="CharDefText"/>
          <w:color w:val="000000" w:themeColor="text1"/>
        </w:rPr>
        <w:t>placebo</w:t>
      </w:r>
      <w:r>
        <w:t xml:space="preserve"> means a substance not containing an active agent under study administered to some individuals to compare the effects of the active agent administered to other individuals;</w:t>
      </w:r>
    </w:p>
    <w:p>
      <w:pPr>
        <w:pStyle w:val="Defstart"/>
      </w:pPr>
      <w:r>
        <w:rPr>
          <w:b/>
        </w:rPr>
        <w:tab/>
      </w:r>
      <w:r>
        <w:rPr>
          <w:rStyle w:val="CharDefText"/>
        </w:rPr>
        <w:t>President</w:t>
      </w:r>
      <w:r>
        <w:t xml:space="preserve"> means the President of the State Administrative Tribunal;</w:t>
      </w:r>
    </w:p>
    <w:p>
      <w:pPr>
        <w:pStyle w:val="Defstart"/>
      </w:pPr>
      <w:r>
        <w:rPr>
          <w:b/>
        </w:rPr>
        <w:lastRenderedPageBreak/>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tab/>
      </w:r>
      <w:r>
        <w:rPr>
          <w:rStyle w:val="CharDefText"/>
          <w:color w:val="000000" w:themeColor="text1"/>
        </w:rPr>
        <w:t>research candidate</w:t>
      </w:r>
      <w:r>
        <w:t xml:space="preserve"> means an individual — </w:t>
      </w:r>
    </w:p>
    <w:p>
      <w:pPr>
        <w:pStyle w:val="Defpara"/>
      </w:pPr>
      <w:r>
        <w:rPr>
          <w:color w:val="000000" w:themeColor="text1"/>
        </w:rPr>
        <w:tab/>
        <w:t>(a)</w:t>
      </w:r>
      <w:r>
        <w:rPr>
          <w:color w:val="000000" w:themeColor="text1"/>
        </w:rPr>
        <w:tab/>
        <w:t>whose participation is sought in medical research; or</w:t>
      </w:r>
    </w:p>
    <w:p>
      <w:pPr>
        <w:pStyle w:val="Defpara"/>
      </w:pPr>
      <w:r>
        <w:tab/>
        <w:t>(b)</w:t>
      </w:r>
      <w:r>
        <w:tab/>
        <w:t>in respect of whom medical research is conducted under Part 9E;</w:t>
      </w:r>
    </w:p>
    <w:p>
      <w:pPr>
        <w:pStyle w:val="Defstart"/>
      </w:pPr>
      <w:r>
        <w:rPr>
          <w:color w:val="000000" w:themeColor="text1"/>
        </w:rPr>
        <w:tab/>
      </w:r>
      <w:r>
        <w:rPr>
          <w:rStyle w:val="CharDefText"/>
          <w:color w:val="000000" w:themeColor="text1"/>
        </w:rPr>
        <w:t>research decision</w:t>
      </w:r>
      <w:r>
        <w:rPr>
          <w:color w:val="000000" w:themeColor="text1"/>
        </w:rPr>
        <w:t>, in relation to a research candidate, means a decision to consent or refuse consent to the candidate’s participation in medical research;</w:t>
      </w:r>
    </w:p>
    <w:p>
      <w:pPr>
        <w:pStyle w:val="Defstart"/>
      </w:pPr>
      <w:r>
        <w:tab/>
      </w:r>
      <w:r>
        <w:rPr>
          <w:rStyle w:val="CharDefText"/>
          <w:color w:val="000000" w:themeColor="text1"/>
        </w:rPr>
        <w:t>research decision</w:t>
      </w:r>
      <w:r>
        <w:rPr>
          <w:rStyle w:val="CharDefText"/>
          <w:color w:val="000000" w:themeColor="text1"/>
        </w:rPr>
        <w:noBreakHyphen/>
        <w:t>maker</w:t>
      </w:r>
      <w:r>
        <w:t>, for a research candidate, has the meaning given in section 110ZP;</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color w:val="000000" w:themeColor="text1"/>
        </w:rPr>
        <w:t>treatment</w:t>
      </w:r>
      <w:r>
        <w:t xml:space="preserve"> — </w:t>
      </w:r>
    </w:p>
    <w:p>
      <w:pPr>
        <w:pStyle w:val="Defpara"/>
      </w:pPr>
      <w:r>
        <w:rPr>
          <w:color w:val="000000" w:themeColor="text1"/>
        </w:rPr>
        <w:tab/>
        <w:t>(a)</w:t>
      </w:r>
      <w:r>
        <w:rPr>
          <w:color w:val="000000" w:themeColor="text1"/>
        </w:rPr>
        <w:tab/>
        <w:t xml:space="preserve">means — </w:t>
      </w:r>
    </w:p>
    <w:p>
      <w:pPr>
        <w:pStyle w:val="Defsubpara"/>
      </w:pPr>
      <w:r>
        <w:rPr>
          <w:color w:val="000000" w:themeColor="text1"/>
        </w:rPr>
        <w:tab/>
        <w:t>(i)</w:t>
      </w:r>
      <w:r>
        <w:rPr>
          <w:color w:val="000000" w:themeColor="text1"/>
        </w:rPr>
        <w:tab/>
        <w:t>medical or surgical treatment, including a life sustaining measure or palliative care; or</w:t>
      </w:r>
    </w:p>
    <w:p>
      <w:pPr>
        <w:pStyle w:val="Defsubpara"/>
      </w:pPr>
      <w:r>
        <w:tab/>
        <w:t>(ii)</w:t>
      </w:r>
      <w:r>
        <w:tab/>
        <w:t>dental treatment; or</w:t>
      </w:r>
    </w:p>
    <w:p>
      <w:pPr>
        <w:pStyle w:val="Defsubpara"/>
      </w:pPr>
      <w:r>
        <w:tab/>
        <w:t>(iii)</w:t>
      </w:r>
      <w:r>
        <w:tab/>
        <w:t xml:space="preserve">other health care; </w:t>
      </w:r>
    </w:p>
    <w:p>
      <w:pPr>
        <w:pStyle w:val="Defpara"/>
      </w:pPr>
      <w:r>
        <w:rPr>
          <w:color w:val="000000" w:themeColor="text1"/>
        </w:rPr>
        <w:tab/>
      </w:r>
      <w:r>
        <w:rPr>
          <w:color w:val="000000" w:themeColor="text1"/>
        </w:rPr>
        <w:tab/>
        <w:t>and</w:t>
      </w:r>
    </w:p>
    <w:p>
      <w:pPr>
        <w:pStyle w:val="Defpara"/>
      </w:pPr>
      <w:r>
        <w:tab/>
        <w:t>(b)</w:t>
      </w:r>
      <w:r>
        <w:tab/>
        <w:t>in Parts 9B and 9E — includes medical research; and</w:t>
      </w:r>
    </w:p>
    <w:p>
      <w:pPr>
        <w:pStyle w:val="Defpara"/>
      </w:pPr>
      <w:r>
        <w:tab/>
        <w:t>(c)</w:t>
      </w:r>
      <w:r>
        <w:tab/>
        <w:t>if paragraph (b) does not apply — does not include medical research;</w:t>
      </w:r>
    </w:p>
    <w:p>
      <w:pPr>
        <w:pStyle w:val="Defstart"/>
        <w:keepNext/>
      </w:pPr>
      <w:r>
        <w:rPr>
          <w:color w:val="000000" w:themeColor="text1"/>
        </w:rPr>
        <w:lastRenderedPageBreak/>
        <w:tab/>
      </w:r>
      <w:r>
        <w:rPr>
          <w:rStyle w:val="CharDefText"/>
          <w:color w:val="000000" w:themeColor="text1"/>
        </w:rPr>
        <w:t>treatment decision</w:t>
      </w:r>
      <w:r>
        <w:rPr>
          <w:color w:val="000000" w:themeColor="text1"/>
        </w:rPr>
        <w:t xml:space="preserve">, in relation to a person — </w:t>
      </w:r>
    </w:p>
    <w:p>
      <w:pPr>
        <w:pStyle w:val="Defpara"/>
      </w:pPr>
      <w:r>
        <w:rPr>
          <w:color w:val="000000" w:themeColor="text1"/>
        </w:rPr>
        <w:tab/>
        <w:t>(a)</w:t>
      </w:r>
      <w:r>
        <w:rPr>
          <w:color w:val="000000" w:themeColor="text1"/>
        </w:rPr>
        <w:tab/>
        <w:t>means a decision to consent or refuse consent to the commencement or continuation of any treatment of the person; and</w:t>
      </w:r>
    </w:p>
    <w:p>
      <w:pPr>
        <w:pStyle w:val="Defpara"/>
      </w:pPr>
      <w:r>
        <w:tab/>
        <w:t>(b)</w:t>
      </w:r>
      <w:r>
        <w:tab/>
        <w:t>in Part 9B — includes a decision to consent or refuse consent to the commencement or continuation of the person’s participation in medical research.</w:t>
      </w:r>
    </w:p>
    <w:p>
      <w:pPr>
        <w:pStyle w:val="Subsection"/>
      </w:pPr>
      <w:r>
        <w:tab/>
        <w:t>(1A)</w:t>
      </w:r>
      <w:r>
        <w:tab/>
        <w:t xml:space="preserve">In this Act, a reference to the performance of an abortion on a person — </w:t>
      </w:r>
    </w:p>
    <w:p>
      <w:pPr>
        <w:pStyle w:val="Indenta"/>
      </w:pPr>
      <w:r>
        <w:tab/>
        <w:t>(a)</w:t>
      </w:r>
      <w:r>
        <w:tab/>
        <w:t xml:space="preserve">is a reference to the provision of treatment to the person, including treatment referred to in the </w:t>
      </w:r>
      <w:r>
        <w:rPr>
          <w:i/>
        </w:rPr>
        <w:t>Public Health Act 2016</w:t>
      </w:r>
      <w:r>
        <w:t xml:space="preserve"> section 202MB(2), with the intention of causing the termination of the pregnancy of the person; and</w:t>
      </w:r>
    </w:p>
    <w:p>
      <w:pPr>
        <w:pStyle w:val="Indenta"/>
      </w:pPr>
      <w:r>
        <w:tab/>
        <w:t>(b)</w:t>
      </w:r>
      <w:r>
        <w:tab/>
        <w:t xml:space="preserve">does not include a reference to the provision of treatment to the person without that intention even if the treatment results or may result in the termination of the pregnancy of the person. </w:t>
      </w:r>
    </w:p>
    <w:p>
      <w:pPr>
        <w:pStyle w:val="Subsection"/>
      </w:pPr>
      <w:r>
        <w:tab/>
        <w:t>(2)</w:t>
      </w:r>
      <w:r>
        <w:tab/>
        <w:t>A reference in a written law to the committee of the person of a person is to be read as a reference to the guardian of that person.</w:t>
      </w:r>
    </w:p>
    <w:p>
      <w:pPr>
        <w:pStyle w:val="Footnotesection"/>
      </w:pPr>
      <w:r>
        <w:tab/>
        <w:t xml:space="preserve">[Section 3 amended: No. 16 of 1992 s. 4 and 17; No. 7 of 1996 s. 4; No. 69 of 1996 s. 33; No. 70 of 2000 s. 4; No. 3 of 2002 s. 68; No. 65 of 2003 s. 40(2); No. 55 of 2004 s. 418 and 466(1); No. 21 of 2008 s. 667(2); No. 25 of 2008 s. 5; No. 8 of 2009 s. 68; No. 19 of 2010 s. 18(2); No. 25 of 2014 s. 20; No. 14 of 2020 s. 4; No. 9 of 2022 s. 424; No. 20 of 2023 s. 26.] </w:t>
      </w:r>
    </w:p>
    <w:p>
      <w:pPr>
        <w:pStyle w:val="Heading5"/>
      </w:pPr>
      <w:bookmarkStart w:id="8" w:name="_Toc161906821"/>
      <w:r>
        <w:rPr>
          <w:rStyle w:val="CharSectno"/>
        </w:rPr>
        <w:t>3AA</w:t>
      </w:r>
      <w:r>
        <w:rPr>
          <w:color w:val="000000" w:themeColor="text1"/>
        </w:rPr>
        <w:t>.</w:t>
      </w:r>
      <w:r>
        <w:rPr>
          <w:color w:val="000000" w:themeColor="text1"/>
        </w:rPr>
        <w:tab/>
        <w:t>Term used: medical research</w:t>
      </w:r>
      <w:bookmarkEnd w:id="8"/>
    </w:p>
    <w:p>
      <w:pPr>
        <w:pStyle w:val="Subsection"/>
      </w:pPr>
      <w:r>
        <w:rPr>
          <w:color w:val="000000" w:themeColor="text1"/>
        </w:rPr>
        <w:tab/>
        <w:t>(1)</w:t>
      </w:r>
      <w:r>
        <w:rPr>
          <w:color w:val="000000" w:themeColor="text1"/>
        </w:rPr>
        <w:tab/>
        <w:t xml:space="preserve">For the purposes of this Act, </w:t>
      </w:r>
      <w:r>
        <w:rPr>
          <w:rStyle w:val="CharDefText"/>
          <w:color w:val="000000" w:themeColor="text1"/>
        </w:rPr>
        <w:t>medical research</w:t>
      </w:r>
      <w:r>
        <w:rPr>
          <w:color w:val="000000" w:themeColor="text1"/>
        </w:rPr>
        <w:t xml:space="preserve"> — </w:t>
      </w:r>
    </w:p>
    <w:p>
      <w:pPr>
        <w:pStyle w:val="Indenta"/>
      </w:pPr>
      <w:r>
        <w:rPr>
          <w:color w:val="000000" w:themeColor="text1"/>
        </w:rPr>
        <w:tab/>
        <w:t>(a)</w:t>
      </w:r>
      <w:r>
        <w:rPr>
          <w:color w:val="000000" w:themeColor="text1"/>
        </w:rPr>
        <w:tab/>
        <w:t>means research conducted with or about individuals, or their data or tissue, in the field of medicine or health; and</w:t>
      </w:r>
    </w:p>
    <w:p>
      <w:pPr>
        <w:pStyle w:val="Indenta"/>
      </w:pPr>
      <w:r>
        <w:lastRenderedPageBreak/>
        <w:tab/>
        <w:t>(b)</w:t>
      </w:r>
      <w:r>
        <w:tab/>
        <w:t>includes an activity undertaken for the purposes of that research.</w:t>
      </w:r>
    </w:p>
    <w:p>
      <w:pPr>
        <w:pStyle w:val="Subsection"/>
      </w:pPr>
      <w:r>
        <w:rPr>
          <w:color w:val="000000" w:themeColor="text1"/>
        </w:rPr>
        <w:tab/>
        <w:t>(2)</w:t>
      </w:r>
      <w:r>
        <w:rPr>
          <w:color w:val="000000" w:themeColor="text1"/>
        </w:rPr>
        <w:tab/>
        <w:t xml:space="preserve">Without limiting subsection (1), </w:t>
      </w:r>
      <w:r>
        <w:rPr>
          <w:rStyle w:val="CharDefText"/>
          <w:color w:val="000000" w:themeColor="text1"/>
        </w:rPr>
        <w:t>medical research</w:t>
      </w:r>
      <w:r>
        <w:rPr>
          <w:b/>
          <w:i/>
          <w:color w:val="000000" w:themeColor="text1"/>
        </w:rPr>
        <w:t xml:space="preserve"> </w:t>
      </w:r>
      <w:r>
        <w:rPr>
          <w:color w:val="000000" w:themeColor="text1"/>
        </w:rPr>
        <w:t xml:space="preserve">includes the following — </w:t>
      </w:r>
    </w:p>
    <w:p>
      <w:pPr>
        <w:pStyle w:val="Indenta"/>
      </w:pPr>
      <w:r>
        <w:rPr>
          <w:color w:val="000000" w:themeColor="text1"/>
        </w:rPr>
        <w:tab/>
        <w:t>(a)</w:t>
      </w:r>
      <w:r>
        <w:rPr>
          <w:color w:val="000000" w:themeColor="text1"/>
        </w:rPr>
        <w:tab/>
        <w:t>the administration of pharmaceuticals or placebos;</w:t>
      </w:r>
    </w:p>
    <w:p>
      <w:pPr>
        <w:pStyle w:val="Indenta"/>
      </w:pPr>
      <w:r>
        <w:tab/>
        <w:t>(b)</w:t>
      </w:r>
      <w:r>
        <w:tab/>
        <w:t>the use of equipment or a device;</w:t>
      </w:r>
    </w:p>
    <w:p>
      <w:pPr>
        <w:pStyle w:val="Indenta"/>
      </w:pPr>
      <w:r>
        <w:tab/>
        <w:t>(c)</w:t>
      </w:r>
      <w:r>
        <w:tab/>
        <w:t>providing health care that has not yet gained the support of a substantial number of practitioners in that field of health care;</w:t>
      </w:r>
    </w:p>
    <w:p>
      <w:pPr>
        <w:pStyle w:val="Indenta"/>
      </w:pPr>
      <w:r>
        <w:tab/>
        <w:t>(d)</w:t>
      </w:r>
      <w:r>
        <w:tab/>
        <w:t xml:space="preserve">providing health care to which paragraph (c) does not apply to carry out a comparative assessment referred to in paragraph (e); </w:t>
      </w:r>
    </w:p>
    <w:p>
      <w:pPr>
        <w:pStyle w:val="Indenta"/>
      </w:pPr>
      <w:r>
        <w:tab/>
        <w:t>(e)</w:t>
      </w:r>
      <w:r>
        <w:tab/>
        <w:t>carrying out a comparative assessment of the health care provided under paragraphs (c) and (d);</w:t>
      </w:r>
    </w:p>
    <w:p>
      <w:pPr>
        <w:pStyle w:val="Indenta"/>
        <w:keepNext/>
      </w:pPr>
      <w:r>
        <w:tab/>
        <w:t>(f)</w:t>
      </w:r>
      <w:r>
        <w:tab/>
        <w:t xml:space="preserve">taking samples from an individual, including — </w:t>
      </w:r>
    </w:p>
    <w:p>
      <w:pPr>
        <w:pStyle w:val="Indenti"/>
      </w:pPr>
      <w:r>
        <w:rPr>
          <w:color w:val="000000" w:themeColor="text1"/>
        </w:rPr>
        <w:tab/>
        <w:t>(i)</w:t>
      </w:r>
      <w:r>
        <w:rPr>
          <w:color w:val="000000" w:themeColor="text1"/>
        </w:rPr>
        <w:tab/>
        <w:t xml:space="preserve">a blood sample; or </w:t>
      </w:r>
    </w:p>
    <w:p>
      <w:pPr>
        <w:pStyle w:val="Indenti"/>
      </w:pPr>
      <w:r>
        <w:tab/>
        <w:t>(ii)</w:t>
      </w:r>
      <w:r>
        <w:tab/>
        <w:t>a sample of tissue or fluid from the body, including the mouth, throat, nasal cavity, eyes or ears;</w:t>
      </w:r>
    </w:p>
    <w:p>
      <w:pPr>
        <w:pStyle w:val="Indenta"/>
      </w:pPr>
      <w:r>
        <w:rPr>
          <w:color w:val="000000" w:themeColor="text1"/>
        </w:rPr>
        <w:tab/>
        <w:t>(g)</w:t>
      </w:r>
      <w:r>
        <w:rPr>
          <w:color w:val="000000" w:themeColor="text1"/>
        </w:rPr>
        <w:tab/>
        <w:t>any non</w:t>
      </w:r>
      <w:r>
        <w:rPr>
          <w:color w:val="000000" w:themeColor="text1"/>
        </w:rPr>
        <w:noBreakHyphen/>
        <w:t xml:space="preserve">intrusive examination, including — </w:t>
      </w:r>
    </w:p>
    <w:p>
      <w:pPr>
        <w:pStyle w:val="Indenti"/>
      </w:pPr>
      <w:r>
        <w:rPr>
          <w:color w:val="000000" w:themeColor="text1"/>
        </w:rPr>
        <w:tab/>
        <w:t>(i)</w:t>
      </w:r>
      <w:r>
        <w:rPr>
          <w:color w:val="000000" w:themeColor="text1"/>
        </w:rPr>
        <w:tab/>
        <w:t xml:space="preserve">a visual examination of the mouth, throat, nasal cavity, eyes or ears; or </w:t>
      </w:r>
    </w:p>
    <w:p>
      <w:pPr>
        <w:pStyle w:val="Indenti"/>
      </w:pPr>
      <w:r>
        <w:tab/>
        <w:t>(ii)</w:t>
      </w:r>
      <w:r>
        <w:tab/>
        <w:t>the measuring of an individual’s height, weight or vision;</w:t>
      </w:r>
    </w:p>
    <w:p>
      <w:pPr>
        <w:pStyle w:val="Indenta"/>
      </w:pPr>
      <w:r>
        <w:rPr>
          <w:color w:val="000000" w:themeColor="text1"/>
        </w:rPr>
        <w:tab/>
        <w:t>(h)</w:t>
      </w:r>
      <w:r>
        <w:rPr>
          <w:color w:val="000000" w:themeColor="text1"/>
        </w:rPr>
        <w:tab/>
        <w:t>observing an individual;</w:t>
      </w:r>
    </w:p>
    <w:p>
      <w:pPr>
        <w:pStyle w:val="Indenta"/>
      </w:pPr>
      <w:r>
        <w:tab/>
        <w:t>(i)</w:t>
      </w:r>
      <w:r>
        <w:tab/>
        <w:t>undertaking a survey, interview or focus group;</w:t>
      </w:r>
    </w:p>
    <w:p>
      <w:pPr>
        <w:pStyle w:val="Indenta"/>
      </w:pPr>
      <w:r>
        <w:tab/>
        <w:t>(j)</w:t>
      </w:r>
      <w:r>
        <w:tab/>
        <w:t xml:space="preserve">collecting, using or disclosing information, including personal information; </w:t>
      </w:r>
    </w:p>
    <w:p>
      <w:pPr>
        <w:pStyle w:val="Indenta"/>
      </w:pPr>
      <w:r>
        <w:tab/>
        <w:t>(k)</w:t>
      </w:r>
      <w:r>
        <w:tab/>
        <w:t>considering or evaluating samples or information taken under an activity listed in this subsection;</w:t>
      </w:r>
    </w:p>
    <w:p>
      <w:pPr>
        <w:pStyle w:val="Indenta"/>
      </w:pPr>
      <w:r>
        <w:lastRenderedPageBreak/>
        <w:tab/>
        <w:t>(l)</w:t>
      </w:r>
      <w:r>
        <w:tab/>
        <w:t>any other activity prescribed by the regulations to be medical research.</w:t>
      </w:r>
    </w:p>
    <w:p>
      <w:pPr>
        <w:pStyle w:val="Subsection"/>
      </w:pPr>
      <w:r>
        <w:rPr>
          <w:color w:val="000000" w:themeColor="text1"/>
        </w:rPr>
        <w:tab/>
        <w:t>(3)</w:t>
      </w:r>
      <w:r>
        <w:rPr>
          <w:color w:val="000000" w:themeColor="text1"/>
        </w:rPr>
        <w:tab/>
        <w:t xml:space="preserve">Despite subsections (1) and (2), </w:t>
      </w:r>
      <w:r>
        <w:rPr>
          <w:rStyle w:val="CharDefText"/>
          <w:color w:val="000000" w:themeColor="text1"/>
        </w:rPr>
        <w:t>medical research</w:t>
      </w:r>
      <w:r>
        <w:rPr>
          <w:color w:val="000000" w:themeColor="text1"/>
        </w:rPr>
        <w:t xml:space="preserve"> does not include — </w:t>
      </w:r>
    </w:p>
    <w:p>
      <w:pPr>
        <w:pStyle w:val="Indenta"/>
      </w:pPr>
      <w:r>
        <w:rPr>
          <w:color w:val="000000" w:themeColor="text1"/>
        </w:rPr>
        <w:tab/>
        <w:t>(a)</w:t>
      </w:r>
      <w:r>
        <w:rPr>
          <w:color w:val="000000" w:themeColor="text1"/>
        </w:rPr>
        <w:tab/>
        <w:t xml:space="preserve">research conducted about individuals, or their data or tissue, in the field of medicine or health that — </w:t>
      </w:r>
    </w:p>
    <w:p>
      <w:pPr>
        <w:pStyle w:val="Indenti"/>
      </w:pPr>
      <w:r>
        <w:rPr>
          <w:color w:val="000000" w:themeColor="text1"/>
        </w:rPr>
        <w:tab/>
        <w:t>(i)</w:t>
      </w:r>
      <w:r>
        <w:rPr>
          <w:color w:val="000000" w:themeColor="text1"/>
        </w:rPr>
        <w:tab/>
        <w:t>only involves analysing data about the individuals; and</w:t>
      </w:r>
    </w:p>
    <w:p>
      <w:pPr>
        <w:pStyle w:val="Indenti"/>
        <w:keepNext/>
      </w:pPr>
      <w:r>
        <w:tab/>
        <w:t>(ii)</w:t>
      </w:r>
      <w:r>
        <w:tab/>
        <w:t xml:space="preserve">does not result in the disclosure or publication of personal information; </w:t>
      </w:r>
    </w:p>
    <w:p>
      <w:pPr>
        <w:pStyle w:val="Indenta"/>
      </w:pPr>
      <w:r>
        <w:rPr>
          <w:color w:val="000000" w:themeColor="text1"/>
        </w:rPr>
        <w:tab/>
      </w:r>
      <w:r>
        <w:rPr>
          <w:color w:val="000000" w:themeColor="text1"/>
        </w:rPr>
        <w:tab/>
        <w:t>and</w:t>
      </w:r>
    </w:p>
    <w:p>
      <w:pPr>
        <w:pStyle w:val="Indenta"/>
      </w:pPr>
      <w:r>
        <w:tab/>
        <w:t>(b)</w:t>
      </w:r>
      <w:r>
        <w:tab/>
        <w:t>any other activity prescribed by the regulations not to be medical research.</w:t>
      </w:r>
    </w:p>
    <w:p>
      <w:pPr>
        <w:pStyle w:val="Footnotesection"/>
      </w:pPr>
      <w:r>
        <w:tab/>
        <w:t>[Section 3AA inserted: No. 14 of 2020 s. 5.]</w:t>
      </w:r>
    </w:p>
    <w:p>
      <w:pPr>
        <w:pStyle w:val="Heading5"/>
      </w:pPr>
      <w:bookmarkStart w:id="9" w:name="_Toc161906822"/>
      <w:r>
        <w:rPr>
          <w:rStyle w:val="CharSectno"/>
        </w:rPr>
        <w:t>3A</w:t>
      </w:r>
      <w:r>
        <w:t>.</w:t>
      </w:r>
      <w:r>
        <w:tab/>
        <w:t>Inherent jurisdiction of Supreme Court not affected</w:t>
      </w:r>
      <w:bookmarkEnd w:id="9"/>
    </w:p>
    <w:p>
      <w:pPr>
        <w:pStyle w:val="Subsection"/>
        <w:keepNext/>
      </w:pPr>
      <w:r>
        <w:tab/>
      </w:r>
      <w:r>
        <w:tab/>
        <w:t>Nothing in this Act affects the inherent jurisdiction of the Supreme Court.</w:t>
      </w:r>
    </w:p>
    <w:p>
      <w:pPr>
        <w:pStyle w:val="Footnotesection"/>
      </w:pPr>
      <w:r>
        <w:tab/>
        <w:t>[Section 3A inserted: No. 55 of 2004 s. 419.]</w:t>
      </w:r>
    </w:p>
    <w:p>
      <w:pPr>
        <w:pStyle w:val="Heading5"/>
      </w:pPr>
      <w:bookmarkStart w:id="10" w:name="_Toc161906823"/>
      <w:r>
        <w:rPr>
          <w:rStyle w:val="CharSectno"/>
        </w:rPr>
        <w:t>3B</w:t>
      </w:r>
      <w:r>
        <w:t>.</w:t>
      </w:r>
      <w:r>
        <w:tab/>
        <w:t>Act does not authorise decisions about voluntary assisted dying</w:t>
      </w:r>
      <w:bookmarkEnd w:id="10"/>
    </w:p>
    <w:p>
      <w:pPr>
        <w:pStyle w:val="Subsection"/>
      </w:pPr>
      <w:r>
        <w:tab/>
      </w:r>
      <w:r>
        <w:tab/>
        <w:t xml:space="preserve">Nothing in this Act authorises the making of a treatment decision, whether in an advance health directive or otherwise, in relation to voluntary assisted dying as defined in the </w:t>
      </w:r>
      <w:r>
        <w:rPr>
          <w:i/>
        </w:rPr>
        <w:t>Voluntary Assisted Dying Act 2019</w:t>
      </w:r>
      <w:r>
        <w:t xml:space="preserve"> section 5.</w:t>
      </w:r>
    </w:p>
    <w:p>
      <w:pPr>
        <w:pStyle w:val="Footnotesection"/>
      </w:pPr>
      <w:r>
        <w:tab/>
        <w:t>[Section 3B inserted: No. 27 of 2019 s. 170.]</w:t>
      </w:r>
    </w:p>
    <w:p>
      <w:pPr>
        <w:pStyle w:val="Heading2"/>
      </w:pPr>
      <w:bookmarkStart w:id="11" w:name="_Toc161843150"/>
      <w:bookmarkStart w:id="12" w:name="_Toc161845843"/>
      <w:bookmarkStart w:id="13" w:name="_Toc161906824"/>
      <w:r>
        <w:rPr>
          <w:rStyle w:val="CharPartNo"/>
        </w:rPr>
        <w:lastRenderedPageBreak/>
        <w:t>Part 2</w:t>
      </w:r>
      <w:r>
        <w:rPr>
          <w:rStyle w:val="CharDivNo"/>
        </w:rPr>
        <w:t> </w:t>
      </w:r>
      <w:r>
        <w:t>—</w:t>
      </w:r>
      <w:r>
        <w:rPr>
          <w:rStyle w:val="CharDivText"/>
        </w:rPr>
        <w:t> </w:t>
      </w:r>
      <w:r>
        <w:rPr>
          <w:rStyle w:val="CharPartText"/>
        </w:rPr>
        <w:t>Principles to be observed by State Administrative Tribunal</w:t>
      </w:r>
      <w:bookmarkEnd w:id="11"/>
      <w:bookmarkEnd w:id="12"/>
      <w:bookmarkEnd w:id="13"/>
    </w:p>
    <w:p>
      <w:pPr>
        <w:pStyle w:val="Footnotesection"/>
      </w:pPr>
      <w:r>
        <w:tab/>
        <w:t>[Heading amended: No. 55 of 2004 s. 466(1).]</w:t>
      </w:r>
    </w:p>
    <w:p>
      <w:pPr>
        <w:pStyle w:val="Heading5"/>
        <w:rPr>
          <w:snapToGrid w:val="0"/>
        </w:rPr>
      </w:pPr>
      <w:bookmarkStart w:id="14" w:name="_Toc161906825"/>
      <w:r>
        <w:rPr>
          <w:rStyle w:val="CharSectno"/>
        </w:rPr>
        <w:t>4</w:t>
      </w:r>
      <w:r>
        <w:rPr>
          <w:snapToGrid w:val="0"/>
        </w:rPr>
        <w:t>.</w:t>
      </w:r>
      <w:r>
        <w:rPr>
          <w:snapToGrid w:val="0"/>
        </w:rPr>
        <w:tab/>
        <w:t>Principles stated</w:t>
      </w:r>
      <w:bookmarkEnd w:id="14"/>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lastRenderedPageBreak/>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No. 7 of 1996 s. 5; No. 55 of 2004 s. 420 and 466(1); No. 5 of 2008 s. 57(3); No. 19 of 2010 s. 51.] </w:t>
      </w:r>
    </w:p>
    <w:p>
      <w:pPr>
        <w:pStyle w:val="Heading2"/>
        <w:rPr>
          <w:snapToGrid/>
        </w:rPr>
      </w:pPr>
      <w:bookmarkStart w:id="15" w:name="_Toc161843152"/>
      <w:bookmarkStart w:id="16" w:name="_Toc161845845"/>
      <w:bookmarkStart w:id="17" w:name="_Toc161906826"/>
      <w:r>
        <w:rPr>
          <w:rStyle w:val="CharPartNo"/>
        </w:rPr>
        <w:lastRenderedPageBreak/>
        <w:t>Part 3</w:t>
      </w:r>
      <w:r>
        <w:rPr>
          <w:snapToGrid/>
        </w:rPr>
        <w:t xml:space="preserve"> — </w:t>
      </w:r>
      <w:r>
        <w:rPr>
          <w:rStyle w:val="CharPartText"/>
        </w:rPr>
        <w:t>The State Administrative Tribunal</w:t>
      </w:r>
      <w:bookmarkEnd w:id="15"/>
      <w:bookmarkEnd w:id="16"/>
      <w:bookmarkEnd w:id="17"/>
    </w:p>
    <w:p>
      <w:pPr>
        <w:pStyle w:val="Footnoteheading"/>
        <w:tabs>
          <w:tab w:val="left" w:pos="851"/>
        </w:tabs>
      </w:pPr>
      <w:r>
        <w:tab/>
        <w:t>[Heading inserted: No. 55 of 2004 s. 421.]</w:t>
      </w:r>
    </w:p>
    <w:p>
      <w:pPr>
        <w:pStyle w:val="Heading3"/>
        <w:rPr>
          <w:snapToGrid w:val="0"/>
        </w:rPr>
      </w:pPr>
      <w:bookmarkStart w:id="18" w:name="_Toc161843153"/>
      <w:bookmarkStart w:id="19" w:name="_Toc161845846"/>
      <w:bookmarkStart w:id="20" w:name="_Toc161906827"/>
      <w:r>
        <w:rPr>
          <w:rStyle w:val="CharDivNo"/>
        </w:rPr>
        <w:t>Division 1</w:t>
      </w:r>
      <w:r>
        <w:t xml:space="preserve"> — </w:t>
      </w:r>
      <w:r>
        <w:rPr>
          <w:rStyle w:val="CharDivText"/>
        </w:rPr>
        <w:t>Functions and proceedings</w:t>
      </w:r>
      <w:bookmarkEnd w:id="18"/>
      <w:bookmarkEnd w:id="19"/>
      <w:bookmarkEnd w:id="20"/>
    </w:p>
    <w:p>
      <w:pPr>
        <w:pStyle w:val="Footnoteheading"/>
        <w:tabs>
          <w:tab w:val="left" w:pos="851"/>
        </w:tabs>
      </w:pPr>
      <w:r>
        <w:tab/>
        <w:t>[Heading inserted: No. 55 of 2004 s. 421; amended: No. 5 of 2008 s. 56(2).]</w:t>
      </w:r>
    </w:p>
    <w:p>
      <w:pPr>
        <w:pStyle w:val="Ednotesection"/>
        <w:ind w:left="890" w:hanging="890"/>
      </w:pPr>
      <w:r>
        <w:t>[</w:t>
      </w:r>
      <w:r>
        <w:rPr>
          <w:b/>
          <w:bCs/>
        </w:rPr>
        <w:t>5.</w:t>
      </w:r>
      <w:r>
        <w:tab/>
        <w:t>Deleted: No. 5 of 2008 s. 56(1).]</w:t>
      </w:r>
    </w:p>
    <w:p>
      <w:pPr>
        <w:pStyle w:val="Ednotesection"/>
        <w:rPr>
          <w:b/>
        </w:rPr>
      </w:pPr>
      <w:r>
        <w:t>[</w:t>
      </w:r>
      <w:r>
        <w:rPr>
          <w:b/>
        </w:rPr>
        <w:t>6</w:t>
      </w:r>
      <w:r>
        <w:rPr>
          <w:b/>
        </w:rPr>
        <w:noBreakHyphen/>
        <w:t>12.</w:t>
      </w:r>
      <w:r>
        <w:rPr>
          <w:b/>
        </w:rPr>
        <w:tab/>
      </w:r>
      <w:r>
        <w:t>Deleted: No. 55 of 2004 s. 423.]</w:t>
      </w:r>
    </w:p>
    <w:p>
      <w:pPr>
        <w:pStyle w:val="Footnoteheading"/>
        <w:tabs>
          <w:tab w:val="left" w:pos="851"/>
        </w:tabs>
        <w:spacing w:before="240"/>
      </w:pPr>
      <w:r>
        <w:tab/>
        <w:t>[Heading deleted: No. 55 of 2004 s. 424.]</w:t>
      </w:r>
    </w:p>
    <w:p>
      <w:pPr>
        <w:pStyle w:val="Heading5"/>
        <w:spacing w:before="240"/>
        <w:rPr>
          <w:snapToGrid w:val="0"/>
        </w:rPr>
      </w:pPr>
      <w:bookmarkStart w:id="21" w:name="_Toc161906828"/>
      <w:r>
        <w:rPr>
          <w:rStyle w:val="CharSectno"/>
        </w:rPr>
        <w:t>13</w:t>
      </w:r>
      <w:r>
        <w:rPr>
          <w:snapToGrid w:val="0"/>
        </w:rPr>
        <w:t>.</w:t>
      </w:r>
      <w:r>
        <w:rPr>
          <w:snapToGrid w:val="0"/>
        </w:rPr>
        <w:tab/>
        <w:t>Jurisdiction of State Administrative Tribunal</w:t>
      </w:r>
      <w:bookmarkEnd w:id="21"/>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r>
        <w:rPr>
          <w:color w:val="000000" w:themeColor="text1"/>
        </w:rPr>
        <w:t xml:space="preserve"> and</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r>
        <w:rPr>
          <w:color w:val="000000" w:themeColor="text1"/>
        </w:rPr>
        <w:t xml:space="preserve"> and</w:t>
      </w:r>
    </w:p>
    <w:p>
      <w:pPr>
        <w:pStyle w:val="Indenta"/>
        <w:rPr>
          <w:snapToGrid w:val="0"/>
        </w:rPr>
      </w:pPr>
      <w:r>
        <w:rPr>
          <w:snapToGrid w:val="0"/>
        </w:rPr>
        <w:tab/>
        <w:t>(c)</w:t>
      </w:r>
      <w:r>
        <w:rPr>
          <w:snapToGrid w:val="0"/>
        </w:rPr>
        <w:tab/>
        <w:t>jurisdiction to make orders declaring the capacity of a represented person to vote at parliamentary elections;</w:t>
      </w:r>
      <w:r>
        <w:rPr>
          <w:color w:val="000000" w:themeColor="text1"/>
        </w:rPr>
        <w:t xml:space="preserve"> and</w:t>
      </w:r>
    </w:p>
    <w:p>
      <w:pPr>
        <w:pStyle w:val="Indenta"/>
        <w:rPr>
          <w:snapToGrid w:val="0"/>
        </w:rPr>
      </w:pPr>
      <w:r>
        <w:rPr>
          <w:snapToGrid w:val="0"/>
        </w:rPr>
        <w:tab/>
        <w:t>(d)</w:t>
      </w:r>
      <w:r>
        <w:rPr>
          <w:snapToGrid w:val="0"/>
        </w:rPr>
        <w:tab/>
        <w:t>jurisdiction to review guardianship and administration orders and to make orders consequential thereon;</w:t>
      </w:r>
      <w:r>
        <w:rPr>
          <w:color w:val="000000" w:themeColor="text1"/>
        </w:rPr>
        <w:t xml:space="preserve"> and</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r>
        <w:rPr>
          <w:color w:val="000000" w:themeColor="text1"/>
        </w:rPr>
        <w:t>and</w:t>
      </w:r>
    </w:p>
    <w:p>
      <w:pPr>
        <w:pStyle w:val="Indenta"/>
      </w:pPr>
      <w:r>
        <w:tab/>
        <w:t>(ea)</w:t>
      </w:r>
      <w:r>
        <w:tab/>
        <w:t>jurisdiction to consent or refuse consent to the performance of abortion on persons who are unable to make reasonable judgments in respect of whether abortions should be performed on them; and</w:t>
      </w:r>
    </w:p>
    <w:p>
      <w:pPr>
        <w:pStyle w:val="Indenta"/>
        <w:rPr>
          <w:snapToGrid w:val="0"/>
        </w:rPr>
      </w:pPr>
      <w:r>
        <w:rPr>
          <w:snapToGrid w:val="0"/>
        </w:rPr>
        <w:lastRenderedPageBreak/>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 xml:space="preserve">any other jurisdiction vested in it by this Act or any other Act in relation to matters of guardianship and </w:t>
      </w:r>
      <w:r>
        <w:rPr>
          <w:color w:val="000000" w:themeColor="text1"/>
        </w:rPr>
        <w:t>administration; and</w:t>
      </w:r>
      <w:r>
        <w:rPr>
          <w:snapToGrid w:val="0"/>
        </w:rPr>
        <w:t xml:space="preserve"> </w:t>
      </w:r>
    </w:p>
    <w:p>
      <w:pPr>
        <w:pStyle w:val="Indenta"/>
      </w:pPr>
      <w:r>
        <w:rPr>
          <w:color w:val="000000" w:themeColor="text1"/>
        </w:rPr>
        <w:tab/>
        <w:t>(h)</w:t>
      </w:r>
      <w:r>
        <w:rPr>
          <w:color w:val="000000" w:themeColor="text1"/>
        </w:rPr>
        <w:tab/>
        <w:t xml:space="preserve">jurisdiction otherwise conferred on the Tribunal under this Act. </w:t>
      </w:r>
    </w:p>
    <w:p>
      <w:pPr>
        <w:pStyle w:val="Footnotesection"/>
        <w:keepLines w:val="0"/>
        <w:ind w:left="890" w:hanging="890"/>
      </w:pPr>
      <w:r>
        <w:tab/>
        <w:t xml:space="preserve">[Section 13 amended: No. 7 of 1996 s. 10; No. 55 of 2004 s. 425; No. 14 of 2020 s. 6; No. 20 of 2023 s. 27.] </w:t>
      </w:r>
    </w:p>
    <w:p>
      <w:pPr>
        <w:pStyle w:val="Ednotesection"/>
      </w:pPr>
      <w:r>
        <w:t>[</w:t>
      </w:r>
      <w:r>
        <w:rPr>
          <w:b/>
        </w:rPr>
        <w:t>14</w:t>
      </w:r>
      <w:r>
        <w:rPr>
          <w:b/>
        </w:rPr>
        <w:noBreakHyphen/>
        <w:t>15A.</w:t>
      </w:r>
      <w:r>
        <w:tab/>
        <w:t>Deleted: No. 55 of 2004 s. 426.]</w:t>
      </w:r>
    </w:p>
    <w:p>
      <w:pPr>
        <w:pStyle w:val="Heading5"/>
        <w:rPr>
          <w:snapToGrid w:val="0"/>
        </w:rPr>
      </w:pPr>
      <w:bookmarkStart w:id="22" w:name="_Toc161906829"/>
      <w:r>
        <w:rPr>
          <w:rStyle w:val="CharSectno"/>
        </w:rPr>
        <w:t>16</w:t>
      </w:r>
      <w:r>
        <w:rPr>
          <w:snapToGrid w:val="0"/>
        </w:rPr>
        <w:t>.</w:t>
      </w:r>
      <w:r>
        <w:rPr>
          <w:snapToGrid w:val="0"/>
        </w:rPr>
        <w:tab/>
        <w:t>Costs</w:t>
      </w:r>
      <w:bookmarkEnd w:id="2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lastRenderedPageBreak/>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No. 16 of 1992 s. 18; No. 55 of 2004 s. 427 and 466.] </w:t>
      </w:r>
    </w:p>
    <w:p>
      <w:pPr>
        <w:pStyle w:val="Heading5"/>
        <w:rPr>
          <w:snapToGrid w:val="0"/>
        </w:rPr>
      </w:pPr>
      <w:bookmarkStart w:id="23" w:name="_Toc161906830"/>
      <w:r>
        <w:rPr>
          <w:rStyle w:val="CharSectno"/>
        </w:rPr>
        <w:t>17</w:t>
      </w:r>
      <w:r>
        <w:rPr>
          <w:snapToGrid w:val="0"/>
        </w:rPr>
        <w:t>.</w:t>
      </w:r>
      <w:r>
        <w:rPr>
          <w:snapToGrid w:val="0"/>
        </w:rPr>
        <w:tab/>
        <w:t>Further provisions as to proceedings</w:t>
      </w:r>
      <w:bookmarkEnd w:id="23"/>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No. 55 of 2004 s. 428; No. 19 of 2010 s. 18(2).]</w:t>
      </w:r>
    </w:p>
    <w:p>
      <w:pPr>
        <w:pStyle w:val="Heading3"/>
        <w:rPr>
          <w:snapToGrid w:val="0"/>
        </w:rPr>
      </w:pPr>
      <w:bookmarkStart w:id="24" w:name="_Toc161843157"/>
      <w:bookmarkStart w:id="25" w:name="_Toc161845850"/>
      <w:bookmarkStart w:id="26" w:name="_Toc161906831"/>
      <w:r>
        <w:rPr>
          <w:rStyle w:val="CharDivNo"/>
        </w:rPr>
        <w:t>Division 2A</w:t>
      </w:r>
      <w:r>
        <w:rPr>
          <w:snapToGrid w:val="0"/>
        </w:rPr>
        <w:t> — </w:t>
      </w:r>
      <w:r>
        <w:rPr>
          <w:rStyle w:val="CharDivText"/>
        </w:rPr>
        <w:t>Review of determination where State Administrative Tribunal comprises one member</w:t>
      </w:r>
      <w:bookmarkEnd w:id="24"/>
      <w:bookmarkEnd w:id="25"/>
      <w:bookmarkEnd w:id="26"/>
      <w:r>
        <w:rPr>
          <w:rStyle w:val="CharDivText"/>
        </w:rPr>
        <w:t xml:space="preserve"> </w:t>
      </w:r>
    </w:p>
    <w:p>
      <w:pPr>
        <w:pStyle w:val="Footnoteheading"/>
        <w:rPr>
          <w:snapToGrid w:val="0"/>
        </w:rPr>
      </w:pPr>
      <w:r>
        <w:rPr>
          <w:snapToGrid w:val="0"/>
        </w:rPr>
        <w:tab/>
        <w:t xml:space="preserve">[Heading inserted: No. 16 of 1992 s. 8; amended: No. 55 of 2004 s. 466(1).] </w:t>
      </w:r>
    </w:p>
    <w:p>
      <w:pPr>
        <w:pStyle w:val="Heading5"/>
        <w:rPr>
          <w:snapToGrid w:val="0"/>
        </w:rPr>
      </w:pPr>
      <w:bookmarkStart w:id="27" w:name="_Toc161906832"/>
      <w:r>
        <w:rPr>
          <w:rStyle w:val="CharSectno"/>
        </w:rPr>
        <w:t>17A</w:t>
      </w:r>
      <w:r>
        <w:rPr>
          <w:snapToGrid w:val="0"/>
        </w:rPr>
        <w:t>.</w:t>
      </w:r>
      <w:r>
        <w:rPr>
          <w:snapToGrid w:val="0"/>
        </w:rPr>
        <w:tab/>
        <w:t>Review</w:t>
      </w:r>
      <w:bookmarkEnd w:id="27"/>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keepNext/>
        <w:keepLines/>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No. 16 of 1992 s. 8; amended: No. 7 of 1996 s. 37; No. 70 of 2000 s. 7; No. 55 of 2004 s. 429 and 466.] </w:t>
      </w:r>
    </w:p>
    <w:p>
      <w:pPr>
        <w:pStyle w:val="Heading5"/>
        <w:rPr>
          <w:snapToGrid w:val="0"/>
        </w:rPr>
      </w:pPr>
      <w:bookmarkStart w:id="28" w:name="_Toc161906833"/>
      <w:r>
        <w:rPr>
          <w:rStyle w:val="CharSectno"/>
        </w:rPr>
        <w:lastRenderedPageBreak/>
        <w:t>17B</w:t>
      </w:r>
      <w:r>
        <w:rPr>
          <w:snapToGrid w:val="0"/>
        </w:rPr>
        <w:t>.</w:t>
      </w:r>
      <w:r>
        <w:rPr>
          <w:snapToGrid w:val="0"/>
        </w:rPr>
        <w:tab/>
        <w:t>Executive officer to give notice of review</w:t>
      </w:r>
      <w:bookmarkEnd w:id="28"/>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keepNext/>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keepNext/>
        <w:rPr>
          <w:snapToGrid w:val="0"/>
        </w:rPr>
      </w:pPr>
      <w:r>
        <w:rPr>
          <w:snapToGrid w:val="0"/>
        </w:rPr>
        <w:tab/>
        <w:t>(b)</w:t>
      </w:r>
      <w:r>
        <w:rPr>
          <w:snapToGrid w:val="0"/>
        </w:rPr>
        <w:tab/>
        <w:t xml:space="preserve">dispense with the requirements for notice to be given to all or any of the persons referred to in that </w:t>
      </w:r>
      <w:r>
        <w:rPr>
          <w:snapToGrid w:val="0"/>
        </w:rPr>
        <w:lastRenderedPageBreak/>
        <w:t>subsection other than the represented person and the Public Advocate.</w:t>
      </w:r>
    </w:p>
    <w:p>
      <w:pPr>
        <w:pStyle w:val="Footnotesection"/>
        <w:keepLines w:val="0"/>
        <w:spacing w:before="80"/>
        <w:ind w:left="890" w:hanging="890"/>
      </w:pPr>
      <w:r>
        <w:tab/>
        <w:t xml:space="preserve">[Section 17B inserted: No. 16 of 1992 s. 8; amended: No. 7 of 1996 s. 36; No. 55 of 2004 s. 430 and 466(1); No. 19 of 2010 s. 18(2).] </w:t>
      </w:r>
    </w:p>
    <w:p>
      <w:pPr>
        <w:pStyle w:val="Ednotesection"/>
      </w:pPr>
      <w:r>
        <w:t>[</w:t>
      </w:r>
      <w:r>
        <w:rPr>
          <w:b/>
        </w:rPr>
        <w:t>17C, 17D.</w:t>
      </w:r>
      <w:r>
        <w:rPr>
          <w:b/>
        </w:rPr>
        <w:tab/>
      </w:r>
      <w:r>
        <w:t>Deleted: No. 55 of 2004 s. 431.]</w:t>
      </w:r>
    </w:p>
    <w:p>
      <w:pPr>
        <w:pStyle w:val="Heading3"/>
        <w:rPr>
          <w:snapToGrid w:val="0"/>
        </w:rPr>
      </w:pPr>
      <w:bookmarkStart w:id="29" w:name="_Toc161843160"/>
      <w:bookmarkStart w:id="30" w:name="_Toc161845853"/>
      <w:bookmarkStart w:id="31" w:name="_Toc161906834"/>
      <w:r>
        <w:rPr>
          <w:rStyle w:val="CharDivNo"/>
        </w:rPr>
        <w:t>Division 3</w:t>
      </w:r>
      <w:r>
        <w:rPr>
          <w:snapToGrid w:val="0"/>
        </w:rPr>
        <w:t> — </w:t>
      </w:r>
      <w:r>
        <w:rPr>
          <w:rStyle w:val="CharDivText"/>
        </w:rPr>
        <w:t>Appeals</w:t>
      </w:r>
      <w:bookmarkEnd w:id="29"/>
      <w:bookmarkEnd w:id="30"/>
      <w:bookmarkEnd w:id="31"/>
      <w:r>
        <w:rPr>
          <w:rStyle w:val="CharDivText"/>
        </w:rPr>
        <w:t xml:space="preserve"> </w:t>
      </w:r>
    </w:p>
    <w:p>
      <w:pPr>
        <w:pStyle w:val="Heading4"/>
      </w:pPr>
      <w:bookmarkStart w:id="32" w:name="_Toc146789041"/>
      <w:bookmarkStart w:id="33" w:name="_Toc146789167"/>
      <w:bookmarkStart w:id="34" w:name="_Toc161845854"/>
      <w:bookmarkStart w:id="35" w:name="_Toc161906835"/>
      <w:r>
        <w:t>Subdivision 1 — Preliminary</w:t>
      </w:r>
      <w:bookmarkEnd w:id="32"/>
      <w:bookmarkEnd w:id="33"/>
      <w:bookmarkEnd w:id="34"/>
      <w:bookmarkEnd w:id="35"/>
    </w:p>
    <w:p>
      <w:pPr>
        <w:pStyle w:val="Footnoteheading"/>
      </w:pPr>
      <w:r>
        <w:tab/>
        <w:t>[Heading inserted: No. 20 of 2023 s. 28.]</w:t>
      </w:r>
    </w:p>
    <w:p>
      <w:pPr>
        <w:pStyle w:val="Heading5"/>
        <w:keepNext w:val="0"/>
        <w:keepLines w:val="0"/>
        <w:rPr>
          <w:snapToGrid w:val="0"/>
        </w:rPr>
      </w:pPr>
      <w:bookmarkStart w:id="36" w:name="_Toc161906836"/>
      <w:r>
        <w:rPr>
          <w:rStyle w:val="CharSectno"/>
        </w:rPr>
        <w:t>18</w:t>
      </w:r>
      <w:r>
        <w:rPr>
          <w:snapToGrid w:val="0"/>
        </w:rPr>
        <w:t>.</w:t>
      </w:r>
      <w:r>
        <w:rPr>
          <w:snapToGrid w:val="0"/>
        </w:rPr>
        <w:tab/>
        <w:t>Term used: Court</w:t>
      </w:r>
      <w:bookmarkEnd w:id="36"/>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No. 7 of 1996 s. 13; No. 45 of 2004 s. 37; No. 55 of 2004 s. 466.] </w:t>
      </w:r>
    </w:p>
    <w:p>
      <w:pPr>
        <w:pStyle w:val="Heading5"/>
      </w:pPr>
      <w:bookmarkStart w:id="37" w:name="_Toc146789169"/>
      <w:bookmarkStart w:id="38" w:name="_Toc161906837"/>
      <w:r>
        <w:rPr>
          <w:rStyle w:val="CharSectno"/>
        </w:rPr>
        <w:t>18A</w:t>
      </w:r>
      <w:r>
        <w:t>.</w:t>
      </w:r>
      <w:r>
        <w:tab/>
        <w:t>Application of Division</w:t>
      </w:r>
      <w:bookmarkEnd w:id="37"/>
      <w:bookmarkEnd w:id="38"/>
    </w:p>
    <w:p>
      <w:pPr>
        <w:pStyle w:val="Subsection"/>
      </w:pPr>
      <w:r>
        <w:tab/>
        <w:t>(1)</w:t>
      </w:r>
      <w:r>
        <w:tab/>
        <w:t>Subdivision 2 provides for appeals, by leave as provided in that Subdivision, from determinations of the State Administrative Tribunal generally.</w:t>
      </w:r>
    </w:p>
    <w:p>
      <w:pPr>
        <w:pStyle w:val="Subsection"/>
      </w:pPr>
      <w:r>
        <w:tab/>
        <w:t>(2)</w:t>
      </w:r>
      <w:r>
        <w:tab/>
        <w:t>Subdivision 3 provides for appeals from decisions of the State Administrative Tribunal under section 110ZND to consent or refuse consent to the performance of an abortion on a person.</w:t>
      </w:r>
    </w:p>
    <w:p>
      <w:pPr>
        <w:pStyle w:val="Subsection"/>
      </w:pPr>
      <w:r>
        <w:lastRenderedPageBreak/>
        <w:tab/>
        <w:t>(3)</w:t>
      </w:r>
      <w:r>
        <w:tab/>
        <w:t>There is no appeal from a determination of the State Administrative Tribunal other than as provided under this Division.</w:t>
      </w:r>
    </w:p>
    <w:p>
      <w:pPr>
        <w:pStyle w:val="Footnotesection"/>
      </w:pPr>
      <w:r>
        <w:tab/>
        <w:t xml:space="preserve">[Section 18A inserted: No. 20 of 2023 s. 29.] </w:t>
      </w:r>
    </w:p>
    <w:p>
      <w:pPr>
        <w:pStyle w:val="Heading4"/>
      </w:pPr>
      <w:bookmarkStart w:id="39" w:name="_Toc146789045"/>
      <w:bookmarkStart w:id="40" w:name="_Toc146789171"/>
      <w:bookmarkStart w:id="41" w:name="_Toc161845857"/>
      <w:bookmarkStart w:id="42" w:name="_Toc161906838"/>
      <w:r>
        <w:t>Subdivision 2 — Appeals by leave from determinations of State Administrative Tribunal generally</w:t>
      </w:r>
      <w:bookmarkEnd w:id="39"/>
      <w:bookmarkEnd w:id="40"/>
      <w:bookmarkEnd w:id="41"/>
      <w:bookmarkEnd w:id="42"/>
    </w:p>
    <w:p>
      <w:pPr>
        <w:pStyle w:val="Footnoteheading"/>
      </w:pPr>
      <w:r>
        <w:tab/>
        <w:t>[Heading inserted: No. 20 of 2023 s. 30.]</w:t>
      </w:r>
    </w:p>
    <w:p>
      <w:pPr>
        <w:pStyle w:val="Heading5"/>
        <w:spacing w:before="180"/>
        <w:rPr>
          <w:snapToGrid w:val="0"/>
        </w:rPr>
      </w:pPr>
      <w:bookmarkStart w:id="43" w:name="_Toc161906839"/>
      <w:r>
        <w:rPr>
          <w:rStyle w:val="CharSectno"/>
        </w:rPr>
        <w:t>19</w:t>
      </w:r>
      <w:r>
        <w:rPr>
          <w:snapToGrid w:val="0"/>
        </w:rPr>
        <w:t>.</w:t>
      </w:r>
      <w:r>
        <w:rPr>
          <w:snapToGrid w:val="0"/>
        </w:rPr>
        <w:tab/>
        <w:t>Right of appeal by leave</w:t>
      </w:r>
      <w:bookmarkEnd w:id="43"/>
      <w:r>
        <w:rPr>
          <w:snapToGrid w:val="0"/>
        </w:rPr>
        <w:t xml:space="preserve"> </w:t>
      </w:r>
    </w:p>
    <w:p>
      <w:pPr>
        <w:pStyle w:val="Subsection"/>
        <w:rPr>
          <w:snapToGrid w:val="0"/>
        </w:rPr>
      </w:pPr>
      <w:r>
        <w:rPr>
          <w:snapToGrid w:val="0"/>
        </w:rPr>
        <w:tab/>
      </w:r>
      <w:r>
        <w:rPr>
          <w:snapToGrid w:val="0"/>
        </w:rPr>
        <w:tab/>
        <w:t xml:space="preserve">By leave as provided in this </w:t>
      </w:r>
      <w:r>
        <w:t xml:space="preserve">Subdivision, </w:t>
      </w:r>
      <w:r>
        <w:rPr>
          <w:snapToGrid w:val="0"/>
        </w:rPr>
        <w:t>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keepNext/>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w:t>
      </w:r>
      <w:r>
        <w:t>President.</w:t>
      </w:r>
    </w:p>
    <w:p>
      <w:pPr>
        <w:pStyle w:val="Footnotesection"/>
      </w:pPr>
      <w:r>
        <w:tab/>
        <w:t xml:space="preserve">[Section 19 inserted: No. 7 of 1996 s. 14; amended: No. 45 of 2004 s. 37; No. 55 of 2004 s. 432 and 466(1); No. 20 of 2023 s. 31.] </w:t>
      </w:r>
    </w:p>
    <w:p>
      <w:pPr>
        <w:pStyle w:val="Heading5"/>
        <w:spacing w:before="180"/>
        <w:rPr>
          <w:snapToGrid w:val="0"/>
        </w:rPr>
      </w:pPr>
      <w:bookmarkStart w:id="44" w:name="_Toc161906840"/>
      <w:r>
        <w:rPr>
          <w:rStyle w:val="CharSectno"/>
        </w:rPr>
        <w:t>20</w:t>
      </w:r>
      <w:r>
        <w:rPr>
          <w:snapToGrid w:val="0"/>
        </w:rPr>
        <w:t>.</w:t>
      </w:r>
      <w:r>
        <w:rPr>
          <w:snapToGrid w:val="0"/>
        </w:rPr>
        <w:tab/>
        <w:t>Application for leave</w:t>
      </w:r>
      <w:bookmarkEnd w:id="44"/>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lastRenderedPageBreak/>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No. 7 of 1996 s. 15.] </w:t>
      </w:r>
    </w:p>
    <w:p>
      <w:pPr>
        <w:pStyle w:val="Heading5"/>
        <w:spacing w:before="180"/>
        <w:rPr>
          <w:snapToGrid w:val="0"/>
        </w:rPr>
      </w:pPr>
      <w:bookmarkStart w:id="45" w:name="_Toc161906841"/>
      <w:r>
        <w:rPr>
          <w:rStyle w:val="CharSectno"/>
        </w:rPr>
        <w:t>21</w:t>
      </w:r>
      <w:r>
        <w:rPr>
          <w:snapToGrid w:val="0"/>
        </w:rPr>
        <w:t>.</w:t>
      </w:r>
      <w:r>
        <w:rPr>
          <w:snapToGrid w:val="0"/>
        </w:rPr>
        <w:tab/>
        <w:t>Grounds</w:t>
      </w:r>
      <w:bookmarkEnd w:id="45"/>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keepNext/>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No. 55 of 2004 s. 466(1).]</w:t>
      </w:r>
    </w:p>
    <w:p>
      <w:pPr>
        <w:pStyle w:val="Heading5"/>
        <w:spacing w:before="180"/>
        <w:rPr>
          <w:snapToGrid w:val="0"/>
        </w:rPr>
      </w:pPr>
      <w:bookmarkStart w:id="46" w:name="_Toc161906842"/>
      <w:r>
        <w:rPr>
          <w:rStyle w:val="CharSectno"/>
        </w:rPr>
        <w:t>22</w:t>
      </w:r>
      <w:r>
        <w:rPr>
          <w:snapToGrid w:val="0"/>
        </w:rPr>
        <w:t>.</w:t>
      </w:r>
      <w:r>
        <w:rPr>
          <w:snapToGrid w:val="0"/>
        </w:rPr>
        <w:tab/>
        <w:t>Grant or refusal of leave</w:t>
      </w:r>
      <w:bookmarkEnd w:id="46"/>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47" w:name="_Toc161906843"/>
      <w:r>
        <w:rPr>
          <w:rStyle w:val="CharSectno"/>
        </w:rPr>
        <w:lastRenderedPageBreak/>
        <w:t>23</w:t>
      </w:r>
      <w:r>
        <w:rPr>
          <w:snapToGrid w:val="0"/>
        </w:rPr>
        <w:t>.</w:t>
      </w:r>
      <w:r>
        <w:rPr>
          <w:snapToGrid w:val="0"/>
        </w:rPr>
        <w:tab/>
        <w:t>Ancillary orders and directions</w:t>
      </w:r>
      <w:bookmarkEnd w:id="47"/>
      <w:r>
        <w:rPr>
          <w:snapToGrid w:val="0"/>
        </w:rPr>
        <w:t xml:space="preserve"> </w:t>
      </w:r>
    </w:p>
    <w:p>
      <w:pPr>
        <w:pStyle w:val="Subsection"/>
        <w:keepNext/>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48" w:name="_Toc161906844"/>
      <w:r>
        <w:rPr>
          <w:rStyle w:val="CharSectno"/>
        </w:rPr>
        <w:t>24</w:t>
      </w:r>
      <w:r>
        <w:rPr>
          <w:snapToGrid w:val="0"/>
        </w:rPr>
        <w:t>.</w:t>
      </w:r>
      <w:r>
        <w:rPr>
          <w:snapToGrid w:val="0"/>
        </w:rPr>
        <w:tab/>
        <w:t>Reference of application to Court</w:t>
      </w:r>
      <w:bookmarkEnd w:id="48"/>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No. 16 of 1992 s. 10; amended: No. 55 of 2004 s. 466.] </w:t>
      </w:r>
    </w:p>
    <w:p>
      <w:pPr>
        <w:pStyle w:val="Heading5"/>
        <w:rPr>
          <w:snapToGrid w:val="0"/>
        </w:rPr>
      </w:pPr>
      <w:bookmarkStart w:id="49" w:name="_Toc161906845"/>
      <w:r>
        <w:rPr>
          <w:rStyle w:val="CharSectno"/>
        </w:rPr>
        <w:t>25</w:t>
      </w:r>
      <w:r>
        <w:rPr>
          <w:snapToGrid w:val="0"/>
        </w:rPr>
        <w:t>.</w:t>
      </w:r>
      <w:r>
        <w:rPr>
          <w:snapToGrid w:val="0"/>
        </w:rPr>
        <w:tab/>
        <w:t>Application and appeal may be heard together</w:t>
      </w:r>
      <w:bookmarkEnd w:id="49"/>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4"/>
      </w:pPr>
      <w:bookmarkStart w:id="50" w:name="_Toc146789048"/>
      <w:bookmarkStart w:id="51" w:name="_Toc146789174"/>
      <w:bookmarkStart w:id="52" w:name="_Toc161845865"/>
      <w:bookmarkStart w:id="53" w:name="_Toc161906846"/>
      <w:r>
        <w:lastRenderedPageBreak/>
        <w:t>Subdivision 3 — Appeals from decisions relating to consent to performance of abortion</w:t>
      </w:r>
      <w:bookmarkEnd w:id="50"/>
      <w:bookmarkEnd w:id="51"/>
      <w:bookmarkEnd w:id="52"/>
      <w:bookmarkEnd w:id="53"/>
    </w:p>
    <w:p>
      <w:pPr>
        <w:pStyle w:val="Footnoteheading"/>
      </w:pPr>
      <w:r>
        <w:tab/>
        <w:t>[Heading inserted: No. 20 of 2023 s. 32.]</w:t>
      </w:r>
    </w:p>
    <w:p>
      <w:pPr>
        <w:pStyle w:val="Heading5"/>
      </w:pPr>
      <w:bookmarkStart w:id="54" w:name="_Toc146789175"/>
      <w:bookmarkStart w:id="55" w:name="_Toc161906847"/>
      <w:r>
        <w:rPr>
          <w:rStyle w:val="CharSectno"/>
        </w:rPr>
        <w:t>25A</w:t>
      </w:r>
      <w:r>
        <w:t>.</w:t>
      </w:r>
      <w:r>
        <w:tab/>
        <w:t>Appeal from Tribunal’s decision relating to consent to performance of abortion</w:t>
      </w:r>
      <w:bookmarkEnd w:id="54"/>
      <w:bookmarkEnd w:id="55"/>
      <w:r>
        <w:t xml:space="preserve"> </w:t>
      </w:r>
    </w:p>
    <w:p>
      <w:pPr>
        <w:pStyle w:val="Subsection"/>
      </w:pPr>
      <w:r>
        <w:tab/>
        <w:t>(1)</w:t>
      </w:r>
      <w:r>
        <w:tab/>
        <w:t>A party to a proceeding for a decision of the State Administrative Tribunal under section 110ZND to consent or refuse consent to the performance of an abortion on a person may appeal from the decision.</w:t>
      </w:r>
    </w:p>
    <w:p>
      <w:pPr>
        <w:pStyle w:val="Subsection"/>
      </w:pPr>
      <w:r>
        <w:tab/>
        <w:t>(2)</w:t>
      </w:r>
      <w:r>
        <w:tab/>
        <w:t>The appeal lies to the Court of Appeal.</w:t>
      </w:r>
    </w:p>
    <w:p>
      <w:pPr>
        <w:pStyle w:val="Subsection"/>
      </w:pPr>
      <w:r>
        <w:tab/>
        <w:t>(3)</w:t>
      </w:r>
      <w:r>
        <w:tab/>
        <w:t xml:space="preserve">The appeal must be instituted — </w:t>
      </w:r>
    </w:p>
    <w:p>
      <w:pPr>
        <w:pStyle w:val="Indenta"/>
      </w:pPr>
      <w:r>
        <w:tab/>
        <w:t>(a)</w:t>
      </w:r>
      <w:r>
        <w:tab/>
        <w:t>in accordance with the rules of the Supreme Court; and</w:t>
      </w:r>
    </w:p>
    <w:p>
      <w:pPr>
        <w:pStyle w:val="Indenta"/>
      </w:pPr>
      <w:r>
        <w:tab/>
        <w:t>(b)</w:t>
      </w:r>
      <w:r>
        <w:tab/>
        <w:t>within the period of 2 days after the day on which the State Administrative Tribunal gives its reasons for the final decision under section 110ZND, unless the Court extends the period for making an application on the ground that there is good reason to allow it to be made outside that time.</w:t>
      </w:r>
    </w:p>
    <w:p>
      <w:pPr>
        <w:pStyle w:val="PermNoteHeading"/>
      </w:pPr>
      <w:r>
        <w:tab/>
        <w:t>Note for this subsection:</w:t>
      </w:r>
    </w:p>
    <w:p>
      <w:pPr>
        <w:pStyle w:val="PermNoteText"/>
      </w:pPr>
      <w:r>
        <w:tab/>
      </w:r>
      <w:r>
        <w:tab/>
        <w:t xml:space="preserve">For the purposes of paragraph (b) — see the </w:t>
      </w:r>
      <w:r>
        <w:rPr>
          <w:i/>
        </w:rPr>
        <w:t>State Administrative Tribunal Act 2004</w:t>
      </w:r>
      <w:r>
        <w:t xml:space="preserve"> section 77 for the requirement for the State Administrative Tribunal to give its reasons for a final decision.</w:t>
      </w:r>
    </w:p>
    <w:p>
      <w:pPr>
        <w:pStyle w:val="Subsection"/>
      </w:pPr>
      <w:r>
        <w:tab/>
        <w:t>(4)</w:t>
      </w:r>
      <w:r>
        <w:tab/>
        <w:t>The party instituting the appeal must notify the executive officer about the institution of the appeal, but the Tribunal is not a party to the appeal and nor is any member of the Tribunal.</w:t>
      </w:r>
    </w:p>
    <w:p>
      <w:pPr>
        <w:pStyle w:val="Footnotesection"/>
      </w:pPr>
      <w:bookmarkStart w:id="56" w:name="_Toc146789176"/>
      <w:r>
        <w:tab/>
        <w:t xml:space="preserve">[Section 25A inserted: No. 20 of 2023 s. 32.] </w:t>
      </w:r>
    </w:p>
    <w:p>
      <w:pPr>
        <w:pStyle w:val="Heading5"/>
      </w:pPr>
      <w:bookmarkStart w:id="57" w:name="_Toc161906848"/>
      <w:r>
        <w:rPr>
          <w:rStyle w:val="CharSectno"/>
        </w:rPr>
        <w:lastRenderedPageBreak/>
        <w:t>25B</w:t>
      </w:r>
      <w:r>
        <w:t>.</w:t>
      </w:r>
      <w:r>
        <w:tab/>
        <w:t>Grounds</w:t>
      </w:r>
      <w:bookmarkEnd w:id="56"/>
      <w:bookmarkEnd w:id="57"/>
    </w:p>
    <w:p>
      <w:pPr>
        <w:pStyle w:val="Subsection"/>
        <w:keepNext/>
      </w:pPr>
      <w:r>
        <w:tab/>
      </w:r>
      <w:r>
        <w:tab/>
        <w:t>An appeal from a decision of the State Administrative Tribunal under section 110ZND may only be made on a ground or grounds coming within the following —</w:t>
      </w:r>
    </w:p>
    <w:p>
      <w:pPr>
        <w:pStyle w:val="Indenta"/>
        <w:keepNext/>
      </w:pPr>
      <w:r>
        <w:tab/>
        <w:t>(a)</w:t>
      </w:r>
      <w:r>
        <w:tab/>
        <w:t xml:space="preserve">that the State Administrative Tribunal — </w:t>
      </w:r>
    </w:p>
    <w:p>
      <w:pPr>
        <w:pStyle w:val="Indenti"/>
      </w:pPr>
      <w:r>
        <w:tab/>
        <w:t>(i)</w:t>
      </w:r>
      <w:r>
        <w:tab/>
        <w:t>made an error of law or fact, or of both law and fact; or</w:t>
      </w:r>
    </w:p>
    <w:p>
      <w:pPr>
        <w:pStyle w:val="Indenti"/>
      </w:pPr>
      <w:r>
        <w:tab/>
        <w:t>(ii)</w:t>
      </w:r>
      <w:r>
        <w:tab/>
        <w:t>acted without or in excess of jurisdiction; or</w:t>
      </w:r>
    </w:p>
    <w:p>
      <w:pPr>
        <w:pStyle w:val="Indenti"/>
      </w:pPr>
      <w:r>
        <w:tab/>
        <w:t>(iii)</w:t>
      </w:r>
      <w:r>
        <w:tab/>
        <w:t>did both of the things referred to in subparagraph (i) and (ii);</w:t>
      </w:r>
    </w:p>
    <w:p>
      <w:pPr>
        <w:pStyle w:val="Indenta"/>
      </w:pPr>
      <w:r>
        <w:tab/>
      </w:r>
      <w:r>
        <w:tab/>
        <w:t>or</w:t>
      </w:r>
    </w:p>
    <w:p>
      <w:pPr>
        <w:pStyle w:val="Indenta"/>
      </w:pPr>
      <w:r>
        <w:tab/>
        <w:t>(b)</w:t>
      </w:r>
      <w:r>
        <w:tab/>
        <w:t>that there is some other reason that is sufficient to justify a review of the decision.</w:t>
      </w:r>
    </w:p>
    <w:p>
      <w:pPr>
        <w:pStyle w:val="Footnotesection"/>
      </w:pPr>
      <w:bookmarkStart w:id="58" w:name="_Toc146789177"/>
      <w:r>
        <w:tab/>
        <w:t xml:space="preserve">[Section 25B inserted: No. 20 of 2023 s. 32.] </w:t>
      </w:r>
    </w:p>
    <w:p>
      <w:pPr>
        <w:pStyle w:val="Heading5"/>
      </w:pPr>
      <w:bookmarkStart w:id="59" w:name="_Toc161906849"/>
      <w:r>
        <w:rPr>
          <w:rStyle w:val="CharSectno"/>
        </w:rPr>
        <w:t>25C</w:t>
      </w:r>
      <w:r>
        <w:t>.</w:t>
      </w:r>
      <w:r>
        <w:tab/>
        <w:t>Status of State Administrative Tribunal’s decision pending disposal of appeal</w:t>
      </w:r>
      <w:bookmarkEnd w:id="58"/>
      <w:bookmarkEnd w:id="59"/>
    </w:p>
    <w:p>
      <w:pPr>
        <w:pStyle w:val="Subsection"/>
      </w:pPr>
      <w:r>
        <w:tab/>
      </w:r>
      <w:r>
        <w:tab/>
        <w:t>Where an appeal from a decision of the State Administrative Tribunal under section 110ZND is instituted under section 25A, the operation of the decision is stayed pending the disposal of the appeal.</w:t>
      </w:r>
    </w:p>
    <w:p>
      <w:pPr>
        <w:pStyle w:val="Footnotesection"/>
      </w:pPr>
      <w:r>
        <w:tab/>
        <w:t xml:space="preserve">[Section 25C inserted: No. 20 of 2023 s. 32.] </w:t>
      </w:r>
    </w:p>
    <w:p>
      <w:pPr>
        <w:pStyle w:val="Heading4"/>
      </w:pPr>
      <w:bookmarkStart w:id="60" w:name="_Toc146789053"/>
      <w:bookmarkStart w:id="61" w:name="_Toc146789179"/>
      <w:bookmarkStart w:id="62" w:name="_Toc161845869"/>
      <w:bookmarkStart w:id="63" w:name="_Toc161906850"/>
      <w:r>
        <w:t>Subdivision 4 — General provisions about appeals</w:t>
      </w:r>
      <w:bookmarkEnd w:id="60"/>
      <w:bookmarkEnd w:id="61"/>
      <w:bookmarkEnd w:id="62"/>
      <w:bookmarkEnd w:id="63"/>
    </w:p>
    <w:p>
      <w:pPr>
        <w:pStyle w:val="Footnoteheading"/>
      </w:pPr>
      <w:r>
        <w:tab/>
        <w:t>[Heading inserted: No. 20 of 2023 s. 33.]</w:t>
      </w:r>
    </w:p>
    <w:p>
      <w:pPr>
        <w:pStyle w:val="Heading5"/>
        <w:rPr>
          <w:snapToGrid w:val="0"/>
        </w:rPr>
      </w:pPr>
      <w:bookmarkStart w:id="64" w:name="_Toc161906851"/>
      <w:r>
        <w:rPr>
          <w:rStyle w:val="CharSectno"/>
        </w:rPr>
        <w:t>26</w:t>
      </w:r>
      <w:r>
        <w:rPr>
          <w:snapToGrid w:val="0"/>
        </w:rPr>
        <w:t>.</w:t>
      </w:r>
      <w:r>
        <w:rPr>
          <w:snapToGrid w:val="0"/>
        </w:rPr>
        <w:tab/>
        <w:t>Notice to other parties</w:t>
      </w:r>
      <w:bookmarkEnd w:id="64"/>
      <w:r>
        <w:rPr>
          <w:snapToGrid w:val="0"/>
        </w:rPr>
        <w:t xml:space="preserve"> </w:t>
      </w:r>
    </w:p>
    <w:p>
      <w:pPr>
        <w:pStyle w:val="Subsection"/>
        <w:rPr>
          <w:snapToGrid w:val="0"/>
        </w:rPr>
      </w:pPr>
      <w:r>
        <w:tab/>
        <w:t>(1)</w:t>
      </w:r>
      <w:r>
        <w:tab/>
        <w:t xml:space="preserve">The appellant must </w:t>
      </w:r>
      <w:r>
        <w:rPr>
          <w:snapToGrid w:val="0"/>
        </w:rPr>
        <w:t>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keepNext/>
        <w:rPr>
          <w:snapToGrid w:val="0"/>
        </w:rPr>
      </w:pPr>
      <w:r>
        <w:rPr>
          <w:snapToGrid w:val="0"/>
        </w:rPr>
        <w:lastRenderedPageBreak/>
        <w:tab/>
        <w:t>(b)</w:t>
      </w:r>
      <w:r>
        <w:rPr>
          <w:snapToGrid w:val="0"/>
        </w:rPr>
        <w:tab/>
        <w:t>any other person to whom the Court may direct that notice be given.</w:t>
      </w:r>
    </w:p>
    <w:p>
      <w:pPr>
        <w:pStyle w:val="Subsection"/>
      </w:pPr>
      <w:r>
        <w:tab/>
        <w:t>(2)</w:t>
      </w:r>
      <w:r>
        <w:tab/>
        <w:t>The appeal may be determined if, in the opinion of the Court, sufficient notice of the appeal is given to each person who ought to be notified of the appeal.</w:t>
      </w:r>
    </w:p>
    <w:p>
      <w:pPr>
        <w:pStyle w:val="Subsection"/>
      </w:pPr>
      <w:r>
        <w:tab/>
        <w:t>(3)</w:t>
      </w:r>
      <w:r>
        <w:tab/>
        <w:t>This section does not apply if section 25 applies.</w:t>
      </w:r>
    </w:p>
    <w:p>
      <w:pPr>
        <w:pStyle w:val="Footnotesection"/>
      </w:pPr>
      <w:r>
        <w:tab/>
        <w:t>[Section 26 amended: No. 55 of 2004 s. 466(1); No. 20 of 2023 s. 34.]</w:t>
      </w:r>
    </w:p>
    <w:p>
      <w:pPr>
        <w:pStyle w:val="Heading5"/>
        <w:rPr>
          <w:snapToGrid w:val="0"/>
        </w:rPr>
      </w:pPr>
      <w:bookmarkStart w:id="65" w:name="_Toc161906852"/>
      <w:r>
        <w:rPr>
          <w:rStyle w:val="CharSectno"/>
        </w:rPr>
        <w:t>27</w:t>
      </w:r>
      <w:r>
        <w:rPr>
          <w:snapToGrid w:val="0"/>
        </w:rPr>
        <w:t>.</w:t>
      </w:r>
      <w:r>
        <w:rPr>
          <w:snapToGrid w:val="0"/>
        </w:rPr>
        <w:tab/>
        <w:t>Amendment of grounds of appeal</w:t>
      </w:r>
      <w:bookmarkEnd w:id="65"/>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keepNext/>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66" w:name="_Toc161906853"/>
      <w:r>
        <w:rPr>
          <w:rStyle w:val="CharSectno"/>
        </w:rPr>
        <w:t>28</w:t>
      </w:r>
      <w:r>
        <w:rPr>
          <w:snapToGrid w:val="0"/>
        </w:rPr>
        <w:t>.</w:t>
      </w:r>
      <w:r>
        <w:rPr>
          <w:snapToGrid w:val="0"/>
        </w:rPr>
        <w:tab/>
        <w:t>Status of State Administrative Tribunal’s determination pending disposal of appeal</w:t>
      </w:r>
      <w:bookmarkEnd w:id="66"/>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keepNext/>
        <w:rPr>
          <w:snapToGrid w:val="0"/>
        </w:rPr>
      </w:pPr>
      <w:r>
        <w:rPr>
          <w:snapToGrid w:val="0"/>
        </w:rPr>
        <w:lastRenderedPageBreak/>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PermNoteHeading"/>
      </w:pPr>
      <w:r>
        <w:tab/>
        <w:t>Note for this section:</w:t>
      </w:r>
    </w:p>
    <w:p>
      <w:pPr>
        <w:pStyle w:val="PermNoteText"/>
      </w:pPr>
      <w:r>
        <w:tab/>
      </w:r>
      <w:r>
        <w:tab/>
        <w:t>See section 25C in relation to the status of a decision of the State Administrative Tribunal under section 110ZND pending disposal of an appeal from the decision.</w:t>
      </w:r>
    </w:p>
    <w:p>
      <w:pPr>
        <w:pStyle w:val="Footnotesection"/>
      </w:pPr>
      <w:r>
        <w:tab/>
        <w:t>[Section 28 amended: No. 55 of 2004 s. 466(1); No. 20 of 2023 s. 35.]</w:t>
      </w:r>
    </w:p>
    <w:p>
      <w:pPr>
        <w:pStyle w:val="Heading5"/>
        <w:rPr>
          <w:snapToGrid w:val="0"/>
        </w:rPr>
      </w:pPr>
      <w:bookmarkStart w:id="67" w:name="_Toc161906854"/>
      <w:r>
        <w:rPr>
          <w:rStyle w:val="CharSectno"/>
        </w:rPr>
        <w:t>29</w:t>
      </w:r>
      <w:r>
        <w:rPr>
          <w:snapToGrid w:val="0"/>
        </w:rPr>
        <w:t>.</w:t>
      </w:r>
      <w:r>
        <w:rPr>
          <w:snapToGrid w:val="0"/>
        </w:rPr>
        <w:tab/>
        <w:t>Nature of appeal, and evidence</w:t>
      </w:r>
      <w:bookmarkEnd w:id="67"/>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No. 55 of 2004 s. 466.]</w:t>
      </w:r>
    </w:p>
    <w:p>
      <w:pPr>
        <w:pStyle w:val="Heading5"/>
        <w:spacing w:before="180"/>
        <w:rPr>
          <w:snapToGrid w:val="0"/>
        </w:rPr>
      </w:pPr>
      <w:bookmarkStart w:id="68" w:name="_Toc161906855"/>
      <w:r>
        <w:rPr>
          <w:rStyle w:val="CharSectno"/>
        </w:rPr>
        <w:t>30</w:t>
      </w:r>
      <w:r>
        <w:rPr>
          <w:snapToGrid w:val="0"/>
        </w:rPr>
        <w:t>.</w:t>
      </w:r>
      <w:r>
        <w:rPr>
          <w:snapToGrid w:val="0"/>
        </w:rPr>
        <w:tab/>
        <w:t>Powers of Court</w:t>
      </w:r>
      <w:bookmarkEnd w:id="68"/>
      <w:r>
        <w:rPr>
          <w:snapToGrid w:val="0"/>
        </w:rPr>
        <w:t xml:space="preserve"> </w:t>
      </w:r>
    </w:p>
    <w:p>
      <w:pPr>
        <w:pStyle w:val="Subsection"/>
      </w:pPr>
      <w:r>
        <w:tab/>
        <w:t>(1A)</w:t>
      </w:r>
      <w:r>
        <w:tab/>
        <w:t xml:space="preserve">In this section — </w:t>
      </w:r>
    </w:p>
    <w:p>
      <w:pPr>
        <w:pStyle w:val="Defstart"/>
      </w:pPr>
      <w:r>
        <w:tab/>
      </w:r>
      <w:r>
        <w:rPr>
          <w:rStyle w:val="CharDefText"/>
        </w:rPr>
        <w:t>determination</w:t>
      </w:r>
      <w:r>
        <w:t xml:space="preserve"> includes a decision under section 110ZND to consent or refuse consent to the performance of an abortion on a person;</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lastRenderedPageBreak/>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No. 55 of 2004 s. 466; No. 20 of 2023 s. 36.]</w:t>
      </w:r>
    </w:p>
    <w:p>
      <w:pPr>
        <w:pStyle w:val="Heading5"/>
        <w:rPr>
          <w:snapToGrid w:val="0"/>
        </w:rPr>
      </w:pPr>
      <w:bookmarkStart w:id="69" w:name="_Toc161906856"/>
      <w:r>
        <w:rPr>
          <w:rStyle w:val="CharSectno"/>
        </w:rPr>
        <w:t>31</w:t>
      </w:r>
      <w:r>
        <w:rPr>
          <w:snapToGrid w:val="0"/>
        </w:rPr>
        <w:t>.</w:t>
      </w:r>
      <w:r>
        <w:rPr>
          <w:snapToGrid w:val="0"/>
        </w:rPr>
        <w:tab/>
        <w:t>Want of form</w:t>
      </w:r>
      <w:bookmarkEnd w:id="69"/>
      <w:r>
        <w:rPr>
          <w:snapToGrid w:val="0"/>
        </w:rPr>
        <w:t xml:space="preserve"> </w:t>
      </w:r>
    </w:p>
    <w:p>
      <w:pPr>
        <w:pStyle w:val="Subsection"/>
        <w:rPr>
          <w:snapToGrid w:val="0"/>
        </w:rPr>
      </w:pPr>
      <w:r>
        <w:rPr>
          <w:snapToGrid w:val="0"/>
        </w:rPr>
        <w:tab/>
      </w:r>
      <w:r>
        <w:rPr>
          <w:snapToGrid w:val="0"/>
        </w:rPr>
        <w:tab/>
        <w:t xml:space="preserve">Notwithstanding anything in </w:t>
      </w:r>
      <w:r>
        <w:t xml:space="preserve">section 21 or 25B, </w:t>
      </w:r>
      <w:r>
        <w:rPr>
          <w:snapToGrid w:val="0"/>
        </w:rPr>
        <w:t>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No. 55 of 2004 s. 466(1); No. 20 of 2023 s. 37.]</w:t>
      </w:r>
    </w:p>
    <w:p>
      <w:pPr>
        <w:pStyle w:val="Heading5"/>
        <w:rPr>
          <w:snapToGrid w:val="0"/>
        </w:rPr>
      </w:pPr>
      <w:bookmarkStart w:id="70" w:name="_Toc161906857"/>
      <w:r>
        <w:rPr>
          <w:rStyle w:val="CharSectno"/>
        </w:rPr>
        <w:lastRenderedPageBreak/>
        <w:t>32</w:t>
      </w:r>
      <w:r>
        <w:rPr>
          <w:snapToGrid w:val="0"/>
        </w:rPr>
        <w:t>.</w:t>
      </w:r>
      <w:r>
        <w:rPr>
          <w:snapToGrid w:val="0"/>
        </w:rPr>
        <w:tab/>
        <w:t>Notification of result of appeal to executive officer</w:t>
      </w:r>
      <w:bookmarkEnd w:id="70"/>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No. 16 of 1992 s. 11.] </w:t>
      </w:r>
    </w:p>
    <w:p>
      <w:pPr>
        <w:pStyle w:val="Heading5"/>
        <w:rPr>
          <w:snapToGrid w:val="0"/>
        </w:rPr>
      </w:pPr>
      <w:bookmarkStart w:id="71" w:name="_Toc161906858"/>
      <w:r>
        <w:rPr>
          <w:rStyle w:val="CharSectno"/>
        </w:rPr>
        <w:t>33</w:t>
      </w:r>
      <w:r>
        <w:rPr>
          <w:snapToGrid w:val="0"/>
        </w:rPr>
        <w:t>.</w:t>
      </w:r>
      <w:r>
        <w:rPr>
          <w:snapToGrid w:val="0"/>
        </w:rPr>
        <w:tab/>
        <w:t>Discontinuance of appeal</w:t>
      </w:r>
      <w:bookmarkEnd w:id="71"/>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No. 16 of 1992 s. 18; No. 55 of 2004 s. 433.] </w:t>
      </w:r>
    </w:p>
    <w:p>
      <w:pPr>
        <w:pStyle w:val="Heading5"/>
        <w:rPr>
          <w:snapToGrid w:val="0"/>
        </w:rPr>
      </w:pPr>
      <w:bookmarkStart w:id="72" w:name="_Toc161906859"/>
      <w:r>
        <w:rPr>
          <w:rStyle w:val="CharSectno"/>
        </w:rPr>
        <w:t>34</w:t>
      </w:r>
      <w:r>
        <w:rPr>
          <w:snapToGrid w:val="0"/>
        </w:rPr>
        <w:t>.</w:t>
      </w:r>
      <w:r>
        <w:rPr>
          <w:snapToGrid w:val="0"/>
        </w:rPr>
        <w:tab/>
        <w:t>Dismissal for want of prosecution</w:t>
      </w:r>
      <w:bookmarkEnd w:id="72"/>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keepNext/>
        <w:rPr>
          <w:snapToGrid w:val="0"/>
        </w:rPr>
      </w:pPr>
      <w:r>
        <w:rPr>
          <w:snapToGrid w:val="0"/>
        </w:rPr>
        <w:tab/>
        <w:t>(2)</w:t>
      </w:r>
      <w:r>
        <w:rPr>
          <w:snapToGrid w:val="0"/>
        </w:rPr>
        <w:tab/>
        <w:t xml:space="preserve">If the appellant does not appear, either personally or by a legal practitioner, at the hearing of the appeal, or if the Court is satisfied on an application under subsection (1) that the </w:t>
      </w:r>
      <w:r>
        <w:rPr>
          <w:snapToGrid w:val="0"/>
        </w:rPr>
        <w:lastRenderedPageBreak/>
        <w:t>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 xml:space="preserve">An application by way of summons under subsection (1) may be heard and determined in the absence of the appellant if it is proved that </w:t>
      </w:r>
      <w:r>
        <w:t>the appellant</w:t>
      </w:r>
      <w:r>
        <w:rPr>
          <w:snapToGrid w:val="0"/>
        </w:rPr>
        <w:t xml:space="preserve"> was served with the summons.</w:t>
      </w:r>
    </w:p>
    <w:p>
      <w:pPr>
        <w:pStyle w:val="Subsection"/>
      </w:pPr>
      <w:r>
        <w:tab/>
        <w:t>(4)</w:t>
      </w:r>
      <w:r>
        <w:tab/>
        <w:t>This section does not limit the power of the Court to determine an appeal under section 26(2).</w:t>
      </w:r>
    </w:p>
    <w:p>
      <w:pPr>
        <w:pStyle w:val="Footnotesection"/>
      </w:pPr>
      <w:r>
        <w:tab/>
        <w:t>[Section 34 amended: No. 20 of 2023 s. 38.]</w:t>
      </w:r>
    </w:p>
    <w:p>
      <w:pPr>
        <w:pStyle w:val="Heading5"/>
        <w:keepLines w:val="0"/>
        <w:rPr>
          <w:snapToGrid w:val="0"/>
        </w:rPr>
      </w:pPr>
      <w:bookmarkStart w:id="73" w:name="_Toc161906860"/>
      <w:r>
        <w:rPr>
          <w:rStyle w:val="CharSectno"/>
        </w:rPr>
        <w:t>35</w:t>
      </w:r>
      <w:r>
        <w:rPr>
          <w:snapToGrid w:val="0"/>
        </w:rPr>
        <w:t>.</w:t>
      </w:r>
      <w:r>
        <w:rPr>
          <w:snapToGrid w:val="0"/>
        </w:rPr>
        <w:tab/>
        <w:t>Application for reinstatement of appeal</w:t>
      </w:r>
      <w:bookmarkEnd w:id="73"/>
      <w:r>
        <w:rPr>
          <w:snapToGrid w:val="0"/>
        </w:rPr>
        <w:t xml:space="preserve"> </w:t>
      </w:r>
    </w:p>
    <w:p>
      <w:pPr>
        <w:pStyle w:val="Subsection"/>
        <w:rPr>
          <w:snapToGrid w:val="0"/>
        </w:rPr>
      </w:pPr>
      <w:r>
        <w:rPr>
          <w:snapToGrid w:val="0"/>
        </w:rPr>
        <w:tab/>
        <w:t>(1)</w:t>
      </w:r>
      <w:r>
        <w:rPr>
          <w:snapToGrid w:val="0"/>
        </w:rPr>
        <w:tab/>
        <w:t xml:space="preserve">Where an appeal is dismissed under section 34 in the absence of the appellant, </w:t>
      </w:r>
      <w:r>
        <w:t>the appellant</w:t>
      </w:r>
      <w:r>
        <w:rPr>
          <w:snapToGrid w:val="0"/>
        </w:rPr>
        <w:t xml:space="preserve"> may apply to the Court for an order reinstating the appeal.</w:t>
      </w:r>
    </w:p>
    <w:p>
      <w:pPr>
        <w:pStyle w:val="Subsection"/>
      </w:pPr>
      <w:r>
        <w:tab/>
        <w:t>(1A)</w:t>
      </w:r>
      <w:r>
        <w:tab/>
        <w:t>Subsection (1) does not apply to an appeal from a decision under section 110ZND to consent or refuse consent to the performance of an abortion on a person.</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keepNext/>
        <w:rPr>
          <w:snapToGrid w:val="0"/>
        </w:rPr>
      </w:pPr>
      <w:r>
        <w:rPr>
          <w:snapToGrid w:val="0"/>
        </w:rPr>
        <w:lastRenderedPageBreak/>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Footnotesection"/>
      </w:pPr>
      <w:r>
        <w:tab/>
        <w:t>[Section 35 amended: No. 20 of 2023 s. 39.]</w:t>
      </w:r>
    </w:p>
    <w:p>
      <w:pPr>
        <w:pStyle w:val="Heading5"/>
        <w:spacing w:before="180"/>
        <w:rPr>
          <w:snapToGrid w:val="0"/>
        </w:rPr>
      </w:pPr>
      <w:bookmarkStart w:id="74" w:name="_Toc161906861"/>
      <w:r>
        <w:rPr>
          <w:rStyle w:val="CharSectno"/>
        </w:rPr>
        <w:t>36</w:t>
      </w:r>
      <w:r>
        <w:rPr>
          <w:snapToGrid w:val="0"/>
        </w:rPr>
        <w:t>.</w:t>
      </w:r>
      <w:r>
        <w:rPr>
          <w:snapToGrid w:val="0"/>
        </w:rPr>
        <w:tab/>
        <w:t>Time may be extended or shortened</w:t>
      </w:r>
      <w:bookmarkEnd w:id="74"/>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75" w:name="_Toc161906862"/>
      <w:r>
        <w:rPr>
          <w:rStyle w:val="CharSectno"/>
        </w:rPr>
        <w:t>37</w:t>
      </w:r>
      <w:r>
        <w:rPr>
          <w:snapToGrid w:val="0"/>
        </w:rPr>
        <w:t>.</w:t>
      </w:r>
      <w:r>
        <w:rPr>
          <w:snapToGrid w:val="0"/>
        </w:rPr>
        <w:tab/>
        <w:t>Enforcement of order for costs</w:t>
      </w:r>
      <w:bookmarkEnd w:id="75"/>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No. 55 of 2004 s. 434.]</w:t>
      </w:r>
    </w:p>
    <w:p>
      <w:pPr>
        <w:pStyle w:val="Heading2"/>
      </w:pPr>
      <w:bookmarkStart w:id="76" w:name="_Toc161843181"/>
      <w:bookmarkStart w:id="77" w:name="_Toc161845882"/>
      <w:bookmarkStart w:id="78" w:name="_Toc161906863"/>
      <w:r>
        <w:rPr>
          <w:rStyle w:val="CharPartNo"/>
        </w:rPr>
        <w:lastRenderedPageBreak/>
        <w:t>Part 4</w:t>
      </w:r>
      <w:r>
        <w:rPr>
          <w:rStyle w:val="CharDivNo"/>
        </w:rPr>
        <w:t> </w:t>
      </w:r>
      <w:r>
        <w:t>—</w:t>
      </w:r>
      <w:r>
        <w:rPr>
          <w:rStyle w:val="CharDivText"/>
        </w:rPr>
        <w:t> </w:t>
      </w:r>
      <w:r>
        <w:rPr>
          <w:rStyle w:val="CharPartText"/>
        </w:rPr>
        <w:t>Applications for guardianship and administration orders</w:t>
      </w:r>
      <w:bookmarkEnd w:id="76"/>
      <w:bookmarkEnd w:id="77"/>
      <w:bookmarkEnd w:id="78"/>
      <w:r>
        <w:rPr>
          <w:rStyle w:val="CharPartText"/>
        </w:rPr>
        <w:t xml:space="preserve"> </w:t>
      </w:r>
    </w:p>
    <w:p>
      <w:pPr>
        <w:pStyle w:val="Ednotesection"/>
        <w:ind w:left="890" w:hanging="890"/>
      </w:pPr>
      <w:r>
        <w:t>[</w:t>
      </w:r>
      <w:r>
        <w:rPr>
          <w:b/>
        </w:rPr>
        <w:t>39.</w:t>
      </w:r>
      <w:r>
        <w:tab/>
        <w:t xml:space="preserve">Deleted: No. 7 of 1996 s. 17.] </w:t>
      </w:r>
    </w:p>
    <w:p>
      <w:pPr>
        <w:pStyle w:val="Heading5"/>
        <w:rPr>
          <w:snapToGrid w:val="0"/>
        </w:rPr>
      </w:pPr>
      <w:bookmarkStart w:id="79" w:name="_Toc161906864"/>
      <w:r>
        <w:rPr>
          <w:rStyle w:val="CharSectno"/>
        </w:rPr>
        <w:t>40</w:t>
      </w:r>
      <w:r>
        <w:rPr>
          <w:snapToGrid w:val="0"/>
        </w:rPr>
        <w:t>.</w:t>
      </w:r>
      <w:r>
        <w:rPr>
          <w:snapToGrid w:val="0"/>
        </w:rPr>
        <w:tab/>
        <w:t>Application</w:t>
      </w:r>
      <w:bookmarkEnd w:id="79"/>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No. 16 of 1992 s. 18; No. 7 of 1996 s. 18; No. 55 of 2004 s. 435 and 466(1).] </w:t>
      </w:r>
    </w:p>
    <w:p>
      <w:pPr>
        <w:pStyle w:val="Heading5"/>
        <w:rPr>
          <w:snapToGrid w:val="0"/>
        </w:rPr>
      </w:pPr>
      <w:bookmarkStart w:id="80" w:name="_Toc161906865"/>
      <w:r>
        <w:rPr>
          <w:rStyle w:val="CharSectno"/>
        </w:rPr>
        <w:t>41</w:t>
      </w:r>
      <w:r>
        <w:rPr>
          <w:snapToGrid w:val="0"/>
        </w:rPr>
        <w:t>.</w:t>
      </w:r>
      <w:r>
        <w:rPr>
          <w:snapToGrid w:val="0"/>
        </w:rPr>
        <w:tab/>
        <w:t>Notice of hearing</w:t>
      </w:r>
      <w:bookmarkEnd w:id="80"/>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lastRenderedPageBreak/>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lastRenderedPageBreak/>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No. 16 of 1992 s. 18; No. 7 of 1996 s. 36; No. 55 of 2004 s. 436 and 466(1); No. 19 of 2010 s. 18(2).] </w:t>
      </w:r>
    </w:p>
    <w:p>
      <w:pPr>
        <w:pStyle w:val="Ednotesection"/>
      </w:pPr>
      <w:r>
        <w:t>[</w:t>
      </w:r>
      <w:r>
        <w:rPr>
          <w:b/>
        </w:rPr>
        <w:t>42.</w:t>
      </w:r>
      <w:r>
        <w:rPr>
          <w:b/>
        </w:rPr>
        <w:tab/>
      </w:r>
      <w:r>
        <w:t>Deleted: No. 55 of 2004 s. 437.]</w:t>
      </w:r>
    </w:p>
    <w:p>
      <w:pPr>
        <w:pStyle w:val="Heading2"/>
      </w:pPr>
      <w:bookmarkStart w:id="81" w:name="_Toc161843184"/>
      <w:bookmarkStart w:id="82" w:name="_Toc161845885"/>
      <w:bookmarkStart w:id="83" w:name="_Toc161906866"/>
      <w:r>
        <w:rPr>
          <w:rStyle w:val="CharPartNo"/>
        </w:rPr>
        <w:lastRenderedPageBreak/>
        <w:t>Part 5</w:t>
      </w:r>
      <w:r>
        <w:t> — </w:t>
      </w:r>
      <w:r>
        <w:rPr>
          <w:rStyle w:val="CharPartText"/>
        </w:rPr>
        <w:t>Guardianship</w:t>
      </w:r>
      <w:bookmarkEnd w:id="81"/>
      <w:bookmarkEnd w:id="82"/>
      <w:bookmarkEnd w:id="83"/>
      <w:r>
        <w:rPr>
          <w:rStyle w:val="CharPartText"/>
        </w:rPr>
        <w:t xml:space="preserve"> </w:t>
      </w:r>
    </w:p>
    <w:p>
      <w:pPr>
        <w:pStyle w:val="Heading3"/>
        <w:rPr>
          <w:snapToGrid w:val="0"/>
        </w:rPr>
      </w:pPr>
      <w:bookmarkStart w:id="84" w:name="_Toc161843185"/>
      <w:bookmarkStart w:id="85" w:name="_Toc161845886"/>
      <w:bookmarkStart w:id="86" w:name="_Toc161906867"/>
      <w:r>
        <w:rPr>
          <w:rStyle w:val="CharDivNo"/>
        </w:rPr>
        <w:t>Division 1</w:t>
      </w:r>
      <w:r>
        <w:rPr>
          <w:snapToGrid w:val="0"/>
        </w:rPr>
        <w:t> — </w:t>
      </w:r>
      <w:r>
        <w:rPr>
          <w:rStyle w:val="CharDivText"/>
        </w:rPr>
        <w:t>Appointment of guardian</w:t>
      </w:r>
      <w:bookmarkEnd w:id="84"/>
      <w:bookmarkEnd w:id="85"/>
      <w:bookmarkEnd w:id="86"/>
      <w:r>
        <w:rPr>
          <w:rStyle w:val="CharDivText"/>
        </w:rPr>
        <w:t xml:space="preserve"> </w:t>
      </w:r>
    </w:p>
    <w:p>
      <w:pPr>
        <w:pStyle w:val="Heading5"/>
        <w:rPr>
          <w:snapToGrid w:val="0"/>
        </w:rPr>
      </w:pPr>
      <w:bookmarkStart w:id="87" w:name="_Toc161906868"/>
      <w:r>
        <w:rPr>
          <w:rStyle w:val="CharSectno"/>
        </w:rPr>
        <w:t>43</w:t>
      </w:r>
      <w:r>
        <w:rPr>
          <w:snapToGrid w:val="0"/>
        </w:rPr>
        <w:t>.</w:t>
      </w:r>
      <w:r>
        <w:rPr>
          <w:snapToGrid w:val="0"/>
        </w:rPr>
        <w:tab/>
        <w:t>Making of guardianship order</w:t>
      </w:r>
      <w:bookmarkEnd w:id="87"/>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lastRenderedPageBreak/>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lastRenderedPageBreak/>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No. 55 of 2004 s. 466; No. 5 of 2008 s. 57(1) and (2).]</w:t>
      </w:r>
    </w:p>
    <w:p>
      <w:pPr>
        <w:pStyle w:val="Heading5"/>
        <w:spacing w:before="180"/>
        <w:rPr>
          <w:snapToGrid w:val="0"/>
        </w:rPr>
      </w:pPr>
      <w:bookmarkStart w:id="88" w:name="_Toc161906869"/>
      <w:r>
        <w:rPr>
          <w:rStyle w:val="CharSectno"/>
        </w:rPr>
        <w:t>44</w:t>
      </w:r>
      <w:r>
        <w:rPr>
          <w:snapToGrid w:val="0"/>
        </w:rPr>
        <w:t>.</w:t>
      </w:r>
      <w:r>
        <w:rPr>
          <w:snapToGrid w:val="0"/>
        </w:rPr>
        <w:tab/>
        <w:t>Who may be appointed guardian</w:t>
      </w:r>
      <w:bookmarkEnd w:id="88"/>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lastRenderedPageBreak/>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No. 7 of 1996 s. 36; No. 55 of 2004 s. 466(1).] </w:t>
      </w:r>
    </w:p>
    <w:p>
      <w:pPr>
        <w:pStyle w:val="Heading5"/>
        <w:rPr>
          <w:snapToGrid w:val="0"/>
        </w:rPr>
      </w:pPr>
      <w:bookmarkStart w:id="89" w:name="_Toc161906870"/>
      <w:r>
        <w:rPr>
          <w:rStyle w:val="CharSectno"/>
        </w:rPr>
        <w:t>44A</w:t>
      </w:r>
      <w:r>
        <w:rPr>
          <w:snapToGrid w:val="0"/>
        </w:rPr>
        <w:t xml:space="preserve">. </w:t>
      </w:r>
      <w:r>
        <w:rPr>
          <w:snapToGrid w:val="0"/>
        </w:rPr>
        <w:tab/>
        <w:t>Interstate arrangements for guardianship orders</w:t>
      </w:r>
      <w:bookmarkEnd w:id="89"/>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keepNext/>
        <w:keepLines/>
        <w:rPr>
          <w:snapToGrid w:val="0"/>
        </w:rPr>
      </w:pPr>
      <w:r>
        <w:rPr>
          <w:snapToGrid w:val="0"/>
        </w:rPr>
        <w:lastRenderedPageBreak/>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No. 7 of 1996 s. 19.] </w:t>
      </w:r>
    </w:p>
    <w:p>
      <w:pPr>
        <w:pStyle w:val="Heading3"/>
        <w:rPr>
          <w:snapToGrid w:val="0"/>
        </w:rPr>
      </w:pPr>
      <w:bookmarkStart w:id="90" w:name="_Toc161843189"/>
      <w:bookmarkStart w:id="91" w:name="_Toc161845890"/>
      <w:bookmarkStart w:id="92" w:name="_Toc161906871"/>
      <w:r>
        <w:rPr>
          <w:rStyle w:val="CharDivNo"/>
        </w:rPr>
        <w:t>Division 2</w:t>
      </w:r>
      <w:r>
        <w:rPr>
          <w:snapToGrid w:val="0"/>
        </w:rPr>
        <w:t> — </w:t>
      </w:r>
      <w:r>
        <w:rPr>
          <w:rStyle w:val="CharDivText"/>
        </w:rPr>
        <w:t>Functions of guardians</w:t>
      </w:r>
      <w:bookmarkEnd w:id="90"/>
      <w:bookmarkEnd w:id="91"/>
      <w:bookmarkEnd w:id="92"/>
      <w:r>
        <w:rPr>
          <w:rStyle w:val="CharDivText"/>
        </w:rPr>
        <w:t xml:space="preserve"> </w:t>
      </w:r>
    </w:p>
    <w:p>
      <w:pPr>
        <w:pStyle w:val="Heading5"/>
        <w:rPr>
          <w:snapToGrid w:val="0"/>
        </w:rPr>
      </w:pPr>
      <w:bookmarkStart w:id="93" w:name="_Toc161906872"/>
      <w:r>
        <w:rPr>
          <w:rStyle w:val="CharSectno"/>
        </w:rPr>
        <w:t>45</w:t>
      </w:r>
      <w:r>
        <w:rPr>
          <w:snapToGrid w:val="0"/>
        </w:rPr>
        <w:t>.</w:t>
      </w:r>
      <w:r>
        <w:rPr>
          <w:snapToGrid w:val="0"/>
        </w:rPr>
        <w:tab/>
        <w:t>Authority of plenary guardian</w:t>
      </w:r>
      <w:bookmarkEnd w:id="93"/>
      <w:r>
        <w:rPr>
          <w:snapToGrid w:val="0"/>
        </w:rPr>
        <w:t xml:space="preserve"> </w:t>
      </w:r>
    </w:p>
    <w:p>
      <w:pPr>
        <w:pStyle w:val="Subsection"/>
      </w:pPr>
      <w:r>
        <w:tab/>
        <w:t>(1)</w:t>
      </w:r>
      <w:r>
        <w:tab/>
        <w:t xml:space="preserve">Subject to section 43(3), where a person is appointed as a plenary guardian, or 2 or more persons are appointed as joint plenary guardians, the person or persons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w:t>
      </w:r>
      <w:r>
        <w:t>the represented person</w:t>
      </w:r>
      <w:r>
        <w:rPr>
          <w:snapToGrid w:val="0"/>
        </w:rPr>
        <w:t xml:space="preserve"> is to work and matters related thereto; </w:t>
      </w:r>
    </w:p>
    <w:p>
      <w:pPr>
        <w:pStyle w:val="Indenta"/>
      </w:pPr>
      <w:r>
        <w:lastRenderedPageBreak/>
        <w:tab/>
        <w:t>(d)</w:t>
      </w:r>
      <w:r>
        <w:tab/>
        <w:t>subject to subsections (3A) and (4A), make treatment decisions for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w:t>
      </w:r>
      <w:r>
        <w:rPr>
          <w:color w:val="000000" w:themeColor="text1"/>
        </w:rPr>
        <w:t>person;</w:t>
      </w:r>
    </w:p>
    <w:p>
      <w:pPr>
        <w:pStyle w:val="Indenta"/>
      </w:pPr>
      <w:r>
        <w:rPr>
          <w:color w:val="000000" w:themeColor="text1"/>
        </w:rPr>
        <w:tab/>
        <w:t>(i)</w:t>
      </w:r>
      <w:r>
        <w:rPr>
          <w:color w:val="000000" w:themeColor="text1"/>
        </w:rPr>
        <w:tab/>
        <w:t>if the plenary guardian is a research decision</w:t>
      </w:r>
      <w:r>
        <w:rPr>
          <w:color w:val="000000" w:themeColor="text1"/>
        </w:rPr>
        <w:noBreakHyphen/>
        <w:t>maker for the represented person — subject to subsection (4A)(a) and sections 110ZR and 110ZT, make research decisions in relation to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lastRenderedPageBreak/>
        <w:tab/>
        <w:t>(3A)</w:t>
      </w:r>
      <w:r>
        <w:tab/>
        <w:t>A plenary guardian cannot make a decision in respect of the performance of an abortion on the represented person, including for the purposes of a treatment decision or medical research.</w:t>
      </w:r>
    </w:p>
    <w:p>
      <w:pPr>
        <w:pStyle w:val="Subsection"/>
        <w:keepNext/>
      </w:pPr>
      <w:r>
        <w:rPr>
          <w:color w:val="000000" w:themeColor="text1"/>
        </w:rPr>
        <w:tab/>
        <w:t>(4A)</w:t>
      </w:r>
      <w:r>
        <w:rPr>
          <w:color w:val="000000" w:themeColor="text1"/>
        </w:rPr>
        <w:tab/>
        <w:t xml:space="preserve">A plenary guardian — </w:t>
      </w:r>
    </w:p>
    <w:p>
      <w:pPr>
        <w:pStyle w:val="Indenta"/>
      </w:pPr>
      <w:r>
        <w:rPr>
          <w:color w:val="000000" w:themeColor="text1"/>
        </w:rPr>
        <w:tab/>
        <w:t>(a)</w:t>
      </w:r>
      <w:r>
        <w:rPr>
          <w:color w:val="000000" w:themeColor="text1"/>
        </w:rPr>
        <w:tab/>
        <w:t xml:space="preserve">cannot consent, for the purposes of medical research, to — </w:t>
      </w:r>
    </w:p>
    <w:p>
      <w:pPr>
        <w:pStyle w:val="Indenti"/>
      </w:pPr>
      <w:r>
        <w:rPr>
          <w:color w:val="000000" w:themeColor="text1"/>
        </w:rPr>
        <w:tab/>
        <w:t>(i)</w:t>
      </w:r>
      <w:r>
        <w:rPr>
          <w:color w:val="000000" w:themeColor="text1"/>
        </w:rPr>
        <w:tab/>
        <w:t xml:space="preserve">the sterilisation of the represented person; or </w:t>
      </w:r>
    </w:p>
    <w:p>
      <w:pPr>
        <w:pStyle w:val="Indenti"/>
      </w:pPr>
      <w:r>
        <w:tab/>
        <w:t>(ii)</w:t>
      </w:r>
      <w:r>
        <w:tab/>
        <w:t>electroconvulsive therapy being performed on a research candidate;</w:t>
      </w:r>
    </w:p>
    <w:p>
      <w:pPr>
        <w:pStyle w:val="Indenta"/>
      </w:pPr>
      <w:r>
        <w:rPr>
          <w:color w:val="000000" w:themeColor="text1"/>
        </w:rPr>
        <w:tab/>
      </w:r>
      <w:r>
        <w:rPr>
          <w:color w:val="000000" w:themeColor="text1"/>
        </w:rPr>
        <w:tab/>
        <w:t>and</w:t>
      </w:r>
    </w:p>
    <w:p>
      <w:pPr>
        <w:pStyle w:val="Indenta"/>
      </w:pPr>
      <w:r>
        <w:tab/>
        <w:t>(b)</w:t>
      </w:r>
      <w:r>
        <w:tab/>
        <w:t>cannot consent to the sterilisation of the represented person for any other purposes,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No. 7 of 1996 s. 20; No. 69 of 1996 s. 34; No. 41 of 1997 s. 32; No. 70 of 2000 s. 8; No. 35 of 2006 s. 205; No. 27 of 2007 s. 25; No. 25 of 2008 s. 6; No. 47 of 2008 s. 64; No. 17 of 2014 s. 22(2) and (3); No. 14 of 2020 s. 7; No. 20 of 2023 s. 40.] </w:t>
      </w:r>
    </w:p>
    <w:p>
      <w:pPr>
        <w:pStyle w:val="Heading5"/>
        <w:rPr>
          <w:snapToGrid w:val="0"/>
        </w:rPr>
      </w:pPr>
      <w:bookmarkStart w:id="94" w:name="_Toc161906873"/>
      <w:r>
        <w:rPr>
          <w:rStyle w:val="CharSectno"/>
        </w:rPr>
        <w:t>46</w:t>
      </w:r>
      <w:r>
        <w:rPr>
          <w:snapToGrid w:val="0"/>
        </w:rPr>
        <w:t>.</w:t>
      </w:r>
      <w:r>
        <w:rPr>
          <w:snapToGrid w:val="0"/>
        </w:rPr>
        <w:tab/>
        <w:t>Authority of limited guardian</w:t>
      </w:r>
      <w:bookmarkEnd w:id="94"/>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No. 55 of 2004 s. 466(1).]</w:t>
      </w:r>
    </w:p>
    <w:p>
      <w:pPr>
        <w:pStyle w:val="Heading5"/>
        <w:keepLines w:val="0"/>
        <w:rPr>
          <w:snapToGrid w:val="0"/>
        </w:rPr>
      </w:pPr>
      <w:bookmarkStart w:id="95" w:name="_Toc161906874"/>
      <w:r>
        <w:rPr>
          <w:rStyle w:val="CharSectno"/>
        </w:rPr>
        <w:lastRenderedPageBreak/>
        <w:t>47</w:t>
      </w:r>
      <w:r>
        <w:rPr>
          <w:snapToGrid w:val="0"/>
        </w:rPr>
        <w:t>.</w:t>
      </w:r>
      <w:r>
        <w:rPr>
          <w:snapToGrid w:val="0"/>
        </w:rPr>
        <w:tab/>
        <w:t>Guardian may apply for directions</w:t>
      </w:r>
      <w:bookmarkEnd w:id="95"/>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No. 16 of 1992 s. 18; No. 55 of 2004 s. 466.] </w:t>
      </w:r>
    </w:p>
    <w:p>
      <w:pPr>
        <w:pStyle w:val="Heading5"/>
        <w:rPr>
          <w:snapToGrid w:val="0"/>
        </w:rPr>
      </w:pPr>
      <w:bookmarkStart w:id="96" w:name="_Toc161906875"/>
      <w:r>
        <w:rPr>
          <w:rStyle w:val="CharSectno"/>
        </w:rPr>
        <w:t>48</w:t>
      </w:r>
      <w:r>
        <w:rPr>
          <w:snapToGrid w:val="0"/>
        </w:rPr>
        <w:t>.</w:t>
      </w:r>
      <w:r>
        <w:rPr>
          <w:snapToGrid w:val="0"/>
        </w:rPr>
        <w:tab/>
        <w:t>Guardian may execute documents etc.</w:t>
      </w:r>
      <w:bookmarkEnd w:id="96"/>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97" w:name="_Toc161906876"/>
      <w:r>
        <w:rPr>
          <w:rStyle w:val="CharSectno"/>
        </w:rPr>
        <w:t>49</w:t>
      </w:r>
      <w:r>
        <w:rPr>
          <w:snapToGrid w:val="0"/>
        </w:rPr>
        <w:t>.</w:t>
      </w:r>
      <w:r>
        <w:rPr>
          <w:snapToGrid w:val="0"/>
        </w:rPr>
        <w:tab/>
        <w:t>Guardian may obtain warrant to enter</w:t>
      </w:r>
      <w:bookmarkEnd w:id="97"/>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lastRenderedPageBreak/>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No. 50 of 2003 s. 70(2); No. 55 of 2004 s. 466(1).]</w:t>
      </w:r>
    </w:p>
    <w:p>
      <w:pPr>
        <w:pStyle w:val="Heading5"/>
        <w:rPr>
          <w:snapToGrid w:val="0"/>
        </w:rPr>
      </w:pPr>
      <w:bookmarkStart w:id="98" w:name="_Toc161906877"/>
      <w:r>
        <w:rPr>
          <w:rStyle w:val="CharSectno"/>
        </w:rPr>
        <w:t>50</w:t>
      </w:r>
      <w:r>
        <w:rPr>
          <w:snapToGrid w:val="0"/>
        </w:rPr>
        <w:t>.</w:t>
      </w:r>
      <w:r>
        <w:rPr>
          <w:snapToGrid w:val="0"/>
        </w:rPr>
        <w:tab/>
        <w:t>Effect of actions etc. of guardian</w:t>
      </w:r>
      <w:bookmarkEnd w:id="98"/>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No. 25 of 2008 s. 7.]</w:t>
      </w:r>
    </w:p>
    <w:p>
      <w:pPr>
        <w:pStyle w:val="Heading5"/>
        <w:rPr>
          <w:snapToGrid w:val="0"/>
        </w:rPr>
      </w:pPr>
      <w:bookmarkStart w:id="99" w:name="_Toc161906878"/>
      <w:r>
        <w:rPr>
          <w:rStyle w:val="CharSectno"/>
        </w:rPr>
        <w:t>51</w:t>
      </w:r>
      <w:r>
        <w:rPr>
          <w:snapToGrid w:val="0"/>
        </w:rPr>
        <w:t>.</w:t>
      </w:r>
      <w:r>
        <w:rPr>
          <w:snapToGrid w:val="0"/>
        </w:rPr>
        <w:tab/>
        <w:t>Guardian to act in best interests of represented person</w:t>
      </w:r>
      <w:bookmarkEnd w:id="99"/>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xml:space="preserve">, a guardian </w:t>
      </w:r>
      <w:r>
        <w:rPr>
          <w:color w:val="000000" w:themeColor="text1"/>
        </w:rPr>
        <w:t>must act according to the guardian’s</w:t>
      </w:r>
      <w:r>
        <w:rPr>
          <w:snapToGrid w:val="0"/>
        </w:rPr>
        <w:t xml:space="preserve"> opinion of the best interests of the represented person.</w:t>
      </w:r>
    </w:p>
    <w:p>
      <w:pPr>
        <w:pStyle w:val="Subsection"/>
        <w:rPr>
          <w:snapToGrid w:val="0"/>
        </w:rPr>
      </w:pPr>
      <w:r>
        <w:rPr>
          <w:snapToGrid w:val="0"/>
        </w:rPr>
        <w:lastRenderedPageBreak/>
        <w:tab/>
        <w:t>(2)</w:t>
      </w:r>
      <w:r>
        <w:rPr>
          <w:snapToGrid w:val="0"/>
        </w:rPr>
        <w:tab/>
        <w:t xml:space="preserve">Without limiting the generality of subsection (1), a guardian acts in the best interests of a represented person if </w:t>
      </w:r>
      <w:r>
        <w:rPr>
          <w:color w:val="000000" w:themeColor="text1"/>
        </w:rPr>
        <w:t>the guardian</w:t>
      </w:r>
      <w:r>
        <w:rPr>
          <w:snapToGrid w:val="0"/>
        </w:rPr>
        <w:t xml:space="preserv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 xml:space="preserve">in such a way as to encourage and assist the represented person to become capable of caring for </w:t>
      </w:r>
      <w:r>
        <w:rPr>
          <w:color w:val="000000" w:themeColor="text1"/>
        </w:rPr>
        <w:t xml:space="preserve">themself </w:t>
      </w:r>
      <w:r>
        <w:rPr>
          <w:snapToGrid w:val="0"/>
          <w:color w:val="000000" w:themeColor="text1"/>
        </w:rPr>
        <w:t>and of making reasonable judgments in respect of matters relating to their</w:t>
      </w:r>
      <w:r>
        <w:rPr>
          <w:snapToGrid w:val="0"/>
        </w:rPr>
        <w:t xml:space="preserve">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pPr>
      <w:r>
        <w:rPr>
          <w:color w:val="000000" w:themeColor="text1"/>
        </w:rPr>
        <w:tab/>
        <w:t>(2A)</w:t>
      </w:r>
      <w:r>
        <w:rPr>
          <w:color w:val="000000" w:themeColor="text1"/>
        </w:rPr>
        <w:tab/>
        <w:t>Without limiting the generality of subsection (1), a guardian acts in the best interests of a represented person in making a research decision in relation to the represented person if the guardian acts in accordance with sections 110ZR and 110ZT.</w:t>
      </w:r>
    </w:p>
    <w:p>
      <w:pPr>
        <w:pStyle w:val="Subsection"/>
        <w:keepNext/>
        <w:rPr>
          <w:snapToGrid w:val="0"/>
        </w:rPr>
      </w:pPr>
      <w:r>
        <w:rPr>
          <w:snapToGrid w:val="0"/>
        </w:rPr>
        <w:lastRenderedPageBreak/>
        <w:tab/>
        <w:t>(3)</w:t>
      </w:r>
      <w:r>
        <w:rPr>
          <w:snapToGrid w:val="0"/>
        </w:rPr>
        <w:tab/>
        <w:t xml:space="preserve">Nothing in subsection (2)(a) </w:t>
      </w:r>
      <w:r>
        <w:rPr>
          <w:color w:val="000000" w:themeColor="text1"/>
        </w:rPr>
        <w:t>is to</w:t>
      </w:r>
      <w:r>
        <w:rPr>
          <w:snapToGrid w:val="0"/>
        </w:rPr>
        <w:t xml:space="preserve"> be read as authorising a guardian to act contrary to the</w:t>
      </w:r>
      <w:r>
        <w:rPr>
          <w:i/>
        </w:rPr>
        <w:t xml:space="preserve"> Legal Profession Uniform Law (WA)</w:t>
      </w:r>
      <w:r>
        <w:rPr>
          <w:snapToGrid w:val="0"/>
        </w:rPr>
        <w:t>.</w:t>
      </w:r>
    </w:p>
    <w:p>
      <w:pPr>
        <w:pStyle w:val="Footnotesection"/>
      </w:pPr>
      <w:r>
        <w:tab/>
        <w:t xml:space="preserve">[Section 51 amended: No. 7 of 1996 s. 21; No. 65 of 2003 s. 40(4); No. 55 of 2004 s. 466(1); No. 21 of 2008 s. 667(3); No. 14 of 2020 s. 8; No. 9 of 2022 s. 424.] </w:t>
      </w:r>
    </w:p>
    <w:p>
      <w:pPr>
        <w:pStyle w:val="Ednotesection"/>
        <w:ind w:left="890" w:hanging="890"/>
      </w:pPr>
      <w:r>
        <w:t>[</w:t>
      </w:r>
      <w:r>
        <w:rPr>
          <w:b/>
        </w:rPr>
        <w:t>52.</w:t>
      </w:r>
      <w:r>
        <w:tab/>
        <w:t>Deleted: No. 69 of 1996 s. 35.]</w:t>
      </w:r>
    </w:p>
    <w:p>
      <w:pPr>
        <w:pStyle w:val="Heading5"/>
        <w:rPr>
          <w:snapToGrid w:val="0"/>
        </w:rPr>
      </w:pPr>
      <w:bookmarkStart w:id="100" w:name="_Toc161906879"/>
      <w:r>
        <w:rPr>
          <w:rStyle w:val="CharSectno"/>
        </w:rPr>
        <w:t>53</w:t>
      </w:r>
      <w:r>
        <w:rPr>
          <w:snapToGrid w:val="0"/>
        </w:rPr>
        <w:t>.</w:t>
      </w:r>
      <w:r>
        <w:rPr>
          <w:snapToGrid w:val="0"/>
        </w:rPr>
        <w:tab/>
        <w:t>Guardians to act unanimously</w:t>
      </w:r>
      <w:bookmarkEnd w:id="100"/>
      <w:r>
        <w:rPr>
          <w:snapToGrid w:val="0"/>
        </w:rPr>
        <w:t xml:space="preserve"> </w:t>
      </w:r>
    </w:p>
    <w:p>
      <w:pPr>
        <w:pStyle w:val="Subsection"/>
        <w:keepNext/>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No. 55 of 2004 s. 466(1).]</w:t>
      </w:r>
    </w:p>
    <w:p>
      <w:pPr>
        <w:pStyle w:val="Heading5"/>
        <w:rPr>
          <w:snapToGrid w:val="0"/>
        </w:rPr>
      </w:pPr>
      <w:bookmarkStart w:id="101" w:name="_Toc161906880"/>
      <w:r>
        <w:rPr>
          <w:rStyle w:val="CharSectno"/>
        </w:rPr>
        <w:t>54</w:t>
      </w:r>
      <w:r>
        <w:rPr>
          <w:snapToGrid w:val="0"/>
        </w:rPr>
        <w:t>.</w:t>
      </w:r>
      <w:r>
        <w:rPr>
          <w:snapToGrid w:val="0"/>
        </w:rPr>
        <w:tab/>
        <w:t>Death of joint guardian</w:t>
      </w:r>
      <w:bookmarkEnd w:id="101"/>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102" w:name="_Toc161906881"/>
      <w:r>
        <w:rPr>
          <w:rStyle w:val="CharSectno"/>
        </w:rPr>
        <w:t>55</w:t>
      </w:r>
      <w:r>
        <w:rPr>
          <w:snapToGrid w:val="0"/>
        </w:rPr>
        <w:t>.</w:t>
      </w:r>
      <w:r>
        <w:rPr>
          <w:snapToGrid w:val="0"/>
        </w:rPr>
        <w:tab/>
        <w:t>Alternate guardian to take over on death of guardian</w:t>
      </w:r>
      <w:bookmarkEnd w:id="102"/>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lastRenderedPageBreak/>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No. 55 of 2004 s. 438.]</w:t>
      </w:r>
    </w:p>
    <w:p>
      <w:pPr>
        <w:pStyle w:val="Heading5"/>
      </w:pPr>
      <w:bookmarkStart w:id="103" w:name="_Toc161906882"/>
      <w:r>
        <w:rPr>
          <w:rStyle w:val="CharSectno"/>
        </w:rPr>
        <w:t>55A</w:t>
      </w:r>
      <w:r>
        <w:t>.</w:t>
      </w:r>
      <w:r>
        <w:tab/>
        <w:t>Priority of guardianship order</w:t>
      </w:r>
      <w:bookmarkEnd w:id="103"/>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pPr>
      <w:r>
        <w:rPr>
          <w:color w:val="000000" w:themeColor="text1"/>
        </w:rPr>
        <w:tab/>
        <w:t>(1A)</w:t>
      </w:r>
      <w:r>
        <w:rPr>
          <w:color w:val="000000" w:themeColor="text1"/>
        </w:rPr>
        <w:tab/>
        <w:t>To the extent a guardianship order relates to the making of a research decision in relation to the represented person, a guardian appointed under the order may make the decision only if the guardian is the research decision</w:t>
      </w:r>
      <w:r>
        <w:rPr>
          <w:color w:val="000000" w:themeColor="text1"/>
        </w:rPr>
        <w:noBreakHyphen/>
        <w:t>maker for the person the subject of the guardianship order.</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No. 25 of 2008 s. 8; amended: No. 14 of 2020 s. 9.]</w:t>
      </w:r>
    </w:p>
    <w:p>
      <w:pPr>
        <w:pStyle w:val="Heading3"/>
        <w:spacing w:before="200"/>
        <w:rPr>
          <w:snapToGrid w:val="0"/>
        </w:rPr>
      </w:pPr>
      <w:bookmarkStart w:id="104" w:name="_Toc161843201"/>
      <w:bookmarkStart w:id="105" w:name="_Toc161845902"/>
      <w:bookmarkStart w:id="106" w:name="_Toc161906883"/>
      <w:r>
        <w:rPr>
          <w:rStyle w:val="CharDivNo"/>
        </w:rPr>
        <w:t>Division 3</w:t>
      </w:r>
      <w:r>
        <w:rPr>
          <w:snapToGrid w:val="0"/>
        </w:rPr>
        <w:t> — </w:t>
      </w:r>
      <w:r>
        <w:rPr>
          <w:rStyle w:val="CharDivText"/>
        </w:rPr>
        <w:t>Limitations on sterilisation of persons under guardianship or where application for guardianship made</w:t>
      </w:r>
      <w:bookmarkEnd w:id="104"/>
      <w:bookmarkEnd w:id="105"/>
      <w:bookmarkEnd w:id="106"/>
      <w:r>
        <w:rPr>
          <w:rStyle w:val="CharDivText"/>
        </w:rPr>
        <w:t xml:space="preserve"> </w:t>
      </w:r>
    </w:p>
    <w:p>
      <w:pPr>
        <w:pStyle w:val="Heading5"/>
        <w:spacing w:before="180"/>
        <w:rPr>
          <w:snapToGrid w:val="0"/>
        </w:rPr>
      </w:pPr>
      <w:bookmarkStart w:id="107" w:name="_Toc161906884"/>
      <w:r>
        <w:rPr>
          <w:rStyle w:val="CharSectno"/>
        </w:rPr>
        <w:t>56</w:t>
      </w:r>
      <w:r>
        <w:rPr>
          <w:snapToGrid w:val="0"/>
        </w:rPr>
        <w:t>.</w:t>
      </w:r>
      <w:r>
        <w:rPr>
          <w:snapToGrid w:val="0"/>
        </w:rPr>
        <w:tab/>
        <w:t>Terms used</w:t>
      </w:r>
      <w:bookmarkEnd w:id="107"/>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108" w:name="_Toc161906885"/>
      <w:r>
        <w:rPr>
          <w:rStyle w:val="CharSectno"/>
        </w:rPr>
        <w:lastRenderedPageBreak/>
        <w:t>56A</w:t>
      </w:r>
      <w:r>
        <w:rPr>
          <w:snapToGrid w:val="0"/>
        </w:rPr>
        <w:t xml:space="preserve">. </w:t>
      </w:r>
      <w:r>
        <w:rPr>
          <w:snapToGrid w:val="0"/>
        </w:rPr>
        <w:tab/>
        <w:t>Only Full Tribunal to act under this Division</w:t>
      </w:r>
      <w:bookmarkEnd w:id="108"/>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No. 16 of 1992 s. 12; amended: No. 55 of 2004 s. 439 and 466; No. 5 of 2008 s. 58.] </w:t>
      </w:r>
    </w:p>
    <w:p>
      <w:pPr>
        <w:pStyle w:val="Heading5"/>
        <w:keepNext w:val="0"/>
        <w:keepLines w:val="0"/>
        <w:spacing w:before="180"/>
        <w:rPr>
          <w:snapToGrid w:val="0"/>
        </w:rPr>
      </w:pPr>
      <w:bookmarkStart w:id="109" w:name="_Toc161906886"/>
      <w:r>
        <w:rPr>
          <w:rStyle w:val="CharSectno"/>
        </w:rPr>
        <w:t>57</w:t>
      </w:r>
      <w:r>
        <w:rPr>
          <w:snapToGrid w:val="0"/>
        </w:rPr>
        <w:t>.</w:t>
      </w:r>
      <w:r>
        <w:rPr>
          <w:snapToGrid w:val="0"/>
        </w:rPr>
        <w:tab/>
        <w:t>Prerequisites for sterilisation of persons to whom this Division applies</w:t>
      </w:r>
      <w:bookmarkEnd w:id="109"/>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keepNext/>
        <w:rPr>
          <w:snapToGrid w:val="0"/>
        </w:rPr>
      </w:pPr>
      <w:r>
        <w:rPr>
          <w:snapToGrid w:val="0"/>
        </w:rPr>
        <w:lastRenderedPageBreak/>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No. 55 of 2004 s. 466(1).]</w:t>
      </w:r>
    </w:p>
    <w:p>
      <w:pPr>
        <w:pStyle w:val="Heading5"/>
        <w:rPr>
          <w:snapToGrid w:val="0"/>
        </w:rPr>
      </w:pPr>
      <w:bookmarkStart w:id="110" w:name="_Toc161906887"/>
      <w:r>
        <w:rPr>
          <w:rStyle w:val="CharSectno"/>
        </w:rPr>
        <w:t>58</w:t>
      </w:r>
      <w:r>
        <w:rPr>
          <w:snapToGrid w:val="0"/>
        </w:rPr>
        <w:t>.</w:t>
      </w:r>
      <w:r>
        <w:rPr>
          <w:snapToGrid w:val="0"/>
        </w:rPr>
        <w:tab/>
        <w:t>Restriction on guardian’s consent</w:t>
      </w:r>
      <w:bookmarkEnd w:id="110"/>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No. 55 of 2004 s. 466(1).]</w:t>
      </w:r>
    </w:p>
    <w:p>
      <w:pPr>
        <w:pStyle w:val="Heading5"/>
        <w:rPr>
          <w:snapToGrid w:val="0"/>
        </w:rPr>
      </w:pPr>
      <w:bookmarkStart w:id="111" w:name="_Toc161906888"/>
      <w:r>
        <w:rPr>
          <w:rStyle w:val="CharSectno"/>
        </w:rPr>
        <w:t>59</w:t>
      </w:r>
      <w:r>
        <w:rPr>
          <w:snapToGrid w:val="0"/>
        </w:rPr>
        <w:t>.</w:t>
      </w:r>
      <w:r>
        <w:rPr>
          <w:snapToGrid w:val="0"/>
        </w:rPr>
        <w:tab/>
        <w:t>Application for consent</w:t>
      </w:r>
      <w:bookmarkEnd w:id="111"/>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No. 16 of 1992 s. 18; No. 7 of 1996 s. 36; No. 55 of 2004 s. 440 and 466(1).] </w:t>
      </w:r>
    </w:p>
    <w:p>
      <w:pPr>
        <w:pStyle w:val="Heading5"/>
        <w:rPr>
          <w:snapToGrid w:val="0"/>
        </w:rPr>
      </w:pPr>
      <w:bookmarkStart w:id="112" w:name="_Toc161906889"/>
      <w:r>
        <w:rPr>
          <w:rStyle w:val="CharSectno"/>
        </w:rPr>
        <w:t>60</w:t>
      </w:r>
      <w:r>
        <w:rPr>
          <w:snapToGrid w:val="0"/>
        </w:rPr>
        <w:t>.</w:t>
      </w:r>
      <w:r>
        <w:rPr>
          <w:snapToGrid w:val="0"/>
        </w:rPr>
        <w:tab/>
        <w:t>Notice of hearing</w:t>
      </w:r>
      <w:bookmarkEnd w:id="112"/>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lastRenderedPageBreak/>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No. 16 of 1992 s. 18; No. 7 of 1996 s. 36; No. 55 of 2004 s. 441 and 466(1); No. 19 of 2010 s. 18(2).] </w:t>
      </w:r>
    </w:p>
    <w:p>
      <w:pPr>
        <w:pStyle w:val="Ednotesection"/>
        <w:ind w:left="890" w:hanging="890"/>
      </w:pPr>
      <w:r>
        <w:t>[</w:t>
      </w:r>
      <w:r>
        <w:rPr>
          <w:b/>
        </w:rPr>
        <w:t>61.</w:t>
      </w:r>
      <w:r>
        <w:tab/>
        <w:t xml:space="preserve">Deleted: No. 55 of 2004 s. 442.] </w:t>
      </w:r>
    </w:p>
    <w:p>
      <w:pPr>
        <w:pStyle w:val="Ednotesection"/>
        <w:ind w:left="890" w:hanging="890"/>
      </w:pPr>
      <w:r>
        <w:t>[</w:t>
      </w:r>
      <w:r>
        <w:rPr>
          <w:b/>
        </w:rPr>
        <w:t>62.</w:t>
      </w:r>
      <w:r>
        <w:tab/>
        <w:t xml:space="preserve">Deleted: No. 7 of 1996 s. 22.] </w:t>
      </w:r>
    </w:p>
    <w:p>
      <w:pPr>
        <w:pStyle w:val="Heading5"/>
        <w:rPr>
          <w:snapToGrid w:val="0"/>
        </w:rPr>
      </w:pPr>
      <w:bookmarkStart w:id="113" w:name="_Toc161906890"/>
      <w:r>
        <w:rPr>
          <w:rStyle w:val="CharSectno"/>
        </w:rPr>
        <w:lastRenderedPageBreak/>
        <w:t>63</w:t>
      </w:r>
      <w:r>
        <w:rPr>
          <w:snapToGrid w:val="0"/>
        </w:rPr>
        <w:t>.</w:t>
      </w:r>
      <w:r>
        <w:rPr>
          <w:snapToGrid w:val="0"/>
        </w:rPr>
        <w:tab/>
        <w:t>State Administrative Tribunal may consent if in best interests of represented person</w:t>
      </w:r>
      <w:bookmarkEnd w:id="11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No. 55 of 2004 s. 466(1).]</w:t>
      </w:r>
    </w:p>
    <w:p>
      <w:pPr>
        <w:pStyle w:val="Heading2"/>
      </w:pPr>
      <w:bookmarkStart w:id="114" w:name="_Toc161843209"/>
      <w:bookmarkStart w:id="115" w:name="_Toc161845910"/>
      <w:bookmarkStart w:id="116" w:name="_Toc161906891"/>
      <w:r>
        <w:rPr>
          <w:rStyle w:val="CharPartNo"/>
        </w:rPr>
        <w:lastRenderedPageBreak/>
        <w:t>Part 6</w:t>
      </w:r>
      <w:r>
        <w:t> — </w:t>
      </w:r>
      <w:r>
        <w:rPr>
          <w:rStyle w:val="CharPartText"/>
        </w:rPr>
        <w:t>Estate administration</w:t>
      </w:r>
      <w:bookmarkEnd w:id="114"/>
      <w:bookmarkEnd w:id="115"/>
      <w:bookmarkEnd w:id="116"/>
      <w:r>
        <w:rPr>
          <w:rStyle w:val="CharPartText"/>
        </w:rPr>
        <w:t xml:space="preserve"> </w:t>
      </w:r>
    </w:p>
    <w:p>
      <w:pPr>
        <w:pStyle w:val="Heading3"/>
        <w:rPr>
          <w:snapToGrid w:val="0"/>
        </w:rPr>
      </w:pPr>
      <w:bookmarkStart w:id="117" w:name="_Toc161843210"/>
      <w:bookmarkStart w:id="118" w:name="_Toc161845911"/>
      <w:bookmarkStart w:id="119" w:name="_Toc161906892"/>
      <w:r>
        <w:rPr>
          <w:rStyle w:val="CharDivNo"/>
        </w:rPr>
        <w:t>Division 1</w:t>
      </w:r>
      <w:r>
        <w:rPr>
          <w:snapToGrid w:val="0"/>
        </w:rPr>
        <w:t> — </w:t>
      </w:r>
      <w:r>
        <w:rPr>
          <w:rStyle w:val="CharDivText"/>
        </w:rPr>
        <w:t>Appointment of administrator</w:t>
      </w:r>
      <w:bookmarkEnd w:id="117"/>
      <w:bookmarkEnd w:id="118"/>
      <w:bookmarkEnd w:id="119"/>
      <w:r>
        <w:rPr>
          <w:rStyle w:val="CharDivText"/>
        </w:rPr>
        <w:t xml:space="preserve"> </w:t>
      </w:r>
    </w:p>
    <w:p>
      <w:pPr>
        <w:pStyle w:val="Heading5"/>
        <w:spacing w:before="180"/>
        <w:rPr>
          <w:snapToGrid w:val="0"/>
        </w:rPr>
      </w:pPr>
      <w:bookmarkStart w:id="120" w:name="_Toc161906893"/>
      <w:r>
        <w:rPr>
          <w:rStyle w:val="CharSectno"/>
        </w:rPr>
        <w:t>64</w:t>
      </w:r>
      <w:r>
        <w:rPr>
          <w:snapToGrid w:val="0"/>
        </w:rPr>
        <w:t>.</w:t>
      </w:r>
      <w:r>
        <w:rPr>
          <w:snapToGrid w:val="0"/>
        </w:rPr>
        <w:tab/>
        <w:t>Making of administration order</w:t>
      </w:r>
      <w:bookmarkEnd w:id="120"/>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No. 16 of 1992 s. 18; No. 57 of 1997 s. 67; No 70 of 2000 s. 9; </w:t>
      </w:r>
      <w:r>
        <w:rPr>
          <w:spacing w:val="-6"/>
        </w:rPr>
        <w:t>No. 34 of 2004 Sch. 2 cl. 11</w:t>
      </w:r>
      <w:r>
        <w:t xml:space="preserve">; No. 55 of 2004 s. 466.] </w:t>
      </w:r>
    </w:p>
    <w:p>
      <w:pPr>
        <w:pStyle w:val="Heading5"/>
        <w:rPr>
          <w:snapToGrid w:val="0"/>
        </w:rPr>
      </w:pPr>
      <w:bookmarkStart w:id="121" w:name="_Toc161906894"/>
      <w:r>
        <w:rPr>
          <w:rStyle w:val="CharSectno"/>
        </w:rPr>
        <w:lastRenderedPageBreak/>
        <w:t>65</w:t>
      </w:r>
      <w:r>
        <w:rPr>
          <w:snapToGrid w:val="0"/>
        </w:rPr>
        <w:t>.</w:t>
      </w:r>
      <w:r>
        <w:rPr>
          <w:snapToGrid w:val="0"/>
        </w:rPr>
        <w:tab/>
        <w:t>Emergency provision</w:t>
      </w:r>
      <w:bookmarkEnd w:id="121"/>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No. 55 of 2004 s. 466.]</w:t>
      </w:r>
    </w:p>
    <w:p>
      <w:pPr>
        <w:pStyle w:val="Heading5"/>
        <w:spacing w:before="180"/>
        <w:rPr>
          <w:snapToGrid w:val="0"/>
        </w:rPr>
      </w:pPr>
      <w:bookmarkStart w:id="122" w:name="_Toc161906895"/>
      <w:r>
        <w:rPr>
          <w:rStyle w:val="CharSectno"/>
        </w:rPr>
        <w:t>66</w:t>
      </w:r>
      <w:r>
        <w:rPr>
          <w:snapToGrid w:val="0"/>
        </w:rPr>
        <w:t>.</w:t>
      </w:r>
      <w:r>
        <w:rPr>
          <w:snapToGrid w:val="0"/>
        </w:rPr>
        <w:tab/>
        <w:t>Acts may be authorised without administration order</w:t>
      </w:r>
      <w:bookmarkEnd w:id="122"/>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lastRenderedPageBreak/>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No. 55 of 2004 s. 466.]</w:t>
      </w:r>
    </w:p>
    <w:p>
      <w:pPr>
        <w:pStyle w:val="Heading5"/>
        <w:rPr>
          <w:snapToGrid w:val="0"/>
        </w:rPr>
      </w:pPr>
      <w:bookmarkStart w:id="123" w:name="_Toc161906896"/>
      <w:r>
        <w:rPr>
          <w:rStyle w:val="CharSectno"/>
        </w:rPr>
        <w:t>67</w:t>
      </w:r>
      <w:r>
        <w:rPr>
          <w:snapToGrid w:val="0"/>
        </w:rPr>
        <w:t>.</w:t>
      </w:r>
      <w:r>
        <w:rPr>
          <w:snapToGrid w:val="0"/>
        </w:rPr>
        <w:tab/>
        <w:t>Non</w:t>
      </w:r>
      <w:r>
        <w:rPr>
          <w:snapToGrid w:val="0"/>
        </w:rPr>
        <w:noBreakHyphen/>
        <w:t>residents etc.</w:t>
      </w:r>
      <w:bookmarkEnd w:id="123"/>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lastRenderedPageBreak/>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No. 55 of 2004 s. 466(1).]</w:t>
      </w:r>
    </w:p>
    <w:p>
      <w:pPr>
        <w:pStyle w:val="Heading5"/>
        <w:rPr>
          <w:snapToGrid w:val="0"/>
        </w:rPr>
      </w:pPr>
      <w:bookmarkStart w:id="124" w:name="_Toc161906897"/>
      <w:r>
        <w:rPr>
          <w:rStyle w:val="CharSectno"/>
        </w:rPr>
        <w:t>68</w:t>
      </w:r>
      <w:r>
        <w:rPr>
          <w:snapToGrid w:val="0"/>
        </w:rPr>
        <w:t>.</w:t>
      </w:r>
      <w:r>
        <w:rPr>
          <w:snapToGrid w:val="0"/>
        </w:rPr>
        <w:tab/>
        <w:t>Who may be appointed administrator</w:t>
      </w:r>
      <w:bookmarkEnd w:id="124"/>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lastRenderedPageBreak/>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No. 7 of 1996 s. 23; No. 55 of 2004 s. 466(1).] </w:t>
      </w:r>
    </w:p>
    <w:p>
      <w:pPr>
        <w:pStyle w:val="Heading3"/>
        <w:rPr>
          <w:snapToGrid w:val="0"/>
        </w:rPr>
      </w:pPr>
      <w:bookmarkStart w:id="125" w:name="_Toc161843216"/>
      <w:bookmarkStart w:id="126" w:name="_Toc161845917"/>
      <w:bookmarkStart w:id="127" w:name="_Toc161906898"/>
      <w:r>
        <w:rPr>
          <w:rStyle w:val="CharDivNo"/>
        </w:rPr>
        <w:t>Division 2</w:t>
      </w:r>
      <w:r>
        <w:rPr>
          <w:snapToGrid w:val="0"/>
        </w:rPr>
        <w:t> — </w:t>
      </w:r>
      <w:r>
        <w:rPr>
          <w:rStyle w:val="CharDivText"/>
        </w:rPr>
        <w:t>Functions of administrators</w:t>
      </w:r>
      <w:bookmarkEnd w:id="125"/>
      <w:bookmarkEnd w:id="126"/>
      <w:bookmarkEnd w:id="127"/>
      <w:r>
        <w:rPr>
          <w:rStyle w:val="CharDivText"/>
        </w:rPr>
        <w:t xml:space="preserve"> </w:t>
      </w:r>
    </w:p>
    <w:p>
      <w:pPr>
        <w:pStyle w:val="Heading5"/>
        <w:rPr>
          <w:snapToGrid w:val="0"/>
        </w:rPr>
      </w:pPr>
      <w:bookmarkStart w:id="128" w:name="_Toc161906899"/>
      <w:r>
        <w:rPr>
          <w:rStyle w:val="CharSectno"/>
        </w:rPr>
        <w:t>69</w:t>
      </w:r>
      <w:r>
        <w:rPr>
          <w:snapToGrid w:val="0"/>
        </w:rPr>
        <w:t>.</w:t>
      </w:r>
      <w:r>
        <w:rPr>
          <w:snapToGrid w:val="0"/>
        </w:rPr>
        <w:tab/>
        <w:t>Authority of administrator</w:t>
      </w:r>
      <w:bookmarkEnd w:id="128"/>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No. 55 of 2004 s. 466(1).]</w:t>
      </w:r>
    </w:p>
    <w:p>
      <w:pPr>
        <w:pStyle w:val="Heading5"/>
        <w:rPr>
          <w:snapToGrid w:val="0"/>
        </w:rPr>
      </w:pPr>
      <w:bookmarkStart w:id="129" w:name="_Toc161906900"/>
      <w:r>
        <w:rPr>
          <w:rStyle w:val="CharSectno"/>
        </w:rPr>
        <w:lastRenderedPageBreak/>
        <w:t>70</w:t>
      </w:r>
      <w:r>
        <w:rPr>
          <w:snapToGrid w:val="0"/>
        </w:rPr>
        <w:t>.</w:t>
      </w:r>
      <w:r>
        <w:rPr>
          <w:snapToGrid w:val="0"/>
        </w:rPr>
        <w:tab/>
        <w:t>Administrator to act in best interests of represented person</w:t>
      </w:r>
      <w:bookmarkEnd w:id="129"/>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Profession Uniform Law (WA)</w:t>
      </w:r>
      <w:r>
        <w:t>.</w:t>
      </w:r>
    </w:p>
    <w:p>
      <w:pPr>
        <w:pStyle w:val="Subsection"/>
        <w:keepNext/>
      </w:pPr>
      <w:r>
        <w:lastRenderedPageBreak/>
        <w:tab/>
        <w:t>(4)</w:t>
      </w:r>
      <w:r>
        <w:tab/>
        <w:t>Nothing in subsection (2) shall be read as restricting the functions of an administrator at common law or under any written law.</w:t>
      </w:r>
    </w:p>
    <w:p>
      <w:pPr>
        <w:pStyle w:val="Footnotesection"/>
      </w:pPr>
      <w:r>
        <w:tab/>
        <w:t>[Section 70 amended: No. 70 of 2000 s. 10; No. 65 of 2003 s. 40(4); No. 21 of 2008 s. 667(4); No. 9 of 2022 s. 424.]</w:t>
      </w:r>
    </w:p>
    <w:p>
      <w:pPr>
        <w:pStyle w:val="Heading5"/>
        <w:rPr>
          <w:snapToGrid w:val="0"/>
        </w:rPr>
      </w:pPr>
      <w:bookmarkStart w:id="130" w:name="_Toc161906901"/>
      <w:r>
        <w:rPr>
          <w:rStyle w:val="CharSectno"/>
        </w:rPr>
        <w:t>71</w:t>
      </w:r>
      <w:r>
        <w:rPr>
          <w:snapToGrid w:val="0"/>
        </w:rPr>
        <w:t>.</w:t>
      </w:r>
      <w:r>
        <w:rPr>
          <w:snapToGrid w:val="0"/>
        </w:rPr>
        <w:tab/>
        <w:t>Authority which may be conferred on administrator</w:t>
      </w:r>
      <w:bookmarkEnd w:id="13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keepNext/>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w:t>
      </w:r>
      <w:r>
        <w:rPr>
          <w:snapToGrid w:val="0"/>
        </w:rPr>
        <w:lastRenderedPageBreak/>
        <w:t>a kind described in section 72(3) on behalf of the represented person.</w:t>
      </w:r>
    </w:p>
    <w:p>
      <w:pPr>
        <w:pStyle w:val="Footnotesection"/>
      </w:pPr>
      <w:r>
        <w:tab/>
        <w:t>[Section 71 amended: No. 55 of 2004 s. 466(1); No. 27 of 2007 s. 25; No. 19 of 2010 s. 51.]</w:t>
      </w:r>
    </w:p>
    <w:p>
      <w:pPr>
        <w:pStyle w:val="Heading5"/>
        <w:rPr>
          <w:snapToGrid w:val="0"/>
        </w:rPr>
      </w:pPr>
      <w:bookmarkStart w:id="131" w:name="_Toc161906902"/>
      <w:r>
        <w:rPr>
          <w:rStyle w:val="CharSectno"/>
        </w:rPr>
        <w:t>71A</w:t>
      </w:r>
      <w:r>
        <w:rPr>
          <w:snapToGrid w:val="0"/>
        </w:rPr>
        <w:t>.</w:t>
      </w:r>
      <w:r>
        <w:rPr>
          <w:snapToGrid w:val="0"/>
        </w:rPr>
        <w:tab/>
        <w:t>Amendment of order to confer particular function</w:t>
      </w:r>
      <w:bookmarkEnd w:id="13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No. 7 of 1996 s. 24; amended: No. 55 of 2004 s. 466(1).] </w:t>
      </w:r>
    </w:p>
    <w:p>
      <w:pPr>
        <w:pStyle w:val="Heading5"/>
        <w:rPr>
          <w:snapToGrid w:val="0"/>
        </w:rPr>
      </w:pPr>
      <w:bookmarkStart w:id="132" w:name="_Toc161906903"/>
      <w:r>
        <w:rPr>
          <w:rStyle w:val="CharSectno"/>
        </w:rPr>
        <w:t>72</w:t>
      </w:r>
      <w:r>
        <w:rPr>
          <w:snapToGrid w:val="0"/>
        </w:rPr>
        <w:t>.</w:t>
      </w:r>
      <w:r>
        <w:rPr>
          <w:snapToGrid w:val="0"/>
        </w:rPr>
        <w:tab/>
        <w:t>Further provisions as to authority of administrators</w:t>
      </w:r>
      <w:bookmarkEnd w:id="13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keepNext/>
        <w:rPr>
          <w:snapToGrid w:val="0"/>
        </w:rPr>
      </w:pPr>
      <w:r>
        <w:rPr>
          <w:snapToGrid w:val="0"/>
        </w:rPr>
        <w:lastRenderedPageBreak/>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No. 55 of 2004 s. 466(1).]</w:t>
      </w:r>
    </w:p>
    <w:p>
      <w:pPr>
        <w:pStyle w:val="Ednotesection"/>
        <w:ind w:left="890" w:hanging="890"/>
      </w:pPr>
      <w:r>
        <w:t>[</w:t>
      </w:r>
      <w:r>
        <w:rPr>
          <w:b/>
        </w:rPr>
        <w:t>73.</w:t>
      </w:r>
      <w:r>
        <w:rPr>
          <w:b/>
        </w:rPr>
        <w:tab/>
      </w:r>
      <w:r>
        <w:t xml:space="preserve">Deleted: No. 7 of 1996 s. 25.] </w:t>
      </w:r>
    </w:p>
    <w:p>
      <w:pPr>
        <w:pStyle w:val="Heading5"/>
        <w:rPr>
          <w:snapToGrid w:val="0"/>
        </w:rPr>
      </w:pPr>
      <w:bookmarkStart w:id="133" w:name="_Toc161906904"/>
      <w:r>
        <w:rPr>
          <w:rStyle w:val="CharSectno"/>
        </w:rPr>
        <w:t>74</w:t>
      </w:r>
      <w:r>
        <w:rPr>
          <w:snapToGrid w:val="0"/>
        </w:rPr>
        <w:t>.</w:t>
      </w:r>
      <w:r>
        <w:rPr>
          <w:snapToGrid w:val="0"/>
        </w:rPr>
        <w:tab/>
        <w:t>Administrator may apply for directions</w:t>
      </w:r>
      <w:bookmarkEnd w:id="133"/>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No. 16 of 1992 s. 18; No. 55 of 2004 s. 466.] </w:t>
      </w:r>
    </w:p>
    <w:p>
      <w:pPr>
        <w:pStyle w:val="Heading5"/>
        <w:rPr>
          <w:snapToGrid w:val="0"/>
        </w:rPr>
      </w:pPr>
      <w:bookmarkStart w:id="134" w:name="_Toc161906905"/>
      <w:r>
        <w:rPr>
          <w:rStyle w:val="CharSectno"/>
        </w:rPr>
        <w:lastRenderedPageBreak/>
        <w:t>75</w:t>
      </w:r>
      <w:r>
        <w:rPr>
          <w:snapToGrid w:val="0"/>
        </w:rPr>
        <w:t>.</w:t>
      </w:r>
      <w:r>
        <w:rPr>
          <w:snapToGrid w:val="0"/>
        </w:rPr>
        <w:tab/>
        <w:t>Administrators to act unanimously</w:t>
      </w:r>
      <w:bookmarkEnd w:id="134"/>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No. 55 of 2004 s. 466(1).]</w:t>
      </w:r>
    </w:p>
    <w:p>
      <w:pPr>
        <w:pStyle w:val="Heading5"/>
        <w:rPr>
          <w:snapToGrid w:val="0"/>
        </w:rPr>
      </w:pPr>
      <w:bookmarkStart w:id="135" w:name="_Toc161906906"/>
      <w:r>
        <w:rPr>
          <w:rStyle w:val="CharSectno"/>
        </w:rPr>
        <w:t>76</w:t>
      </w:r>
      <w:r>
        <w:rPr>
          <w:snapToGrid w:val="0"/>
        </w:rPr>
        <w:t>.</w:t>
      </w:r>
      <w:r>
        <w:rPr>
          <w:snapToGrid w:val="0"/>
        </w:rPr>
        <w:tab/>
        <w:t>Administrator may employ agents</w:t>
      </w:r>
      <w:bookmarkEnd w:id="135"/>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w:t>
      </w:r>
      <w:r>
        <w:t xml:space="preserve">section 50 </w:t>
      </w:r>
      <w:r>
        <w:rPr>
          <w:snapToGrid w:val="0"/>
        </w:rPr>
        <w:t xml:space="preserve">of the </w:t>
      </w:r>
      <w:r>
        <w:rPr>
          <w:i/>
          <w:snapToGrid w:val="0"/>
        </w:rPr>
        <w:t>Public Trustee Act 1941</w:t>
      </w:r>
      <w:r>
        <w:rPr>
          <w:snapToGrid w:val="0"/>
          <w:vertAlign w:val="superscript"/>
        </w:rPr>
        <w:t> 4</w:t>
      </w:r>
      <w:r>
        <w:rPr>
          <w:snapToGrid w:val="0"/>
        </w:rPr>
        <w:t>.</w:t>
      </w:r>
    </w:p>
    <w:p>
      <w:pPr>
        <w:pStyle w:val="Footnotesection"/>
      </w:pPr>
      <w:r>
        <w:tab/>
        <w:t>[Section 76 amended: No. 17 of 2014 s. 22(4).]</w:t>
      </w:r>
    </w:p>
    <w:p>
      <w:pPr>
        <w:pStyle w:val="Heading5"/>
        <w:rPr>
          <w:snapToGrid w:val="0"/>
        </w:rPr>
      </w:pPr>
      <w:bookmarkStart w:id="136" w:name="_Toc161906907"/>
      <w:r>
        <w:rPr>
          <w:rStyle w:val="CharSectno"/>
        </w:rPr>
        <w:t>77</w:t>
      </w:r>
      <w:r>
        <w:rPr>
          <w:snapToGrid w:val="0"/>
        </w:rPr>
        <w:t>.</w:t>
      </w:r>
      <w:r>
        <w:rPr>
          <w:snapToGrid w:val="0"/>
        </w:rPr>
        <w:tab/>
        <w:t>Represented person incapable of dealing with estate</w:t>
      </w:r>
      <w:bookmarkEnd w:id="136"/>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lastRenderedPageBreak/>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No. 55 of 2004 s. 466.]</w:t>
      </w:r>
    </w:p>
    <w:p>
      <w:pPr>
        <w:pStyle w:val="Heading5"/>
        <w:rPr>
          <w:snapToGrid w:val="0"/>
        </w:rPr>
      </w:pPr>
      <w:bookmarkStart w:id="137" w:name="_Toc161906908"/>
      <w:r>
        <w:rPr>
          <w:rStyle w:val="CharSectno"/>
        </w:rPr>
        <w:t>78</w:t>
      </w:r>
      <w:r>
        <w:rPr>
          <w:snapToGrid w:val="0"/>
        </w:rPr>
        <w:t>.</w:t>
      </w:r>
      <w:r>
        <w:rPr>
          <w:snapToGrid w:val="0"/>
        </w:rPr>
        <w:tab/>
        <w:t>Cessation of authority of administrator</w:t>
      </w:r>
      <w:bookmarkEnd w:id="137"/>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lastRenderedPageBreak/>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No. 55 of 2004 s. 466(1).]</w:t>
      </w:r>
    </w:p>
    <w:p>
      <w:pPr>
        <w:pStyle w:val="Heading5"/>
        <w:rPr>
          <w:snapToGrid w:val="0"/>
        </w:rPr>
      </w:pPr>
      <w:bookmarkStart w:id="138" w:name="_Toc161906909"/>
      <w:r>
        <w:rPr>
          <w:rStyle w:val="CharSectno"/>
        </w:rPr>
        <w:t>79</w:t>
      </w:r>
      <w:r>
        <w:rPr>
          <w:snapToGrid w:val="0"/>
        </w:rPr>
        <w:t>.</w:t>
      </w:r>
      <w:r>
        <w:rPr>
          <w:snapToGrid w:val="0"/>
        </w:rPr>
        <w:tab/>
        <w:t>Represented person bound by acts of administrator</w:t>
      </w:r>
      <w:bookmarkEnd w:id="138"/>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139" w:name="_Toc161906910"/>
      <w:r>
        <w:rPr>
          <w:rStyle w:val="CharSectno"/>
        </w:rPr>
        <w:t>80</w:t>
      </w:r>
      <w:r>
        <w:rPr>
          <w:snapToGrid w:val="0"/>
        </w:rPr>
        <w:t>.</w:t>
      </w:r>
      <w:r>
        <w:rPr>
          <w:snapToGrid w:val="0"/>
        </w:rPr>
        <w:tab/>
        <w:t>Accounts</w:t>
      </w:r>
      <w:bookmarkEnd w:id="139"/>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lastRenderedPageBreak/>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keepNext/>
        <w:rPr>
          <w:snapToGrid w:val="0"/>
        </w:rPr>
      </w:pPr>
      <w:r>
        <w:rPr>
          <w:snapToGrid w:val="0"/>
        </w:rPr>
        <w:lastRenderedPageBreak/>
        <w:tab/>
        <w:t>(7)</w:t>
      </w:r>
      <w:r>
        <w:rPr>
          <w:snapToGrid w:val="0"/>
        </w:rPr>
        <w:tab/>
        <w:t>This section does not apply to the Public Trustee in the Public Trustee’s capacity as an administrator.</w:t>
      </w:r>
    </w:p>
    <w:p>
      <w:pPr>
        <w:pStyle w:val="Footnotesection"/>
      </w:pPr>
      <w:r>
        <w:tab/>
        <w:t xml:space="preserve">[Section 80 amended: No. 16 of 1992 s. 13 and 18; No. 55 of 2004 s. 443.] </w:t>
      </w:r>
    </w:p>
    <w:p>
      <w:pPr>
        <w:pStyle w:val="Heading5"/>
        <w:rPr>
          <w:snapToGrid w:val="0"/>
        </w:rPr>
      </w:pPr>
      <w:bookmarkStart w:id="140" w:name="_Toc161906911"/>
      <w:r>
        <w:rPr>
          <w:rStyle w:val="CharSectno"/>
        </w:rPr>
        <w:t>81</w:t>
      </w:r>
      <w:r>
        <w:rPr>
          <w:snapToGrid w:val="0"/>
        </w:rPr>
        <w:t>.</w:t>
      </w:r>
      <w:r>
        <w:rPr>
          <w:snapToGrid w:val="0"/>
        </w:rPr>
        <w:tab/>
        <w:t>Enforcement of security</w:t>
      </w:r>
      <w:bookmarkEnd w:id="140"/>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No. 16 of 1992 s. 18; No. 55 of 2004 s. 466(1).] </w:t>
      </w:r>
    </w:p>
    <w:p>
      <w:pPr>
        <w:pStyle w:val="Heading5"/>
        <w:rPr>
          <w:snapToGrid w:val="0"/>
        </w:rPr>
      </w:pPr>
      <w:bookmarkStart w:id="141" w:name="_Toc161906912"/>
      <w:r>
        <w:rPr>
          <w:rStyle w:val="CharSectno"/>
        </w:rPr>
        <w:t>82</w:t>
      </w:r>
      <w:r>
        <w:rPr>
          <w:snapToGrid w:val="0"/>
        </w:rPr>
        <w:t>.</w:t>
      </w:r>
      <w:r>
        <w:rPr>
          <w:snapToGrid w:val="0"/>
        </w:rPr>
        <w:tab/>
        <w:t>Transactions may be set aside</w:t>
      </w:r>
      <w:bookmarkEnd w:id="141"/>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lastRenderedPageBreak/>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No. 55 of 2004 s. 444.]</w:t>
      </w:r>
    </w:p>
    <w:p>
      <w:pPr>
        <w:pStyle w:val="Heading5"/>
        <w:rPr>
          <w:snapToGrid w:val="0"/>
        </w:rPr>
      </w:pPr>
      <w:bookmarkStart w:id="142" w:name="_Toc161906913"/>
      <w:r>
        <w:rPr>
          <w:rStyle w:val="CharSectno"/>
        </w:rPr>
        <w:t>83</w:t>
      </w:r>
      <w:r>
        <w:rPr>
          <w:snapToGrid w:val="0"/>
        </w:rPr>
        <w:t>.</w:t>
      </w:r>
      <w:r>
        <w:rPr>
          <w:snapToGrid w:val="0"/>
        </w:rPr>
        <w:tab/>
        <w:t>Saving for certain rules of court</w:t>
      </w:r>
      <w:bookmarkEnd w:id="142"/>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143" w:name="_Toc161843232"/>
      <w:bookmarkStart w:id="144" w:name="_Toc161845933"/>
      <w:bookmarkStart w:id="145" w:name="_Toc161906914"/>
      <w:r>
        <w:rPr>
          <w:rStyle w:val="CharDivNo"/>
        </w:rPr>
        <w:t>Division 3</w:t>
      </w:r>
      <w:r>
        <w:rPr>
          <w:snapToGrid w:val="0"/>
        </w:rPr>
        <w:t> — </w:t>
      </w:r>
      <w:r>
        <w:rPr>
          <w:rStyle w:val="CharDivText"/>
        </w:rPr>
        <w:t>Interjurisdictional arrangements in relation to administration powers</w:t>
      </w:r>
      <w:bookmarkEnd w:id="143"/>
      <w:bookmarkEnd w:id="144"/>
      <w:bookmarkEnd w:id="145"/>
      <w:r>
        <w:rPr>
          <w:rStyle w:val="CharDivText"/>
        </w:rPr>
        <w:t xml:space="preserve"> </w:t>
      </w:r>
    </w:p>
    <w:p>
      <w:pPr>
        <w:pStyle w:val="Footnoteheading"/>
        <w:rPr>
          <w:snapToGrid w:val="0"/>
        </w:rPr>
      </w:pPr>
      <w:r>
        <w:rPr>
          <w:snapToGrid w:val="0"/>
        </w:rPr>
        <w:tab/>
        <w:t xml:space="preserve">[Heading inserted: No. 7 of 1996 s. 26.] </w:t>
      </w:r>
    </w:p>
    <w:p>
      <w:pPr>
        <w:pStyle w:val="Heading5"/>
        <w:rPr>
          <w:snapToGrid w:val="0"/>
        </w:rPr>
      </w:pPr>
      <w:bookmarkStart w:id="146" w:name="_Toc161906915"/>
      <w:r>
        <w:rPr>
          <w:rStyle w:val="CharSectno"/>
        </w:rPr>
        <w:t>83A</w:t>
      </w:r>
      <w:r>
        <w:rPr>
          <w:snapToGrid w:val="0"/>
        </w:rPr>
        <w:t>.</w:t>
      </w:r>
      <w:r>
        <w:rPr>
          <w:snapToGrid w:val="0"/>
        </w:rPr>
        <w:tab/>
        <w:t>Reciprocating States</w:t>
      </w:r>
      <w:bookmarkEnd w:id="146"/>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lastRenderedPageBreak/>
        <w:tab/>
        <w:t>(b)</w:t>
      </w:r>
      <w:r>
        <w:rPr>
          <w:snapToGrid w:val="0"/>
        </w:rPr>
        <w:tab/>
        <w:t>in like manner vary or revoke any such notice.</w:t>
      </w:r>
    </w:p>
    <w:p>
      <w:pPr>
        <w:pStyle w:val="Footnotesection"/>
      </w:pPr>
      <w:r>
        <w:tab/>
        <w:t xml:space="preserve">[Section 83A inserted: No. 7 of 1996 s. 26.] </w:t>
      </w:r>
    </w:p>
    <w:p>
      <w:pPr>
        <w:pStyle w:val="Heading5"/>
        <w:rPr>
          <w:snapToGrid w:val="0"/>
        </w:rPr>
      </w:pPr>
      <w:bookmarkStart w:id="147" w:name="_Toc161906916"/>
      <w:r>
        <w:rPr>
          <w:rStyle w:val="CharSectno"/>
        </w:rPr>
        <w:t>83B</w:t>
      </w:r>
      <w:r>
        <w:rPr>
          <w:snapToGrid w:val="0"/>
        </w:rPr>
        <w:t>.</w:t>
      </w:r>
      <w:r>
        <w:rPr>
          <w:snapToGrid w:val="0"/>
        </w:rPr>
        <w:tab/>
        <w:t>Foreign administrator may authorise Public Trustee to administer property in this State</w:t>
      </w:r>
      <w:bookmarkEnd w:id="147"/>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No. 7 of 1996 s. 26.] </w:t>
      </w:r>
    </w:p>
    <w:p>
      <w:pPr>
        <w:pStyle w:val="Heading5"/>
        <w:rPr>
          <w:snapToGrid w:val="0"/>
        </w:rPr>
      </w:pPr>
      <w:bookmarkStart w:id="148" w:name="_Toc161906917"/>
      <w:r>
        <w:rPr>
          <w:rStyle w:val="CharSectno"/>
        </w:rPr>
        <w:t>83C</w:t>
      </w:r>
      <w:r>
        <w:rPr>
          <w:snapToGrid w:val="0"/>
        </w:rPr>
        <w:t>.</w:t>
      </w:r>
      <w:r>
        <w:rPr>
          <w:snapToGrid w:val="0"/>
        </w:rPr>
        <w:tab/>
        <w:t>Administrator may authorise relevant official to administer property in reciprocating State</w:t>
      </w:r>
      <w:bookmarkEnd w:id="148"/>
      <w:r>
        <w:rPr>
          <w:snapToGrid w:val="0"/>
        </w:rPr>
        <w:t xml:space="preserve"> </w:t>
      </w:r>
    </w:p>
    <w:p>
      <w:pPr>
        <w:pStyle w:val="Subsection"/>
        <w:rPr>
          <w:snapToGrid w:val="0"/>
        </w:rPr>
      </w:pPr>
      <w:r>
        <w:rPr>
          <w:snapToGrid w:val="0"/>
        </w:rPr>
        <w:tab/>
        <w:t>(1)</w:t>
      </w:r>
      <w:r>
        <w:rPr>
          <w:snapToGrid w:val="0"/>
        </w:rPr>
        <w:tab/>
        <w:t xml:space="preserve">Where it appears to the administrator of the estate of a represented person that the represented person has property in a </w:t>
      </w:r>
      <w:r>
        <w:rPr>
          <w:snapToGrid w:val="0"/>
        </w:rPr>
        <w:lastRenderedPageBreak/>
        <w:t>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No. 7 of 1996 s. 26.] </w:t>
      </w:r>
    </w:p>
    <w:p>
      <w:pPr>
        <w:pStyle w:val="Heading5"/>
        <w:rPr>
          <w:snapToGrid w:val="0"/>
        </w:rPr>
      </w:pPr>
      <w:bookmarkStart w:id="149" w:name="_Toc161906918"/>
      <w:r>
        <w:rPr>
          <w:rStyle w:val="CharSectno"/>
        </w:rPr>
        <w:t>83D</w:t>
      </w:r>
      <w:r>
        <w:rPr>
          <w:snapToGrid w:val="0"/>
        </w:rPr>
        <w:t>.</w:t>
      </w:r>
      <w:r>
        <w:rPr>
          <w:snapToGrid w:val="0"/>
        </w:rPr>
        <w:tab/>
        <w:t>Interstate arrangements for recognition of administration orders</w:t>
      </w:r>
      <w:bookmarkEnd w:id="149"/>
      <w:r>
        <w:rPr>
          <w:snapToGrid w:val="0"/>
        </w:rPr>
        <w:t xml:space="preserve"> </w:t>
      </w:r>
    </w:p>
    <w:p>
      <w:pPr>
        <w:pStyle w:val="Subsection"/>
        <w:keepNext/>
        <w:rPr>
          <w:snapToGrid w:val="0"/>
        </w:rPr>
      </w:pPr>
      <w:r>
        <w:rPr>
          <w:snapToGrid w:val="0"/>
        </w:rPr>
        <w:tab/>
        <w:t>(1)</w:t>
      </w:r>
      <w:r>
        <w:rPr>
          <w:snapToGrid w:val="0"/>
        </w:rPr>
        <w:tab/>
        <w:t xml:space="preserve">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w:t>
      </w:r>
      <w:r>
        <w:rPr>
          <w:snapToGrid w:val="0"/>
        </w:rPr>
        <w:lastRenderedPageBreak/>
        <w:t>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No. 7 of 1996 s. 26.] </w:t>
      </w:r>
    </w:p>
    <w:p>
      <w:pPr>
        <w:pStyle w:val="Heading2"/>
      </w:pPr>
      <w:bookmarkStart w:id="150" w:name="_Toc161843237"/>
      <w:bookmarkStart w:id="151" w:name="_Toc161845938"/>
      <w:bookmarkStart w:id="152" w:name="_Toc161906919"/>
      <w:r>
        <w:rPr>
          <w:rStyle w:val="CharPartNo"/>
        </w:rPr>
        <w:lastRenderedPageBreak/>
        <w:t>Part 7</w:t>
      </w:r>
      <w:r>
        <w:rPr>
          <w:rStyle w:val="CharDivNo"/>
        </w:rPr>
        <w:t> </w:t>
      </w:r>
      <w:r>
        <w:t>—</w:t>
      </w:r>
      <w:r>
        <w:rPr>
          <w:rStyle w:val="CharDivText"/>
        </w:rPr>
        <w:t> </w:t>
      </w:r>
      <w:r>
        <w:rPr>
          <w:rStyle w:val="CharPartText"/>
        </w:rPr>
        <w:t>Review of orders</w:t>
      </w:r>
      <w:bookmarkEnd w:id="150"/>
      <w:bookmarkEnd w:id="151"/>
      <w:bookmarkEnd w:id="152"/>
      <w:r>
        <w:rPr>
          <w:rStyle w:val="CharPartText"/>
        </w:rPr>
        <w:t xml:space="preserve"> </w:t>
      </w:r>
    </w:p>
    <w:p>
      <w:pPr>
        <w:pStyle w:val="Heading5"/>
        <w:rPr>
          <w:snapToGrid w:val="0"/>
        </w:rPr>
      </w:pPr>
      <w:bookmarkStart w:id="153" w:name="_Toc161906920"/>
      <w:r>
        <w:rPr>
          <w:rStyle w:val="CharSectno"/>
        </w:rPr>
        <w:t>84</w:t>
      </w:r>
      <w:r>
        <w:rPr>
          <w:snapToGrid w:val="0"/>
        </w:rPr>
        <w:t>.</w:t>
      </w:r>
      <w:r>
        <w:rPr>
          <w:snapToGrid w:val="0"/>
        </w:rPr>
        <w:tab/>
        <w:t>State Administrative Tribunal to review orders periodically</w:t>
      </w:r>
      <w:bookmarkEnd w:id="153"/>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No. 55 of 2004 s. 466(1).]</w:t>
      </w:r>
    </w:p>
    <w:p>
      <w:pPr>
        <w:pStyle w:val="Heading5"/>
        <w:rPr>
          <w:snapToGrid w:val="0"/>
        </w:rPr>
      </w:pPr>
      <w:bookmarkStart w:id="154" w:name="_Toc161906921"/>
      <w:r>
        <w:rPr>
          <w:rStyle w:val="CharSectno"/>
        </w:rPr>
        <w:t>85</w:t>
      </w:r>
      <w:r>
        <w:rPr>
          <w:snapToGrid w:val="0"/>
        </w:rPr>
        <w:t>.</w:t>
      </w:r>
      <w:r>
        <w:rPr>
          <w:snapToGrid w:val="0"/>
        </w:rPr>
        <w:tab/>
        <w:t>Circumstances in which review mandatory</w:t>
      </w:r>
      <w:bookmarkEnd w:id="154"/>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lastRenderedPageBreak/>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No. 55 of 2004 s. 445 and 466; No. 18 of 2009 s. 38(2).]</w:t>
      </w:r>
    </w:p>
    <w:p>
      <w:pPr>
        <w:pStyle w:val="Heading5"/>
        <w:rPr>
          <w:snapToGrid w:val="0"/>
        </w:rPr>
      </w:pPr>
      <w:bookmarkStart w:id="155" w:name="_Toc161906922"/>
      <w:r>
        <w:rPr>
          <w:rStyle w:val="CharSectno"/>
        </w:rPr>
        <w:t>86</w:t>
      </w:r>
      <w:r>
        <w:rPr>
          <w:snapToGrid w:val="0"/>
        </w:rPr>
        <w:t>.</w:t>
      </w:r>
      <w:r>
        <w:rPr>
          <w:snapToGrid w:val="0"/>
        </w:rPr>
        <w:tab/>
        <w:t>Review on application</w:t>
      </w:r>
      <w:bookmarkEnd w:id="155"/>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No. 16 of 1992 s. 14; No. 55 of 2004 s. 446; No. 5 of 2008 s. 59.] </w:t>
      </w:r>
    </w:p>
    <w:p>
      <w:pPr>
        <w:pStyle w:val="Heading5"/>
        <w:rPr>
          <w:snapToGrid w:val="0"/>
        </w:rPr>
      </w:pPr>
      <w:bookmarkStart w:id="156" w:name="_Toc161906923"/>
      <w:r>
        <w:rPr>
          <w:rStyle w:val="CharSectno"/>
        </w:rPr>
        <w:t>87</w:t>
      </w:r>
      <w:r>
        <w:rPr>
          <w:snapToGrid w:val="0"/>
        </w:rPr>
        <w:t>.</w:t>
      </w:r>
      <w:r>
        <w:rPr>
          <w:snapToGrid w:val="0"/>
        </w:rPr>
        <w:tab/>
        <w:t>Leave to apply for review</w:t>
      </w:r>
      <w:bookmarkEnd w:id="156"/>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lastRenderedPageBreak/>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No. 16 of 1992 s. 18; No. 55 of 2004 s. 447 and 466(1).] </w:t>
      </w:r>
    </w:p>
    <w:p>
      <w:pPr>
        <w:pStyle w:val="Heading5"/>
        <w:rPr>
          <w:snapToGrid w:val="0"/>
        </w:rPr>
      </w:pPr>
      <w:bookmarkStart w:id="157" w:name="_Toc161906924"/>
      <w:r>
        <w:rPr>
          <w:rStyle w:val="CharSectno"/>
        </w:rPr>
        <w:t>88</w:t>
      </w:r>
      <w:r>
        <w:rPr>
          <w:snapToGrid w:val="0"/>
        </w:rPr>
        <w:t>.</w:t>
      </w:r>
      <w:r>
        <w:rPr>
          <w:snapToGrid w:val="0"/>
        </w:rPr>
        <w:tab/>
        <w:t>Application for review</w:t>
      </w:r>
      <w:bookmarkEnd w:id="157"/>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No. 16 of 1992 s. 18; No. 55 of 2004 s. 448.] </w:t>
      </w:r>
    </w:p>
    <w:p>
      <w:pPr>
        <w:pStyle w:val="Heading5"/>
        <w:rPr>
          <w:snapToGrid w:val="0"/>
        </w:rPr>
      </w:pPr>
      <w:bookmarkStart w:id="158" w:name="_Toc161906925"/>
      <w:r>
        <w:rPr>
          <w:rStyle w:val="CharSectno"/>
        </w:rPr>
        <w:t>89</w:t>
      </w:r>
      <w:r>
        <w:rPr>
          <w:snapToGrid w:val="0"/>
        </w:rPr>
        <w:t>.</w:t>
      </w:r>
      <w:r>
        <w:rPr>
          <w:snapToGrid w:val="0"/>
        </w:rPr>
        <w:tab/>
        <w:t>Notice of review</w:t>
      </w:r>
      <w:bookmarkEnd w:id="158"/>
      <w:r>
        <w:rPr>
          <w:snapToGrid w:val="0"/>
        </w:rPr>
        <w:t xml:space="preserve"> </w:t>
      </w:r>
    </w:p>
    <w:p>
      <w:pPr>
        <w:pStyle w:val="Subsection"/>
        <w:keepNext/>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lastRenderedPageBreak/>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keepLines/>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No. 16 of 1992 s. 18; No. 7 of 1996 s. 36; No. 55 of 2004 s. 449 and 466(1); No. 19 of 2010 s. 18(2).] </w:t>
      </w:r>
    </w:p>
    <w:p>
      <w:pPr>
        <w:pStyle w:val="Heading5"/>
        <w:keepLines w:val="0"/>
        <w:rPr>
          <w:snapToGrid w:val="0"/>
        </w:rPr>
      </w:pPr>
      <w:bookmarkStart w:id="159" w:name="_Toc161906926"/>
      <w:r>
        <w:rPr>
          <w:rStyle w:val="CharSectno"/>
        </w:rPr>
        <w:t>90</w:t>
      </w:r>
      <w:r>
        <w:rPr>
          <w:snapToGrid w:val="0"/>
        </w:rPr>
        <w:t>.</w:t>
      </w:r>
      <w:r>
        <w:rPr>
          <w:snapToGrid w:val="0"/>
        </w:rPr>
        <w:tab/>
        <w:t>Powers of State Administrative Tribunal on review</w:t>
      </w:r>
      <w:bookmarkEnd w:id="159"/>
      <w:r>
        <w:rPr>
          <w:snapToGrid w:val="0"/>
        </w:rPr>
        <w:t xml:space="preserve"> </w:t>
      </w:r>
    </w:p>
    <w:p>
      <w:pPr>
        <w:pStyle w:val="Subsection"/>
        <w:keepNext/>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xml:space="preserve">, as it considers necessary </w:t>
      </w:r>
      <w:r>
        <w:lastRenderedPageBreak/>
        <w:t>in the best interests of the represented person, confirm the order or</w:t>
      </w:r>
      <w:r>
        <w:rPr>
          <w:snapToGrid w:val="0"/>
        </w:rPr>
        <w:t xml:space="preserve"> by order — </w:t>
      </w:r>
    </w:p>
    <w:p>
      <w:pPr>
        <w:pStyle w:val="Indenta"/>
        <w:keepNext/>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No. 70 of 2000 s. 11; No. 55 of 2004 s. 450 and 466(1).]</w:t>
      </w:r>
    </w:p>
    <w:p>
      <w:pPr>
        <w:pStyle w:val="Heading2"/>
      </w:pPr>
      <w:bookmarkStart w:id="160" w:name="_Toc161843245"/>
      <w:bookmarkStart w:id="161" w:name="_Toc161845946"/>
      <w:bookmarkStart w:id="162" w:name="_Toc161906927"/>
      <w:r>
        <w:rPr>
          <w:rStyle w:val="CharPartNo"/>
        </w:rPr>
        <w:lastRenderedPageBreak/>
        <w:t>Part 8</w:t>
      </w:r>
      <w:r>
        <w:rPr>
          <w:rStyle w:val="CharDivNo"/>
        </w:rPr>
        <w:t> </w:t>
      </w:r>
      <w:r>
        <w:t>—</w:t>
      </w:r>
      <w:r>
        <w:rPr>
          <w:rStyle w:val="CharDivText"/>
        </w:rPr>
        <w:t> </w:t>
      </w:r>
      <w:r>
        <w:rPr>
          <w:rStyle w:val="CharPartText"/>
        </w:rPr>
        <w:t>The Public Advocate</w:t>
      </w:r>
      <w:bookmarkEnd w:id="160"/>
      <w:bookmarkEnd w:id="161"/>
      <w:bookmarkEnd w:id="162"/>
      <w:r>
        <w:rPr>
          <w:rStyle w:val="CharPartText"/>
        </w:rPr>
        <w:t xml:space="preserve"> </w:t>
      </w:r>
    </w:p>
    <w:p>
      <w:pPr>
        <w:pStyle w:val="Footnoteheading"/>
        <w:rPr>
          <w:snapToGrid w:val="0"/>
        </w:rPr>
      </w:pPr>
      <w:r>
        <w:rPr>
          <w:snapToGrid w:val="0"/>
        </w:rPr>
        <w:tab/>
        <w:t xml:space="preserve">[Heading amended: No. 7 of 1996 s. 36.] </w:t>
      </w:r>
    </w:p>
    <w:p>
      <w:pPr>
        <w:pStyle w:val="Heading5"/>
        <w:rPr>
          <w:snapToGrid w:val="0"/>
        </w:rPr>
      </w:pPr>
      <w:bookmarkStart w:id="163" w:name="_Toc161906928"/>
      <w:r>
        <w:rPr>
          <w:rStyle w:val="CharSectno"/>
        </w:rPr>
        <w:t>91</w:t>
      </w:r>
      <w:r>
        <w:rPr>
          <w:snapToGrid w:val="0"/>
        </w:rPr>
        <w:t>.</w:t>
      </w:r>
      <w:r>
        <w:rPr>
          <w:snapToGrid w:val="0"/>
        </w:rPr>
        <w:tab/>
        <w:t>Public Advocate</w:t>
      </w:r>
      <w:bookmarkEnd w:id="163"/>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pPr>
        <w:pStyle w:val="Footnotesection"/>
      </w:pPr>
      <w:r>
        <w:tab/>
        <w:t xml:space="preserve">[Section 91 amended: No. 7 of 1996 s. 36; No. 39 of 2010 s. 89.] </w:t>
      </w:r>
    </w:p>
    <w:p>
      <w:pPr>
        <w:pStyle w:val="Heading5"/>
        <w:rPr>
          <w:snapToGrid w:val="0"/>
        </w:rPr>
      </w:pPr>
      <w:bookmarkStart w:id="164" w:name="_Toc161906929"/>
      <w:r>
        <w:rPr>
          <w:rStyle w:val="CharSectno"/>
        </w:rPr>
        <w:t>92</w:t>
      </w:r>
      <w:r>
        <w:rPr>
          <w:snapToGrid w:val="0"/>
        </w:rPr>
        <w:t>.</w:t>
      </w:r>
      <w:r>
        <w:rPr>
          <w:snapToGrid w:val="0"/>
        </w:rPr>
        <w:tab/>
        <w:t>Resignation, removal etc.</w:t>
      </w:r>
      <w:bookmarkEnd w:id="164"/>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No. 7 of 1996 s. 36; No. 18 of 2009 s. 38(3).] </w:t>
      </w:r>
    </w:p>
    <w:p>
      <w:pPr>
        <w:pStyle w:val="Heading5"/>
        <w:rPr>
          <w:snapToGrid w:val="0"/>
        </w:rPr>
      </w:pPr>
      <w:bookmarkStart w:id="165" w:name="_Toc161906930"/>
      <w:r>
        <w:rPr>
          <w:rStyle w:val="CharSectno"/>
        </w:rPr>
        <w:lastRenderedPageBreak/>
        <w:t>93</w:t>
      </w:r>
      <w:r>
        <w:rPr>
          <w:snapToGrid w:val="0"/>
        </w:rPr>
        <w:t>.</w:t>
      </w:r>
      <w:r>
        <w:rPr>
          <w:snapToGrid w:val="0"/>
        </w:rPr>
        <w:tab/>
        <w:t>Acting Public Advocate</w:t>
      </w:r>
      <w:bookmarkEnd w:id="165"/>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lastRenderedPageBreak/>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No. 7 of 1996 s. 36; No. 39 of 2010 s. 89.] </w:t>
      </w:r>
    </w:p>
    <w:p>
      <w:pPr>
        <w:pStyle w:val="Heading5"/>
        <w:rPr>
          <w:snapToGrid w:val="0"/>
        </w:rPr>
      </w:pPr>
      <w:bookmarkStart w:id="166" w:name="_Toc161906931"/>
      <w:r>
        <w:rPr>
          <w:rStyle w:val="CharSectno"/>
        </w:rPr>
        <w:t>94</w:t>
      </w:r>
      <w:r>
        <w:rPr>
          <w:snapToGrid w:val="0"/>
        </w:rPr>
        <w:t>.</w:t>
      </w:r>
      <w:r>
        <w:rPr>
          <w:snapToGrid w:val="0"/>
        </w:rPr>
        <w:tab/>
        <w:t>Staff</w:t>
      </w:r>
      <w:bookmarkEnd w:id="166"/>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No. 32 of 1994 s. 3(2); No. 7 of 1996 s. 36.] </w:t>
      </w:r>
    </w:p>
    <w:p>
      <w:pPr>
        <w:pStyle w:val="Heading5"/>
        <w:rPr>
          <w:snapToGrid w:val="0"/>
        </w:rPr>
      </w:pPr>
      <w:bookmarkStart w:id="167" w:name="_Toc161906932"/>
      <w:r>
        <w:rPr>
          <w:rStyle w:val="CharSectno"/>
        </w:rPr>
        <w:t>95</w:t>
      </w:r>
      <w:r>
        <w:rPr>
          <w:snapToGrid w:val="0"/>
        </w:rPr>
        <w:t>.</w:t>
      </w:r>
      <w:r>
        <w:rPr>
          <w:snapToGrid w:val="0"/>
        </w:rPr>
        <w:tab/>
        <w:t>Powers of delegation</w:t>
      </w:r>
      <w:bookmarkEnd w:id="167"/>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lastRenderedPageBreak/>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No. 7 of 1996 s. 36; No. 55 of 2004 s. 466.] </w:t>
      </w:r>
    </w:p>
    <w:p>
      <w:pPr>
        <w:pStyle w:val="Heading5"/>
        <w:rPr>
          <w:snapToGrid w:val="0"/>
        </w:rPr>
      </w:pPr>
      <w:bookmarkStart w:id="168" w:name="_Toc161906933"/>
      <w:r>
        <w:rPr>
          <w:rStyle w:val="CharSectno"/>
        </w:rPr>
        <w:t>96</w:t>
      </w:r>
      <w:r>
        <w:rPr>
          <w:snapToGrid w:val="0"/>
        </w:rPr>
        <w:t>.</w:t>
      </w:r>
      <w:r>
        <w:rPr>
          <w:snapToGrid w:val="0"/>
        </w:rPr>
        <w:tab/>
        <w:t>Existing rights etc.</w:t>
      </w:r>
      <w:bookmarkEnd w:id="168"/>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No. 32 of 1994 s. 3(2); No. 7 of 1996 s. 36.] </w:t>
      </w:r>
    </w:p>
    <w:p>
      <w:pPr>
        <w:pStyle w:val="Heading5"/>
        <w:rPr>
          <w:snapToGrid w:val="0"/>
        </w:rPr>
      </w:pPr>
      <w:bookmarkStart w:id="169" w:name="_Toc161906934"/>
      <w:r>
        <w:rPr>
          <w:rStyle w:val="CharSectno"/>
        </w:rPr>
        <w:t>97</w:t>
      </w:r>
      <w:r>
        <w:rPr>
          <w:snapToGrid w:val="0"/>
        </w:rPr>
        <w:t>.</w:t>
      </w:r>
      <w:r>
        <w:rPr>
          <w:snapToGrid w:val="0"/>
        </w:rPr>
        <w:tab/>
        <w:t>Functions of Public Advocate</w:t>
      </w:r>
      <w:bookmarkEnd w:id="169"/>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keepNext/>
        <w:rPr>
          <w:snapToGrid w:val="0"/>
        </w:rPr>
      </w:pPr>
      <w:r>
        <w:rPr>
          <w:snapToGrid w:val="0"/>
        </w:rPr>
        <w:lastRenderedPageBreak/>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 xml:space="preserve">the provisions of this Act, including those relating to the functions of the State Administrative Tribunal conferred under this </w:t>
      </w:r>
      <w:r>
        <w:rPr>
          <w:snapToGrid w:val="0"/>
        </w:rPr>
        <w:lastRenderedPageBreak/>
        <w:t>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No. 7 of 1996 s. 27; No. 55 of 2004 s. 451 and 466; No. 59 of 2004 s. 141; No. 59 of 2006 s. 73.]</w:t>
      </w:r>
    </w:p>
    <w:p>
      <w:pPr>
        <w:pStyle w:val="Heading5"/>
        <w:rPr>
          <w:snapToGrid w:val="0"/>
        </w:rPr>
      </w:pPr>
      <w:bookmarkStart w:id="170" w:name="_Toc161906935"/>
      <w:r>
        <w:rPr>
          <w:rStyle w:val="CharSectno"/>
        </w:rPr>
        <w:t>98</w:t>
      </w:r>
      <w:r>
        <w:rPr>
          <w:snapToGrid w:val="0"/>
        </w:rPr>
        <w:t>.</w:t>
      </w:r>
      <w:r>
        <w:rPr>
          <w:snapToGrid w:val="0"/>
        </w:rPr>
        <w:tab/>
        <w:t>Notification to Public Advocate as to mentally impaired accused</w:t>
      </w:r>
      <w:bookmarkEnd w:id="170"/>
    </w:p>
    <w:p>
      <w:pPr>
        <w:pStyle w:val="Subsection"/>
      </w:pPr>
      <w:r>
        <w:tab/>
        <w:t>(1)</w:t>
      </w:r>
      <w:r>
        <w:tab/>
        <w:t xml:space="preserve">If a person becomes a mentally impaired accused (as defined in Part 5 of the </w:t>
      </w:r>
      <w:r>
        <w:rPr>
          <w:i/>
        </w:rPr>
        <w:t>Criminal Law (Mentally Impaired Accused) Act 1996</w:t>
      </w:r>
      <w:r>
        <w:t>) the registrar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No. 7 of 1996 s. 36; No. 69 of 1996 s. 36; No. 84 of 2004 s. 82; No. 17 of 2014 s. 12.] </w:t>
      </w:r>
    </w:p>
    <w:p>
      <w:pPr>
        <w:pStyle w:val="Heading5"/>
        <w:rPr>
          <w:snapToGrid w:val="0"/>
        </w:rPr>
      </w:pPr>
      <w:bookmarkStart w:id="171" w:name="_Toc161906936"/>
      <w:r>
        <w:rPr>
          <w:rStyle w:val="CharSectno"/>
        </w:rPr>
        <w:lastRenderedPageBreak/>
        <w:t>99</w:t>
      </w:r>
      <w:r>
        <w:rPr>
          <w:snapToGrid w:val="0"/>
        </w:rPr>
        <w:t>.</w:t>
      </w:r>
      <w:r>
        <w:rPr>
          <w:snapToGrid w:val="0"/>
        </w:rPr>
        <w:tab/>
        <w:t>Public Advocate to act on death of guardian or administrator</w:t>
      </w:r>
      <w:bookmarkEnd w:id="171"/>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No. 7 of 1996 s. 36.] </w:t>
      </w:r>
    </w:p>
    <w:p>
      <w:pPr>
        <w:pStyle w:val="Heading5"/>
        <w:rPr>
          <w:snapToGrid w:val="0"/>
        </w:rPr>
      </w:pPr>
      <w:bookmarkStart w:id="172" w:name="_Toc161906937"/>
      <w:r>
        <w:rPr>
          <w:rStyle w:val="CharSectno"/>
        </w:rPr>
        <w:t>100</w:t>
      </w:r>
      <w:r>
        <w:rPr>
          <w:snapToGrid w:val="0"/>
        </w:rPr>
        <w:t>.</w:t>
      </w:r>
      <w:r>
        <w:rPr>
          <w:snapToGrid w:val="0"/>
        </w:rPr>
        <w:tab/>
        <w:t>Judicial notice</w:t>
      </w:r>
      <w:bookmarkEnd w:id="172"/>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No. 7 of 1996 s. 36.] </w:t>
      </w:r>
    </w:p>
    <w:p>
      <w:pPr>
        <w:pStyle w:val="Heading5"/>
        <w:rPr>
          <w:snapToGrid w:val="0"/>
        </w:rPr>
      </w:pPr>
      <w:bookmarkStart w:id="173" w:name="_Toc161906938"/>
      <w:r>
        <w:rPr>
          <w:rStyle w:val="CharSectno"/>
        </w:rPr>
        <w:lastRenderedPageBreak/>
        <w:t>101</w:t>
      </w:r>
      <w:r>
        <w:rPr>
          <w:snapToGrid w:val="0"/>
        </w:rPr>
        <w:t>.</w:t>
      </w:r>
      <w:r>
        <w:rPr>
          <w:snapToGrid w:val="0"/>
        </w:rPr>
        <w:tab/>
        <w:t>Annual report of Public Advocate</w:t>
      </w:r>
      <w:bookmarkEnd w:id="173"/>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No. 7 of 1996 s. 28 and 36.] </w:t>
      </w:r>
    </w:p>
    <w:p>
      <w:pPr>
        <w:pStyle w:val="Heading5"/>
        <w:rPr>
          <w:snapToGrid w:val="0"/>
        </w:rPr>
      </w:pPr>
      <w:bookmarkStart w:id="174" w:name="_Toc161906939"/>
      <w:r>
        <w:rPr>
          <w:rStyle w:val="CharSectno"/>
        </w:rPr>
        <w:t>101A</w:t>
      </w:r>
      <w:r>
        <w:rPr>
          <w:snapToGrid w:val="0"/>
        </w:rPr>
        <w:t>.</w:t>
      </w:r>
      <w:r>
        <w:rPr>
          <w:snapToGrid w:val="0"/>
        </w:rPr>
        <w:tab/>
        <w:t>Public Advocate may raise matters with Minister</w:t>
      </w:r>
      <w:bookmarkEnd w:id="174"/>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No. 7 of 1996 s. 29.] </w:t>
      </w:r>
    </w:p>
    <w:p>
      <w:pPr>
        <w:pStyle w:val="Heading2"/>
      </w:pPr>
      <w:bookmarkStart w:id="175" w:name="_Toc161843258"/>
      <w:bookmarkStart w:id="176" w:name="_Toc161845959"/>
      <w:bookmarkStart w:id="177" w:name="_Toc161906940"/>
      <w:r>
        <w:rPr>
          <w:rStyle w:val="CharPartNo"/>
        </w:rPr>
        <w:lastRenderedPageBreak/>
        <w:t>Part 9</w:t>
      </w:r>
      <w:r>
        <w:rPr>
          <w:rStyle w:val="CharDivNo"/>
        </w:rPr>
        <w:t> </w:t>
      </w:r>
      <w:r>
        <w:t>—</w:t>
      </w:r>
      <w:r>
        <w:rPr>
          <w:rStyle w:val="CharDivText"/>
        </w:rPr>
        <w:t> </w:t>
      </w:r>
      <w:r>
        <w:rPr>
          <w:rStyle w:val="CharPartText"/>
        </w:rPr>
        <w:t>Enduring powers of attorney</w:t>
      </w:r>
      <w:bookmarkEnd w:id="175"/>
      <w:bookmarkEnd w:id="176"/>
      <w:bookmarkEnd w:id="177"/>
      <w:r>
        <w:rPr>
          <w:rStyle w:val="CharPartText"/>
        </w:rPr>
        <w:t xml:space="preserve"> </w:t>
      </w:r>
    </w:p>
    <w:p>
      <w:pPr>
        <w:pStyle w:val="Heading5"/>
        <w:rPr>
          <w:snapToGrid w:val="0"/>
        </w:rPr>
      </w:pPr>
      <w:bookmarkStart w:id="178" w:name="_Toc161906941"/>
      <w:r>
        <w:rPr>
          <w:rStyle w:val="CharSectno"/>
        </w:rPr>
        <w:t>102</w:t>
      </w:r>
      <w:r>
        <w:rPr>
          <w:snapToGrid w:val="0"/>
        </w:rPr>
        <w:t>.</w:t>
      </w:r>
      <w:r>
        <w:rPr>
          <w:snapToGrid w:val="0"/>
        </w:rPr>
        <w:tab/>
        <w:t>Terms used</w:t>
      </w:r>
      <w:bookmarkEnd w:id="17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No. 7 of 1996 s. 30; No. 70 of 2000 s. 12; No. 55 of 2004 s. 466(1).] </w:t>
      </w:r>
    </w:p>
    <w:p>
      <w:pPr>
        <w:pStyle w:val="Heading5"/>
        <w:rPr>
          <w:snapToGrid w:val="0"/>
        </w:rPr>
      </w:pPr>
      <w:bookmarkStart w:id="179" w:name="_Toc161906942"/>
      <w:r>
        <w:rPr>
          <w:rStyle w:val="CharSectno"/>
        </w:rPr>
        <w:t>103</w:t>
      </w:r>
      <w:r>
        <w:rPr>
          <w:snapToGrid w:val="0"/>
        </w:rPr>
        <w:t>.</w:t>
      </w:r>
      <w:r>
        <w:rPr>
          <w:snapToGrid w:val="0"/>
        </w:rPr>
        <w:tab/>
        <w:t>Other Acts</w:t>
      </w:r>
      <w:bookmarkEnd w:id="179"/>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80" w:name="_Toc161906943"/>
      <w:r>
        <w:rPr>
          <w:rStyle w:val="CharSectno"/>
        </w:rPr>
        <w:t>104</w:t>
      </w:r>
      <w:r>
        <w:rPr>
          <w:snapToGrid w:val="0"/>
        </w:rPr>
        <w:t>.</w:t>
      </w:r>
      <w:r>
        <w:rPr>
          <w:snapToGrid w:val="0"/>
        </w:rPr>
        <w:tab/>
        <w:t>Execution of enduring power of attorney</w:t>
      </w:r>
      <w:bookmarkEnd w:id="180"/>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lastRenderedPageBreak/>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No. 70 of 2000 s. 13; No. 55 of 2004 s. 466(1); No. 25 of 2008 s. 9.]</w:t>
      </w:r>
    </w:p>
    <w:p>
      <w:pPr>
        <w:pStyle w:val="Heading5"/>
        <w:rPr>
          <w:snapToGrid w:val="0"/>
        </w:rPr>
      </w:pPr>
      <w:bookmarkStart w:id="181" w:name="_Toc161906944"/>
      <w:r>
        <w:rPr>
          <w:rStyle w:val="CharSectno"/>
        </w:rPr>
        <w:lastRenderedPageBreak/>
        <w:t>104A</w:t>
      </w:r>
      <w:r>
        <w:rPr>
          <w:snapToGrid w:val="0"/>
        </w:rPr>
        <w:t>.</w:t>
      </w:r>
      <w:r>
        <w:rPr>
          <w:snapToGrid w:val="0"/>
        </w:rPr>
        <w:tab/>
        <w:t>Recognition of powers of attorney created in other jurisdictions</w:t>
      </w:r>
      <w:bookmarkEnd w:id="181"/>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No. 7 of 1996 s. 3; amended: No. 55 of 2004 s. 452 and 466.] </w:t>
      </w:r>
    </w:p>
    <w:p>
      <w:pPr>
        <w:pStyle w:val="Heading5"/>
      </w:pPr>
      <w:bookmarkStart w:id="182" w:name="_Toc161906945"/>
      <w:r>
        <w:rPr>
          <w:rStyle w:val="CharSectno"/>
        </w:rPr>
        <w:t>104B</w:t>
      </w:r>
      <w:r>
        <w:t>.</w:t>
      </w:r>
      <w:r>
        <w:tab/>
        <w:t>Substitute donees</w:t>
      </w:r>
      <w:bookmarkEnd w:id="182"/>
    </w:p>
    <w:p>
      <w:pPr>
        <w:pStyle w:val="Subsection"/>
      </w:pPr>
      <w:r>
        <w:tab/>
        <w:t>(1)</w:t>
      </w:r>
      <w:r>
        <w:tab/>
        <w:t>A person creating an enduring power of attorney may, in the instrument creating the power of attorney, appoint a person to be a substitute donee of the power.</w:t>
      </w:r>
    </w:p>
    <w:p>
      <w:pPr>
        <w:pStyle w:val="Subsection"/>
      </w:pPr>
      <w:r>
        <w:lastRenderedPageBreak/>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No. 70 of 2000 s. 14.]</w:t>
      </w:r>
    </w:p>
    <w:p>
      <w:pPr>
        <w:pStyle w:val="Heading5"/>
      </w:pPr>
      <w:bookmarkStart w:id="183" w:name="_Toc161906946"/>
      <w:r>
        <w:rPr>
          <w:rStyle w:val="CharSectno"/>
        </w:rPr>
        <w:t>104C</w:t>
      </w:r>
      <w:r>
        <w:t>.</w:t>
      </w:r>
      <w:r>
        <w:tab/>
        <w:t>Eligibility for appointment as donee or substitute donee</w:t>
      </w:r>
      <w:bookmarkEnd w:id="183"/>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No. 25 of 2008 s. 10.]</w:t>
      </w:r>
    </w:p>
    <w:p>
      <w:pPr>
        <w:pStyle w:val="Heading5"/>
        <w:rPr>
          <w:snapToGrid w:val="0"/>
        </w:rPr>
      </w:pPr>
      <w:bookmarkStart w:id="184" w:name="_Toc161906947"/>
      <w:r>
        <w:rPr>
          <w:rStyle w:val="CharSectno"/>
        </w:rPr>
        <w:t>105</w:t>
      </w:r>
      <w:r>
        <w:rPr>
          <w:snapToGrid w:val="0"/>
        </w:rPr>
        <w:t>.</w:t>
      </w:r>
      <w:r>
        <w:rPr>
          <w:snapToGrid w:val="0"/>
        </w:rPr>
        <w:tab/>
        <w:t>Enduring power of attorney survives incapacity</w:t>
      </w:r>
      <w:bookmarkEnd w:id="184"/>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85" w:name="_Toc161906948"/>
      <w:r>
        <w:rPr>
          <w:rStyle w:val="CharSectno"/>
        </w:rPr>
        <w:t>106</w:t>
      </w:r>
      <w:r>
        <w:rPr>
          <w:snapToGrid w:val="0"/>
        </w:rPr>
        <w:t>.</w:t>
      </w:r>
      <w:r>
        <w:rPr>
          <w:snapToGrid w:val="0"/>
        </w:rPr>
        <w:tab/>
        <w:t>Donee may apply for declaration of legal incapacity</w:t>
      </w:r>
      <w:bookmarkEnd w:id="185"/>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lastRenderedPageBreak/>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No. 70 of 2000 s. 15; No. 55 of 2004 s. 453 and 466.]</w:t>
      </w:r>
    </w:p>
    <w:p>
      <w:pPr>
        <w:pStyle w:val="Heading5"/>
        <w:keepLines w:val="0"/>
        <w:rPr>
          <w:snapToGrid w:val="0"/>
        </w:rPr>
      </w:pPr>
      <w:bookmarkStart w:id="186" w:name="_Toc161906949"/>
      <w:r>
        <w:rPr>
          <w:rStyle w:val="CharSectno"/>
        </w:rPr>
        <w:t>107</w:t>
      </w:r>
      <w:r>
        <w:rPr>
          <w:snapToGrid w:val="0"/>
        </w:rPr>
        <w:t>.</w:t>
      </w:r>
      <w:r>
        <w:rPr>
          <w:snapToGrid w:val="0"/>
        </w:rPr>
        <w:tab/>
        <w:t>Obligations of donee</w:t>
      </w:r>
      <w:bookmarkEnd w:id="186"/>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lastRenderedPageBreak/>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No. 7 of 1996 s. 32; No. 70 of 2000 s. 16; No. 55 of 2004 s. 466(1).] </w:t>
      </w:r>
    </w:p>
    <w:p>
      <w:pPr>
        <w:pStyle w:val="Heading5"/>
        <w:rPr>
          <w:snapToGrid w:val="0"/>
        </w:rPr>
      </w:pPr>
      <w:bookmarkStart w:id="187" w:name="_Toc161906950"/>
      <w:r>
        <w:rPr>
          <w:rStyle w:val="CharSectno"/>
        </w:rPr>
        <w:t>108</w:t>
      </w:r>
      <w:r>
        <w:rPr>
          <w:snapToGrid w:val="0"/>
        </w:rPr>
        <w:t>.</w:t>
      </w:r>
      <w:r>
        <w:rPr>
          <w:snapToGrid w:val="0"/>
        </w:rPr>
        <w:tab/>
        <w:t>Appointment of administrator</w:t>
      </w:r>
      <w:bookmarkEnd w:id="187"/>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lastRenderedPageBreak/>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No. 7 of 1996 s. 33; No. 55 of 2004 s. 454 and 466.] </w:t>
      </w:r>
    </w:p>
    <w:p>
      <w:pPr>
        <w:pStyle w:val="Heading5"/>
        <w:keepLines w:val="0"/>
        <w:spacing w:before="180"/>
        <w:rPr>
          <w:snapToGrid w:val="0"/>
        </w:rPr>
      </w:pPr>
      <w:bookmarkStart w:id="188" w:name="_Toc161906951"/>
      <w:r>
        <w:rPr>
          <w:rStyle w:val="CharSectno"/>
        </w:rPr>
        <w:t>109</w:t>
      </w:r>
      <w:r>
        <w:rPr>
          <w:snapToGrid w:val="0"/>
        </w:rPr>
        <w:t>.</w:t>
      </w:r>
      <w:r>
        <w:rPr>
          <w:snapToGrid w:val="0"/>
        </w:rPr>
        <w:tab/>
        <w:t>On application State Administrative Tribunal may intervene</w:t>
      </w:r>
      <w:bookmarkEnd w:id="188"/>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w:t>
      </w:r>
      <w:r>
        <w:rPr>
          <w:snapToGrid w:val="0"/>
        </w:rPr>
        <w:lastRenderedPageBreak/>
        <w:t xml:space="preserve">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No. 7 of 1996 s. 34; No. 70 of 2000 s. 17; No. 55 of 2004 s. 466.] </w:t>
      </w:r>
    </w:p>
    <w:p>
      <w:pPr>
        <w:pStyle w:val="Heading5"/>
        <w:rPr>
          <w:snapToGrid w:val="0"/>
        </w:rPr>
      </w:pPr>
      <w:bookmarkStart w:id="189" w:name="_Toc161906952"/>
      <w:r>
        <w:rPr>
          <w:rStyle w:val="CharSectno"/>
        </w:rPr>
        <w:t>110</w:t>
      </w:r>
      <w:r>
        <w:rPr>
          <w:snapToGrid w:val="0"/>
        </w:rPr>
        <w:t>.</w:t>
      </w:r>
      <w:r>
        <w:rPr>
          <w:snapToGrid w:val="0"/>
        </w:rPr>
        <w:tab/>
        <w:t>Notice of application</w:t>
      </w:r>
      <w:bookmarkEnd w:id="189"/>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No. 55 of 2004 s. 466(1).]</w:t>
      </w:r>
    </w:p>
    <w:p>
      <w:pPr>
        <w:pStyle w:val="Heading2"/>
      </w:pPr>
      <w:bookmarkStart w:id="190" w:name="_Toc161843271"/>
      <w:bookmarkStart w:id="191" w:name="_Toc161845972"/>
      <w:bookmarkStart w:id="192" w:name="_Toc161906953"/>
      <w:r>
        <w:rPr>
          <w:rStyle w:val="CharPartNo"/>
        </w:rPr>
        <w:lastRenderedPageBreak/>
        <w:t>Part 9A</w:t>
      </w:r>
      <w:r>
        <w:rPr>
          <w:b w:val="0"/>
        </w:rPr>
        <w:t> </w:t>
      </w:r>
      <w:r>
        <w:t>—</w:t>
      </w:r>
      <w:r>
        <w:rPr>
          <w:b w:val="0"/>
        </w:rPr>
        <w:t> </w:t>
      </w:r>
      <w:r>
        <w:rPr>
          <w:rStyle w:val="CharPartText"/>
        </w:rPr>
        <w:t>Enduring powers of guardianship</w:t>
      </w:r>
      <w:bookmarkEnd w:id="190"/>
      <w:bookmarkEnd w:id="191"/>
      <w:bookmarkEnd w:id="192"/>
    </w:p>
    <w:p>
      <w:pPr>
        <w:pStyle w:val="Footnoteheading"/>
      </w:pPr>
      <w:r>
        <w:tab/>
        <w:t>[Heading inserted: No. 25 of 2008 s. 11.]</w:t>
      </w:r>
    </w:p>
    <w:p>
      <w:pPr>
        <w:pStyle w:val="Heading3"/>
      </w:pPr>
      <w:bookmarkStart w:id="193" w:name="_Toc161843272"/>
      <w:bookmarkStart w:id="194" w:name="_Toc161845973"/>
      <w:bookmarkStart w:id="195" w:name="_Toc161906954"/>
      <w:r>
        <w:rPr>
          <w:rStyle w:val="CharDivNo"/>
        </w:rPr>
        <w:t>Division 1</w:t>
      </w:r>
      <w:r>
        <w:t> — </w:t>
      </w:r>
      <w:r>
        <w:rPr>
          <w:rStyle w:val="CharDivText"/>
        </w:rPr>
        <w:t>Preliminary matters</w:t>
      </w:r>
      <w:bookmarkEnd w:id="193"/>
      <w:bookmarkEnd w:id="194"/>
      <w:bookmarkEnd w:id="195"/>
    </w:p>
    <w:p>
      <w:pPr>
        <w:pStyle w:val="Footnoteheading"/>
      </w:pPr>
      <w:r>
        <w:tab/>
        <w:t>[Heading inserted: No. 25 of 2008 s. 11.]</w:t>
      </w:r>
    </w:p>
    <w:p>
      <w:pPr>
        <w:pStyle w:val="Heading5"/>
      </w:pPr>
      <w:bookmarkStart w:id="196" w:name="_Toc161906955"/>
      <w:r>
        <w:rPr>
          <w:rStyle w:val="CharSectno"/>
        </w:rPr>
        <w:t>110A</w:t>
      </w:r>
      <w:r>
        <w:t>.</w:t>
      </w:r>
      <w:r>
        <w:tab/>
        <w:t>Term used: appointor</w:t>
      </w:r>
      <w:bookmarkEnd w:id="196"/>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r>
        <w:tab/>
        <w:t>[Section 110A inserted: No. 25 of 2008 s. 11.]</w:t>
      </w:r>
    </w:p>
    <w:p>
      <w:pPr>
        <w:pStyle w:val="Heading3"/>
      </w:pPr>
      <w:bookmarkStart w:id="197" w:name="_Toc161843274"/>
      <w:bookmarkStart w:id="198" w:name="_Toc161845975"/>
      <w:bookmarkStart w:id="199" w:name="_Toc161906956"/>
      <w:r>
        <w:rPr>
          <w:rStyle w:val="CharDivNo"/>
        </w:rPr>
        <w:t>Division 2</w:t>
      </w:r>
      <w:r>
        <w:t> — </w:t>
      </w:r>
      <w:r>
        <w:rPr>
          <w:rStyle w:val="CharDivText"/>
        </w:rPr>
        <w:t>Making of enduring power of guardianship</w:t>
      </w:r>
      <w:bookmarkEnd w:id="197"/>
      <w:bookmarkEnd w:id="198"/>
      <w:bookmarkEnd w:id="199"/>
    </w:p>
    <w:p>
      <w:pPr>
        <w:pStyle w:val="Footnoteheading"/>
      </w:pPr>
      <w:r>
        <w:tab/>
        <w:t>[Heading inserted: No. 25 of 2008 s. 11.]</w:t>
      </w:r>
    </w:p>
    <w:p>
      <w:pPr>
        <w:pStyle w:val="Heading5"/>
      </w:pPr>
      <w:bookmarkStart w:id="200" w:name="_Toc161906957"/>
      <w:r>
        <w:rPr>
          <w:rStyle w:val="CharSectno"/>
        </w:rPr>
        <w:t>110B.</w:t>
      </w:r>
      <w:r>
        <w:tab/>
        <w:t>Appointing enduring guardian</w:t>
      </w:r>
      <w:bookmarkEnd w:id="200"/>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r>
        <w:tab/>
        <w:t>[Section 110B inserted: No. 25 of 2008 s. 11.]</w:t>
      </w:r>
    </w:p>
    <w:p>
      <w:pPr>
        <w:pStyle w:val="Heading5"/>
      </w:pPr>
      <w:bookmarkStart w:id="201" w:name="_Toc161906958"/>
      <w:r>
        <w:rPr>
          <w:rStyle w:val="CharSectno"/>
        </w:rPr>
        <w:t>110C</w:t>
      </w:r>
      <w:r>
        <w:t>.</w:t>
      </w:r>
      <w:r>
        <w:tab/>
        <w:t>Substitute enduring guardians</w:t>
      </w:r>
      <w:bookmarkEnd w:id="201"/>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r>
        <w:tab/>
        <w:t>[Section 110C inserted: No. 25 of 2008 s. 11.]</w:t>
      </w:r>
    </w:p>
    <w:p>
      <w:pPr>
        <w:pStyle w:val="Heading5"/>
      </w:pPr>
      <w:bookmarkStart w:id="202" w:name="_Toc161906959"/>
      <w:r>
        <w:rPr>
          <w:rStyle w:val="CharSectno"/>
        </w:rPr>
        <w:lastRenderedPageBreak/>
        <w:t>110D</w:t>
      </w:r>
      <w:r>
        <w:t>.</w:t>
      </w:r>
      <w:r>
        <w:tab/>
        <w:t>Who is eligible to be appointed</w:t>
      </w:r>
      <w:bookmarkEnd w:id="202"/>
    </w:p>
    <w:p>
      <w:pPr>
        <w:pStyle w:val="Subsection"/>
      </w:pPr>
      <w:r>
        <w:tab/>
      </w:r>
      <w:r>
        <w:tab/>
        <w:t>A person is eligible to be appointed under section 110B or 110C(1) if the person has reached 18 years of age and has full legal capacity.</w:t>
      </w:r>
    </w:p>
    <w:p>
      <w:pPr>
        <w:pStyle w:val="Footnotesection"/>
      </w:pPr>
      <w:r>
        <w:tab/>
        <w:t>[Section 110D inserted: No. 25 of 2008 s. 11.]</w:t>
      </w:r>
    </w:p>
    <w:p>
      <w:pPr>
        <w:pStyle w:val="Heading5"/>
      </w:pPr>
      <w:bookmarkStart w:id="203" w:name="_Toc161906960"/>
      <w:r>
        <w:rPr>
          <w:rStyle w:val="CharSectno"/>
        </w:rPr>
        <w:t>110E</w:t>
      </w:r>
      <w:r>
        <w:t>.</w:t>
      </w:r>
      <w:r>
        <w:tab/>
        <w:t>Formal requirements</w:t>
      </w:r>
      <w:bookmarkEnd w:id="203"/>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lastRenderedPageBreak/>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r>
        <w:tab/>
        <w:t>[Section 110E inserted: No. 25 of 2008 s. 11.]</w:t>
      </w:r>
    </w:p>
    <w:p>
      <w:pPr>
        <w:pStyle w:val="Heading3"/>
        <w:keepLines/>
      </w:pPr>
      <w:bookmarkStart w:id="204" w:name="_Toc161843279"/>
      <w:bookmarkStart w:id="205" w:name="_Toc161845980"/>
      <w:bookmarkStart w:id="206" w:name="_Toc161906961"/>
      <w:r>
        <w:rPr>
          <w:rStyle w:val="CharDivNo"/>
        </w:rPr>
        <w:lastRenderedPageBreak/>
        <w:t>Division 3</w:t>
      </w:r>
      <w:r>
        <w:t> — </w:t>
      </w:r>
      <w:r>
        <w:rPr>
          <w:rStyle w:val="CharDivText"/>
        </w:rPr>
        <w:t>Operation of enduring power of guardianship</w:t>
      </w:r>
      <w:bookmarkEnd w:id="204"/>
      <w:bookmarkEnd w:id="205"/>
      <w:bookmarkEnd w:id="206"/>
    </w:p>
    <w:p>
      <w:pPr>
        <w:pStyle w:val="Footnoteheading"/>
        <w:keepNext/>
        <w:keepLines/>
      </w:pPr>
      <w:r>
        <w:tab/>
        <w:t>[Heading inserted: No. 25 of 2008 s. 11.]</w:t>
      </w:r>
    </w:p>
    <w:p>
      <w:pPr>
        <w:pStyle w:val="Heading5"/>
      </w:pPr>
      <w:bookmarkStart w:id="207" w:name="_Toc161906962"/>
      <w:r>
        <w:rPr>
          <w:rStyle w:val="CharSectno"/>
        </w:rPr>
        <w:t>110F</w:t>
      </w:r>
      <w:r>
        <w:t>.</w:t>
      </w:r>
      <w:r>
        <w:tab/>
        <w:t>When enduring guardian may act</w:t>
      </w:r>
      <w:bookmarkEnd w:id="207"/>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r>
        <w:tab/>
        <w:t>[Section 110F inserted: No. 25 of 2008 s. 11.]</w:t>
      </w:r>
    </w:p>
    <w:p>
      <w:pPr>
        <w:pStyle w:val="Heading5"/>
      </w:pPr>
      <w:bookmarkStart w:id="208" w:name="_Toc161906963"/>
      <w:r>
        <w:rPr>
          <w:rStyle w:val="CharSectno"/>
        </w:rPr>
        <w:t>110G</w:t>
      </w:r>
      <w:r>
        <w:t>.</w:t>
      </w:r>
      <w:r>
        <w:tab/>
        <w:t>Functions generally</w:t>
      </w:r>
      <w:bookmarkEnd w:id="208"/>
    </w:p>
    <w:p>
      <w:pPr>
        <w:pStyle w:val="Subsection"/>
      </w:pPr>
      <w:r>
        <w:tab/>
        <w:t>(1)</w:t>
      </w:r>
      <w:r>
        <w:tab/>
        <w:t xml:space="preserve">Subject to this section, an enduring guardian has the same functions under section 45(1) and (2), and is subject to the same limitations under </w:t>
      </w:r>
      <w:r>
        <w:rPr>
          <w:color w:val="000000" w:themeColor="text1"/>
        </w:rPr>
        <w:t xml:space="preserve">sections 45(3), </w:t>
      </w:r>
      <w:r>
        <w:t>(3A),</w:t>
      </w:r>
      <w:r>
        <w:rPr>
          <w:color w:val="000000" w:themeColor="text1"/>
        </w:rPr>
        <w:t xml:space="preserve"> (4A) and (4), 110ZR and 110ZT, </w:t>
      </w:r>
      <w:r>
        <w:t>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r>
        <w:tab/>
        <w:t>[Section 110G inserted: No. 25 of 2008 s. 11; amended: No. 17 of 2014 s. 22(5); No. 14 of 2020 s. 10; No. 20 of 2023 s. 41.]</w:t>
      </w:r>
    </w:p>
    <w:p>
      <w:pPr>
        <w:pStyle w:val="Heading5"/>
      </w:pPr>
      <w:bookmarkStart w:id="209" w:name="_Toc161906964"/>
      <w:r>
        <w:rPr>
          <w:rStyle w:val="CharSectno"/>
        </w:rPr>
        <w:t>110H</w:t>
      </w:r>
      <w:r>
        <w:t>.</w:t>
      </w:r>
      <w:r>
        <w:tab/>
        <w:t>Certain provisions apply in relation to enduring guardian and appointor</w:t>
      </w:r>
      <w:bookmarkEnd w:id="209"/>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lastRenderedPageBreak/>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r>
        <w:tab/>
        <w:t>[Section 110H inserted: No. 25 of 2008 s. 11.]</w:t>
      </w:r>
    </w:p>
    <w:p>
      <w:pPr>
        <w:pStyle w:val="Heading5"/>
      </w:pPr>
      <w:bookmarkStart w:id="210" w:name="_Toc161906965"/>
      <w:r>
        <w:rPr>
          <w:rStyle w:val="CharSectno"/>
        </w:rPr>
        <w:t>110I</w:t>
      </w:r>
      <w:r>
        <w:t>.</w:t>
      </w:r>
      <w:r>
        <w:tab/>
        <w:t>Priority of enduring power of guardianship</w:t>
      </w:r>
      <w:bookmarkEnd w:id="210"/>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rPr>
          <w:color w:val="000000" w:themeColor="text1"/>
        </w:rPr>
        <w:tab/>
        <w:t>(1A)</w:t>
      </w:r>
      <w:r>
        <w:rPr>
          <w:color w:val="000000" w:themeColor="text1"/>
        </w:rPr>
        <w:tab/>
        <w:t>To the extent an enduring power of guardianship relates to the making of a research decision in relation to the appointor, the power may be exercised only if the enduring guardian is the research decision</w:t>
      </w:r>
      <w:r>
        <w:rPr>
          <w:color w:val="000000" w:themeColor="text1"/>
        </w:rPr>
        <w:noBreakHyphen/>
        <w:t>maker for the appointor.</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r>
        <w:tab/>
        <w:t>[Section 110I inserted: No. 25 of 2008 s. 11; amended: No. 14 of 2020 s. 11.]</w:t>
      </w:r>
    </w:p>
    <w:p>
      <w:pPr>
        <w:pStyle w:val="Heading3"/>
      </w:pPr>
      <w:bookmarkStart w:id="211" w:name="_Toc161843284"/>
      <w:bookmarkStart w:id="212" w:name="_Toc161845985"/>
      <w:bookmarkStart w:id="213" w:name="_Toc161906966"/>
      <w:r>
        <w:rPr>
          <w:rStyle w:val="CharDivNo"/>
        </w:rPr>
        <w:t>Division 4</w:t>
      </w:r>
      <w:r>
        <w:t> — </w:t>
      </w:r>
      <w:r>
        <w:rPr>
          <w:rStyle w:val="CharDivText"/>
        </w:rPr>
        <w:t>Jurisdiction of State Administrative Tribunal</w:t>
      </w:r>
      <w:bookmarkEnd w:id="211"/>
      <w:bookmarkEnd w:id="212"/>
      <w:bookmarkEnd w:id="213"/>
    </w:p>
    <w:p>
      <w:pPr>
        <w:pStyle w:val="Footnoteheading"/>
      </w:pPr>
      <w:r>
        <w:tab/>
        <w:t>[Heading inserted: No. 25 of 2008 s. 11.]</w:t>
      </w:r>
    </w:p>
    <w:p>
      <w:pPr>
        <w:pStyle w:val="Heading5"/>
      </w:pPr>
      <w:bookmarkStart w:id="214" w:name="_Toc161906967"/>
      <w:r>
        <w:rPr>
          <w:rStyle w:val="CharSectno"/>
        </w:rPr>
        <w:t>110J</w:t>
      </w:r>
      <w:r>
        <w:t>.</w:t>
      </w:r>
      <w:r>
        <w:tab/>
        <w:t>Who may apply</w:t>
      </w:r>
      <w:bookmarkEnd w:id="214"/>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110J inserted: No. 25 of 2008 s. 11.]</w:t>
      </w:r>
    </w:p>
    <w:p>
      <w:pPr>
        <w:pStyle w:val="Heading5"/>
      </w:pPr>
      <w:bookmarkStart w:id="215" w:name="_Toc161906968"/>
      <w:r>
        <w:rPr>
          <w:rStyle w:val="CharSectno"/>
        </w:rPr>
        <w:lastRenderedPageBreak/>
        <w:t>110K</w:t>
      </w:r>
      <w:r>
        <w:t>.</w:t>
      </w:r>
      <w:r>
        <w:tab/>
        <w:t>Declaration about validity of enduring power of guardianship</w:t>
      </w:r>
      <w:bookmarkEnd w:id="215"/>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r>
        <w:tab/>
        <w:t>[Section 110K inserted: No. 25 of 2008 s. 11.]</w:t>
      </w:r>
    </w:p>
    <w:p>
      <w:pPr>
        <w:pStyle w:val="Heading5"/>
      </w:pPr>
      <w:bookmarkStart w:id="216" w:name="_Toc161906969"/>
      <w:r>
        <w:rPr>
          <w:rStyle w:val="CharSectno"/>
        </w:rPr>
        <w:t>110L</w:t>
      </w:r>
      <w:r>
        <w:t>.</w:t>
      </w:r>
      <w:r>
        <w:tab/>
        <w:t>Declaration of incapacity of appointor</w:t>
      </w:r>
      <w:bookmarkEnd w:id="216"/>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110L inserted: No. 25 of 2008 s. 11.]</w:t>
      </w:r>
    </w:p>
    <w:p>
      <w:pPr>
        <w:pStyle w:val="Heading5"/>
      </w:pPr>
      <w:bookmarkStart w:id="217" w:name="_Toc161906970"/>
      <w:r>
        <w:rPr>
          <w:rStyle w:val="CharSectno"/>
        </w:rPr>
        <w:t>110M</w:t>
      </w:r>
      <w:r>
        <w:t>.</w:t>
      </w:r>
      <w:r>
        <w:tab/>
        <w:t>Directions as to construction of terms etc.</w:t>
      </w:r>
      <w:bookmarkEnd w:id="217"/>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r>
        <w:tab/>
        <w:t>[Section 110M inserted: No. 25 of 2008 s. 11.]</w:t>
      </w:r>
    </w:p>
    <w:p>
      <w:pPr>
        <w:pStyle w:val="Heading5"/>
      </w:pPr>
      <w:bookmarkStart w:id="218" w:name="_Toc161906971"/>
      <w:r>
        <w:rPr>
          <w:rStyle w:val="CharSectno"/>
        </w:rPr>
        <w:t>110N</w:t>
      </w:r>
      <w:r>
        <w:t>.</w:t>
      </w:r>
      <w:r>
        <w:tab/>
        <w:t>Revocation or variation of enduring power of guardianship</w:t>
      </w:r>
      <w:bookmarkEnd w:id="218"/>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lastRenderedPageBreak/>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r>
        <w:tab/>
        <w:t>[Section 110N inserted: No. 25 of 2008 s. 11.]</w:t>
      </w:r>
    </w:p>
    <w:p>
      <w:pPr>
        <w:pStyle w:val="Heading5"/>
      </w:pPr>
      <w:bookmarkStart w:id="219" w:name="_Toc161906972"/>
      <w:r>
        <w:rPr>
          <w:rStyle w:val="CharSectno"/>
        </w:rPr>
        <w:t>110O</w:t>
      </w:r>
      <w:r>
        <w:t>.</w:t>
      </w:r>
      <w:r>
        <w:tab/>
        <w:t>Recognition of instrument created in another jurisdiction</w:t>
      </w:r>
      <w:bookmarkEnd w:id="219"/>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r>
        <w:tab/>
        <w:t>[Section 110O inserted: No. 25 of 2008 s. 11.]</w:t>
      </w:r>
    </w:p>
    <w:p>
      <w:pPr>
        <w:pStyle w:val="Heading2"/>
      </w:pPr>
      <w:bookmarkStart w:id="220" w:name="_Toc161843291"/>
      <w:bookmarkStart w:id="221" w:name="_Toc161845992"/>
      <w:bookmarkStart w:id="222" w:name="_Toc161906973"/>
      <w:r>
        <w:rPr>
          <w:rStyle w:val="CharPartNo"/>
        </w:rPr>
        <w:lastRenderedPageBreak/>
        <w:t>Part 9B</w:t>
      </w:r>
      <w:r>
        <w:rPr>
          <w:b w:val="0"/>
        </w:rPr>
        <w:t> </w:t>
      </w:r>
      <w:r>
        <w:t>—</w:t>
      </w:r>
      <w:r>
        <w:rPr>
          <w:b w:val="0"/>
        </w:rPr>
        <w:t> </w:t>
      </w:r>
      <w:r>
        <w:rPr>
          <w:rStyle w:val="CharPartText"/>
        </w:rPr>
        <w:t>Advance health directives</w:t>
      </w:r>
      <w:bookmarkEnd w:id="220"/>
      <w:bookmarkEnd w:id="221"/>
      <w:bookmarkEnd w:id="222"/>
    </w:p>
    <w:p>
      <w:pPr>
        <w:pStyle w:val="Footnoteheading"/>
      </w:pPr>
      <w:r>
        <w:tab/>
        <w:t>[Heading inserted: No. 25 of 2008 s. 11.]</w:t>
      </w:r>
    </w:p>
    <w:p>
      <w:pPr>
        <w:pStyle w:val="Heading3"/>
      </w:pPr>
      <w:bookmarkStart w:id="223" w:name="_Toc161843292"/>
      <w:bookmarkStart w:id="224" w:name="_Toc161845993"/>
      <w:bookmarkStart w:id="225" w:name="_Toc161906974"/>
      <w:r>
        <w:rPr>
          <w:rStyle w:val="CharDivNo"/>
        </w:rPr>
        <w:t>Division 1</w:t>
      </w:r>
      <w:r>
        <w:t> — </w:t>
      </w:r>
      <w:r>
        <w:rPr>
          <w:rStyle w:val="CharDivText"/>
        </w:rPr>
        <w:t>Making of advance health directive</w:t>
      </w:r>
      <w:bookmarkEnd w:id="223"/>
      <w:bookmarkEnd w:id="224"/>
      <w:bookmarkEnd w:id="225"/>
    </w:p>
    <w:p>
      <w:pPr>
        <w:pStyle w:val="Footnoteheading"/>
      </w:pPr>
      <w:r>
        <w:tab/>
        <w:t>[Heading inserted: No. 25 of 2008 s. 11.]</w:t>
      </w:r>
    </w:p>
    <w:p>
      <w:pPr>
        <w:pStyle w:val="Heading5"/>
      </w:pPr>
      <w:bookmarkStart w:id="226" w:name="_Toc161906975"/>
      <w:r>
        <w:rPr>
          <w:rStyle w:val="CharSectno"/>
        </w:rPr>
        <w:t>110P</w:t>
      </w:r>
      <w:r>
        <w:t>.</w:t>
      </w:r>
      <w:r>
        <w:tab/>
        <w:t>Making advance health directive</w:t>
      </w:r>
      <w:bookmarkEnd w:id="226"/>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r>
        <w:tab/>
        <w:t>[Section 110P inserted: No. 25 of 2008 s. 11.]</w:t>
      </w:r>
    </w:p>
    <w:p>
      <w:pPr>
        <w:pStyle w:val="Heading5"/>
      </w:pPr>
      <w:bookmarkStart w:id="227" w:name="_Toc161906976"/>
      <w:r>
        <w:rPr>
          <w:rStyle w:val="CharSectno"/>
        </w:rPr>
        <w:t>110Q</w:t>
      </w:r>
      <w:r>
        <w:t>.</w:t>
      </w:r>
      <w:r>
        <w:tab/>
        <w:t>Formal requirements</w:t>
      </w:r>
      <w:bookmarkEnd w:id="227"/>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keepNext/>
      </w:pPr>
      <w:r>
        <w:lastRenderedPageBreak/>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r>
        <w:tab/>
        <w:t>[Section 110Q inserted: No. 25 of 2008 s. 11.]</w:t>
      </w:r>
    </w:p>
    <w:p>
      <w:pPr>
        <w:pStyle w:val="Heading5"/>
      </w:pPr>
      <w:bookmarkStart w:id="228" w:name="_Toc161906977"/>
      <w:r>
        <w:rPr>
          <w:rStyle w:val="CharSectno"/>
        </w:rPr>
        <w:t>110QA</w:t>
      </w:r>
      <w:r>
        <w:t>.</w:t>
      </w:r>
      <w:r>
        <w:tab/>
        <w:t>Maker may indicate in directive whether advice obtained</w:t>
      </w:r>
      <w:bookmarkEnd w:id="228"/>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r>
        <w:tab/>
        <w:t>[Section 110QA inserted: No. 25 of 2008 s. 11.]</w:t>
      </w:r>
    </w:p>
    <w:p>
      <w:pPr>
        <w:pStyle w:val="Heading5"/>
      </w:pPr>
      <w:bookmarkStart w:id="229" w:name="_Toc161906978"/>
      <w:r>
        <w:rPr>
          <w:rStyle w:val="CharSectno"/>
        </w:rPr>
        <w:t>110R</w:t>
      </w:r>
      <w:r>
        <w:t>.</w:t>
      </w:r>
      <w:r>
        <w:tab/>
        <w:t>Requirements in relation to treatment decision in advance health directive</w:t>
      </w:r>
      <w:bookmarkEnd w:id="229"/>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lastRenderedPageBreak/>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r>
        <w:tab/>
        <w:t>[Section 110R inserted: No. 25 of 2008 s. 11.]</w:t>
      </w:r>
    </w:p>
    <w:p>
      <w:pPr>
        <w:pStyle w:val="Ednotesection"/>
        <w:ind w:left="890" w:hanging="890"/>
      </w:pPr>
      <w:r>
        <w:t>[</w:t>
      </w:r>
      <w:r>
        <w:rPr>
          <w:b/>
          <w:bCs/>
        </w:rPr>
        <w:t>110RA.</w:t>
      </w:r>
      <w:r>
        <w:tab/>
        <w:t>Has not come into operation.]</w:t>
      </w:r>
    </w:p>
    <w:p>
      <w:pPr>
        <w:pStyle w:val="Heading3"/>
      </w:pPr>
      <w:bookmarkStart w:id="230" w:name="_Toc161843297"/>
      <w:bookmarkStart w:id="231" w:name="_Toc161845998"/>
      <w:bookmarkStart w:id="232" w:name="_Toc161906979"/>
      <w:r>
        <w:rPr>
          <w:rStyle w:val="CharDivNo"/>
        </w:rPr>
        <w:t>Division 2</w:t>
      </w:r>
      <w:r>
        <w:t> — </w:t>
      </w:r>
      <w:r>
        <w:rPr>
          <w:rStyle w:val="CharDivText"/>
        </w:rPr>
        <w:t>Operation of advance health directive</w:t>
      </w:r>
      <w:bookmarkEnd w:id="230"/>
      <w:bookmarkEnd w:id="231"/>
      <w:bookmarkEnd w:id="232"/>
    </w:p>
    <w:p>
      <w:pPr>
        <w:pStyle w:val="Footnoteheading"/>
      </w:pPr>
      <w:r>
        <w:tab/>
        <w:t>[Heading inserted: No. 25 of 2008 s. 11.]</w:t>
      </w:r>
    </w:p>
    <w:p>
      <w:pPr>
        <w:pStyle w:val="Heading5"/>
      </w:pPr>
      <w:bookmarkStart w:id="233" w:name="_Toc161906980"/>
      <w:r>
        <w:rPr>
          <w:rStyle w:val="CharSectno"/>
        </w:rPr>
        <w:t>110S</w:t>
      </w:r>
      <w:r>
        <w:t>.</w:t>
      </w:r>
      <w:r>
        <w:tab/>
        <w:t>Operation generally</w:t>
      </w:r>
      <w:bookmarkEnd w:id="233"/>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lastRenderedPageBreak/>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keepNext/>
        <w:keepLines/>
      </w:pPr>
      <w:r>
        <w:lastRenderedPageBreak/>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r>
        <w:tab/>
        <w:t>[Section 110S inserted: No. 25 of 2008 s. 11.]</w:t>
      </w:r>
    </w:p>
    <w:p>
      <w:pPr>
        <w:pStyle w:val="Heading5"/>
      </w:pPr>
      <w:bookmarkStart w:id="234" w:name="_Toc161906981"/>
      <w:r>
        <w:rPr>
          <w:rStyle w:val="CharSectno"/>
        </w:rPr>
        <w:t>110T</w:t>
      </w:r>
      <w:r>
        <w:t>.</w:t>
      </w:r>
      <w:r>
        <w:tab/>
        <w:t>Effect of subsequent enduring power of guardianship</w:t>
      </w:r>
      <w:bookmarkEnd w:id="234"/>
    </w:p>
    <w:p>
      <w:pPr>
        <w:pStyle w:val="Subsection"/>
        <w:keepNext/>
      </w:pPr>
      <w:r>
        <w:tab/>
      </w:r>
      <w:r>
        <w:tab/>
        <w:t xml:space="preserve">For the purposes of this Act — </w:t>
      </w:r>
    </w:p>
    <w:p>
      <w:pPr>
        <w:pStyle w:val="Indenta"/>
        <w:keepNext/>
      </w:pPr>
      <w:r>
        <w:tab/>
        <w:t>(a)</w:t>
      </w:r>
      <w:r>
        <w:tab/>
        <w:t>a treatment decision in an advance health directive is not taken to have been revoked; and</w:t>
      </w:r>
    </w:p>
    <w:p>
      <w:pPr>
        <w:pStyle w:val="Indenta"/>
        <w:keepNext/>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r>
        <w:tab/>
        <w:t>[Section 110T inserted: No. 25 of 2008 s. 11.]</w:t>
      </w:r>
    </w:p>
    <w:p>
      <w:pPr>
        <w:pStyle w:val="Heading5"/>
      </w:pPr>
      <w:bookmarkStart w:id="235" w:name="_Toc146789189"/>
      <w:bookmarkStart w:id="236" w:name="_Toc161906982"/>
      <w:r>
        <w:rPr>
          <w:rStyle w:val="CharSectno"/>
        </w:rPr>
        <w:t>110U</w:t>
      </w:r>
      <w:r>
        <w:t>.</w:t>
      </w:r>
      <w:r>
        <w:tab/>
        <w:t>Priority of treatment decision in advance health directive</w:t>
      </w:r>
      <w:bookmarkEnd w:id="235"/>
      <w:bookmarkEnd w:id="236"/>
    </w:p>
    <w:p>
      <w:pPr>
        <w:pStyle w:val="Subsection"/>
      </w:pPr>
      <w:r>
        <w:tab/>
      </w:r>
      <w:r>
        <w:tab/>
        <w:t xml:space="preserve">The priority to be given to a treatment decision in an advance health directive is determined — </w:t>
      </w:r>
    </w:p>
    <w:p>
      <w:pPr>
        <w:pStyle w:val="Indenta"/>
      </w:pPr>
      <w:r>
        <w:tab/>
        <w:t>(a)</w:t>
      </w:r>
      <w:r>
        <w:tab/>
        <w:t>in the case of a treatment decision in respect of treatment other than the performance of an abortion on the maker of the directive — in accordance with section 110ZJ; or</w:t>
      </w:r>
    </w:p>
    <w:p>
      <w:pPr>
        <w:pStyle w:val="Indenta"/>
      </w:pPr>
      <w:r>
        <w:tab/>
        <w:t>(b)</w:t>
      </w:r>
      <w:r>
        <w:tab/>
        <w:t>in the case of a treatment decision in respect of the performance of an abortion on the maker of the directive — in accordance with section 110ZLA.</w:t>
      </w:r>
    </w:p>
    <w:p>
      <w:pPr>
        <w:pStyle w:val="Footnotesection"/>
      </w:pPr>
      <w:r>
        <w:tab/>
        <w:t>[Section 110U inserted: No. 20 of 2023 s. 42.]</w:t>
      </w:r>
    </w:p>
    <w:p>
      <w:pPr>
        <w:pStyle w:val="Heading3"/>
      </w:pPr>
      <w:bookmarkStart w:id="237" w:name="_Toc161843301"/>
      <w:bookmarkStart w:id="238" w:name="_Toc161846002"/>
      <w:bookmarkStart w:id="239" w:name="_Toc161906983"/>
      <w:r>
        <w:rPr>
          <w:rStyle w:val="CharDivNo"/>
        </w:rPr>
        <w:lastRenderedPageBreak/>
        <w:t>Division 3</w:t>
      </w:r>
      <w:r>
        <w:t> — </w:t>
      </w:r>
      <w:r>
        <w:rPr>
          <w:rStyle w:val="CharDivText"/>
        </w:rPr>
        <w:t>Jurisdiction of State Administrative Tribunal</w:t>
      </w:r>
      <w:bookmarkEnd w:id="237"/>
      <w:bookmarkEnd w:id="238"/>
      <w:bookmarkEnd w:id="239"/>
    </w:p>
    <w:p>
      <w:pPr>
        <w:pStyle w:val="Footnoteheading"/>
        <w:keepNext/>
      </w:pPr>
      <w:r>
        <w:tab/>
        <w:t>[Heading inserted: No. 25 of 2008 s. 11.]</w:t>
      </w:r>
    </w:p>
    <w:p>
      <w:pPr>
        <w:pStyle w:val="Heading5"/>
      </w:pPr>
      <w:bookmarkStart w:id="240" w:name="_Toc161906984"/>
      <w:r>
        <w:rPr>
          <w:rStyle w:val="CharSectno"/>
        </w:rPr>
        <w:t>110V</w:t>
      </w:r>
      <w:r>
        <w:t>.</w:t>
      </w:r>
      <w:r>
        <w:tab/>
        <w:t>Who may apply</w:t>
      </w:r>
      <w:bookmarkEnd w:id="240"/>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110V inserted: No. 25 of 2008 s. 11.]</w:t>
      </w:r>
    </w:p>
    <w:p>
      <w:pPr>
        <w:pStyle w:val="Heading5"/>
      </w:pPr>
      <w:bookmarkStart w:id="241" w:name="_Toc161906985"/>
      <w:r>
        <w:rPr>
          <w:rStyle w:val="CharSectno"/>
        </w:rPr>
        <w:t>110W</w:t>
      </w:r>
      <w:r>
        <w:t>.</w:t>
      </w:r>
      <w:r>
        <w:tab/>
        <w:t>Declaration about validity of directive or treatment decision</w:t>
      </w:r>
      <w:bookmarkEnd w:id="241"/>
    </w:p>
    <w:p>
      <w:pPr>
        <w:pStyle w:val="Subsection"/>
        <w:keepNext/>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r>
        <w:tab/>
        <w:t>[Section 110W inserted: No. 25 of 2008 s. 11.]</w:t>
      </w:r>
    </w:p>
    <w:p>
      <w:pPr>
        <w:pStyle w:val="Heading5"/>
      </w:pPr>
      <w:bookmarkStart w:id="242" w:name="_Toc161906986"/>
      <w:r>
        <w:rPr>
          <w:rStyle w:val="CharSectno"/>
        </w:rPr>
        <w:t>110X</w:t>
      </w:r>
      <w:r>
        <w:t>.</w:t>
      </w:r>
      <w:r>
        <w:tab/>
        <w:t>Declaration of incapacity of maker</w:t>
      </w:r>
      <w:bookmarkEnd w:id="242"/>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110X inserted: No. 25 of 2008 s. 11.]</w:t>
      </w:r>
    </w:p>
    <w:p>
      <w:pPr>
        <w:pStyle w:val="Heading5"/>
      </w:pPr>
      <w:bookmarkStart w:id="243" w:name="_Toc161906987"/>
      <w:r>
        <w:rPr>
          <w:rStyle w:val="CharSectno"/>
        </w:rPr>
        <w:lastRenderedPageBreak/>
        <w:t>110Y</w:t>
      </w:r>
      <w:r>
        <w:t>.</w:t>
      </w:r>
      <w:r>
        <w:tab/>
        <w:t>Directions as to construction of terms etc.</w:t>
      </w:r>
      <w:bookmarkEnd w:id="243"/>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r>
        <w:tab/>
        <w:t>[Section 110Y inserted: No. 25 of 2008 s. 11.]</w:t>
      </w:r>
    </w:p>
    <w:p>
      <w:pPr>
        <w:pStyle w:val="Heading5"/>
      </w:pPr>
      <w:bookmarkStart w:id="244" w:name="_Toc161906988"/>
      <w:r>
        <w:rPr>
          <w:rStyle w:val="CharSectno"/>
        </w:rPr>
        <w:t>110Z</w:t>
      </w:r>
      <w:r>
        <w:t>.</w:t>
      </w:r>
      <w:r>
        <w:tab/>
        <w:t>Declaration that treatment decision has been revoked</w:t>
      </w:r>
      <w:bookmarkEnd w:id="244"/>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r>
        <w:tab/>
        <w:t>[Section 110Z inserted: No. 25 of 2008 s. 11.]</w:t>
      </w:r>
    </w:p>
    <w:p>
      <w:pPr>
        <w:pStyle w:val="Heading5"/>
      </w:pPr>
      <w:bookmarkStart w:id="245" w:name="_Toc161906989"/>
      <w:r>
        <w:rPr>
          <w:rStyle w:val="CharSectno"/>
        </w:rPr>
        <w:t>110ZA</w:t>
      </w:r>
      <w:r>
        <w:t>.</w:t>
      </w:r>
      <w:r>
        <w:tab/>
        <w:t>Recognition of instrument created in another jurisdiction</w:t>
      </w:r>
      <w:bookmarkEnd w:id="245"/>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r>
        <w:tab/>
        <w:t>[Section 110ZA inserted: No. 25 of 2008 s. 11.]</w:t>
      </w:r>
    </w:p>
    <w:p>
      <w:pPr>
        <w:pStyle w:val="Heading3"/>
      </w:pPr>
      <w:bookmarkStart w:id="246" w:name="_Toc161843308"/>
      <w:bookmarkStart w:id="247" w:name="_Toc161846009"/>
      <w:bookmarkStart w:id="248" w:name="_Toc161906990"/>
      <w:r>
        <w:rPr>
          <w:rStyle w:val="CharDivNo"/>
        </w:rPr>
        <w:lastRenderedPageBreak/>
        <w:t>Division 4</w:t>
      </w:r>
      <w:r>
        <w:t> — </w:t>
      </w:r>
      <w:r>
        <w:rPr>
          <w:rStyle w:val="CharDivText"/>
        </w:rPr>
        <w:t>Miscellaneous matters</w:t>
      </w:r>
      <w:bookmarkEnd w:id="246"/>
      <w:bookmarkEnd w:id="247"/>
      <w:bookmarkEnd w:id="248"/>
    </w:p>
    <w:p>
      <w:pPr>
        <w:pStyle w:val="Footnoteheading"/>
        <w:keepNext/>
      </w:pPr>
      <w:r>
        <w:tab/>
        <w:t>[Heading inserted: No. 25 of 2008 s. 11.]</w:t>
      </w:r>
    </w:p>
    <w:p>
      <w:pPr>
        <w:pStyle w:val="Ednotesection"/>
      </w:pPr>
      <w:r>
        <w:t>[</w:t>
      </w:r>
      <w:r>
        <w:rPr>
          <w:b/>
          <w:bCs/>
        </w:rPr>
        <w:t>110ZAA, 110ZAB, 110ZAC.</w:t>
      </w:r>
      <w:r>
        <w:rPr>
          <w:b/>
          <w:bCs/>
        </w:rPr>
        <w:tab/>
      </w:r>
      <w:r>
        <w:tab/>
        <w:t>Have not come into operation.]</w:t>
      </w:r>
    </w:p>
    <w:p>
      <w:pPr>
        <w:pStyle w:val="Heading5"/>
      </w:pPr>
      <w:bookmarkStart w:id="249" w:name="_Toc161906991"/>
      <w:r>
        <w:rPr>
          <w:rStyle w:val="CharSectno"/>
        </w:rPr>
        <w:t>110ZB</w:t>
      </w:r>
      <w:r>
        <w:t>.</w:t>
      </w:r>
      <w:r>
        <w:tab/>
        <w:t>Common law preserved</w:t>
      </w:r>
      <w:bookmarkEnd w:id="249"/>
    </w:p>
    <w:p>
      <w:pPr>
        <w:pStyle w:val="Subsection"/>
      </w:pPr>
      <w:r>
        <w:tab/>
      </w:r>
      <w:r>
        <w:tab/>
        <w:t>This Part does not affect the common law relating to a person’s entitlement to make treatment decisions in respect of the person’s future treatment.</w:t>
      </w:r>
    </w:p>
    <w:p>
      <w:pPr>
        <w:pStyle w:val="Footnotesection"/>
      </w:pPr>
      <w:r>
        <w:tab/>
        <w:t>[Section 110ZB inserted: No. 25 of 2008 s. 11.]</w:t>
      </w:r>
    </w:p>
    <w:p>
      <w:pPr>
        <w:pStyle w:val="Heading2"/>
      </w:pPr>
      <w:bookmarkStart w:id="250" w:name="_Toc161843310"/>
      <w:bookmarkStart w:id="251" w:name="_Toc161846011"/>
      <w:bookmarkStart w:id="252" w:name="_Toc161906992"/>
      <w:r>
        <w:rPr>
          <w:rStyle w:val="CharPartNo"/>
        </w:rPr>
        <w:lastRenderedPageBreak/>
        <w:t>Part 9C</w:t>
      </w:r>
      <w:r>
        <w:rPr>
          <w:b w:val="0"/>
        </w:rPr>
        <w:t> </w:t>
      </w:r>
      <w:r>
        <w:t>—</w:t>
      </w:r>
      <w:r>
        <w:rPr>
          <w:b w:val="0"/>
        </w:rPr>
        <w:t> </w:t>
      </w:r>
      <w:r>
        <w:rPr>
          <w:rStyle w:val="CharPartText"/>
        </w:rPr>
        <w:t>Persons responsible for patients</w:t>
      </w:r>
      <w:bookmarkEnd w:id="250"/>
      <w:bookmarkEnd w:id="251"/>
      <w:bookmarkEnd w:id="252"/>
    </w:p>
    <w:p>
      <w:pPr>
        <w:pStyle w:val="Footnoteheading"/>
      </w:pPr>
      <w:r>
        <w:tab/>
        <w:t>[Heading inserted: No. 25 of 2008 s. 11.]</w:t>
      </w:r>
    </w:p>
    <w:p>
      <w:pPr>
        <w:pStyle w:val="Heading3"/>
      </w:pPr>
      <w:bookmarkStart w:id="253" w:name="_Toc161843311"/>
      <w:bookmarkStart w:id="254" w:name="_Toc161846012"/>
      <w:bookmarkStart w:id="255" w:name="_Toc161906993"/>
      <w:r>
        <w:rPr>
          <w:rStyle w:val="CharDivNo"/>
        </w:rPr>
        <w:t>Division 1</w:t>
      </w:r>
      <w:r>
        <w:t> — </w:t>
      </w:r>
      <w:r>
        <w:rPr>
          <w:rStyle w:val="CharDivText"/>
        </w:rPr>
        <w:t>Preliminary matters</w:t>
      </w:r>
      <w:bookmarkEnd w:id="253"/>
      <w:bookmarkEnd w:id="254"/>
      <w:bookmarkEnd w:id="255"/>
    </w:p>
    <w:p>
      <w:pPr>
        <w:pStyle w:val="Footnoteheading"/>
      </w:pPr>
      <w:r>
        <w:tab/>
        <w:t>[Heading inserted: No. 25 of 2008 s. 11.]</w:t>
      </w:r>
    </w:p>
    <w:p>
      <w:pPr>
        <w:pStyle w:val="Heading5"/>
      </w:pPr>
      <w:bookmarkStart w:id="256" w:name="_Toc161906994"/>
      <w:r>
        <w:rPr>
          <w:rStyle w:val="CharSectno"/>
        </w:rPr>
        <w:t>110ZC</w:t>
      </w:r>
      <w:r>
        <w:t>.</w:t>
      </w:r>
      <w:r>
        <w:tab/>
      </w:r>
      <w:r>
        <w:rPr>
          <w:szCs w:val="22"/>
        </w:rPr>
        <w:t>Term used: patient</w:t>
      </w:r>
      <w:bookmarkEnd w:id="256"/>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r>
        <w:tab/>
        <w:t>[Section 110ZC inserted: No. 25 of 2008 s. 11.]</w:t>
      </w:r>
    </w:p>
    <w:p>
      <w:pPr>
        <w:pStyle w:val="Heading3"/>
      </w:pPr>
      <w:bookmarkStart w:id="257" w:name="_Toc161843313"/>
      <w:bookmarkStart w:id="258" w:name="_Toc161846014"/>
      <w:bookmarkStart w:id="259" w:name="_Toc161906995"/>
      <w:r>
        <w:rPr>
          <w:rStyle w:val="CharDivNo"/>
        </w:rPr>
        <w:t>Division 2</w:t>
      </w:r>
      <w:r>
        <w:t> — </w:t>
      </w:r>
      <w:r>
        <w:rPr>
          <w:rStyle w:val="CharDivText"/>
        </w:rPr>
        <w:t>Treatment decisions by persons responsible for patients</w:t>
      </w:r>
      <w:bookmarkEnd w:id="257"/>
      <w:bookmarkEnd w:id="258"/>
      <w:bookmarkEnd w:id="259"/>
    </w:p>
    <w:p>
      <w:pPr>
        <w:pStyle w:val="Footnoteheading"/>
      </w:pPr>
      <w:r>
        <w:tab/>
        <w:t>[Heading inserted: No. 25 of 2008 s. 11.]</w:t>
      </w:r>
    </w:p>
    <w:p>
      <w:pPr>
        <w:pStyle w:val="Heading5"/>
      </w:pPr>
      <w:bookmarkStart w:id="260" w:name="_Toc161906996"/>
      <w:r>
        <w:rPr>
          <w:rStyle w:val="CharSectno"/>
        </w:rPr>
        <w:t>110ZD</w:t>
      </w:r>
      <w:r>
        <w:t>.</w:t>
      </w:r>
      <w:r>
        <w:tab/>
        <w:t>Circumstances in which person responsible may make treatment decision</w:t>
      </w:r>
      <w:bookmarkEnd w:id="260"/>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lastRenderedPageBreak/>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lastRenderedPageBreak/>
        <w:tab/>
        <w:t>(6A)</w:t>
      </w:r>
      <w:r>
        <w:tab/>
        <w:t>The person responsible for the patient cannot make a treatment decision in respect of the performance of an abortion on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r>
        <w:tab/>
        <w:t>[Section 110ZD inserted: No. 25 of 2008 s. 11; amended: No. 20 of 2023 s. 43.]</w:t>
      </w:r>
    </w:p>
    <w:p>
      <w:pPr>
        <w:pStyle w:val="Heading5"/>
      </w:pPr>
      <w:bookmarkStart w:id="261" w:name="_Toc161906997"/>
      <w:r>
        <w:rPr>
          <w:rStyle w:val="CharSectno"/>
        </w:rPr>
        <w:t>110ZE</w:t>
      </w:r>
      <w:r>
        <w:t>.</w:t>
      </w:r>
      <w:r>
        <w:tab/>
        <w:t>Priority of treatment decision of person responsible</w:t>
      </w:r>
      <w:bookmarkEnd w:id="261"/>
    </w:p>
    <w:p>
      <w:pPr>
        <w:pStyle w:val="Subsection"/>
      </w:pPr>
      <w:r>
        <w:tab/>
      </w:r>
      <w:r>
        <w:tab/>
        <w:t>The priority to be given to a treatment decision of a person responsible for a patient under section 110ZD is determined in accordance with section 110ZJ.</w:t>
      </w:r>
    </w:p>
    <w:p>
      <w:pPr>
        <w:pStyle w:val="Footnotesection"/>
      </w:pPr>
      <w:r>
        <w:tab/>
        <w:t>[Section 110ZE inserted: No. 25 of 2008 s. 11.]</w:t>
      </w:r>
    </w:p>
    <w:p>
      <w:pPr>
        <w:pStyle w:val="Heading3"/>
      </w:pPr>
      <w:bookmarkStart w:id="262" w:name="_Toc161843316"/>
      <w:bookmarkStart w:id="263" w:name="_Toc161846017"/>
      <w:bookmarkStart w:id="264" w:name="_Toc161906998"/>
      <w:r>
        <w:rPr>
          <w:rStyle w:val="CharDivNo"/>
        </w:rPr>
        <w:t>Division 3</w:t>
      </w:r>
      <w:r>
        <w:t> — </w:t>
      </w:r>
      <w:r>
        <w:rPr>
          <w:rStyle w:val="CharDivText"/>
        </w:rPr>
        <w:t>Jurisdiction of State Administrative Tribunal</w:t>
      </w:r>
      <w:bookmarkEnd w:id="262"/>
      <w:bookmarkEnd w:id="263"/>
      <w:bookmarkEnd w:id="264"/>
    </w:p>
    <w:p>
      <w:pPr>
        <w:pStyle w:val="Footnoteheading"/>
      </w:pPr>
      <w:r>
        <w:tab/>
        <w:t>[Heading inserted: No. 25 of 2008 s. 11.]</w:t>
      </w:r>
    </w:p>
    <w:p>
      <w:pPr>
        <w:pStyle w:val="Heading5"/>
      </w:pPr>
      <w:bookmarkStart w:id="265" w:name="_Toc161906999"/>
      <w:r>
        <w:rPr>
          <w:rStyle w:val="CharSectno"/>
        </w:rPr>
        <w:t>110ZF</w:t>
      </w:r>
      <w:r>
        <w:t>.</w:t>
      </w:r>
      <w:r>
        <w:tab/>
        <w:t>Who may apply</w:t>
      </w:r>
      <w:bookmarkEnd w:id="265"/>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110ZF inserted: No. 25 of 2008 s. 11.]</w:t>
      </w:r>
    </w:p>
    <w:p>
      <w:pPr>
        <w:pStyle w:val="Heading5"/>
      </w:pPr>
      <w:bookmarkStart w:id="266" w:name="_Toc161907000"/>
      <w:r>
        <w:rPr>
          <w:rStyle w:val="CharSectno"/>
        </w:rPr>
        <w:lastRenderedPageBreak/>
        <w:t>110ZG</w:t>
      </w:r>
      <w:r>
        <w:t>.</w:t>
      </w:r>
      <w:r>
        <w:tab/>
        <w:t>Declaration that person responsible may make treatment decision</w:t>
      </w:r>
      <w:bookmarkEnd w:id="266"/>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110ZG inserted: No. 25 of 2008 s. 11.]</w:t>
      </w:r>
    </w:p>
    <w:p>
      <w:pPr>
        <w:pStyle w:val="Heading2"/>
      </w:pPr>
      <w:bookmarkStart w:id="267" w:name="_Toc161843319"/>
      <w:bookmarkStart w:id="268" w:name="_Toc161846020"/>
      <w:bookmarkStart w:id="269" w:name="_Toc161907001"/>
      <w:r>
        <w:rPr>
          <w:rStyle w:val="CharPartNo"/>
        </w:rPr>
        <w:lastRenderedPageBreak/>
        <w:t>Part 9D</w:t>
      </w:r>
      <w:r>
        <w:rPr>
          <w:b w:val="0"/>
        </w:rPr>
        <w:t> </w:t>
      </w:r>
      <w:r>
        <w:t>—</w:t>
      </w:r>
      <w:r>
        <w:rPr>
          <w:b w:val="0"/>
        </w:rPr>
        <w:t> </w:t>
      </w:r>
      <w:r>
        <w:rPr>
          <w:rStyle w:val="CharPartText"/>
        </w:rPr>
        <w:t>Treatment decisions in relation to patients under legal incapacity</w:t>
      </w:r>
      <w:bookmarkEnd w:id="267"/>
      <w:bookmarkEnd w:id="268"/>
      <w:bookmarkEnd w:id="269"/>
    </w:p>
    <w:p>
      <w:pPr>
        <w:pStyle w:val="Footnoteheading"/>
      </w:pPr>
      <w:r>
        <w:tab/>
        <w:t>[Heading inserted: No. 25 of 2008 s. 11.]</w:t>
      </w:r>
    </w:p>
    <w:p>
      <w:pPr>
        <w:pStyle w:val="Heading3"/>
      </w:pPr>
      <w:bookmarkStart w:id="270" w:name="_Toc161843320"/>
      <w:bookmarkStart w:id="271" w:name="_Toc161846021"/>
      <w:bookmarkStart w:id="272" w:name="_Toc161907002"/>
      <w:r>
        <w:rPr>
          <w:rStyle w:val="CharDivNo"/>
        </w:rPr>
        <w:t>Division 1</w:t>
      </w:r>
      <w:r>
        <w:t> — </w:t>
      </w:r>
      <w:r>
        <w:rPr>
          <w:rStyle w:val="CharDivText"/>
        </w:rPr>
        <w:t>Preliminary matters</w:t>
      </w:r>
      <w:bookmarkEnd w:id="270"/>
      <w:bookmarkEnd w:id="271"/>
      <w:bookmarkEnd w:id="272"/>
    </w:p>
    <w:p>
      <w:pPr>
        <w:pStyle w:val="Footnoteheading"/>
      </w:pPr>
      <w:r>
        <w:tab/>
        <w:t>[Heading inserted: No. 25 of 2008 s. 11.]</w:t>
      </w:r>
    </w:p>
    <w:p>
      <w:pPr>
        <w:pStyle w:val="Heading5"/>
      </w:pPr>
      <w:bookmarkStart w:id="273" w:name="_Toc161907003"/>
      <w:r>
        <w:rPr>
          <w:rStyle w:val="CharSectno"/>
        </w:rPr>
        <w:t>110ZH</w:t>
      </w:r>
      <w:r>
        <w:t>.</w:t>
      </w:r>
      <w:r>
        <w:tab/>
        <w:t>Terms used</w:t>
      </w:r>
      <w:bookmarkEnd w:id="273"/>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tab/>
      </w:r>
      <w:r>
        <w:rPr>
          <w:rStyle w:val="CharDefText"/>
        </w:rPr>
        <w:t>urgent treatment</w:t>
      </w:r>
      <w:r>
        <w:t xml:space="preserve"> — </w:t>
      </w:r>
    </w:p>
    <w:p>
      <w:pPr>
        <w:pStyle w:val="Defpara"/>
      </w:pPr>
      <w:r>
        <w:tab/>
        <w:t>(a)</w:t>
      </w:r>
      <w:r>
        <w:tab/>
        <w:t xml:space="preserve">means treatment (other than the performance of an abortion) urgently needed by a patient — </w:t>
      </w:r>
    </w:p>
    <w:p>
      <w:pPr>
        <w:pStyle w:val="Defsubpara"/>
      </w:pPr>
      <w:r>
        <w:tab/>
        <w:t>(i)</w:t>
      </w:r>
      <w:r>
        <w:tab/>
        <w:t>to save the patient’s life; or</w:t>
      </w:r>
    </w:p>
    <w:p>
      <w:pPr>
        <w:pStyle w:val="Defsubpara"/>
      </w:pPr>
      <w:r>
        <w:tab/>
        <w:t>(ii)</w:t>
      </w:r>
      <w:r>
        <w:tab/>
        <w:t>to prevent serious damage to the patient’s health; or</w:t>
      </w:r>
    </w:p>
    <w:p>
      <w:pPr>
        <w:pStyle w:val="Defsubpara"/>
      </w:pPr>
      <w:r>
        <w:tab/>
        <w:t>(iii)</w:t>
      </w:r>
      <w:r>
        <w:tab/>
        <w:t>to prevent the patient from suffering or continuing to suffer significant pain or distress;</w:t>
      </w:r>
    </w:p>
    <w:p>
      <w:pPr>
        <w:pStyle w:val="Defpara"/>
      </w:pPr>
      <w:r>
        <w:tab/>
      </w:r>
      <w:r>
        <w:tab/>
        <w:t>and</w:t>
      </w:r>
    </w:p>
    <w:p>
      <w:pPr>
        <w:pStyle w:val="Defpara"/>
      </w:pPr>
      <w:r>
        <w:tab/>
        <w:t>(b)</w:t>
      </w:r>
      <w:r>
        <w:tab/>
        <w:t xml:space="preserve">includes the performance of an abortion on a patient if performing the abortion is urgently needed — </w:t>
      </w:r>
    </w:p>
    <w:p>
      <w:pPr>
        <w:pStyle w:val="Defsubpara"/>
      </w:pPr>
      <w:r>
        <w:tab/>
        <w:t>(i)</w:t>
      </w:r>
      <w:r>
        <w:tab/>
        <w:t>to save the patient’s life; or</w:t>
      </w:r>
    </w:p>
    <w:p>
      <w:pPr>
        <w:pStyle w:val="Defsubpara"/>
      </w:pPr>
      <w:r>
        <w:tab/>
        <w:t>(ii)</w:t>
      </w:r>
      <w:r>
        <w:tab/>
        <w:t>to prevent serious damage to the patient’s health; or</w:t>
      </w:r>
    </w:p>
    <w:p>
      <w:pPr>
        <w:pStyle w:val="Defsubpara"/>
      </w:pPr>
      <w:r>
        <w:tab/>
        <w:t>(iii)</w:t>
      </w:r>
      <w:r>
        <w:tab/>
        <w:t xml:space="preserve">to save another foetus, </w:t>
      </w:r>
    </w:p>
    <w:p>
      <w:pPr>
        <w:pStyle w:val="Defpara"/>
      </w:pPr>
      <w:r>
        <w:tab/>
      </w:r>
      <w:r>
        <w:tab/>
        <w:t>but</w:t>
      </w:r>
    </w:p>
    <w:p>
      <w:pPr>
        <w:pStyle w:val="Defpara"/>
      </w:pPr>
      <w:r>
        <w:lastRenderedPageBreak/>
        <w:tab/>
        <w:t>(c)</w:t>
      </w:r>
      <w:r>
        <w:tab/>
        <w:t xml:space="preserve">does not include — </w:t>
      </w:r>
    </w:p>
    <w:p>
      <w:pPr>
        <w:pStyle w:val="Defsubpara"/>
      </w:pPr>
      <w:r>
        <w:tab/>
        <w:t>(i)</w:t>
      </w:r>
      <w:r>
        <w:tab/>
        <w:t xml:space="preserve">psychiatric treatment, which is treatment as defined in the </w:t>
      </w:r>
      <w:r>
        <w:rPr>
          <w:i/>
        </w:rPr>
        <w:t>Mental Health Act 2014</w:t>
      </w:r>
      <w:r>
        <w:t xml:space="preserve"> section 4; or</w:t>
      </w:r>
    </w:p>
    <w:p>
      <w:pPr>
        <w:pStyle w:val="Defsubpara"/>
      </w:pPr>
      <w:r>
        <w:tab/>
        <w:t>(ii)</w:t>
      </w:r>
      <w:r>
        <w:tab/>
        <w:t>the sterilisation of the patient.</w:t>
      </w:r>
    </w:p>
    <w:p>
      <w:pPr>
        <w:pStyle w:val="Footnotesection"/>
      </w:pPr>
      <w:r>
        <w:tab/>
        <w:t>[Section 110ZH inserted: No. 25 of 2008 s. 11; amended: No. 25 of 2014 s. 21; No. 20 of 2023 s. 44.]</w:t>
      </w:r>
    </w:p>
    <w:p>
      <w:pPr>
        <w:pStyle w:val="Heading3"/>
        <w:keepLines/>
      </w:pPr>
      <w:bookmarkStart w:id="274" w:name="_Toc161843322"/>
      <w:bookmarkStart w:id="275" w:name="_Toc161846023"/>
      <w:bookmarkStart w:id="276" w:name="_Toc161907004"/>
      <w:r>
        <w:rPr>
          <w:rStyle w:val="CharDivNo"/>
        </w:rPr>
        <w:t>Division 2</w:t>
      </w:r>
      <w:r>
        <w:t> — </w:t>
      </w:r>
      <w:r>
        <w:rPr>
          <w:rStyle w:val="CharDivText"/>
        </w:rPr>
        <w:t>Provision of treatment</w:t>
      </w:r>
      <w:bookmarkEnd w:id="274"/>
      <w:bookmarkEnd w:id="275"/>
      <w:bookmarkEnd w:id="276"/>
    </w:p>
    <w:p>
      <w:pPr>
        <w:pStyle w:val="Footnoteheading"/>
        <w:keepNext/>
        <w:keepLines/>
      </w:pPr>
      <w:r>
        <w:tab/>
        <w:t>[Heading inserted: No. 25 of 2008 s. 11.]</w:t>
      </w:r>
    </w:p>
    <w:p>
      <w:pPr>
        <w:pStyle w:val="Heading4"/>
      </w:pPr>
      <w:bookmarkStart w:id="277" w:name="_Toc146789067"/>
      <w:bookmarkStart w:id="278" w:name="_Toc146789193"/>
      <w:bookmarkStart w:id="279" w:name="_Toc161846024"/>
      <w:bookmarkStart w:id="280" w:name="_Toc161907005"/>
      <w:r>
        <w:t>Subdivision 1 — Urgent treatment</w:t>
      </w:r>
      <w:bookmarkEnd w:id="277"/>
      <w:bookmarkEnd w:id="278"/>
      <w:bookmarkEnd w:id="279"/>
      <w:bookmarkEnd w:id="280"/>
    </w:p>
    <w:p>
      <w:pPr>
        <w:pStyle w:val="Footnoteheading"/>
        <w:keepNext/>
        <w:keepLines/>
      </w:pPr>
      <w:r>
        <w:tab/>
        <w:t>[Heading inserted: No. 20 of 2023 s. 45.]</w:t>
      </w:r>
    </w:p>
    <w:p>
      <w:pPr>
        <w:pStyle w:val="Heading5"/>
      </w:pPr>
      <w:bookmarkStart w:id="281" w:name="_Toc161907006"/>
      <w:r>
        <w:rPr>
          <w:rStyle w:val="CharSectno"/>
        </w:rPr>
        <w:t>110ZI</w:t>
      </w:r>
      <w:r>
        <w:t>.</w:t>
      </w:r>
      <w:r>
        <w:tab/>
        <w:t>Urgent treatment generally</w:t>
      </w:r>
      <w:bookmarkEnd w:id="281"/>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 xml:space="preserve">it is not practicable for the health professional to obtain — </w:t>
      </w:r>
    </w:p>
    <w:p>
      <w:pPr>
        <w:pStyle w:val="Indenti"/>
      </w:pPr>
      <w:r>
        <w:tab/>
        <w:t>(i)</w:t>
      </w:r>
      <w:r>
        <w:tab/>
        <w:t>in any case other than the performance of an abortion on the patient — a treatment decision in respect of the treatment from the patient’s guardian or enduring guardian or the person responsible for the patient under section 110ZD, as referred to in section 110ZJ; or</w:t>
      </w:r>
    </w:p>
    <w:p>
      <w:pPr>
        <w:pStyle w:val="Indenti"/>
      </w:pPr>
      <w:r>
        <w:lastRenderedPageBreak/>
        <w:tab/>
        <w:t>(ii)</w:t>
      </w:r>
      <w:r>
        <w:tab/>
        <w:t>in the case of the performance of an abortion on the patient — a decision of the State Administrative Tribunal under Division 3 Subdivision 2 in respect of the performance of the abortion, as referred to in section 110ZLA(3).</w:t>
      </w:r>
    </w:p>
    <w:p>
      <w:pPr>
        <w:pStyle w:val="Subsection"/>
      </w:pPr>
      <w:r>
        <w:tab/>
        <w:t>(2)</w:t>
      </w:r>
      <w:r>
        <w:tab/>
        <w:t xml:space="preserve">The health professional may provide the treatment to the patient — </w:t>
      </w:r>
    </w:p>
    <w:p>
      <w:pPr>
        <w:pStyle w:val="Indenta"/>
      </w:pPr>
      <w:r>
        <w:tab/>
        <w:t>(a)</w:t>
      </w:r>
      <w:r>
        <w:tab/>
        <w:t>in the case referred to in subsection (1)(d)(i) — in the absence of a treatment decision in relation to the patient from the patient’s guardian or enduring guardian or the person responsible for the patient; or</w:t>
      </w:r>
    </w:p>
    <w:p>
      <w:pPr>
        <w:pStyle w:val="Indenta"/>
      </w:pPr>
      <w:r>
        <w:tab/>
        <w:t>(b)</w:t>
      </w:r>
      <w:r>
        <w:tab/>
        <w:t>in the case referred to in subsection (1)(d)(ii) — in the absence of a decision of the State Administrative Tribunal under Division 3 Subdivision 2.</w:t>
      </w:r>
    </w:p>
    <w:p>
      <w:pPr>
        <w:pStyle w:val="Footnotesection"/>
      </w:pPr>
      <w:r>
        <w:tab/>
        <w:t>[Section 110ZI inserted: No. 25 of 2008 s. 11; amended: No. 20 of 2023 s. 46.]</w:t>
      </w:r>
    </w:p>
    <w:p>
      <w:pPr>
        <w:pStyle w:val="Heading5"/>
      </w:pPr>
      <w:bookmarkStart w:id="282" w:name="_Toc161907007"/>
      <w:r>
        <w:rPr>
          <w:rStyle w:val="CharSectno"/>
        </w:rPr>
        <w:t>110ZIA</w:t>
      </w:r>
      <w:r>
        <w:t>.</w:t>
      </w:r>
      <w:r>
        <w:tab/>
        <w:t>Urgent treatment after attempted suicide</w:t>
      </w:r>
      <w:bookmarkEnd w:id="282"/>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keepNext/>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lastRenderedPageBreak/>
        <w:tab/>
        <w:t>(b)</w:t>
      </w:r>
      <w:r>
        <w:tab/>
        <w:t>the patient’s guardian or enduring guardian or the person responsible for the patient under section 110ZD having made such a treatment decision in relation to the patient.</w:t>
      </w:r>
    </w:p>
    <w:p>
      <w:pPr>
        <w:pStyle w:val="Footnotesection"/>
      </w:pPr>
      <w:r>
        <w:tab/>
        <w:t>[Section 110ZIA inserted: No. 25 of 2008 s. 11.]</w:t>
      </w:r>
    </w:p>
    <w:p>
      <w:pPr>
        <w:pStyle w:val="Heading4"/>
      </w:pPr>
      <w:bookmarkStart w:id="283" w:name="_Toc146789070"/>
      <w:bookmarkStart w:id="284" w:name="_Toc146789196"/>
      <w:bookmarkStart w:id="285" w:name="_Toc161846027"/>
      <w:bookmarkStart w:id="286" w:name="_Toc161907008"/>
      <w:r>
        <w:t>Subdivision 2 — Other treatment</w:t>
      </w:r>
      <w:bookmarkEnd w:id="283"/>
      <w:bookmarkEnd w:id="284"/>
      <w:bookmarkEnd w:id="285"/>
      <w:bookmarkEnd w:id="286"/>
    </w:p>
    <w:p>
      <w:pPr>
        <w:pStyle w:val="Footnoteheading"/>
        <w:keepNext/>
        <w:keepLines/>
      </w:pPr>
      <w:r>
        <w:tab/>
        <w:t>[Heading inserted: No. 20 of 2023 s. 47.]</w:t>
      </w:r>
    </w:p>
    <w:p>
      <w:pPr>
        <w:pStyle w:val="Heading5"/>
      </w:pPr>
      <w:bookmarkStart w:id="287" w:name="_Toc146789198"/>
      <w:bookmarkStart w:id="288" w:name="_Toc161907009"/>
      <w:r>
        <w:rPr>
          <w:rStyle w:val="CharSectno"/>
        </w:rPr>
        <w:t>110ZIB</w:t>
      </w:r>
      <w:r>
        <w:t>.</w:t>
      </w:r>
      <w:r>
        <w:tab/>
        <w:t>Application of Subdivision</w:t>
      </w:r>
      <w:bookmarkEnd w:id="287"/>
      <w:bookmarkEnd w:id="288"/>
    </w:p>
    <w:p>
      <w:pPr>
        <w:pStyle w:val="Subsection"/>
      </w:pPr>
      <w:r>
        <w:tab/>
      </w:r>
      <w:r>
        <w:tab/>
        <w:t>This Subdivision does not apply to the performance of an abortion on a patient.</w:t>
      </w:r>
    </w:p>
    <w:p>
      <w:pPr>
        <w:pStyle w:val="Footnotesection"/>
      </w:pPr>
      <w:r>
        <w:tab/>
        <w:t>[Section 110ZIB inserted: No. 20 of 2023 s. 48.]</w:t>
      </w:r>
    </w:p>
    <w:p>
      <w:pPr>
        <w:pStyle w:val="Heading5"/>
      </w:pPr>
      <w:bookmarkStart w:id="289" w:name="_Toc161907010"/>
      <w:r>
        <w:rPr>
          <w:rStyle w:val="CharSectno"/>
        </w:rPr>
        <w:t>110ZJ</w:t>
      </w:r>
      <w:r>
        <w:t>.</w:t>
      </w:r>
      <w:r>
        <w:tab/>
        <w:t>Order of priority of persons who may make treatment decision in relation to patient</w:t>
      </w:r>
      <w:bookmarkEnd w:id="289"/>
    </w:p>
    <w:p>
      <w:pPr>
        <w:pStyle w:val="Subsection"/>
      </w:pPr>
      <w:r>
        <w:tab/>
        <w:t>(1)</w:t>
      </w:r>
      <w:r>
        <w:tab/>
        <w:t>Subject to Subdivision 1 and section 110ZIB,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lastRenderedPageBreak/>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r>
        <w:tab/>
        <w:t>[Section 110ZJ inserted: No. 25 of 2008 s. 11; amended: No. 20 of 2023 s. 49.]</w:t>
      </w:r>
    </w:p>
    <w:p>
      <w:pPr>
        <w:pStyle w:val="Heading5"/>
        <w:spacing w:before="180"/>
      </w:pPr>
      <w:bookmarkStart w:id="290" w:name="_Toc161907011"/>
      <w:r>
        <w:rPr>
          <w:rStyle w:val="CharSectno"/>
        </w:rPr>
        <w:t>110ZK</w:t>
      </w:r>
      <w:r>
        <w:t>.</w:t>
      </w:r>
      <w:r>
        <w:tab/>
        <w:t>Reliance by health professional on treatment decision</w:t>
      </w:r>
      <w:bookmarkEnd w:id="290"/>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keepNext/>
      </w:pPr>
      <w:r>
        <w:lastRenderedPageBreak/>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 xml:space="preserve">whether the health professional sighted any written evidence that some other health professional had </w:t>
      </w:r>
      <w:r>
        <w:rPr>
          <w:szCs w:val="22"/>
        </w:rPr>
        <w:lastRenderedPageBreak/>
        <w:t>ascertained that the treatment action was in accordance with the treatment decision;</w:t>
      </w:r>
    </w:p>
    <w:p>
      <w:pPr>
        <w:pStyle w:val="Indenta"/>
      </w:pPr>
      <w:r>
        <w:tab/>
        <w:t>(b)</w:t>
      </w:r>
      <w:r>
        <w:tab/>
        <w:t>anything else relevant to the determination.</w:t>
      </w:r>
    </w:p>
    <w:p>
      <w:pPr>
        <w:pStyle w:val="Footnotesection"/>
      </w:pPr>
      <w:r>
        <w:tab/>
        <w:t>[Section 110ZK inserted: No. 25 of 2008 s. 11.]</w:t>
      </w:r>
    </w:p>
    <w:p>
      <w:pPr>
        <w:pStyle w:val="Heading5"/>
      </w:pPr>
      <w:bookmarkStart w:id="291" w:name="_Toc161907012"/>
      <w:r>
        <w:rPr>
          <w:rStyle w:val="CharSectno"/>
        </w:rPr>
        <w:t>110ZL</w:t>
      </w:r>
      <w:r>
        <w:t>.</w:t>
      </w:r>
      <w:r>
        <w:tab/>
        <w:t>Validity of certain treatment decisions</w:t>
      </w:r>
      <w:bookmarkEnd w:id="291"/>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r>
        <w:tab/>
        <w:t>[Section 110ZL inserted: No. 25 of 2008 s. 11.]</w:t>
      </w:r>
    </w:p>
    <w:p>
      <w:pPr>
        <w:pStyle w:val="Heading4"/>
      </w:pPr>
      <w:bookmarkStart w:id="292" w:name="_Toc146789075"/>
      <w:bookmarkStart w:id="293" w:name="_Toc146789201"/>
      <w:bookmarkStart w:id="294" w:name="_Toc161846032"/>
      <w:bookmarkStart w:id="295" w:name="_Toc161907013"/>
      <w:bookmarkStart w:id="296" w:name="_Toc161843328"/>
      <w:r>
        <w:t>Subdivision 3 — Performance of abortion</w:t>
      </w:r>
      <w:bookmarkEnd w:id="292"/>
      <w:bookmarkEnd w:id="293"/>
      <w:bookmarkEnd w:id="294"/>
      <w:bookmarkEnd w:id="295"/>
    </w:p>
    <w:p>
      <w:pPr>
        <w:pStyle w:val="Footnoteheading"/>
        <w:keepNext/>
        <w:keepLines/>
      </w:pPr>
      <w:bookmarkStart w:id="297" w:name="_Toc146789202"/>
      <w:r>
        <w:tab/>
        <w:t>[Heading inserted: No. 20 of 2023 s. 50.]</w:t>
      </w:r>
    </w:p>
    <w:p>
      <w:pPr>
        <w:pStyle w:val="Heading5"/>
        <w:tabs>
          <w:tab w:val="clear" w:pos="879"/>
          <w:tab w:val="left" w:pos="993"/>
        </w:tabs>
      </w:pPr>
      <w:bookmarkStart w:id="298" w:name="_Toc161907014"/>
      <w:r>
        <w:rPr>
          <w:rStyle w:val="CharSectno"/>
        </w:rPr>
        <w:t>110ZLA</w:t>
      </w:r>
      <w:r>
        <w:t>.</w:t>
      </w:r>
      <w:r>
        <w:tab/>
        <w:t>Treatment decisions in relation to performance of abortion</w:t>
      </w:r>
      <w:bookmarkEnd w:id="297"/>
      <w:bookmarkEnd w:id="298"/>
    </w:p>
    <w:p>
      <w:pPr>
        <w:pStyle w:val="Subsection"/>
      </w:pPr>
      <w:r>
        <w:tab/>
        <w:t>(1)</w:t>
      </w:r>
      <w:r>
        <w:tab/>
        <w:t xml:space="preserve">Subject to Subdivision 1, this section applies if it is proposed to perform an abortion on a person who — </w:t>
      </w:r>
    </w:p>
    <w:p>
      <w:pPr>
        <w:pStyle w:val="Indenta"/>
      </w:pPr>
      <w:r>
        <w:tab/>
        <w:t>(a)</w:t>
      </w:r>
      <w:r>
        <w:tab/>
        <w:t xml:space="preserve">has reached 18 years of age; and </w:t>
      </w:r>
    </w:p>
    <w:p>
      <w:pPr>
        <w:pStyle w:val="Indenta"/>
      </w:pPr>
      <w:r>
        <w:tab/>
        <w:t>(b)</w:t>
      </w:r>
      <w:r>
        <w:tab/>
        <w:t>is unable to make reasonable judgments in respect of whether or not the abortion should be performed on them.</w:t>
      </w:r>
    </w:p>
    <w:p>
      <w:pPr>
        <w:pStyle w:val="Subsection"/>
      </w:pPr>
      <w:r>
        <w:lastRenderedPageBreak/>
        <w:tab/>
        <w:t>(2)</w:t>
      </w:r>
      <w:r>
        <w:tab/>
        <w:t>If the person has made an advance health directive containing a treatment decision in respect of the performance of the abortion on the person, whether or not the abortion is performed on the person must be decided in accordance with the treatment decision.</w:t>
      </w:r>
    </w:p>
    <w:p>
      <w:pPr>
        <w:pStyle w:val="Subsection"/>
      </w:pPr>
      <w:r>
        <w:tab/>
        <w:t>(3)</w:t>
      </w:r>
      <w:r>
        <w:tab/>
        <w:t>If subsection (2) does not apply, whether or not the abortion is performed on the person must be decided by the State Administrative Tribunal under Division 3 Subdivision 2.</w:t>
      </w:r>
    </w:p>
    <w:p>
      <w:pPr>
        <w:pStyle w:val="Footnotesection"/>
      </w:pPr>
      <w:bookmarkStart w:id="299" w:name="_Toc146789203"/>
      <w:r>
        <w:tab/>
        <w:t>[Section 110ZLA inserted: No. 20 of 2023 s. 50.]</w:t>
      </w:r>
    </w:p>
    <w:p>
      <w:pPr>
        <w:pStyle w:val="Heading5"/>
        <w:tabs>
          <w:tab w:val="clear" w:pos="879"/>
          <w:tab w:val="left" w:pos="993"/>
        </w:tabs>
      </w:pPr>
      <w:bookmarkStart w:id="300" w:name="_Toc161907015"/>
      <w:r>
        <w:rPr>
          <w:rStyle w:val="CharSectno"/>
        </w:rPr>
        <w:t>110ZLB</w:t>
      </w:r>
      <w:r>
        <w:t>.</w:t>
      </w:r>
      <w:r>
        <w:tab/>
        <w:t>Performance of abortion without advance health directive or State Administrative Tribunal consent an offence</w:t>
      </w:r>
      <w:bookmarkEnd w:id="299"/>
      <w:bookmarkEnd w:id="300"/>
    </w:p>
    <w:p>
      <w:pPr>
        <w:pStyle w:val="Subsection"/>
      </w:pPr>
      <w:r>
        <w:tab/>
      </w:r>
      <w:r>
        <w:tab/>
        <w:t xml:space="preserve">Except where section 110ZLA(2) has effect, a health professional must not perform an abortion on a person referred to in section 110ZLA(1) unless — </w:t>
      </w:r>
    </w:p>
    <w:p>
      <w:pPr>
        <w:pStyle w:val="Indenta"/>
      </w:pPr>
      <w:r>
        <w:tab/>
        <w:t>(a)</w:t>
      </w:r>
      <w:r>
        <w:tab/>
        <w:t>the State Administrative Tribunal has, under section 110ZND, consented to the performance of the abortion on the person; and</w:t>
      </w:r>
    </w:p>
    <w:p>
      <w:pPr>
        <w:pStyle w:val="Indenta"/>
      </w:pPr>
      <w:r>
        <w:tab/>
        <w:t>(b)</w:t>
      </w:r>
      <w:r>
        <w:tab/>
        <w:t>no appeal from the decision to consent is instituted within the period provided under section 25A(3)(b) or, if an appeal is instituted,  the appeal is finally disposed of, or is discontinued or dismissed (and is not reinstated or capable of reinstatement); and</w:t>
      </w:r>
    </w:p>
    <w:p>
      <w:pPr>
        <w:pStyle w:val="Indenta"/>
      </w:pPr>
      <w:r>
        <w:tab/>
        <w:t>(c)</w:t>
      </w:r>
      <w:r>
        <w:tab/>
        <w:t>the abortion is performed in accordance with any condition imposed by the State Administrative Tribunal under section 110ZND.</w:t>
      </w:r>
    </w:p>
    <w:p>
      <w:pPr>
        <w:pStyle w:val="Penstart"/>
      </w:pPr>
      <w:r>
        <w:tab/>
        <w:t>Penalty for this section: imprisonment for 2 years and a fine of $4 000.</w:t>
      </w:r>
    </w:p>
    <w:p>
      <w:pPr>
        <w:pStyle w:val="Footnotesection"/>
      </w:pPr>
      <w:bookmarkStart w:id="301" w:name="_Toc146789204"/>
      <w:r>
        <w:tab/>
        <w:t>[Section 110ZLB inserted: No. 20 of 2023 s. 50.]</w:t>
      </w:r>
    </w:p>
    <w:p>
      <w:pPr>
        <w:pStyle w:val="Heading5"/>
        <w:tabs>
          <w:tab w:val="clear" w:pos="879"/>
          <w:tab w:val="left" w:pos="993"/>
        </w:tabs>
      </w:pPr>
      <w:bookmarkStart w:id="302" w:name="_Toc161907016"/>
      <w:r>
        <w:rPr>
          <w:rStyle w:val="CharSectno"/>
        </w:rPr>
        <w:t>110ZLC</w:t>
      </w:r>
      <w:r>
        <w:t>.</w:t>
      </w:r>
      <w:r>
        <w:tab/>
        <w:t>Effect of State Administrative Tribunal consent</w:t>
      </w:r>
      <w:bookmarkEnd w:id="301"/>
      <w:bookmarkEnd w:id="302"/>
    </w:p>
    <w:p>
      <w:pPr>
        <w:pStyle w:val="Subsection"/>
      </w:pPr>
      <w:r>
        <w:tab/>
      </w:r>
      <w:r>
        <w:tab/>
        <w:t xml:space="preserve">A decision of the State Administrative Tribunal under Division 3 Subdivision 2 in relation to the performance of an </w:t>
      </w:r>
      <w:r>
        <w:lastRenderedPageBreak/>
        <w:t xml:space="preserve">abortion on a person referred to in section 110ZLA(1) has effect as if — </w:t>
      </w:r>
    </w:p>
    <w:p>
      <w:pPr>
        <w:pStyle w:val="Indenta"/>
      </w:pPr>
      <w:r>
        <w:tab/>
        <w:t>(a)</w:t>
      </w:r>
      <w:r>
        <w:tab/>
        <w:t>it were a treatment decision made by the person in respect of the performance of the abortion on the person; and</w:t>
      </w:r>
    </w:p>
    <w:p>
      <w:pPr>
        <w:pStyle w:val="Indenta"/>
      </w:pPr>
      <w:r>
        <w:tab/>
        <w:t>(b)</w:t>
      </w:r>
      <w:r>
        <w:tab/>
        <w:t>the person were of full legal capacity.</w:t>
      </w:r>
    </w:p>
    <w:p>
      <w:pPr>
        <w:pStyle w:val="Footnotesection"/>
      </w:pPr>
      <w:bookmarkStart w:id="303" w:name="_Toc146789205"/>
      <w:r>
        <w:tab/>
        <w:t>[Section 110ZLC inserted: No. 20 of 2023 s. 50.]</w:t>
      </w:r>
    </w:p>
    <w:p>
      <w:pPr>
        <w:pStyle w:val="Heading5"/>
        <w:tabs>
          <w:tab w:val="clear" w:pos="879"/>
          <w:tab w:val="left" w:pos="993"/>
        </w:tabs>
      </w:pPr>
      <w:bookmarkStart w:id="304" w:name="_Toc161907017"/>
      <w:r>
        <w:rPr>
          <w:rStyle w:val="CharSectno"/>
        </w:rPr>
        <w:t>110ZLD</w:t>
      </w:r>
      <w:r>
        <w:t>.</w:t>
      </w:r>
      <w:r>
        <w:tab/>
        <w:t>Reliance by health professional on treatment decisions in respect of performance of abortion</w:t>
      </w:r>
      <w:bookmarkEnd w:id="303"/>
      <w:bookmarkEnd w:id="304"/>
    </w:p>
    <w:p>
      <w:pPr>
        <w:pStyle w:val="Subsection"/>
      </w:pPr>
      <w:r>
        <w:tab/>
        <w:t>(1)</w:t>
      </w:r>
      <w:r>
        <w:tab/>
        <w:t xml:space="preserve">In this section — </w:t>
      </w:r>
    </w:p>
    <w:p>
      <w:pPr>
        <w:pStyle w:val="Defstart"/>
      </w:pPr>
      <w:r>
        <w:tab/>
      </w:r>
      <w:r>
        <w:rPr>
          <w:rStyle w:val="CharDefText"/>
        </w:rPr>
        <w:t>abortion treatment decision</w:t>
      </w:r>
      <w:r>
        <w:t xml:space="preserve">, in relation to a person referred to in section 110ZLA(1)(a), means — </w:t>
      </w:r>
    </w:p>
    <w:p>
      <w:pPr>
        <w:pStyle w:val="Defpara"/>
      </w:pPr>
      <w:r>
        <w:tab/>
        <w:t>(a)</w:t>
      </w:r>
      <w:r>
        <w:tab/>
        <w:t>a treatment decision in respect of the performance of an abortion on the person, contained in an advance health directive made by the person; or</w:t>
      </w:r>
    </w:p>
    <w:p>
      <w:pPr>
        <w:pStyle w:val="Defpara"/>
      </w:pPr>
      <w:r>
        <w:tab/>
        <w:t>(b)</w:t>
      </w:r>
      <w:r>
        <w:tab/>
        <w:t>a decision of the State Administrative Tribunal under Division 3 Subdivision 2 in respect of the person;</w:t>
      </w:r>
    </w:p>
    <w:p>
      <w:pPr>
        <w:pStyle w:val="Defstart"/>
      </w:pPr>
      <w:r>
        <w:tab/>
      </w:r>
      <w:r>
        <w:rPr>
          <w:rStyle w:val="CharDefText"/>
        </w:rPr>
        <w:t>take abortion action</w:t>
      </w:r>
      <w:r>
        <w:t xml:space="preserve"> means to perform, or not to perform, an abortion on a person referred to in section 110ZLA(1)(a).</w:t>
      </w:r>
    </w:p>
    <w:p>
      <w:pPr>
        <w:pStyle w:val="Subsection"/>
      </w:pPr>
      <w:r>
        <w:tab/>
        <w:t>(2)</w:t>
      </w:r>
      <w:r>
        <w:tab/>
        <w:t xml:space="preserve">Subsection (3) applies if a health professional — </w:t>
      </w:r>
    </w:p>
    <w:p>
      <w:pPr>
        <w:pStyle w:val="Indenta"/>
      </w:pPr>
      <w:r>
        <w:tab/>
        <w:t>(a)</w:t>
      </w:r>
      <w:r>
        <w:tab/>
        <w:t xml:space="preserve">takes abortion action — </w:t>
      </w:r>
    </w:p>
    <w:p>
      <w:pPr>
        <w:pStyle w:val="Indenti"/>
      </w:pPr>
      <w:r>
        <w:tab/>
        <w:t>(i)</w:t>
      </w:r>
      <w:r>
        <w:tab/>
        <w:t>reasonably believing that the person is unable to make reasonable judgments in respect of the abortion action; and</w:t>
      </w:r>
    </w:p>
    <w:p>
      <w:pPr>
        <w:pStyle w:val="Indenti"/>
      </w:pPr>
      <w:r>
        <w:tab/>
        <w:t>(ii)</w:t>
      </w:r>
      <w:r>
        <w:tab/>
        <w:t xml:space="preserve">relying in good faith on what is purportedly an abortion treatment decision in respect of the person; </w:t>
      </w:r>
    </w:p>
    <w:p>
      <w:pPr>
        <w:pStyle w:val="Indenta"/>
      </w:pPr>
      <w:r>
        <w:tab/>
      </w:r>
      <w:r>
        <w:tab/>
        <w:t>or</w:t>
      </w:r>
    </w:p>
    <w:p>
      <w:pPr>
        <w:pStyle w:val="Indenta"/>
      </w:pPr>
      <w:r>
        <w:tab/>
        <w:t>(b)</w:t>
      </w:r>
      <w:r>
        <w:tab/>
        <w:t xml:space="preserve">takes abortion action — </w:t>
      </w:r>
    </w:p>
    <w:p>
      <w:pPr>
        <w:pStyle w:val="Indenti"/>
      </w:pPr>
      <w:r>
        <w:tab/>
        <w:t>(i)</w:t>
      </w:r>
      <w:r>
        <w:tab/>
        <w:t xml:space="preserve">in circumstances where it is reasonable for the health professional to rely on some other health </w:t>
      </w:r>
      <w:r>
        <w:lastRenderedPageBreak/>
        <w:t>professional having ascertained whether the taking of the abortion action is in accordance with an abortion treatment decision in respect of the person; and</w:t>
      </w:r>
    </w:p>
    <w:p>
      <w:pPr>
        <w:pStyle w:val="Indenti"/>
      </w:pPr>
      <w:r>
        <w:tab/>
        <w:t>(ii)</w:t>
      </w:r>
      <w:r>
        <w:tab/>
        <w:t>reasonably assuming that some other health professional has ascertained that the taking of the abortion action is in accordance with an abortion treatment decision in respect of the person.</w:t>
      </w:r>
    </w:p>
    <w:p>
      <w:pPr>
        <w:pStyle w:val="Subsection"/>
      </w:pPr>
      <w:r>
        <w:tab/>
        <w:t>(3)</w:t>
      </w:r>
      <w:r>
        <w:tab/>
        <w:t xml:space="preserve">The health professional is taken for all purposes to take the abortion action in accordance with a treatment decision that has effect as if — </w:t>
      </w:r>
    </w:p>
    <w:p>
      <w:pPr>
        <w:pStyle w:val="Indenta"/>
      </w:pPr>
      <w:r>
        <w:tab/>
        <w:t>(a)</w:t>
      </w:r>
      <w:r>
        <w:tab/>
        <w:t>it had been made by the person; and</w:t>
      </w:r>
    </w:p>
    <w:p>
      <w:pPr>
        <w:pStyle w:val="Indenta"/>
      </w:pPr>
      <w:r>
        <w:tab/>
        <w:t>(b)</w:t>
      </w:r>
      <w:r>
        <w:tab/>
        <w:t>the person were of full legal capacity.</w:t>
      </w:r>
    </w:p>
    <w:p>
      <w:pPr>
        <w:pStyle w:val="Subsection"/>
      </w:pPr>
      <w:r>
        <w:tab/>
        <w:t>(4)</w:t>
      </w:r>
      <w:r>
        <w:tab/>
        <w:t>Without limiting subsection (3), a health professional who takes abortion action as referred to in subsection (2) does not commit an offence under section 110ZLB.</w:t>
      </w:r>
    </w:p>
    <w:p>
      <w:pPr>
        <w:pStyle w:val="Subsection"/>
      </w:pPr>
      <w:r>
        <w:tab/>
        <w:t>(5)</w:t>
      </w:r>
      <w:r>
        <w:tab/>
        <w:t>For subsection (2)(a)(ii), a health professional is taken to have relied in good faith on what was purportedly an abortion treatment decision if, after considering whether or not to rely on it, the health professional acted honestly in relying on it.</w:t>
      </w:r>
    </w:p>
    <w:p>
      <w:pPr>
        <w:pStyle w:val="Subsection"/>
      </w:pPr>
      <w:r>
        <w:tab/>
        <w:t>(6)</w:t>
      </w:r>
      <w:r>
        <w:tab/>
        <w:t>For the purpose of determining under subsection (2)(b)(ii) whether the health professional’s assumption was reasonable, the following matters must be taken into account —</w:t>
      </w:r>
    </w:p>
    <w:p>
      <w:pPr>
        <w:pStyle w:val="Indenta"/>
      </w:pPr>
      <w:r>
        <w:tab/>
        <w:t>(a)</w:t>
      </w:r>
      <w:r>
        <w:tab/>
        <w:t>whether the health professional sighted any written evidence that some other health professional had ascertained that the taking of the abortion action was in accordance with the abortion treatment decision;</w:t>
      </w:r>
    </w:p>
    <w:p>
      <w:pPr>
        <w:pStyle w:val="Indenta"/>
      </w:pPr>
      <w:r>
        <w:tab/>
        <w:t>(b)</w:t>
      </w:r>
      <w:r>
        <w:tab/>
        <w:t>anything else relevant to the determination.</w:t>
      </w:r>
    </w:p>
    <w:p>
      <w:pPr>
        <w:pStyle w:val="Footnotesection"/>
      </w:pPr>
      <w:r>
        <w:tab/>
        <w:t>[Section 110ZLD inserted: No. 20 of 2023 s. 50.]</w:t>
      </w:r>
    </w:p>
    <w:p>
      <w:pPr>
        <w:pStyle w:val="Heading3"/>
      </w:pPr>
      <w:bookmarkStart w:id="305" w:name="_Toc161846037"/>
      <w:bookmarkStart w:id="306" w:name="_Toc161907018"/>
      <w:r>
        <w:rPr>
          <w:rStyle w:val="CharDivNo"/>
        </w:rPr>
        <w:lastRenderedPageBreak/>
        <w:t>Division 3</w:t>
      </w:r>
      <w:r>
        <w:t> — </w:t>
      </w:r>
      <w:r>
        <w:rPr>
          <w:rStyle w:val="CharDivText"/>
        </w:rPr>
        <w:t>Jurisdiction of State Administrative Tribunal</w:t>
      </w:r>
      <w:bookmarkEnd w:id="296"/>
      <w:bookmarkEnd w:id="305"/>
      <w:bookmarkEnd w:id="306"/>
    </w:p>
    <w:p>
      <w:pPr>
        <w:pStyle w:val="Footnoteheading"/>
        <w:keepNext/>
      </w:pPr>
      <w:r>
        <w:tab/>
        <w:t>[Heading inserted: No. 25 of 2008 s. 11.]</w:t>
      </w:r>
    </w:p>
    <w:p>
      <w:pPr>
        <w:pStyle w:val="Heading4"/>
      </w:pPr>
      <w:bookmarkStart w:id="307" w:name="_Toc146789081"/>
      <w:bookmarkStart w:id="308" w:name="_Toc146789207"/>
      <w:bookmarkStart w:id="309" w:name="_Toc161846038"/>
      <w:bookmarkStart w:id="310" w:name="_Toc161907019"/>
      <w:r>
        <w:t>Subdivision 1 — Declarations for purposes of s. 110ZJ</w:t>
      </w:r>
      <w:bookmarkEnd w:id="307"/>
      <w:bookmarkEnd w:id="308"/>
      <w:bookmarkEnd w:id="309"/>
      <w:bookmarkEnd w:id="310"/>
    </w:p>
    <w:p>
      <w:pPr>
        <w:pStyle w:val="Footnoteheading"/>
        <w:keepNext/>
        <w:keepLines/>
      </w:pPr>
      <w:r>
        <w:tab/>
        <w:t>[Heading inserted: No. 20 of 2023 s. 51.]</w:t>
      </w:r>
    </w:p>
    <w:p>
      <w:pPr>
        <w:pStyle w:val="Heading5"/>
      </w:pPr>
      <w:bookmarkStart w:id="311" w:name="_Toc161907020"/>
      <w:r>
        <w:rPr>
          <w:rStyle w:val="CharSectno"/>
        </w:rPr>
        <w:t>110ZM</w:t>
      </w:r>
      <w:r>
        <w:rPr>
          <w:szCs w:val="22"/>
        </w:rPr>
        <w:t>.</w:t>
      </w:r>
      <w:r>
        <w:rPr>
          <w:szCs w:val="22"/>
        </w:rPr>
        <w:tab/>
        <w:t>Who may apply</w:t>
      </w:r>
      <w:bookmarkEnd w:id="311"/>
    </w:p>
    <w:p>
      <w:pPr>
        <w:pStyle w:val="Subsection"/>
      </w:pPr>
      <w:r>
        <w:rPr>
          <w:szCs w:val="22"/>
        </w:rPr>
        <w:tab/>
      </w:r>
      <w:r>
        <w:rPr>
          <w:szCs w:val="22"/>
        </w:rPr>
        <w:tab/>
        <w:t xml:space="preserve">A person who, in the opinion of the State Administrative Tribunal, has a proper interest in the matter may apply to the Tribunal for a decision under this </w:t>
      </w:r>
      <w:r>
        <w:t>Subdivision.</w:t>
      </w:r>
    </w:p>
    <w:p>
      <w:pPr>
        <w:pStyle w:val="Footnotesection"/>
      </w:pPr>
      <w:r>
        <w:tab/>
        <w:t>[Section 110ZM inserted: No. 25 of 2008 s. 11; amended: No. 20 of 2023 s. 52.]</w:t>
      </w:r>
    </w:p>
    <w:p>
      <w:pPr>
        <w:pStyle w:val="Heading5"/>
      </w:pPr>
      <w:bookmarkStart w:id="312" w:name="_Toc161907021"/>
      <w:r>
        <w:rPr>
          <w:rStyle w:val="CharSectno"/>
        </w:rPr>
        <w:t>110ZN</w:t>
      </w:r>
      <w:r>
        <w:rPr>
          <w:szCs w:val="22"/>
        </w:rPr>
        <w:t>.</w:t>
      </w:r>
      <w:r>
        <w:rPr>
          <w:szCs w:val="22"/>
        </w:rPr>
        <w:tab/>
        <w:t>Declaration as to who may make treatment decision</w:t>
      </w:r>
      <w:bookmarkEnd w:id="312"/>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No. 25 of 2008 s. 11.]</w:t>
      </w:r>
    </w:p>
    <w:p>
      <w:pPr>
        <w:pStyle w:val="Heading4"/>
      </w:pPr>
      <w:bookmarkStart w:id="313" w:name="_Toc146789084"/>
      <w:bookmarkStart w:id="314" w:name="_Toc146789210"/>
      <w:bookmarkStart w:id="315" w:name="_Toc161846041"/>
      <w:bookmarkStart w:id="316" w:name="_Toc161907022"/>
      <w:bookmarkStart w:id="317" w:name="_Toc161843331"/>
      <w:r>
        <w:t>Subdivision 2 — Decisions for purposes of s. 110ZLA</w:t>
      </w:r>
      <w:bookmarkEnd w:id="313"/>
      <w:bookmarkEnd w:id="314"/>
      <w:bookmarkEnd w:id="315"/>
      <w:bookmarkEnd w:id="316"/>
    </w:p>
    <w:p>
      <w:pPr>
        <w:pStyle w:val="Footnoteheading"/>
        <w:keepNext/>
        <w:keepLines/>
      </w:pPr>
      <w:bookmarkStart w:id="318" w:name="_Toc146789211"/>
      <w:r>
        <w:tab/>
        <w:t>[Heading inserted: No. 20 of 2023 s. 53.]</w:t>
      </w:r>
    </w:p>
    <w:p>
      <w:pPr>
        <w:pStyle w:val="Heading5"/>
        <w:tabs>
          <w:tab w:val="clear" w:pos="879"/>
          <w:tab w:val="left" w:pos="993"/>
        </w:tabs>
      </w:pPr>
      <w:bookmarkStart w:id="319" w:name="_Toc161907023"/>
      <w:r>
        <w:rPr>
          <w:rStyle w:val="CharSectno"/>
        </w:rPr>
        <w:t>110ZNA</w:t>
      </w:r>
      <w:r>
        <w:t>.</w:t>
      </w:r>
      <w:r>
        <w:tab/>
        <w:t>Only Full Tribunal to act under this Subdivision</w:t>
      </w:r>
      <w:bookmarkEnd w:id="318"/>
      <w:bookmarkEnd w:id="319"/>
    </w:p>
    <w:p>
      <w:pPr>
        <w:pStyle w:val="Subsection"/>
      </w:pPr>
      <w:r>
        <w:tab/>
      </w:r>
      <w:r>
        <w:tab/>
        <w:t>The functions of the State Administrative Tribunal under this Subdivision may only be performed by a Full Tribunal.</w:t>
      </w:r>
    </w:p>
    <w:p>
      <w:pPr>
        <w:pStyle w:val="Footnotesection"/>
      </w:pPr>
      <w:bookmarkStart w:id="320" w:name="_Toc146789212"/>
      <w:r>
        <w:tab/>
        <w:t>[Section 110ZNA inserted: No. 20 of 2023 s. 53.]</w:t>
      </w:r>
    </w:p>
    <w:p>
      <w:pPr>
        <w:pStyle w:val="Heading5"/>
        <w:tabs>
          <w:tab w:val="clear" w:pos="879"/>
          <w:tab w:val="left" w:pos="993"/>
        </w:tabs>
      </w:pPr>
      <w:bookmarkStart w:id="321" w:name="_Toc161907024"/>
      <w:r>
        <w:rPr>
          <w:rStyle w:val="CharSectno"/>
        </w:rPr>
        <w:lastRenderedPageBreak/>
        <w:t>110ZNB</w:t>
      </w:r>
      <w:r>
        <w:t>.</w:t>
      </w:r>
      <w:r>
        <w:tab/>
        <w:t>Who may apply for decision under this Subdivision</w:t>
      </w:r>
      <w:bookmarkEnd w:id="320"/>
      <w:bookmarkEnd w:id="321"/>
    </w:p>
    <w:p>
      <w:pPr>
        <w:pStyle w:val="Subsection"/>
      </w:pPr>
      <w:r>
        <w:tab/>
        <w:t>(1)</w:t>
      </w:r>
      <w:r>
        <w:tab/>
        <w:t xml:space="preserve">The following persons may apply to the State Administrative Tribunal for a decision under this Subdivision for the purposes of section 110ZLA(3) — </w:t>
      </w:r>
    </w:p>
    <w:p>
      <w:pPr>
        <w:pStyle w:val="Indenta"/>
      </w:pPr>
      <w:r>
        <w:tab/>
        <w:t>(a)</w:t>
      </w:r>
      <w:r>
        <w:tab/>
        <w:t xml:space="preserve">the person on whom the abortion is proposed to be performed; </w:t>
      </w:r>
    </w:p>
    <w:p>
      <w:pPr>
        <w:pStyle w:val="Indenta"/>
      </w:pPr>
      <w:r>
        <w:tab/>
        <w:t>(b)</w:t>
      </w:r>
      <w:r>
        <w:tab/>
        <w:t>if the person has an enduring guardian or a guardian, that guardian;</w:t>
      </w:r>
    </w:p>
    <w:p>
      <w:pPr>
        <w:pStyle w:val="Indenta"/>
      </w:pPr>
      <w:r>
        <w:tab/>
        <w:t>(c)</w:t>
      </w:r>
      <w:r>
        <w:tab/>
        <w:t>a relative of the person as referred to in subsection (2);</w:t>
      </w:r>
    </w:p>
    <w:p>
      <w:pPr>
        <w:pStyle w:val="Indenta"/>
      </w:pPr>
      <w:r>
        <w:tab/>
        <w:t>(d)</w:t>
      </w:r>
      <w:r>
        <w:tab/>
        <w:t>the Public Advocate;</w:t>
      </w:r>
    </w:p>
    <w:p>
      <w:pPr>
        <w:pStyle w:val="Indenta"/>
      </w:pPr>
      <w:r>
        <w:tab/>
        <w:t>(e)</w:t>
      </w:r>
      <w:r>
        <w:tab/>
        <w:t>a person who, in the opinion of the Tribunal, has a proper interest in the matter.</w:t>
      </w:r>
    </w:p>
    <w:p>
      <w:pPr>
        <w:pStyle w:val="Subsection"/>
      </w:pPr>
      <w:r>
        <w:tab/>
        <w:t>(2)</w:t>
      </w:r>
      <w:r>
        <w:tab/>
        <w:t xml:space="preserve">For the purposes of subsection (1)(c), a relative of the person is any of the following relatives of the person who have reached 18 years of age — </w:t>
      </w:r>
    </w:p>
    <w:p>
      <w:pPr>
        <w:pStyle w:val="Indenta"/>
      </w:pPr>
      <w:r>
        <w:tab/>
        <w:t>(a)</w:t>
      </w:r>
      <w:r>
        <w:tab/>
        <w:t>a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Footnotesection"/>
      </w:pPr>
      <w:bookmarkStart w:id="322" w:name="_Toc146789213"/>
      <w:r>
        <w:tab/>
        <w:t>[Section 110ZNB inserted: No. 20 of 2023 s. 53.]</w:t>
      </w:r>
    </w:p>
    <w:p>
      <w:pPr>
        <w:pStyle w:val="Heading5"/>
        <w:tabs>
          <w:tab w:val="clear" w:pos="879"/>
          <w:tab w:val="left" w:pos="993"/>
        </w:tabs>
      </w:pPr>
      <w:bookmarkStart w:id="323" w:name="_Toc161907025"/>
      <w:r>
        <w:rPr>
          <w:rStyle w:val="CharSectno"/>
        </w:rPr>
        <w:t>110ZNC</w:t>
      </w:r>
      <w:r>
        <w:t>.</w:t>
      </w:r>
      <w:r>
        <w:tab/>
        <w:t>Notice of hearing</w:t>
      </w:r>
      <w:bookmarkEnd w:id="322"/>
      <w:bookmarkEnd w:id="323"/>
    </w:p>
    <w:p>
      <w:pPr>
        <w:pStyle w:val="Subsection"/>
      </w:pPr>
      <w:r>
        <w:tab/>
        <w:t>(1)</w:t>
      </w:r>
      <w:r>
        <w:tab/>
        <w:t xml:space="preserve">If an application is made under section 110ZNB(1), the State Administrative Tribunal must give the following persons reasonable notice in writing of the hearing of the application — </w:t>
      </w:r>
    </w:p>
    <w:p>
      <w:pPr>
        <w:pStyle w:val="Indenta"/>
      </w:pPr>
      <w:r>
        <w:tab/>
        <w:t>(a)</w:t>
      </w:r>
      <w:r>
        <w:tab/>
        <w:t>the applicant;</w:t>
      </w:r>
    </w:p>
    <w:p>
      <w:pPr>
        <w:pStyle w:val="Indenta"/>
      </w:pPr>
      <w:r>
        <w:tab/>
        <w:t>(b)</w:t>
      </w:r>
      <w:r>
        <w:tab/>
        <w:t>the person on whom the abortion is proposed to be performed;</w:t>
      </w:r>
    </w:p>
    <w:p>
      <w:pPr>
        <w:pStyle w:val="Indenta"/>
      </w:pPr>
      <w:r>
        <w:tab/>
        <w:t>(c)</w:t>
      </w:r>
      <w:r>
        <w:tab/>
        <w:t>the nearest relative, as referred to in subsection (2) (if any), of the person;</w:t>
      </w:r>
    </w:p>
    <w:p>
      <w:pPr>
        <w:pStyle w:val="Indenta"/>
      </w:pPr>
      <w:r>
        <w:lastRenderedPageBreak/>
        <w:tab/>
        <w:t>(d)</w:t>
      </w:r>
      <w:r>
        <w:tab/>
        <w:t>if the person has an enduring guardian or guardian, that guardian;</w:t>
      </w:r>
    </w:p>
    <w:p>
      <w:pPr>
        <w:pStyle w:val="Indenta"/>
      </w:pPr>
      <w:r>
        <w:tab/>
        <w:t>(e)</w:t>
      </w:r>
      <w:r>
        <w:tab/>
        <w:t>the Public Advocate;</w:t>
      </w:r>
    </w:p>
    <w:p>
      <w:pPr>
        <w:pStyle w:val="Indenta"/>
      </w:pPr>
      <w:r>
        <w:tab/>
        <w:t>(f)</w:t>
      </w:r>
      <w:r>
        <w:tab/>
        <w:t>any other person who in the opinion of the State Administrative Tribunal has a proper interest in the proceedings.</w:t>
      </w:r>
    </w:p>
    <w:p>
      <w:pPr>
        <w:pStyle w:val="Subsection"/>
      </w:pPr>
      <w:r>
        <w:tab/>
        <w:t>(2)</w:t>
      </w:r>
      <w:r>
        <w:tab/>
        <w:t xml:space="preserve">For the purposes of subsection (1)(c), the nearest relative of the person is the first in order of priority of the following relatives of the person who have reached 18 years of age — </w:t>
      </w:r>
    </w:p>
    <w:p>
      <w:pPr>
        <w:pStyle w:val="Indenta"/>
      </w:pPr>
      <w:r>
        <w:tab/>
        <w:t>(a)</w:t>
      </w:r>
      <w:r>
        <w:tab/>
        <w:t>a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(3)</w:t>
      </w:r>
      <w:r>
        <w:tab/>
        <w:t xml:space="preserve">A notice under subsection (1) must include — </w:t>
      </w:r>
    </w:p>
    <w:p>
      <w:pPr>
        <w:pStyle w:val="Indenta"/>
      </w:pPr>
      <w:r>
        <w:tab/>
        <w:t>(a)</w:t>
      </w:r>
      <w:r>
        <w:tab/>
        <w:t>particulars of the application and the time and place of the hearing; and</w:t>
      </w:r>
    </w:p>
    <w:p>
      <w:pPr>
        <w:pStyle w:val="Indenta"/>
      </w:pPr>
      <w:r>
        <w:tab/>
        <w:t>(b)</w:t>
      </w:r>
      <w:r>
        <w:tab/>
        <w:t>in the case of the notice given to the applicant or the person on whom the abortion is proposed to be performed, a summary of —</w:t>
      </w:r>
    </w:p>
    <w:p>
      <w:pPr>
        <w:pStyle w:val="Indenti"/>
      </w:pPr>
      <w:r>
        <w:tab/>
        <w:t>(i)</w:t>
      </w:r>
      <w:r>
        <w:tab/>
        <w:t xml:space="preserve">the provisions of section 16 and Schedule 1 clause 13, and the </w:t>
      </w:r>
      <w:r>
        <w:rPr>
          <w:i/>
        </w:rPr>
        <w:t xml:space="preserve">State Administrative Tribunal Act 2004 </w:t>
      </w:r>
      <w:r>
        <w:t>sections 39, 87 and 88, as they affect that person; and</w:t>
      </w:r>
    </w:p>
    <w:p>
      <w:pPr>
        <w:pStyle w:val="Indenti"/>
      </w:pPr>
      <w:r>
        <w:tab/>
        <w:t>(ii)</w:t>
      </w:r>
      <w:r>
        <w:tab/>
        <w:t>the functions of the State Administrative Tribunal under this Subdivision.</w:t>
      </w:r>
    </w:p>
    <w:p>
      <w:pPr>
        <w:pStyle w:val="Subsection"/>
      </w:pPr>
      <w:r>
        <w:tab/>
        <w:t>(4)</w:t>
      </w:r>
      <w:r>
        <w:tab/>
        <w:t xml:space="preserve">The State Administrative Tribunal is not required to give notice to a person referred to in subsection (1) if, after reasonable enquiry, the whereabouts of the person cannot be ascertained. </w:t>
      </w:r>
    </w:p>
    <w:p>
      <w:pPr>
        <w:pStyle w:val="Subsection"/>
        <w:keepNext/>
      </w:pPr>
      <w:r>
        <w:tab/>
        <w:t>(5)</w:t>
      </w:r>
      <w:r>
        <w:tab/>
        <w:t xml:space="preserve">If, by reason of circumstances of urgency, the State Administrative Tribunal considers it necessary to do so, the Tribunal may hear an application made under </w:t>
      </w:r>
      <w:r>
        <w:lastRenderedPageBreak/>
        <w:t>section 110ZNB(1) without giving notice to the persons referred to in subsection (1)(c), (d) and (f).</w:t>
      </w:r>
    </w:p>
    <w:p>
      <w:pPr>
        <w:pStyle w:val="Footnotesection"/>
      </w:pPr>
      <w:bookmarkStart w:id="324" w:name="_Toc146789214"/>
      <w:r>
        <w:tab/>
        <w:t>[Section 110ZNC inserted: No. 20 of 2023 s. 53.]</w:t>
      </w:r>
    </w:p>
    <w:p>
      <w:pPr>
        <w:pStyle w:val="Heading5"/>
        <w:tabs>
          <w:tab w:val="clear" w:pos="879"/>
          <w:tab w:val="left" w:pos="993"/>
        </w:tabs>
      </w:pPr>
      <w:bookmarkStart w:id="325" w:name="_Toc161907026"/>
      <w:r>
        <w:rPr>
          <w:rStyle w:val="CharSectno"/>
        </w:rPr>
        <w:t>110ZND</w:t>
      </w:r>
      <w:r>
        <w:t>.</w:t>
      </w:r>
      <w:r>
        <w:tab/>
        <w:t>State Administrative Tribunal consent to performance of abortion</w:t>
      </w:r>
      <w:bookmarkEnd w:id="324"/>
      <w:bookmarkEnd w:id="325"/>
      <w:r>
        <w:t xml:space="preserve"> </w:t>
      </w:r>
    </w:p>
    <w:p>
      <w:pPr>
        <w:pStyle w:val="Subsection"/>
      </w:pPr>
      <w:r>
        <w:tab/>
        <w:t>(1)</w:t>
      </w:r>
      <w:r>
        <w:tab/>
        <w:t xml:space="preserve">On hearing an application under section 110ZNB(1), the State Administrative Tribunal may, by order in writing, consent to performance of the abortion on the person if the Tribunal is satisfied that — </w:t>
      </w:r>
    </w:p>
    <w:p>
      <w:pPr>
        <w:pStyle w:val="Indenta"/>
      </w:pPr>
      <w:r>
        <w:tab/>
        <w:t>(a)</w:t>
      </w:r>
      <w:r>
        <w:tab/>
        <w:t>the person has reached 18 years of age; and</w:t>
      </w:r>
    </w:p>
    <w:p>
      <w:pPr>
        <w:pStyle w:val="Indenta"/>
      </w:pPr>
      <w:r>
        <w:tab/>
        <w:t>(b)</w:t>
      </w:r>
      <w:r>
        <w:tab/>
        <w:t>the person is unable to make reasonable judgments in respect of whether or not the abortion should be performed on them; and</w:t>
      </w:r>
    </w:p>
    <w:p>
      <w:pPr>
        <w:pStyle w:val="Indenta"/>
      </w:pPr>
      <w:r>
        <w:tab/>
        <w:t>(c)</w:t>
      </w:r>
      <w:r>
        <w:tab/>
        <w:t>the person has not made an advance health directive containing a treatment decision that is inconsistent with the performance of the abortion on the person; and</w:t>
      </w:r>
    </w:p>
    <w:p>
      <w:pPr>
        <w:pStyle w:val="Indenta"/>
      </w:pPr>
      <w:r>
        <w:tab/>
        <w:t>(d)</w:t>
      </w:r>
      <w:r>
        <w:tab/>
        <w:t>the performance of the abortion on the person is in the best interests of the person.</w:t>
      </w:r>
    </w:p>
    <w:p>
      <w:pPr>
        <w:pStyle w:val="Subsection"/>
      </w:pPr>
      <w:r>
        <w:tab/>
        <w:t>(2)</w:t>
      </w:r>
      <w:r>
        <w:tab/>
        <w:t xml:space="preserve">Without limiting subsection (1)(d), in deciding whether the performance of the abortion on the person is in the best interests of the person, the Tribunal must take into account — </w:t>
      </w:r>
    </w:p>
    <w:p>
      <w:pPr>
        <w:pStyle w:val="Indenta"/>
      </w:pPr>
      <w:r>
        <w:tab/>
        <w:t>(a)</w:t>
      </w:r>
      <w:r>
        <w:tab/>
        <w:t>whether the person is likely within the foreseeable future to regain the ability to make reasonable judgments in respect of whether or not the abortion should be performed on them; and</w:t>
      </w:r>
    </w:p>
    <w:p>
      <w:pPr>
        <w:pStyle w:val="Indenta"/>
      </w:pPr>
      <w:r>
        <w:tab/>
        <w:t>(b)</w:t>
      </w:r>
      <w:r>
        <w:tab/>
        <w:t>any wishes of the person so far as they can be ascertained.</w:t>
      </w:r>
    </w:p>
    <w:p>
      <w:pPr>
        <w:pStyle w:val="Subsection"/>
      </w:pPr>
      <w:r>
        <w:tab/>
        <w:t>(3)</w:t>
      </w:r>
      <w:r>
        <w:tab/>
        <w:t>The consent of the State Administrative Tribunal under this section may be given subject to compliance with any condition that the Tribunal considers appropriate.</w:t>
      </w:r>
    </w:p>
    <w:p>
      <w:pPr>
        <w:pStyle w:val="Footnotesection"/>
      </w:pPr>
      <w:r>
        <w:tab/>
        <w:t>[Section 110ZND inserted: No. 20 of 2023 s. 53.]</w:t>
      </w:r>
    </w:p>
    <w:p>
      <w:pPr>
        <w:pStyle w:val="Heading2"/>
      </w:pPr>
      <w:bookmarkStart w:id="326" w:name="_Toc161846046"/>
      <w:bookmarkStart w:id="327" w:name="_Toc161907027"/>
      <w:r>
        <w:rPr>
          <w:rStyle w:val="CharPartNo"/>
        </w:rPr>
        <w:lastRenderedPageBreak/>
        <w:t>Part 9E</w:t>
      </w:r>
      <w:r>
        <w:rPr>
          <w:color w:val="000000" w:themeColor="text1"/>
        </w:rPr>
        <w:t> — </w:t>
      </w:r>
      <w:r>
        <w:rPr>
          <w:rStyle w:val="CharPartText"/>
        </w:rPr>
        <w:t>Medical research</w:t>
      </w:r>
      <w:bookmarkEnd w:id="317"/>
      <w:bookmarkEnd w:id="326"/>
      <w:bookmarkEnd w:id="327"/>
    </w:p>
    <w:p>
      <w:pPr>
        <w:pStyle w:val="Footnoteheading"/>
      </w:pPr>
      <w:r>
        <w:tab/>
        <w:t>[Heading inserted: No. 14 of 2020 s. 12.]</w:t>
      </w:r>
    </w:p>
    <w:p>
      <w:pPr>
        <w:pStyle w:val="Heading3"/>
      </w:pPr>
      <w:bookmarkStart w:id="328" w:name="_Toc161843332"/>
      <w:bookmarkStart w:id="329" w:name="_Toc161846047"/>
      <w:bookmarkStart w:id="330" w:name="_Toc161907028"/>
      <w:r>
        <w:rPr>
          <w:rStyle w:val="CharDivNo"/>
        </w:rPr>
        <w:t>Division 1</w:t>
      </w:r>
      <w:r>
        <w:rPr>
          <w:color w:val="000000" w:themeColor="text1"/>
        </w:rPr>
        <w:t> — </w:t>
      </w:r>
      <w:r>
        <w:rPr>
          <w:rStyle w:val="CharDivText"/>
        </w:rPr>
        <w:t>Preliminary</w:t>
      </w:r>
      <w:bookmarkEnd w:id="328"/>
      <w:bookmarkEnd w:id="329"/>
      <w:bookmarkEnd w:id="330"/>
    </w:p>
    <w:p>
      <w:pPr>
        <w:pStyle w:val="Footnoteheading"/>
      </w:pPr>
      <w:r>
        <w:tab/>
        <w:t>[Heading inserted: No. 14 of 2020 s. 12.]</w:t>
      </w:r>
    </w:p>
    <w:p>
      <w:pPr>
        <w:pStyle w:val="Heading5"/>
      </w:pPr>
      <w:bookmarkStart w:id="331" w:name="_Toc161907029"/>
      <w:r>
        <w:rPr>
          <w:rStyle w:val="CharSectno"/>
        </w:rPr>
        <w:t>110ZO</w:t>
      </w:r>
      <w:r>
        <w:rPr>
          <w:color w:val="000000" w:themeColor="text1"/>
        </w:rPr>
        <w:t>.</w:t>
      </w:r>
      <w:r>
        <w:rPr>
          <w:color w:val="000000" w:themeColor="text1"/>
        </w:rPr>
        <w:tab/>
        <w:t>Terms used</w:t>
      </w:r>
      <w:bookmarkEnd w:id="331"/>
    </w:p>
    <w:p>
      <w:pPr>
        <w:pStyle w:val="Subsection"/>
      </w:pPr>
      <w:r>
        <w:rPr>
          <w:color w:val="000000" w:themeColor="text1"/>
        </w:rPr>
        <w:tab/>
      </w:r>
      <w:r>
        <w:rPr>
          <w:color w:val="000000" w:themeColor="text1"/>
        </w:rPr>
        <w:tab/>
        <w:t xml:space="preserve">In this Part — </w:t>
      </w:r>
    </w:p>
    <w:p>
      <w:pPr>
        <w:pStyle w:val="Defstart"/>
      </w:pPr>
      <w:r>
        <w:rPr>
          <w:color w:val="000000" w:themeColor="text1"/>
        </w:rPr>
        <w:tab/>
      </w:r>
      <w:r>
        <w:rPr>
          <w:rStyle w:val="CharDefText"/>
          <w:color w:val="000000" w:themeColor="text1"/>
        </w:rPr>
        <w:t>Health Minister</w:t>
      </w:r>
      <w:r>
        <w:rPr>
          <w:color w:val="000000" w:themeColor="text1"/>
        </w:rPr>
        <w:t xml:space="preserve"> means the Minister administering the </w:t>
      </w:r>
      <w:r>
        <w:rPr>
          <w:i/>
          <w:color w:val="000000" w:themeColor="text1"/>
        </w:rPr>
        <w:t>Health Services Act 2016</w:t>
      </w:r>
      <w:r>
        <w:rPr>
          <w:color w:val="000000" w:themeColor="text1"/>
        </w:rPr>
        <w:t>;</w:t>
      </w:r>
    </w:p>
    <w:p>
      <w:pPr>
        <w:pStyle w:val="Defstart"/>
      </w:pPr>
      <w:r>
        <w:tab/>
      </w:r>
      <w:r>
        <w:rPr>
          <w:rStyle w:val="CharDefText"/>
          <w:color w:val="000000" w:themeColor="text1"/>
        </w:rPr>
        <w:t>HREC</w:t>
      </w:r>
      <w:r>
        <w:t xml:space="preserve"> means a human research ethics committee established in accordance with the National Statement;</w:t>
      </w:r>
    </w:p>
    <w:p>
      <w:pPr>
        <w:pStyle w:val="Defstart"/>
      </w:pPr>
      <w:r>
        <w:tab/>
      </w:r>
      <w:r>
        <w:rPr>
          <w:rStyle w:val="CharDefText"/>
          <w:color w:val="000000" w:themeColor="text1"/>
        </w:rPr>
        <w:t>independent medical practitioner</w:t>
      </w:r>
      <w:r>
        <w:t xml:space="preserve">, in relation to medical research, means a medical practitioner who — </w:t>
      </w:r>
    </w:p>
    <w:p>
      <w:pPr>
        <w:pStyle w:val="Defpara"/>
      </w:pPr>
      <w:r>
        <w:tab/>
        <w:t>(a)</w:t>
      </w:r>
      <w:r>
        <w:tab/>
        <w:t xml:space="preserve">is not involved in providing treatment under this Part to the research candidate whose participation is sought in the research; and </w:t>
      </w:r>
    </w:p>
    <w:p>
      <w:pPr>
        <w:pStyle w:val="Defpara"/>
      </w:pPr>
      <w:r>
        <w:tab/>
        <w:t>(b)</w:t>
      </w:r>
      <w:r>
        <w:tab/>
        <w:t xml:space="preserve">is not involved in, nor connected to, the research, other than having a professional interest in the area of the research; and </w:t>
      </w:r>
    </w:p>
    <w:p>
      <w:pPr>
        <w:pStyle w:val="Defpara"/>
      </w:pPr>
      <w:r>
        <w:tab/>
        <w:t>(c)</w:t>
      </w:r>
      <w:r>
        <w:tab/>
        <w:t>is not the spouse, de facto partner, parent, grandparent, sibling, child or grandchild of the research candidate whose participation is sought in the research; and</w:t>
      </w:r>
    </w:p>
    <w:p>
      <w:pPr>
        <w:pStyle w:val="Defpara"/>
      </w:pPr>
      <w:r>
        <w:tab/>
        <w:t>(d)</w:t>
      </w:r>
      <w:r>
        <w:tab/>
        <w:t>is not a member of the HREC that approved the research;</w:t>
      </w:r>
    </w:p>
    <w:p>
      <w:pPr>
        <w:pStyle w:val="Defstart"/>
      </w:pPr>
      <w:r>
        <w:rPr>
          <w:color w:val="000000" w:themeColor="text1"/>
        </w:rPr>
        <w:tab/>
      </w:r>
      <w:r>
        <w:rPr>
          <w:rStyle w:val="CharDefText"/>
          <w:color w:val="000000" w:themeColor="text1"/>
        </w:rPr>
        <w:t>lead researcher</w:t>
      </w:r>
      <w:r>
        <w:rPr>
          <w:color w:val="000000" w:themeColor="text1"/>
        </w:rPr>
        <w:t xml:space="preserve">, in relation to medical research, means a </w:t>
      </w:r>
      <w:r>
        <w:t>registered health practitioner</w:t>
      </w:r>
      <w:r>
        <w:rPr>
          <w:color w:val="000000" w:themeColor="text1"/>
        </w:rPr>
        <w:t xml:space="preserve"> who has sole or joint overall responsibility for conducting the research;</w:t>
      </w:r>
    </w:p>
    <w:p>
      <w:pPr>
        <w:pStyle w:val="Defstart"/>
      </w:pPr>
      <w:r>
        <w:tab/>
      </w:r>
      <w:r>
        <w:rPr>
          <w:rStyle w:val="CharDefText"/>
          <w:color w:val="000000" w:themeColor="text1"/>
        </w:rPr>
        <w:t>medical practitioner</w:t>
      </w:r>
      <w:r>
        <w:t xml:space="preserve"> means a person registered under the </w:t>
      </w:r>
      <w:r>
        <w:rPr>
          <w:i/>
        </w:rPr>
        <w:t>Health Practitioner Regulation National Law (Western Australia)</w:t>
      </w:r>
      <w:r>
        <w:t xml:space="preserve"> in the medical profession (other than as a student);</w:t>
      </w:r>
    </w:p>
    <w:p>
      <w:pPr>
        <w:pStyle w:val="Defstart"/>
        <w:keepNext/>
        <w:keepLines/>
      </w:pPr>
      <w:r>
        <w:lastRenderedPageBreak/>
        <w:tab/>
      </w:r>
      <w:r>
        <w:rPr>
          <w:rStyle w:val="CharDefText"/>
          <w:color w:val="000000" w:themeColor="text1"/>
        </w:rPr>
        <w:t>National Statement</w:t>
      </w:r>
      <w:r>
        <w:t xml:space="preserve"> means the National Statement on Ethical Conduct in Human Research (2007), as modified or replaced from time to time, issued under the </w:t>
      </w:r>
      <w:r>
        <w:rPr>
          <w:i/>
        </w:rPr>
        <w:t>National Health and Medical Research Council Act 1992</w:t>
      </w:r>
      <w:r>
        <w:t xml:space="preserve"> (Commonwealth) section 7(1)(a);</w:t>
      </w:r>
    </w:p>
    <w:p>
      <w:pPr>
        <w:pStyle w:val="Defstart"/>
      </w:pPr>
      <w:r>
        <w:tab/>
      </w:r>
      <w:r>
        <w:rPr>
          <w:rStyle w:val="CharDefText"/>
        </w:rPr>
        <w:t>registered health practitioner</w:t>
      </w:r>
      <w:r>
        <w:t xml:space="preserve"> has the meaning given in the </w:t>
      </w:r>
      <w:r>
        <w:rPr>
          <w:i/>
        </w:rPr>
        <w:t>Health Practitioner Regulation National Law (Western Australia)</w:t>
      </w:r>
      <w:r>
        <w:t xml:space="preserve"> section 5;</w:t>
      </w:r>
    </w:p>
    <w:p>
      <w:pPr>
        <w:pStyle w:val="Defstart"/>
      </w:pPr>
      <w:r>
        <w:tab/>
      </w:r>
      <w:r>
        <w:rPr>
          <w:rStyle w:val="CharDefText"/>
          <w:color w:val="000000" w:themeColor="text1"/>
        </w:rPr>
        <w:t>researcher</w:t>
      </w:r>
      <w:r>
        <w:t xml:space="preserve"> means — </w:t>
      </w:r>
    </w:p>
    <w:p>
      <w:pPr>
        <w:pStyle w:val="Defpara"/>
      </w:pPr>
      <w:r>
        <w:rPr>
          <w:color w:val="000000" w:themeColor="text1"/>
        </w:rPr>
        <w:tab/>
        <w:t>(a)</w:t>
      </w:r>
      <w:r>
        <w:rPr>
          <w:color w:val="000000" w:themeColor="text1"/>
        </w:rPr>
        <w:tab/>
        <w:t>a lead researcher; or</w:t>
      </w:r>
    </w:p>
    <w:p>
      <w:pPr>
        <w:pStyle w:val="Defpara"/>
      </w:pPr>
      <w:r>
        <w:tab/>
        <w:t>(b)</w:t>
      </w:r>
      <w:r>
        <w:tab/>
        <w:t>an individual who conducts, or assists with the conduct of, medical research;</w:t>
      </w:r>
    </w:p>
    <w:p>
      <w:pPr>
        <w:pStyle w:val="Defstart"/>
      </w:pPr>
      <w:r>
        <w:rPr>
          <w:color w:val="000000" w:themeColor="text1"/>
        </w:rPr>
        <w:tab/>
      </w:r>
      <w:r>
        <w:rPr>
          <w:rStyle w:val="CharDefText"/>
          <w:color w:val="000000" w:themeColor="text1"/>
        </w:rPr>
        <w:t>review application</w:t>
      </w:r>
      <w:r>
        <w:rPr>
          <w:color w:val="000000" w:themeColor="text1"/>
        </w:rPr>
        <w:t xml:space="preserve"> means an application for review made under section 110ZZ;</w:t>
      </w:r>
    </w:p>
    <w:p>
      <w:pPr>
        <w:pStyle w:val="Defstart"/>
      </w:pPr>
      <w:r>
        <w:tab/>
      </w:r>
      <w:r>
        <w:rPr>
          <w:rStyle w:val="CharDefText"/>
          <w:color w:val="000000" w:themeColor="text1"/>
        </w:rPr>
        <w:t>reviewed decision</w:t>
      </w:r>
      <w:r>
        <w:t xml:space="preserve"> means a decision made under this Part that is the subject of a review application;</w:t>
      </w:r>
    </w:p>
    <w:p>
      <w:pPr>
        <w:pStyle w:val="Defstart"/>
      </w:pPr>
      <w:r>
        <w:tab/>
      </w:r>
      <w:r>
        <w:rPr>
          <w:rStyle w:val="CharDefText"/>
          <w:color w:val="000000" w:themeColor="text1"/>
        </w:rPr>
        <w:t>urgent medical research decision</w:t>
      </w:r>
      <w:r>
        <w:t xml:space="preserve"> means a decision to conduct medical research under section 110ZS(1).</w:t>
      </w:r>
    </w:p>
    <w:p>
      <w:pPr>
        <w:pStyle w:val="Footnotesection"/>
      </w:pPr>
      <w:r>
        <w:tab/>
        <w:t>[Section 110ZO inserted: No. 14 of 2020 s. 12; amended: No. 32 of 2023 s. 4.]</w:t>
      </w:r>
    </w:p>
    <w:p>
      <w:pPr>
        <w:pStyle w:val="Heading5"/>
      </w:pPr>
      <w:bookmarkStart w:id="332" w:name="_Toc161907030"/>
      <w:r>
        <w:rPr>
          <w:rStyle w:val="CharSectno"/>
        </w:rPr>
        <w:t>110ZP</w:t>
      </w:r>
      <w:r>
        <w:rPr>
          <w:color w:val="000000" w:themeColor="text1"/>
        </w:rPr>
        <w:t>.</w:t>
      </w:r>
      <w:r>
        <w:rPr>
          <w:color w:val="000000" w:themeColor="text1"/>
        </w:rPr>
        <w:tab/>
        <w:t>Term used: research decision</w:t>
      </w:r>
      <w:r>
        <w:rPr>
          <w:color w:val="000000" w:themeColor="text1"/>
        </w:rPr>
        <w:noBreakHyphen/>
        <w:t>maker</w:t>
      </w:r>
      <w:bookmarkEnd w:id="332"/>
    </w:p>
    <w:p>
      <w:pPr>
        <w:pStyle w:val="Subsection"/>
      </w:pPr>
      <w:r>
        <w:rPr>
          <w:color w:val="000000" w:themeColor="text1"/>
        </w:rPr>
        <w:tab/>
        <w:t>(1)</w:t>
      </w:r>
      <w:r>
        <w:rPr>
          <w:color w:val="000000" w:themeColor="text1"/>
        </w:rPr>
        <w:tab/>
        <w:t xml:space="preserve">A person is a </w:t>
      </w:r>
      <w:r>
        <w:rPr>
          <w:rStyle w:val="CharDefText"/>
          <w:color w:val="000000" w:themeColor="text1"/>
        </w:rPr>
        <w:t>research decision</w:t>
      </w:r>
      <w:r>
        <w:rPr>
          <w:rStyle w:val="CharDefText"/>
          <w:color w:val="000000" w:themeColor="text1"/>
        </w:rPr>
        <w:noBreakHyphen/>
        <w:t>maker</w:t>
      </w:r>
      <w:r>
        <w:rPr>
          <w:color w:val="000000" w:themeColor="text1"/>
        </w:rPr>
        <w:t xml:space="preserve"> for a research candidate if — </w:t>
      </w:r>
    </w:p>
    <w:p>
      <w:pPr>
        <w:pStyle w:val="Indenta"/>
      </w:pPr>
      <w:r>
        <w:rPr>
          <w:color w:val="000000" w:themeColor="text1"/>
        </w:rPr>
        <w:tab/>
        <w:t>(a)</w:t>
      </w:r>
      <w:r>
        <w:rPr>
          <w:color w:val="000000" w:themeColor="text1"/>
        </w:rPr>
        <w:tab/>
        <w:t>the candidate is unable to make reasonable judgments in respect of their participation in medical research; and</w:t>
      </w:r>
    </w:p>
    <w:p>
      <w:pPr>
        <w:pStyle w:val="Indenta"/>
      </w:pPr>
      <w:r>
        <w:tab/>
        <w:t>(b)</w:t>
      </w:r>
      <w:r>
        <w:tab/>
        <w:t xml:space="preserve">the person is first in order of the following persons — </w:t>
      </w:r>
    </w:p>
    <w:p>
      <w:pPr>
        <w:pStyle w:val="Indenti"/>
      </w:pPr>
      <w:r>
        <w:rPr>
          <w:color w:val="000000" w:themeColor="text1"/>
        </w:rPr>
        <w:tab/>
        <w:t>(i)</w:t>
      </w:r>
      <w:r>
        <w:rPr>
          <w:color w:val="000000" w:themeColor="text1"/>
        </w:rPr>
        <w:tab/>
        <w:t xml:space="preserve">a person to whom subsection (2) applies; </w:t>
      </w:r>
    </w:p>
    <w:p>
      <w:pPr>
        <w:pStyle w:val="Indenti"/>
      </w:pPr>
      <w:r>
        <w:tab/>
        <w:t>(ii)</w:t>
      </w:r>
      <w:r>
        <w:tab/>
        <w:t xml:space="preserve">if there is no person to whom subsection (2) applies — a person to whom subsection (3) applies; </w:t>
      </w:r>
    </w:p>
    <w:p>
      <w:pPr>
        <w:pStyle w:val="Indenti"/>
      </w:pPr>
      <w:r>
        <w:lastRenderedPageBreak/>
        <w:tab/>
        <w:t>(iii)</w:t>
      </w:r>
      <w:r>
        <w:tab/>
        <w:t>if there is no person to whom either subsection (2) or (3) applies — a person to whom subsection (4) applies.</w:t>
      </w:r>
    </w:p>
    <w:p>
      <w:pPr>
        <w:pStyle w:val="Subsection"/>
        <w:keepNext/>
      </w:pPr>
      <w:r>
        <w:rPr>
          <w:color w:val="000000" w:themeColor="text1"/>
        </w:rPr>
        <w:tab/>
        <w:t>(2)</w:t>
      </w:r>
      <w:r>
        <w:rPr>
          <w:color w:val="000000" w:themeColor="text1"/>
        </w:rPr>
        <w:tab/>
        <w:t xml:space="preserve">This subsection applies to a person who is — </w:t>
      </w:r>
    </w:p>
    <w:p>
      <w:pPr>
        <w:pStyle w:val="Indenta"/>
        <w:keepNext/>
      </w:pPr>
      <w:r>
        <w:rPr>
          <w:color w:val="000000" w:themeColor="text1"/>
        </w:rPr>
        <w:tab/>
        <w:t>(a)</w:t>
      </w:r>
      <w:r>
        <w:rPr>
          <w:color w:val="000000" w:themeColor="text1"/>
        </w:rPr>
        <w:tab/>
        <w:t>an enduring guardian for the research candidate; and</w:t>
      </w:r>
    </w:p>
    <w:p>
      <w:pPr>
        <w:pStyle w:val="Indenta"/>
      </w:pPr>
      <w:r>
        <w:tab/>
        <w:t>(b)</w:t>
      </w:r>
      <w:r>
        <w:tab/>
        <w:t>authorised to make a research decision in relation to the candidate; and</w:t>
      </w:r>
    </w:p>
    <w:p>
      <w:pPr>
        <w:pStyle w:val="Indenta"/>
      </w:pPr>
      <w:r>
        <w:tab/>
        <w:t>(c)</w:t>
      </w:r>
      <w:r>
        <w:tab/>
        <w:t>reasonably available; and</w:t>
      </w:r>
    </w:p>
    <w:p>
      <w:pPr>
        <w:pStyle w:val="Indenta"/>
      </w:pPr>
      <w:r>
        <w:tab/>
        <w:t>(d)</w:t>
      </w:r>
      <w:r>
        <w:tab/>
        <w:t>willing to make a research decision in relation to the candidate.</w:t>
      </w:r>
    </w:p>
    <w:p>
      <w:pPr>
        <w:pStyle w:val="Subsection"/>
      </w:pPr>
      <w:r>
        <w:rPr>
          <w:color w:val="000000" w:themeColor="text1"/>
        </w:rPr>
        <w:tab/>
        <w:t>(3)</w:t>
      </w:r>
      <w:r>
        <w:rPr>
          <w:color w:val="000000" w:themeColor="text1"/>
        </w:rPr>
        <w:tab/>
        <w:t xml:space="preserve">This subsection applies to a person who is — </w:t>
      </w:r>
    </w:p>
    <w:p>
      <w:pPr>
        <w:pStyle w:val="Indenta"/>
      </w:pPr>
      <w:r>
        <w:rPr>
          <w:color w:val="000000" w:themeColor="text1"/>
        </w:rPr>
        <w:tab/>
        <w:t>(a)</w:t>
      </w:r>
      <w:r>
        <w:rPr>
          <w:color w:val="000000" w:themeColor="text1"/>
        </w:rPr>
        <w:tab/>
        <w:t>a guardian for the research candidate; and</w:t>
      </w:r>
    </w:p>
    <w:p>
      <w:pPr>
        <w:pStyle w:val="Indenta"/>
      </w:pPr>
      <w:r>
        <w:tab/>
        <w:t>(b)</w:t>
      </w:r>
      <w:r>
        <w:tab/>
        <w:t>authorised to make a research decision in relation to the candidate; and</w:t>
      </w:r>
    </w:p>
    <w:p>
      <w:pPr>
        <w:pStyle w:val="Indenta"/>
      </w:pPr>
      <w:r>
        <w:tab/>
        <w:t>(c)</w:t>
      </w:r>
      <w:r>
        <w:tab/>
        <w:t>reasonably available; and</w:t>
      </w:r>
    </w:p>
    <w:p>
      <w:pPr>
        <w:pStyle w:val="Indenta"/>
      </w:pPr>
      <w:r>
        <w:tab/>
        <w:t>(d)</w:t>
      </w:r>
      <w:r>
        <w:tab/>
        <w:t>willing to make a research decision in relation to the candidate.</w:t>
      </w:r>
    </w:p>
    <w:p>
      <w:pPr>
        <w:pStyle w:val="Subsection"/>
      </w:pPr>
      <w:r>
        <w:rPr>
          <w:color w:val="000000" w:themeColor="text1"/>
        </w:rPr>
        <w:tab/>
        <w:t>(4)</w:t>
      </w:r>
      <w:r>
        <w:rPr>
          <w:color w:val="000000" w:themeColor="text1"/>
        </w:rPr>
        <w:tab/>
        <w:t>This subsection applies to a person who is a substitute decision</w:t>
      </w:r>
      <w:r>
        <w:rPr>
          <w:color w:val="000000" w:themeColor="text1"/>
        </w:rPr>
        <w:noBreakHyphen/>
        <w:t xml:space="preserve">maker for the research candidate under section 110ZQ. </w:t>
      </w:r>
    </w:p>
    <w:p>
      <w:pPr>
        <w:pStyle w:val="Subsection"/>
      </w:pPr>
      <w:r>
        <w:tab/>
        <w:t>(5)</w:t>
      </w:r>
      <w:r>
        <w:tab/>
        <w:t>If there are 2 or more persons who are the research decision</w:t>
      </w:r>
      <w:r>
        <w:noBreakHyphen/>
        <w:t xml:space="preserve">makers for a research candidate under this section — </w:t>
      </w:r>
    </w:p>
    <w:p>
      <w:pPr>
        <w:pStyle w:val="Indenta"/>
      </w:pPr>
      <w:r>
        <w:rPr>
          <w:color w:val="000000" w:themeColor="text1"/>
        </w:rPr>
        <w:tab/>
        <w:t>(a)</w:t>
      </w:r>
      <w:r>
        <w:rPr>
          <w:color w:val="000000" w:themeColor="text1"/>
        </w:rPr>
        <w:tab/>
        <w:t>the persons are jointly the research decision</w:t>
      </w:r>
      <w:r>
        <w:rPr>
          <w:color w:val="000000" w:themeColor="text1"/>
        </w:rPr>
        <w:noBreakHyphen/>
        <w:t>maker for the candidate; and</w:t>
      </w:r>
    </w:p>
    <w:p>
      <w:pPr>
        <w:pStyle w:val="Indenta"/>
      </w:pPr>
      <w:r>
        <w:tab/>
        <w:t>(b)</w:t>
      </w:r>
      <w:r>
        <w:tab/>
        <w:t>if the persons cannot agree on a research decision for the candidate — the person next in order of priority under this section is the research decision</w:t>
      </w:r>
      <w:r>
        <w:noBreakHyphen/>
        <w:t xml:space="preserve">maker for the candidate. </w:t>
      </w:r>
    </w:p>
    <w:p>
      <w:pPr>
        <w:pStyle w:val="Footnotesection"/>
      </w:pPr>
      <w:r>
        <w:tab/>
        <w:t>[Section 110ZP inserted: No. 14 of 2020 s. 12.]</w:t>
      </w:r>
    </w:p>
    <w:p>
      <w:pPr>
        <w:pStyle w:val="Heading5"/>
      </w:pPr>
      <w:bookmarkStart w:id="333" w:name="_Toc161907031"/>
      <w:r>
        <w:rPr>
          <w:rStyle w:val="CharSectno"/>
        </w:rPr>
        <w:lastRenderedPageBreak/>
        <w:t>110ZQ</w:t>
      </w:r>
      <w:r>
        <w:rPr>
          <w:color w:val="000000" w:themeColor="text1"/>
        </w:rPr>
        <w:t>.</w:t>
      </w:r>
      <w:r>
        <w:rPr>
          <w:color w:val="000000" w:themeColor="text1"/>
        </w:rPr>
        <w:tab/>
        <w:t>Substitute decision</w:t>
      </w:r>
      <w:r>
        <w:rPr>
          <w:color w:val="000000" w:themeColor="text1"/>
        </w:rPr>
        <w:noBreakHyphen/>
        <w:t>maker for a research candidate</w:t>
      </w:r>
      <w:bookmarkEnd w:id="333"/>
    </w:p>
    <w:p>
      <w:pPr>
        <w:pStyle w:val="Subsection"/>
        <w:keepNext/>
        <w:keepLines/>
      </w:pPr>
      <w:r>
        <w:rPr>
          <w:color w:val="000000" w:themeColor="text1"/>
        </w:rPr>
        <w:tab/>
        <w:t>(1)</w:t>
      </w:r>
      <w:r>
        <w:rPr>
          <w:color w:val="000000" w:themeColor="text1"/>
        </w:rPr>
        <w:tab/>
        <w:t>For the purposes of section 110ZP(4), a person is a substitute decision</w:t>
      </w:r>
      <w:r>
        <w:rPr>
          <w:color w:val="000000" w:themeColor="text1"/>
        </w:rPr>
        <w:noBreakHyphen/>
        <w:t xml:space="preserve">maker for a research candidate if the person is the first in order of the persons listed in subsection (2) who is — </w:t>
      </w:r>
    </w:p>
    <w:p>
      <w:pPr>
        <w:pStyle w:val="Indenta"/>
        <w:keepLines/>
      </w:pPr>
      <w:r>
        <w:rPr>
          <w:color w:val="000000" w:themeColor="text1"/>
        </w:rPr>
        <w:tab/>
        <w:t>(a)</w:t>
      </w:r>
      <w:r>
        <w:rPr>
          <w:color w:val="000000" w:themeColor="text1"/>
        </w:rPr>
        <w:tab/>
        <w:t>of full legal capacity; and</w:t>
      </w:r>
    </w:p>
    <w:p>
      <w:pPr>
        <w:pStyle w:val="Indenta"/>
      </w:pPr>
      <w:r>
        <w:tab/>
        <w:t>(b)</w:t>
      </w:r>
      <w:r>
        <w:tab/>
        <w:t>reasonably available; and</w:t>
      </w:r>
    </w:p>
    <w:p>
      <w:pPr>
        <w:pStyle w:val="Indenta"/>
      </w:pPr>
      <w:r>
        <w:tab/>
        <w:t>(c)</w:t>
      </w:r>
      <w:r>
        <w:tab/>
        <w:t>willing to make a research decision in relation to the candidate.</w:t>
      </w:r>
    </w:p>
    <w:p>
      <w:pPr>
        <w:pStyle w:val="Subsection"/>
        <w:keepNext/>
      </w:pPr>
      <w:r>
        <w:rPr>
          <w:color w:val="000000" w:themeColor="text1"/>
        </w:rPr>
        <w:tab/>
        <w:t>(2)</w:t>
      </w:r>
      <w:r>
        <w:rPr>
          <w:color w:val="000000" w:themeColor="text1"/>
        </w:rPr>
        <w:tab/>
        <w:t xml:space="preserve">For subsection (1), the persons are the following — </w:t>
      </w:r>
    </w:p>
    <w:p>
      <w:pPr>
        <w:pStyle w:val="Indenta"/>
      </w:pPr>
      <w:r>
        <w:rPr>
          <w:color w:val="000000" w:themeColor="text1"/>
        </w:rPr>
        <w:tab/>
        <w:t>(a)</w:t>
      </w:r>
      <w:r>
        <w:rPr>
          <w:color w:val="000000" w:themeColor="text1"/>
        </w:rPr>
        <w:tab/>
        <w:t>the research candidate’s spouse or de facto partner if that person —</w:t>
      </w:r>
    </w:p>
    <w:p>
      <w:pPr>
        <w:pStyle w:val="Indenti"/>
      </w:pPr>
      <w:r>
        <w:rPr>
          <w:color w:val="000000" w:themeColor="text1"/>
        </w:rPr>
        <w:tab/>
        <w:t>(i)</w:t>
      </w:r>
      <w:r>
        <w:rPr>
          <w:color w:val="000000" w:themeColor="text1"/>
        </w:rPr>
        <w:tab/>
        <w:t>has reached 18 years of age; and</w:t>
      </w:r>
    </w:p>
    <w:p>
      <w:pPr>
        <w:pStyle w:val="Indenti"/>
      </w:pPr>
      <w:r>
        <w:tab/>
        <w:t>(ii)</w:t>
      </w:r>
      <w:r>
        <w:tab/>
        <w:t>is living with the candidate or maintains a close personal relationship with the candidate;</w:t>
      </w:r>
    </w:p>
    <w:p>
      <w:pPr>
        <w:pStyle w:val="Indenta"/>
      </w:pPr>
      <w:r>
        <w:rPr>
          <w:color w:val="000000" w:themeColor="text1"/>
        </w:rPr>
        <w:tab/>
        <w:t>(b)</w:t>
      </w:r>
      <w:r>
        <w:rPr>
          <w:color w:val="000000" w:themeColor="text1"/>
        </w:rPr>
        <w:tab/>
        <w:t xml:space="preserve">the person who is first in the following order of priority of relatives of the research candidate who has reached 18 years of age and maintains a close personal relationship with the candidate — </w:t>
      </w:r>
    </w:p>
    <w:p>
      <w:pPr>
        <w:pStyle w:val="Indenti"/>
      </w:pPr>
      <w:r>
        <w:rPr>
          <w:color w:val="000000" w:themeColor="text1"/>
        </w:rPr>
        <w:tab/>
        <w:t>(i)</w:t>
      </w:r>
      <w:r>
        <w:rPr>
          <w:color w:val="000000" w:themeColor="text1"/>
        </w:rPr>
        <w:tab/>
        <w:t>a child;</w:t>
      </w:r>
    </w:p>
    <w:p>
      <w:pPr>
        <w:pStyle w:val="Indenti"/>
      </w:pPr>
      <w:r>
        <w:tab/>
        <w:t>(ii)</w:t>
      </w:r>
      <w:r>
        <w:tab/>
        <w:t>a parent;</w:t>
      </w:r>
    </w:p>
    <w:p>
      <w:pPr>
        <w:pStyle w:val="Indenti"/>
      </w:pPr>
      <w:r>
        <w:tab/>
        <w:t>(iii)</w:t>
      </w:r>
      <w:r>
        <w:tab/>
        <w:t>a sibling;</w:t>
      </w:r>
    </w:p>
    <w:p>
      <w:pPr>
        <w:pStyle w:val="Indenta"/>
      </w:pPr>
      <w:r>
        <w:rPr>
          <w:color w:val="000000" w:themeColor="text1"/>
        </w:rPr>
        <w:tab/>
        <w:t>(c)</w:t>
      </w:r>
      <w:r>
        <w:rPr>
          <w:color w:val="000000" w:themeColor="text1"/>
        </w:rPr>
        <w:tab/>
        <w:t>the person who —</w:t>
      </w:r>
    </w:p>
    <w:p>
      <w:pPr>
        <w:pStyle w:val="Indenti"/>
      </w:pPr>
      <w:r>
        <w:rPr>
          <w:color w:val="000000" w:themeColor="text1"/>
        </w:rPr>
        <w:tab/>
        <w:t>(i)</w:t>
      </w:r>
      <w:r>
        <w:rPr>
          <w:color w:val="000000" w:themeColor="text1"/>
        </w:rPr>
        <w:tab/>
        <w:t>has reached 18 years of age; and</w:t>
      </w:r>
    </w:p>
    <w:p>
      <w:pPr>
        <w:pStyle w:val="Indenti"/>
      </w:pPr>
      <w:r>
        <w:tab/>
        <w:t>(ii)</w:t>
      </w:r>
      <w:r>
        <w:tab/>
        <w:t>is the primary provider of care and support (including emotional support) to the research candidate, but is not remunerated for providing that care and support;</w:t>
      </w:r>
    </w:p>
    <w:p>
      <w:pPr>
        <w:pStyle w:val="Indenta"/>
      </w:pPr>
      <w:r>
        <w:rPr>
          <w:color w:val="000000" w:themeColor="text1"/>
        </w:rPr>
        <w:tab/>
        <w:t>(d)</w:t>
      </w:r>
      <w:r>
        <w:rPr>
          <w:color w:val="000000" w:themeColor="text1"/>
        </w:rPr>
        <w:tab/>
        <w:t>any other person who —</w:t>
      </w:r>
    </w:p>
    <w:p>
      <w:pPr>
        <w:pStyle w:val="Indenti"/>
      </w:pPr>
      <w:r>
        <w:rPr>
          <w:color w:val="000000" w:themeColor="text1"/>
        </w:rPr>
        <w:tab/>
        <w:t>(i)</w:t>
      </w:r>
      <w:r>
        <w:rPr>
          <w:color w:val="000000" w:themeColor="text1"/>
        </w:rPr>
        <w:tab/>
        <w:t>has reached 18 years of age; and</w:t>
      </w:r>
    </w:p>
    <w:p>
      <w:pPr>
        <w:pStyle w:val="Indenti"/>
      </w:pPr>
      <w:r>
        <w:tab/>
        <w:t>(ii)</w:t>
      </w:r>
      <w:r>
        <w:tab/>
        <w:t>maintains a close personal relationship with the research candidate.</w:t>
      </w:r>
    </w:p>
    <w:p>
      <w:pPr>
        <w:pStyle w:val="Subsection"/>
      </w:pPr>
      <w:r>
        <w:rPr>
          <w:color w:val="000000" w:themeColor="text1"/>
        </w:rPr>
        <w:lastRenderedPageBreak/>
        <w:tab/>
        <w:t>(3)</w:t>
      </w:r>
      <w:r>
        <w:rPr>
          <w:color w:val="000000" w:themeColor="text1"/>
        </w:rPr>
        <w:tab/>
        <w:t xml:space="preserve">For subsection (2)(a)(ii), (b) and (d)(ii), a person maintains a close personal relationship with a research candidate only if the person — </w:t>
      </w:r>
    </w:p>
    <w:p>
      <w:pPr>
        <w:pStyle w:val="Indenta"/>
      </w:pPr>
      <w:r>
        <w:rPr>
          <w:color w:val="000000" w:themeColor="text1"/>
        </w:rPr>
        <w:tab/>
        <w:t>(a)</w:t>
      </w:r>
      <w:r>
        <w:rPr>
          <w:color w:val="000000" w:themeColor="text1"/>
        </w:rPr>
        <w:tab/>
        <w:t>has frequent contact of a personal (as opposed to a business or professional) nature with the candidate; and</w:t>
      </w:r>
    </w:p>
    <w:p>
      <w:pPr>
        <w:pStyle w:val="Indenta"/>
      </w:pPr>
      <w:r>
        <w:tab/>
        <w:t>(b)</w:t>
      </w:r>
      <w:r>
        <w:tab/>
        <w:t>takes a genuine interest in the candidate’s welfare.</w:t>
      </w:r>
    </w:p>
    <w:p>
      <w:pPr>
        <w:pStyle w:val="Subsection"/>
      </w:pPr>
      <w:r>
        <w:rPr>
          <w:color w:val="000000" w:themeColor="text1"/>
        </w:rPr>
        <w:tab/>
        <w:t>(4)</w:t>
      </w:r>
      <w:r>
        <w:rPr>
          <w:color w:val="000000" w:themeColor="text1"/>
        </w:rPr>
        <w:tab/>
        <w:t>For subsection (2)(c)(ii), a person is not remunerated for providing care and support to a research candidate only because the person receives a carer payment or other benefit from the Commonwealth or a State or Territory for providing home care for the candidate.</w:t>
      </w:r>
    </w:p>
    <w:p>
      <w:pPr>
        <w:pStyle w:val="Subsection"/>
      </w:pPr>
      <w:r>
        <w:tab/>
        <w:t>(5)</w:t>
      </w:r>
      <w:r>
        <w:tab/>
        <w:t>If there are 2 or more persons who are the substitute decision</w:t>
      </w:r>
      <w:r>
        <w:noBreakHyphen/>
        <w:t xml:space="preserve">makers for a research candidate under this section — </w:t>
      </w:r>
    </w:p>
    <w:p>
      <w:pPr>
        <w:pStyle w:val="Indenta"/>
      </w:pPr>
      <w:r>
        <w:rPr>
          <w:color w:val="000000" w:themeColor="text1"/>
        </w:rPr>
        <w:tab/>
        <w:t>(a)</w:t>
      </w:r>
      <w:r>
        <w:rPr>
          <w:color w:val="000000" w:themeColor="text1"/>
        </w:rPr>
        <w:tab/>
        <w:t>the persons are jointly the substitute decision</w:t>
      </w:r>
      <w:r>
        <w:rPr>
          <w:color w:val="000000" w:themeColor="text1"/>
        </w:rPr>
        <w:noBreakHyphen/>
        <w:t>maker for the candidate; and</w:t>
      </w:r>
    </w:p>
    <w:p>
      <w:pPr>
        <w:pStyle w:val="Indenta"/>
      </w:pPr>
      <w:r>
        <w:tab/>
        <w:t>(b)</w:t>
      </w:r>
      <w:r>
        <w:tab/>
        <w:t>if the persons cannot agree on a research decision for the candidate — the person next in order of priority under this section is the substitute decision</w:t>
      </w:r>
      <w:r>
        <w:noBreakHyphen/>
        <w:t xml:space="preserve">maker for the candidate. </w:t>
      </w:r>
    </w:p>
    <w:p>
      <w:pPr>
        <w:pStyle w:val="Footnotesection"/>
      </w:pPr>
      <w:r>
        <w:tab/>
        <w:t>[Section 110ZQ inserted: No. 14 of 2020 s. 12.]</w:t>
      </w:r>
    </w:p>
    <w:p>
      <w:pPr>
        <w:pStyle w:val="Heading3"/>
      </w:pPr>
      <w:bookmarkStart w:id="334" w:name="_Toc161843336"/>
      <w:bookmarkStart w:id="335" w:name="_Toc161846051"/>
      <w:bookmarkStart w:id="336" w:name="_Toc161907032"/>
      <w:r>
        <w:rPr>
          <w:rStyle w:val="CharDivNo"/>
        </w:rPr>
        <w:t>Division 2</w:t>
      </w:r>
      <w:r>
        <w:rPr>
          <w:color w:val="000000" w:themeColor="text1"/>
        </w:rPr>
        <w:t> — </w:t>
      </w:r>
      <w:r>
        <w:rPr>
          <w:rStyle w:val="CharDivText"/>
        </w:rPr>
        <w:t>Decisions about medical research</w:t>
      </w:r>
      <w:bookmarkEnd w:id="334"/>
      <w:bookmarkEnd w:id="335"/>
      <w:bookmarkEnd w:id="336"/>
    </w:p>
    <w:p>
      <w:pPr>
        <w:pStyle w:val="Footnoteheading"/>
      </w:pPr>
      <w:r>
        <w:tab/>
        <w:t>[Heading inserted: No. 14 of 2020 s. 12.]</w:t>
      </w:r>
    </w:p>
    <w:p>
      <w:pPr>
        <w:pStyle w:val="Heading5"/>
      </w:pPr>
      <w:bookmarkStart w:id="337" w:name="_Toc161907033"/>
      <w:r>
        <w:rPr>
          <w:rStyle w:val="CharSectno"/>
        </w:rPr>
        <w:t>110ZR</w:t>
      </w:r>
      <w:r>
        <w:rPr>
          <w:color w:val="000000" w:themeColor="text1"/>
        </w:rPr>
        <w:t>.</w:t>
      </w:r>
      <w:r>
        <w:rPr>
          <w:color w:val="000000" w:themeColor="text1"/>
        </w:rPr>
        <w:tab/>
        <w:t>Medical research with consent of research decision</w:t>
      </w:r>
      <w:r>
        <w:rPr>
          <w:color w:val="000000" w:themeColor="text1"/>
        </w:rPr>
        <w:noBreakHyphen/>
        <w:t>maker</w:t>
      </w:r>
      <w:bookmarkEnd w:id="337"/>
    </w:p>
    <w:p>
      <w:pPr>
        <w:pStyle w:val="Subsection"/>
      </w:pPr>
      <w:r>
        <w:rPr>
          <w:color w:val="000000" w:themeColor="text1"/>
        </w:rPr>
        <w:tab/>
        <w:t>(1)</w:t>
      </w:r>
      <w:r>
        <w:rPr>
          <w:color w:val="000000" w:themeColor="text1"/>
        </w:rPr>
        <w:tab/>
        <w:t>The research decision</w:t>
      </w:r>
      <w:r>
        <w:rPr>
          <w:color w:val="000000" w:themeColor="text1"/>
        </w:rPr>
        <w:noBreakHyphen/>
        <w:t xml:space="preserve">maker for a research candidate may make a research decision in relation to the candidate’s participation in medical research if — </w:t>
      </w:r>
    </w:p>
    <w:p>
      <w:pPr>
        <w:pStyle w:val="Indenta"/>
      </w:pPr>
      <w:r>
        <w:rPr>
          <w:color w:val="000000" w:themeColor="text1"/>
        </w:rPr>
        <w:tab/>
        <w:t>(a)</w:t>
      </w:r>
      <w:r>
        <w:rPr>
          <w:color w:val="000000" w:themeColor="text1"/>
        </w:rPr>
        <w:tab/>
        <w:t>the research has been approved by an HREC; and</w:t>
      </w:r>
    </w:p>
    <w:p>
      <w:pPr>
        <w:pStyle w:val="Indenta"/>
      </w:pPr>
      <w:r>
        <w:tab/>
        <w:t>(b)</w:t>
      </w:r>
      <w:r>
        <w:tab/>
        <w:t>the candidate is unable to make reasonable judgments in relation to participating in the research; and</w:t>
      </w:r>
    </w:p>
    <w:p>
      <w:pPr>
        <w:pStyle w:val="Indenta"/>
      </w:pPr>
      <w:r>
        <w:lastRenderedPageBreak/>
        <w:tab/>
        <w:t>(c)</w:t>
      </w:r>
      <w:r>
        <w:tab/>
        <w:t>an independent medical practitioner determines in accordance with section 110ZV that the candidate is not likely to be able to make reasonable judgments within the timeframe for the research approved by the HREC.</w:t>
      </w:r>
    </w:p>
    <w:p>
      <w:pPr>
        <w:pStyle w:val="Subsection"/>
        <w:keepNext/>
      </w:pPr>
      <w:r>
        <w:rPr>
          <w:color w:val="000000" w:themeColor="text1"/>
        </w:rPr>
        <w:tab/>
        <w:t>(2)</w:t>
      </w:r>
      <w:r>
        <w:rPr>
          <w:color w:val="000000" w:themeColor="text1"/>
        </w:rPr>
        <w:tab/>
        <w:t>The research decision</w:t>
      </w:r>
      <w:r>
        <w:rPr>
          <w:color w:val="000000" w:themeColor="text1"/>
        </w:rPr>
        <w:noBreakHyphen/>
        <w:t>maker for a research candidate must not consent to the candidate’s participation in medical research unless the research decision</w:t>
      </w:r>
      <w:r>
        <w:rPr>
          <w:color w:val="000000" w:themeColor="text1"/>
        </w:rPr>
        <w:noBreakHyphen/>
        <w:t xml:space="preserve">maker — </w:t>
      </w:r>
    </w:p>
    <w:p>
      <w:pPr>
        <w:pStyle w:val="Indenta"/>
      </w:pPr>
      <w:r>
        <w:rPr>
          <w:color w:val="000000" w:themeColor="text1"/>
        </w:rPr>
        <w:tab/>
        <w:t>(a)</w:t>
      </w:r>
      <w:r>
        <w:rPr>
          <w:color w:val="000000" w:themeColor="text1"/>
        </w:rPr>
        <w:tab/>
        <w:t>receives the determination of an independent medical practitioner under subsection (3); and</w:t>
      </w:r>
    </w:p>
    <w:p>
      <w:pPr>
        <w:pStyle w:val="Indenta"/>
      </w:pPr>
      <w:r>
        <w:tab/>
        <w:t>(b)</w:t>
      </w:r>
      <w:r>
        <w:tab/>
        <w:t>determines, having regard to the independent medical practitioner’s determination under subsection (3)(a), that the candidate’s participation in the research is in the best interests of the candidate or is not adverse to the interests of the candidate; and</w:t>
      </w:r>
    </w:p>
    <w:p>
      <w:pPr>
        <w:pStyle w:val="Indenta"/>
      </w:pPr>
      <w:r>
        <w:tab/>
        <w:t>(c)</w:t>
      </w:r>
      <w:r>
        <w:tab/>
        <w:t xml:space="preserve">determines, having regard to the independent medical practitioner’s determination under subsection (3)(b), that the candidate’s participation — </w:t>
      </w:r>
    </w:p>
    <w:p>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pPr>
        <w:pStyle w:val="Indenti"/>
      </w:pPr>
      <w:r>
        <w:tab/>
        <w:t>(ii)</w:t>
      </w:r>
      <w:r>
        <w:tab/>
        <w:t>if subparagraph (i) does not apply — will not involve any known substantial risks to the candidate; or</w:t>
      </w:r>
    </w:p>
    <w:p>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pPr>
        <w:pStyle w:val="Indenti"/>
      </w:pPr>
      <w:r>
        <w:tab/>
        <w:t>(iv)</w:t>
      </w:r>
      <w:r>
        <w:tab/>
        <w:t xml:space="preserve">if subparagraphs (i) to (iii) do not apply — will not involve substantial risks to the candidate greater than if the candidate did not participate in the research. </w:t>
      </w:r>
    </w:p>
    <w:p>
      <w:pPr>
        <w:pStyle w:val="Subsection"/>
        <w:keepNext/>
        <w:keepLines/>
      </w:pPr>
      <w:r>
        <w:rPr>
          <w:color w:val="000000" w:themeColor="text1"/>
        </w:rPr>
        <w:lastRenderedPageBreak/>
        <w:tab/>
        <w:t>(3)</w:t>
      </w:r>
      <w:r>
        <w:rPr>
          <w:color w:val="000000" w:themeColor="text1"/>
        </w:rPr>
        <w:tab/>
        <w:t xml:space="preserve">An independent medical practitioner must determine — </w:t>
      </w:r>
    </w:p>
    <w:p>
      <w:pPr>
        <w:pStyle w:val="Indenta"/>
      </w:pPr>
      <w:r>
        <w:rPr>
          <w:color w:val="000000" w:themeColor="text1"/>
        </w:rPr>
        <w:tab/>
        <w:t>(a)</w:t>
      </w:r>
      <w:r>
        <w:rPr>
          <w:color w:val="000000" w:themeColor="text1"/>
        </w:rPr>
        <w:tab/>
        <w:t>whether the research candidate’s participation will be in the best interests of the candidate or will not be adverse to the interests of the candidate in accordance with section 110ZU; and</w:t>
      </w:r>
    </w:p>
    <w:p>
      <w:pPr>
        <w:pStyle w:val="Indenta"/>
      </w:pPr>
      <w:r>
        <w:tab/>
        <w:t>(b)</w:t>
      </w:r>
      <w:r>
        <w:tab/>
        <w:t xml:space="preserve">the matters stated in subsection (2)(c) in accordance with section 110ZW. </w:t>
      </w:r>
    </w:p>
    <w:p>
      <w:pPr>
        <w:pStyle w:val="Subsection"/>
      </w:pPr>
      <w:r>
        <w:rPr>
          <w:color w:val="000000" w:themeColor="text1"/>
        </w:rPr>
        <w:tab/>
        <w:t>(4)</w:t>
      </w:r>
      <w:r>
        <w:rPr>
          <w:color w:val="000000" w:themeColor="text1"/>
        </w:rPr>
        <w:tab/>
        <w:t>A research decision</w:t>
      </w:r>
      <w:r>
        <w:rPr>
          <w:color w:val="000000" w:themeColor="text1"/>
        </w:rPr>
        <w:noBreakHyphen/>
        <w:t>maker for a research candidate cannot make a research decision under this section to consent to the candidate’s participation in the medical research if the participation is inconsistent with any advance health directive in operation in respect of the candidate.</w:t>
      </w:r>
    </w:p>
    <w:p>
      <w:pPr>
        <w:pStyle w:val="Subsection"/>
      </w:pPr>
      <w:r>
        <w:tab/>
        <w:t>(5)</w:t>
      </w:r>
      <w:r>
        <w:tab/>
        <w:t xml:space="preserve">A research decision made under this section has effect as if — </w:t>
      </w:r>
    </w:p>
    <w:p>
      <w:pPr>
        <w:pStyle w:val="Indenta"/>
      </w:pPr>
      <w:r>
        <w:rPr>
          <w:color w:val="000000" w:themeColor="text1"/>
        </w:rPr>
        <w:tab/>
        <w:t>(a)</w:t>
      </w:r>
      <w:r>
        <w:rPr>
          <w:color w:val="000000" w:themeColor="text1"/>
        </w:rPr>
        <w:tab/>
        <w:t>it were made by the research candidate or with the candidate’s consent; and</w:t>
      </w:r>
    </w:p>
    <w:p>
      <w:pPr>
        <w:pStyle w:val="Indenta"/>
      </w:pPr>
      <w:r>
        <w:tab/>
        <w:t>(b)</w:t>
      </w:r>
      <w:r>
        <w:tab/>
        <w:t>the research candidate were of full legal capacity.</w:t>
      </w:r>
    </w:p>
    <w:p>
      <w:pPr>
        <w:pStyle w:val="Subsection"/>
      </w:pPr>
      <w:r>
        <w:rPr>
          <w:color w:val="000000" w:themeColor="text1"/>
        </w:rPr>
        <w:tab/>
        <w:t>(6)</w:t>
      </w:r>
      <w:r>
        <w:rPr>
          <w:color w:val="000000" w:themeColor="text1"/>
        </w:rPr>
        <w:tab/>
        <w:t>If a research decision</w:t>
      </w:r>
      <w:r>
        <w:rPr>
          <w:color w:val="000000" w:themeColor="text1"/>
        </w:rPr>
        <w:noBreakHyphen/>
        <w:t>maker for a research candidate has made a research decision to consent to the candidate’s participation in the medical research under subsection (1), a research decision</w:t>
      </w:r>
      <w:r>
        <w:rPr>
          <w:color w:val="000000" w:themeColor="text1"/>
        </w:rPr>
        <w:noBreakHyphen/>
        <w:t xml:space="preserve">maker for the candidate may decide that, contrary to the research decision, the candidate will no longer participate in the research. </w:t>
      </w:r>
    </w:p>
    <w:p>
      <w:pPr>
        <w:pStyle w:val="Subsection"/>
      </w:pPr>
      <w:r>
        <w:tab/>
        <w:t>(7)</w:t>
      </w:r>
      <w:r>
        <w:tab/>
        <w:t>If a research candidate regains the ability to make reasonable judgments in respect of medical research while the candidate participates in the research or a research decision</w:t>
      </w:r>
      <w:r>
        <w:noBreakHyphen/>
        <w:t xml:space="preserve">maker makes a decision under subsection (6) — </w:t>
      </w:r>
    </w:p>
    <w:p>
      <w:pPr>
        <w:pStyle w:val="Indenta"/>
      </w:pPr>
      <w:r>
        <w:rPr>
          <w:color w:val="000000" w:themeColor="text1"/>
        </w:rPr>
        <w:tab/>
        <w:t>(a)</w:t>
      </w:r>
      <w:r>
        <w:rPr>
          <w:color w:val="000000" w:themeColor="text1"/>
        </w:rPr>
        <w:tab/>
        <w:t>the research decision made under subsection (1) ceases to have further effect; and</w:t>
      </w:r>
    </w:p>
    <w:p>
      <w:pPr>
        <w:pStyle w:val="Indenta"/>
      </w:pPr>
      <w:r>
        <w:tab/>
        <w:t>(b)</w:t>
      </w:r>
      <w:r>
        <w:tab/>
        <w:t xml:space="preserve">the lead researcher in relation to the research must ensure that — </w:t>
      </w:r>
    </w:p>
    <w:p>
      <w:pPr>
        <w:pStyle w:val="Indenti"/>
      </w:pPr>
      <w:r>
        <w:rPr>
          <w:color w:val="000000" w:themeColor="text1"/>
        </w:rPr>
        <w:tab/>
        <w:t>(i)</w:t>
      </w:r>
      <w:r>
        <w:rPr>
          <w:color w:val="000000" w:themeColor="text1"/>
        </w:rPr>
        <w:tab/>
        <w:t>the research is discontinued as soon as is safely practicable; and</w:t>
      </w:r>
    </w:p>
    <w:p>
      <w:pPr>
        <w:pStyle w:val="Indenti"/>
        <w:keepNext/>
      </w:pPr>
      <w:r>
        <w:lastRenderedPageBreak/>
        <w:tab/>
        <w:t>(ii)</w:t>
      </w:r>
      <w:r>
        <w:tab/>
        <w:t>the research is not recommenced unless a research decision is made by the candidate, or by the research decision</w:t>
      </w:r>
      <w:r>
        <w:noBreakHyphen/>
        <w:t>maker under subsection (1), to consent to continue to participate in the research.</w:t>
      </w:r>
    </w:p>
    <w:p>
      <w:pPr>
        <w:pStyle w:val="Footnotesection"/>
      </w:pPr>
      <w:r>
        <w:tab/>
        <w:t>[Section 110ZR inserted: No. 14 of 2020 s. 12.]</w:t>
      </w:r>
    </w:p>
    <w:p>
      <w:pPr>
        <w:pStyle w:val="Heading5"/>
      </w:pPr>
      <w:bookmarkStart w:id="338" w:name="_Toc161907034"/>
      <w:r>
        <w:rPr>
          <w:rStyle w:val="CharSectno"/>
        </w:rPr>
        <w:t>110ZS</w:t>
      </w:r>
      <w:r>
        <w:rPr>
          <w:color w:val="000000" w:themeColor="text1"/>
        </w:rPr>
        <w:t>.</w:t>
      </w:r>
      <w:r>
        <w:rPr>
          <w:color w:val="000000" w:themeColor="text1"/>
        </w:rPr>
        <w:tab/>
        <w:t>Urgent medical research without consent</w:t>
      </w:r>
      <w:bookmarkEnd w:id="338"/>
    </w:p>
    <w:p>
      <w:pPr>
        <w:pStyle w:val="Subsection"/>
      </w:pPr>
      <w:r>
        <w:rPr>
          <w:color w:val="000000" w:themeColor="text1"/>
        </w:rPr>
        <w:tab/>
        <w:t>(1)</w:t>
      </w:r>
      <w:r>
        <w:rPr>
          <w:color w:val="000000" w:themeColor="text1"/>
        </w:rPr>
        <w:tab/>
        <w:t xml:space="preserve">A researcher may conduct medical research in relation to a research candidate if — </w:t>
      </w:r>
    </w:p>
    <w:p>
      <w:pPr>
        <w:pStyle w:val="Indenta"/>
      </w:pPr>
      <w:r>
        <w:rPr>
          <w:color w:val="000000" w:themeColor="text1"/>
        </w:rPr>
        <w:tab/>
        <w:t>(a)</w:t>
      </w:r>
      <w:r>
        <w:rPr>
          <w:color w:val="000000" w:themeColor="text1"/>
        </w:rPr>
        <w:tab/>
        <w:t>the research has been approved by an HREC; and</w:t>
      </w:r>
    </w:p>
    <w:p>
      <w:pPr>
        <w:pStyle w:val="Indenta"/>
      </w:pPr>
      <w:r>
        <w:tab/>
        <w:t>(b)</w:t>
      </w:r>
      <w:r>
        <w:tab/>
        <w:t>the candidate requires urgent treatment as defined in section 110ZH; and</w:t>
      </w:r>
    </w:p>
    <w:p>
      <w:pPr>
        <w:pStyle w:val="Indenta"/>
      </w:pPr>
      <w:r>
        <w:tab/>
        <w:t>(c)</w:t>
      </w:r>
      <w:r>
        <w:tab/>
        <w:t>the candidate is unable to make reasonable judgments in respect of their participation in the research; and</w:t>
      </w:r>
    </w:p>
    <w:p>
      <w:pPr>
        <w:pStyle w:val="Indenta"/>
      </w:pPr>
      <w:r>
        <w:tab/>
        <w:t>(d)</w:t>
      </w:r>
      <w:r>
        <w:tab/>
        <w:t>there is no research decision in relation to the candidate in respect of their participation in the research; and</w:t>
      </w:r>
    </w:p>
    <w:p>
      <w:pPr>
        <w:pStyle w:val="Indenta"/>
      </w:pPr>
      <w:r>
        <w:tab/>
        <w:t>(e)</w:t>
      </w:r>
      <w:r>
        <w:tab/>
        <w:t>it is not practicable for the researcher to obtain a research decision in relation to the candidate from the research decision</w:t>
      </w:r>
      <w:r>
        <w:noBreakHyphen/>
        <w:t>maker for the candidate; and</w:t>
      </w:r>
    </w:p>
    <w:p>
      <w:pPr>
        <w:pStyle w:val="Indenta"/>
      </w:pPr>
      <w:r>
        <w:tab/>
        <w:t>(f)</w:t>
      </w:r>
      <w:r>
        <w:tab/>
        <w:t>it is unlikely that it will be practicable for the researcher to obtain a research decision in relation to the candidate from the research decision</w:t>
      </w:r>
      <w:r>
        <w:noBreakHyphen/>
        <w:t>maker for the candidate within the timeframe for the research approved by the HREC; and</w:t>
      </w:r>
    </w:p>
    <w:p>
      <w:pPr>
        <w:pStyle w:val="Indenta"/>
      </w:pPr>
      <w:r>
        <w:tab/>
        <w:t>(g)</w:t>
      </w:r>
      <w:r>
        <w:tab/>
        <w:t>the researcher receives an independent medical practitioner’s determination in accordance with section 110ZV that the candidate is not likely to be able to make reasonable judgments in respect of their participation in the research within the timeframe for the research approved by the HREC; and</w:t>
      </w:r>
    </w:p>
    <w:p>
      <w:pPr>
        <w:pStyle w:val="Indenta"/>
        <w:keepLines/>
      </w:pPr>
      <w:r>
        <w:lastRenderedPageBreak/>
        <w:tab/>
        <w:t>(h)</w:t>
      </w:r>
      <w:r>
        <w:tab/>
        <w:t>the researcher receives an independent medical practitioner’s determination in accordance with section 110ZU that the candidate’s participation is in the best interests of the candidate or is not adverse to the interests of the candidate; and</w:t>
      </w:r>
    </w:p>
    <w:p>
      <w:pPr>
        <w:pStyle w:val="Indenta"/>
      </w:pPr>
      <w:r>
        <w:tab/>
        <w:t>(i)</w:t>
      </w:r>
      <w:r>
        <w:tab/>
        <w:t xml:space="preserve">the researcher receives an independent medical practitioner’s determination in accordance with section 110ZW that the candidate’s participation in the research — </w:t>
      </w:r>
    </w:p>
    <w:p>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pPr>
        <w:pStyle w:val="Indenti"/>
      </w:pPr>
      <w:r>
        <w:tab/>
        <w:t>(ii)</w:t>
      </w:r>
      <w:r>
        <w:tab/>
        <w:t>if subparagraph (i) does not apply — will not involve any known substantial risks to the candidate; or</w:t>
      </w:r>
    </w:p>
    <w:p>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pPr>
        <w:pStyle w:val="Indenti"/>
      </w:pPr>
      <w:r>
        <w:tab/>
        <w:t>(iv)</w:t>
      </w:r>
      <w:r>
        <w:tab/>
        <w:t xml:space="preserve">if subparagraphs (i) to (iii) do not apply — will not involve substantial risks to the candidate greater than if the candidate did not participate in the research. </w:t>
      </w:r>
    </w:p>
    <w:p>
      <w:pPr>
        <w:pStyle w:val="Subsection"/>
      </w:pPr>
      <w:r>
        <w:rPr>
          <w:color w:val="000000" w:themeColor="text1"/>
        </w:rPr>
        <w:tab/>
        <w:t>(2)</w:t>
      </w:r>
      <w:r>
        <w:rPr>
          <w:color w:val="000000" w:themeColor="text1"/>
        </w:rPr>
        <w:tab/>
        <w:t xml:space="preserve">A researcher must not conduct medical research in relation to a research candidate in accordance with an urgent medical research decision if the researcher is aware, or ought reasonably to be aware, the research is inconsistent with any advance health directive in operation in respect of the candidate. </w:t>
      </w:r>
    </w:p>
    <w:p>
      <w:pPr>
        <w:pStyle w:val="Subsection"/>
      </w:pPr>
      <w:r>
        <w:tab/>
        <w:t>(3)</w:t>
      </w:r>
      <w:r>
        <w:tab/>
        <w:t xml:space="preserve">While a researcher conducts medical research in relation to a research candidate in accordance with an urgent medical research decision, the lead researcher in relation to the research must continue to take reasonable steps to obtain a research </w:t>
      </w:r>
      <w:r>
        <w:lastRenderedPageBreak/>
        <w:t>decision under section 110ZR in relation to the research candidate from the research decision</w:t>
      </w:r>
      <w:r>
        <w:noBreakHyphen/>
        <w:t xml:space="preserve">maker for the candidate. </w:t>
      </w:r>
    </w:p>
    <w:p>
      <w:pPr>
        <w:pStyle w:val="Subsection"/>
        <w:keepNext/>
      </w:pPr>
      <w:r>
        <w:tab/>
        <w:t>(4)</w:t>
      </w:r>
      <w:r>
        <w:tab/>
        <w:t xml:space="preserve">Subsection (5) applies if — </w:t>
      </w:r>
    </w:p>
    <w:p>
      <w:pPr>
        <w:pStyle w:val="Indenta"/>
      </w:pPr>
      <w:r>
        <w:rPr>
          <w:color w:val="000000" w:themeColor="text1"/>
        </w:rPr>
        <w:tab/>
        <w:t>(a)</w:t>
      </w:r>
      <w:r>
        <w:rPr>
          <w:color w:val="000000" w:themeColor="text1"/>
        </w:rPr>
        <w:tab/>
        <w:t>a researcher conducts medical research in relation to a research candidate in accordance with an urgent medical research decision; and</w:t>
      </w:r>
    </w:p>
    <w:p>
      <w:pPr>
        <w:pStyle w:val="Indenta"/>
      </w:pPr>
      <w:r>
        <w:tab/>
        <w:t>(b)</w:t>
      </w:r>
      <w:r>
        <w:tab/>
        <w:t xml:space="preserve">either — </w:t>
      </w:r>
    </w:p>
    <w:p>
      <w:pPr>
        <w:pStyle w:val="Indenti"/>
      </w:pPr>
      <w:r>
        <w:rPr>
          <w:color w:val="000000" w:themeColor="text1"/>
        </w:rPr>
        <w:tab/>
        <w:t>(i)</w:t>
      </w:r>
      <w:r>
        <w:rPr>
          <w:color w:val="000000" w:themeColor="text1"/>
        </w:rPr>
        <w:tab/>
        <w:t xml:space="preserve">the research candidate regains the ability to make reasonable judgments in respect of the medical research; or </w:t>
      </w:r>
    </w:p>
    <w:p>
      <w:pPr>
        <w:pStyle w:val="Indenti"/>
      </w:pPr>
      <w:r>
        <w:tab/>
        <w:t>(ii)</w:t>
      </w:r>
      <w:r>
        <w:tab/>
        <w:t>a research decision</w:t>
      </w:r>
      <w:r>
        <w:noBreakHyphen/>
        <w:t xml:space="preserve">maker makes a research decision under section 110ZR to refuse consent to the candidate’s participation in the research. </w:t>
      </w:r>
    </w:p>
    <w:p>
      <w:pPr>
        <w:pStyle w:val="Subsection"/>
      </w:pPr>
      <w:r>
        <w:rPr>
          <w:color w:val="000000" w:themeColor="text1"/>
        </w:rPr>
        <w:tab/>
        <w:t>(5)</w:t>
      </w:r>
      <w:r>
        <w:rPr>
          <w:color w:val="000000" w:themeColor="text1"/>
        </w:rPr>
        <w:tab/>
        <w:t>The lead researcher in relation to the medical research must ensure that —</w:t>
      </w:r>
    </w:p>
    <w:p>
      <w:pPr>
        <w:pStyle w:val="Indenta"/>
      </w:pPr>
      <w:r>
        <w:rPr>
          <w:color w:val="000000" w:themeColor="text1"/>
        </w:rPr>
        <w:tab/>
        <w:t>(a)</w:t>
      </w:r>
      <w:r>
        <w:rPr>
          <w:color w:val="000000" w:themeColor="text1"/>
        </w:rPr>
        <w:tab/>
        <w:t>the research is discontinued as soon as is safely practicable; and</w:t>
      </w:r>
    </w:p>
    <w:p>
      <w:pPr>
        <w:pStyle w:val="Indenta"/>
      </w:pPr>
      <w:r>
        <w:tab/>
        <w:t>(b)</w:t>
      </w:r>
      <w:r>
        <w:tab/>
        <w:t>the research is not recommenced unless the research candidate or research decision-maker consents to continue to participate in the research.</w:t>
      </w:r>
    </w:p>
    <w:p>
      <w:pPr>
        <w:pStyle w:val="Footnotesection"/>
      </w:pPr>
      <w:r>
        <w:tab/>
        <w:t>[Section 110ZS inserted: No. 14 of 2020 s. 12.]</w:t>
      </w:r>
    </w:p>
    <w:p>
      <w:pPr>
        <w:pStyle w:val="Heading5"/>
      </w:pPr>
      <w:bookmarkStart w:id="339" w:name="_Toc161907035"/>
      <w:r>
        <w:rPr>
          <w:rStyle w:val="CharSectno"/>
        </w:rPr>
        <w:t>110ZT</w:t>
      </w:r>
      <w:r>
        <w:rPr>
          <w:color w:val="000000" w:themeColor="text1"/>
        </w:rPr>
        <w:t>.</w:t>
      </w:r>
      <w:r>
        <w:rPr>
          <w:color w:val="000000" w:themeColor="text1"/>
        </w:rPr>
        <w:tab/>
        <w:t>Particular medical research not permitted</w:t>
      </w:r>
      <w:bookmarkEnd w:id="339"/>
    </w:p>
    <w:p>
      <w:pPr>
        <w:pStyle w:val="Subsection"/>
      </w:pPr>
      <w:r>
        <w:rPr>
          <w:color w:val="000000" w:themeColor="text1"/>
        </w:rPr>
        <w:tab/>
        <w:t>(1)</w:t>
      </w:r>
      <w:r>
        <w:rPr>
          <w:color w:val="000000" w:themeColor="text1"/>
        </w:rPr>
        <w:tab/>
        <w:t xml:space="preserve">In this section — </w:t>
      </w:r>
    </w:p>
    <w:p>
      <w:pPr>
        <w:pStyle w:val="Defstart"/>
      </w:pPr>
      <w:r>
        <w:rPr>
          <w:color w:val="000000" w:themeColor="text1"/>
        </w:rPr>
        <w:tab/>
      </w:r>
      <w:r>
        <w:rPr>
          <w:rStyle w:val="CharDefText"/>
          <w:color w:val="000000" w:themeColor="text1"/>
        </w:rPr>
        <w:t>procedure for the sterilisation</w:t>
      </w:r>
      <w:r>
        <w:rPr>
          <w:color w:val="000000" w:themeColor="text1"/>
        </w:rPr>
        <w:t xml:space="preserve"> has the meaning given in section 56.</w:t>
      </w:r>
    </w:p>
    <w:p>
      <w:pPr>
        <w:pStyle w:val="Subsection"/>
      </w:pPr>
      <w:r>
        <w:rPr>
          <w:color w:val="000000" w:themeColor="text1"/>
        </w:rPr>
        <w:tab/>
        <w:t>(2)</w:t>
      </w:r>
      <w:r>
        <w:rPr>
          <w:color w:val="000000" w:themeColor="text1"/>
        </w:rPr>
        <w:tab/>
        <w:t>A research decision</w:t>
      </w:r>
      <w:r>
        <w:rPr>
          <w:color w:val="000000" w:themeColor="text1"/>
        </w:rPr>
        <w:noBreakHyphen/>
        <w:t xml:space="preserve">maker for a research candidate cannot consent under this Part to — </w:t>
      </w:r>
    </w:p>
    <w:p>
      <w:pPr>
        <w:pStyle w:val="Indenta"/>
      </w:pPr>
      <w:r>
        <w:rPr>
          <w:color w:val="000000" w:themeColor="text1"/>
        </w:rPr>
        <w:tab/>
        <w:t>(a)</w:t>
      </w:r>
      <w:r>
        <w:rPr>
          <w:color w:val="000000" w:themeColor="text1"/>
        </w:rPr>
        <w:tab/>
        <w:t>a procedure for the sterilisation of the candidate; or</w:t>
      </w:r>
    </w:p>
    <w:p>
      <w:pPr>
        <w:pStyle w:val="Indenta"/>
        <w:keepNext/>
      </w:pPr>
      <w:r>
        <w:lastRenderedPageBreak/>
        <w:tab/>
        <w:t>(b)</w:t>
      </w:r>
      <w:r>
        <w:tab/>
        <w:t xml:space="preserve">electroconvulsive therapy being performed on the candidate; or </w:t>
      </w:r>
    </w:p>
    <w:p>
      <w:pPr>
        <w:pStyle w:val="Indenta"/>
      </w:pPr>
      <w:r>
        <w:tab/>
        <w:t>(c)</w:t>
      </w:r>
      <w:r>
        <w:tab/>
        <w:t>the performance of an abortion on the candidate.</w:t>
      </w:r>
    </w:p>
    <w:p>
      <w:pPr>
        <w:pStyle w:val="Subsection"/>
        <w:keepNext/>
      </w:pPr>
      <w:r>
        <w:rPr>
          <w:color w:val="000000" w:themeColor="text1"/>
        </w:rPr>
        <w:tab/>
        <w:t>(3)</w:t>
      </w:r>
      <w:r>
        <w:rPr>
          <w:color w:val="000000" w:themeColor="text1"/>
        </w:rPr>
        <w:tab/>
        <w:t xml:space="preserve">A person must not, for the purposes of medical research, carry out or take part in — </w:t>
      </w:r>
    </w:p>
    <w:p>
      <w:pPr>
        <w:pStyle w:val="Indenta"/>
      </w:pPr>
      <w:r>
        <w:rPr>
          <w:color w:val="000000" w:themeColor="text1"/>
        </w:rPr>
        <w:tab/>
        <w:t>(a)</w:t>
      </w:r>
      <w:r>
        <w:rPr>
          <w:color w:val="000000" w:themeColor="text1"/>
        </w:rPr>
        <w:tab/>
        <w:t>a procedure for the sterilisation of a research candidate; or</w:t>
      </w:r>
    </w:p>
    <w:p>
      <w:pPr>
        <w:pStyle w:val="Indenta"/>
      </w:pPr>
      <w:r>
        <w:tab/>
        <w:t>(b)</w:t>
      </w:r>
      <w:r>
        <w:tab/>
        <w:t>electroconvulsive therapy being performed on a research candidate.</w:t>
      </w:r>
    </w:p>
    <w:p>
      <w:pPr>
        <w:pStyle w:val="Penstart"/>
      </w:pPr>
      <w:r>
        <w:rPr>
          <w:color w:val="000000" w:themeColor="text1"/>
        </w:rPr>
        <w:tab/>
        <w:t xml:space="preserve">Penalty for this subsection: </w:t>
      </w:r>
      <w:r>
        <w:rPr>
          <w:snapToGrid w:val="0"/>
          <w:color w:val="000000" w:themeColor="text1"/>
        </w:rPr>
        <w:t>imprisonment for 2 years or a fine of $10 000.</w:t>
      </w:r>
    </w:p>
    <w:p>
      <w:pPr>
        <w:pStyle w:val="Subsection"/>
      </w:pPr>
      <w:r>
        <w:tab/>
        <w:t>(4)</w:t>
      </w:r>
      <w:r>
        <w:tab/>
        <w:t>A person must not, for the purposes of medical research, perform or assist in the performance of an abortion on a research candidate.</w:t>
      </w:r>
    </w:p>
    <w:p>
      <w:pPr>
        <w:pStyle w:val="Penstart"/>
      </w:pPr>
      <w:r>
        <w:tab/>
        <w:t>Penalty for this subsection: imprisonment for 2 years or a fine of $10 000.</w:t>
      </w:r>
    </w:p>
    <w:p>
      <w:pPr>
        <w:pStyle w:val="Footnotesection"/>
      </w:pPr>
      <w:r>
        <w:tab/>
        <w:t>[Section 110ZT inserted: No. 14 of 2020 s. 12; amended: No. 20 of 2023 s. 54.]</w:t>
      </w:r>
    </w:p>
    <w:p>
      <w:pPr>
        <w:pStyle w:val="Heading3"/>
        <w:keepLines/>
      </w:pPr>
      <w:bookmarkStart w:id="340" w:name="_Toc161843340"/>
      <w:bookmarkStart w:id="341" w:name="_Toc161846055"/>
      <w:bookmarkStart w:id="342" w:name="_Toc161907036"/>
      <w:r>
        <w:rPr>
          <w:rStyle w:val="CharDivNo"/>
        </w:rPr>
        <w:t>Division 3</w:t>
      </w:r>
      <w:r>
        <w:rPr>
          <w:color w:val="000000" w:themeColor="text1"/>
        </w:rPr>
        <w:t> — </w:t>
      </w:r>
      <w:r>
        <w:rPr>
          <w:rStyle w:val="CharDivText"/>
        </w:rPr>
        <w:t>Provisions about research decisions and urgent medical research decisions</w:t>
      </w:r>
      <w:bookmarkEnd w:id="340"/>
      <w:bookmarkEnd w:id="341"/>
      <w:bookmarkEnd w:id="342"/>
    </w:p>
    <w:p>
      <w:pPr>
        <w:pStyle w:val="Footnoteheading"/>
        <w:keepNext/>
        <w:keepLines/>
      </w:pPr>
      <w:r>
        <w:tab/>
        <w:t>[Heading inserted: No. 14 of 2020 s. 12.]</w:t>
      </w:r>
    </w:p>
    <w:p>
      <w:pPr>
        <w:pStyle w:val="Heading5"/>
      </w:pPr>
      <w:bookmarkStart w:id="343" w:name="_Toc161907037"/>
      <w:r>
        <w:rPr>
          <w:rStyle w:val="CharSectno"/>
        </w:rPr>
        <w:t>110ZU</w:t>
      </w:r>
      <w:r>
        <w:rPr>
          <w:color w:val="000000" w:themeColor="text1"/>
        </w:rPr>
        <w:t>.</w:t>
      </w:r>
      <w:r>
        <w:rPr>
          <w:color w:val="000000" w:themeColor="text1"/>
        </w:rPr>
        <w:tab/>
        <w:t>Assessment by independent medical practitioner of research candidate’s best interests</w:t>
      </w:r>
      <w:bookmarkEnd w:id="343"/>
    </w:p>
    <w:p>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110ZR(3)(a) or 110ZS(1)(h) — </w:t>
      </w:r>
    </w:p>
    <w:p>
      <w:pPr>
        <w:pStyle w:val="Indenta"/>
      </w:pPr>
      <w:r>
        <w:rPr>
          <w:color w:val="000000" w:themeColor="text1"/>
        </w:rPr>
        <w:tab/>
        <w:t>(a)</w:t>
      </w:r>
      <w:r>
        <w:rPr>
          <w:color w:val="000000" w:themeColor="text1"/>
        </w:rPr>
        <w:tab/>
        <w:t>the wishes of the research candidate (to the extent they can be ascertained) as the paramount consideration;</w:t>
      </w:r>
    </w:p>
    <w:p>
      <w:pPr>
        <w:pStyle w:val="Indenta"/>
        <w:keepNext/>
      </w:pPr>
      <w:r>
        <w:lastRenderedPageBreak/>
        <w:tab/>
        <w:t>(b)</w:t>
      </w:r>
      <w:r>
        <w:tab/>
        <w:t xml:space="preserve">the likely effects of the research candidate’s participation, including — </w:t>
      </w:r>
    </w:p>
    <w:p>
      <w:pPr>
        <w:pStyle w:val="Indenti"/>
        <w:keepNext/>
      </w:pPr>
      <w:r>
        <w:rPr>
          <w:color w:val="000000" w:themeColor="text1"/>
        </w:rPr>
        <w:tab/>
        <w:t>(i)</w:t>
      </w:r>
      <w:r>
        <w:rPr>
          <w:color w:val="000000" w:themeColor="text1"/>
        </w:rPr>
        <w:tab/>
        <w:t>the existence, likelihood and severity of any potential risks to the candidate; and</w:t>
      </w:r>
    </w:p>
    <w:p>
      <w:pPr>
        <w:pStyle w:val="Indenti"/>
      </w:pPr>
      <w:r>
        <w:tab/>
        <w:t>(ii)</w:t>
      </w:r>
      <w:r>
        <w:tab/>
        <w:t>whether those risks are justified by any likely benefits of the research to the candidate or to the broader community;</w:t>
      </w:r>
    </w:p>
    <w:p>
      <w:pPr>
        <w:pStyle w:val="Indenta"/>
      </w:pPr>
      <w:r>
        <w:rPr>
          <w:color w:val="000000" w:themeColor="text1"/>
        </w:rPr>
        <w:tab/>
        <w:t>(c)</w:t>
      </w:r>
      <w:r>
        <w:rPr>
          <w:color w:val="000000" w:themeColor="text1"/>
        </w:rPr>
        <w:tab/>
        <w:t>any consequences for the research candidate if they are not involved in the research;</w:t>
      </w:r>
    </w:p>
    <w:p>
      <w:pPr>
        <w:pStyle w:val="Indenta"/>
      </w:pPr>
      <w:r>
        <w:tab/>
        <w:t>(d)</w:t>
      </w:r>
      <w:r>
        <w:tab/>
        <w:t>any alternative treatments available to the research candidate;</w:t>
      </w:r>
    </w:p>
    <w:p>
      <w:pPr>
        <w:pStyle w:val="Indenta"/>
      </w:pPr>
      <w:r>
        <w:tab/>
        <w:t>(e)</w:t>
      </w:r>
      <w:r>
        <w:tab/>
        <w:t>any other prescribed matters.</w:t>
      </w:r>
    </w:p>
    <w:p>
      <w:pPr>
        <w:pStyle w:val="Subsection"/>
      </w:pPr>
      <w:r>
        <w:rPr>
          <w:color w:val="000000" w:themeColor="text1"/>
        </w:rPr>
        <w:tab/>
        <w:t>(2)</w:t>
      </w:r>
      <w:r>
        <w:rPr>
          <w:color w:val="000000" w:themeColor="text1"/>
        </w:rPr>
        <w:tab/>
        <w:t>The fact that medical research may involve the giving of placebos does not prevent a research decision</w:t>
      </w:r>
      <w:r>
        <w:rPr>
          <w:color w:val="000000" w:themeColor="text1"/>
        </w:rPr>
        <w:noBreakHyphen/>
        <w:t>maker or an independent medical practitioner from being satisfied that it is in the best interests of a research candidate or is not adverse to the interests of the candidate that they participate in the research.</w:t>
      </w:r>
    </w:p>
    <w:p>
      <w:pPr>
        <w:pStyle w:val="Subsection"/>
      </w:pPr>
      <w:r>
        <w:tab/>
        <w:t>(3)</w:t>
      </w:r>
      <w:r>
        <w:tab/>
        <w:t>The independent medical practitioner must inform a research decision</w:t>
      </w:r>
      <w: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110ZU inserted: No. 14 of 2020 s. 12.]</w:t>
      </w:r>
    </w:p>
    <w:p>
      <w:pPr>
        <w:pStyle w:val="Heading5"/>
      </w:pPr>
      <w:bookmarkStart w:id="344" w:name="_Toc161907038"/>
      <w:r>
        <w:rPr>
          <w:rStyle w:val="CharSectno"/>
        </w:rPr>
        <w:lastRenderedPageBreak/>
        <w:t>110ZV</w:t>
      </w:r>
      <w:r>
        <w:rPr>
          <w:color w:val="000000" w:themeColor="text1"/>
        </w:rPr>
        <w:t>.</w:t>
      </w:r>
      <w:r>
        <w:rPr>
          <w:color w:val="000000" w:themeColor="text1"/>
        </w:rPr>
        <w:tab/>
        <w:t>Assessment by independent medical practitioner of likelihood of research candidate regaining ability to consent</w:t>
      </w:r>
      <w:bookmarkEnd w:id="344"/>
    </w:p>
    <w:p>
      <w:pPr>
        <w:pStyle w:val="Subsection"/>
        <w:keepNext/>
      </w:pPr>
      <w:r>
        <w:rPr>
          <w:color w:val="000000" w:themeColor="text1"/>
        </w:rPr>
        <w:tab/>
        <w:t>(1)</w:t>
      </w:r>
      <w:r>
        <w:rPr>
          <w:color w:val="000000" w:themeColor="text1"/>
        </w:rPr>
        <w:tab/>
        <w:t xml:space="preserve">An independent medical practitioner must take into account the following when making a determination under section 110ZR(1)(c) or 110ZS(1)(g) — </w:t>
      </w:r>
    </w:p>
    <w:p>
      <w:pPr>
        <w:pStyle w:val="Indenta"/>
      </w:pPr>
      <w:r>
        <w:rPr>
          <w:color w:val="000000" w:themeColor="text1"/>
        </w:rPr>
        <w:tab/>
        <w:t>(a)</w:t>
      </w:r>
      <w:r>
        <w:rPr>
          <w:color w:val="000000" w:themeColor="text1"/>
        </w:rPr>
        <w:tab/>
        <w:t>the research candidate’s medical, mental and physical condition;</w:t>
      </w:r>
    </w:p>
    <w:p>
      <w:pPr>
        <w:pStyle w:val="Indenta"/>
        <w:rPr>
          <w:sz w:val="20"/>
        </w:rPr>
      </w:pPr>
      <w:r>
        <w:tab/>
        <w:t>(b)</w:t>
      </w:r>
      <w:r>
        <w:tab/>
        <w:t>the severity of the research candidate’s condition and the prognosis for the candidate;</w:t>
      </w:r>
    </w:p>
    <w:p>
      <w:pPr>
        <w:pStyle w:val="Indenta"/>
      </w:pPr>
      <w:r>
        <w:tab/>
        <w:t>(c)</w:t>
      </w:r>
      <w:r>
        <w:tab/>
        <w:t>the current stage of treatment and care required for the research candidate;</w:t>
      </w:r>
    </w:p>
    <w:p>
      <w:pPr>
        <w:pStyle w:val="Indenta"/>
      </w:pPr>
      <w:r>
        <w:tab/>
        <w:t>(d)</w:t>
      </w:r>
      <w:r>
        <w:tab/>
        <w:t>any other circumstances relevant to the research candidate;</w:t>
      </w:r>
    </w:p>
    <w:p>
      <w:pPr>
        <w:pStyle w:val="Indenta"/>
      </w:pPr>
      <w:r>
        <w:tab/>
        <w:t>(e)</w:t>
      </w:r>
      <w:r>
        <w:tab/>
        <w:t>the nature of, and the timeframe approved by the HREC for, the medical research in which the research candidate is to participate.</w:t>
      </w:r>
    </w:p>
    <w:p>
      <w:pPr>
        <w:pStyle w:val="Subsection"/>
      </w:pPr>
      <w:r>
        <w:rPr>
          <w:color w:val="000000" w:themeColor="text1"/>
        </w:rPr>
        <w:tab/>
        <w:t>(2)</w:t>
      </w:r>
      <w:r>
        <w:rPr>
          <w:color w:val="000000" w:themeColor="text1"/>
        </w:rPr>
        <w:tab/>
        <w:t>The independent medical practitioner must inform a research decision</w:t>
      </w:r>
      <w:r>
        <w:rPr>
          <w:color w:val="000000" w:themeColor="text1"/>
        </w:rP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110ZV inserted: No. 14 of 2020 s. 12.]</w:t>
      </w:r>
    </w:p>
    <w:p>
      <w:pPr>
        <w:pStyle w:val="Heading5"/>
      </w:pPr>
      <w:bookmarkStart w:id="345" w:name="_Toc161907039"/>
      <w:r>
        <w:rPr>
          <w:rStyle w:val="CharSectno"/>
        </w:rPr>
        <w:lastRenderedPageBreak/>
        <w:t>110ZW</w:t>
      </w:r>
      <w:r>
        <w:rPr>
          <w:color w:val="000000" w:themeColor="text1"/>
        </w:rPr>
        <w:t>.</w:t>
      </w:r>
      <w:r>
        <w:rPr>
          <w:color w:val="000000" w:themeColor="text1"/>
        </w:rPr>
        <w:tab/>
        <w:t>Assessment by independent medical practitioner of risks</w:t>
      </w:r>
      <w:bookmarkEnd w:id="345"/>
    </w:p>
    <w:p>
      <w:pPr>
        <w:pStyle w:val="Subsection"/>
        <w:keepNext/>
      </w:pPr>
      <w:r>
        <w:rPr>
          <w:color w:val="000000" w:themeColor="text1"/>
        </w:rPr>
        <w:tab/>
        <w:t>(1)</w:t>
      </w:r>
      <w:r>
        <w:rPr>
          <w:color w:val="000000" w:themeColor="text1"/>
        </w:rPr>
        <w:tab/>
        <w:t xml:space="preserve">An independent medical practitioner must take into account the following in making a determination under section 110ZR(3)(b) or 110ZS(1)(i) — </w:t>
      </w:r>
    </w:p>
    <w:p>
      <w:pPr>
        <w:pStyle w:val="Indenta"/>
      </w:pPr>
      <w:r>
        <w:rPr>
          <w:color w:val="000000" w:themeColor="text1"/>
        </w:rPr>
        <w:tab/>
        <w:t>(a)</w:t>
      </w:r>
      <w:r>
        <w:rPr>
          <w:color w:val="000000" w:themeColor="text1"/>
        </w:rPr>
        <w:tab/>
        <w:t xml:space="preserve">whether the research candidate’s participation in medical research will involve any known substantial risks to the candidate; </w:t>
      </w:r>
    </w:p>
    <w:p>
      <w:pPr>
        <w:pStyle w:val="Indenta"/>
      </w:pPr>
      <w:r>
        <w:tab/>
        <w:t>(b)</w:t>
      </w:r>
      <w:r>
        <w:tab/>
        <w:t xml:space="preserve">whether there is an existing treatment available to the research candidate; </w:t>
      </w:r>
    </w:p>
    <w:p>
      <w:pPr>
        <w:pStyle w:val="Indenta"/>
      </w:pPr>
      <w:r>
        <w:tab/>
        <w:t>(c)</w:t>
      </w:r>
      <w:r>
        <w:tab/>
        <w:t xml:space="preserve">if there is an existing treatment available to the research candidate — </w:t>
      </w:r>
    </w:p>
    <w:p>
      <w:pPr>
        <w:pStyle w:val="Indenti"/>
      </w:pPr>
      <w:r>
        <w:rPr>
          <w:color w:val="000000" w:themeColor="text1"/>
        </w:rPr>
        <w:tab/>
        <w:t>(i)</w:t>
      </w:r>
      <w:r>
        <w:rPr>
          <w:color w:val="000000" w:themeColor="text1"/>
        </w:rPr>
        <w:tab/>
        <w:t>whether there are substantial risks to the candidate involved in the existing treatment available to the candidate; and</w:t>
      </w:r>
    </w:p>
    <w:p>
      <w:pPr>
        <w:pStyle w:val="Indenti"/>
      </w:pPr>
      <w:r>
        <w:tab/>
        <w:t>(ii)</w:t>
      </w:r>
      <w:r>
        <w:tab/>
        <w:t>if there are substantial risks involved in the existing treatment — whether those risks are greater than the risks involved in participating in the medical research;</w:t>
      </w:r>
    </w:p>
    <w:p>
      <w:pPr>
        <w:pStyle w:val="Indenta"/>
      </w:pPr>
      <w:r>
        <w:rPr>
          <w:color w:val="000000" w:themeColor="text1"/>
        </w:rPr>
        <w:tab/>
        <w:t>(d)</w:t>
      </w:r>
      <w:r>
        <w:rPr>
          <w:color w:val="000000" w:themeColor="text1"/>
        </w:rPr>
        <w:tab/>
        <w:t>if there is no existing treatment available — whether the risks involved in participating in the medical research are greater than not participating in the research.</w:t>
      </w:r>
    </w:p>
    <w:p>
      <w:pPr>
        <w:pStyle w:val="Subsection"/>
      </w:pPr>
      <w:r>
        <w:rPr>
          <w:color w:val="000000" w:themeColor="text1"/>
        </w:rPr>
        <w:tab/>
        <w:t>(2)</w:t>
      </w:r>
      <w:r>
        <w:rPr>
          <w:color w:val="000000" w:themeColor="text1"/>
        </w:rPr>
        <w:tab/>
        <w:t>The independent medical practitioner must inform the research decision</w:t>
      </w:r>
      <w:r>
        <w:rPr>
          <w:color w:val="000000" w:themeColor="text1"/>
        </w:rP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110ZW inserted: No. 14 of 2020 s. 12.]</w:t>
      </w:r>
    </w:p>
    <w:p>
      <w:pPr>
        <w:pStyle w:val="Heading3"/>
      </w:pPr>
      <w:bookmarkStart w:id="346" w:name="_Toc161843344"/>
      <w:bookmarkStart w:id="347" w:name="_Toc161846059"/>
      <w:bookmarkStart w:id="348" w:name="_Toc161907040"/>
      <w:r>
        <w:rPr>
          <w:rStyle w:val="CharDivNo"/>
        </w:rPr>
        <w:lastRenderedPageBreak/>
        <w:t>Division 4</w:t>
      </w:r>
      <w:r>
        <w:rPr>
          <w:color w:val="000000" w:themeColor="text1"/>
        </w:rPr>
        <w:t> — </w:t>
      </w:r>
      <w:r>
        <w:rPr>
          <w:rStyle w:val="CharDivText"/>
        </w:rPr>
        <w:t>Effect of research decisions and urgent medical research decisions</w:t>
      </w:r>
      <w:bookmarkEnd w:id="346"/>
      <w:bookmarkEnd w:id="347"/>
      <w:bookmarkEnd w:id="348"/>
    </w:p>
    <w:p>
      <w:pPr>
        <w:pStyle w:val="Footnoteheading"/>
      </w:pPr>
      <w:r>
        <w:tab/>
        <w:t>[Heading inserted: No. 14 of 2020 s. 12.]</w:t>
      </w:r>
    </w:p>
    <w:p>
      <w:pPr>
        <w:pStyle w:val="Heading5"/>
      </w:pPr>
      <w:bookmarkStart w:id="349" w:name="_Toc161907041"/>
      <w:r>
        <w:rPr>
          <w:rStyle w:val="CharSectno"/>
        </w:rPr>
        <w:t>110ZX</w:t>
      </w:r>
      <w:r>
        <w:rPr>
          <w:color w:val="000000" w:themeColor="text1"/>
        </w:rPr>
        <w:t>.</w:t>
      </w:r>
      <w:r>
        <w:rPr>
          <w:color w:val="000000" w:themeColor="text1"/>
        </w:rPr>
        <w:tab/>
        <w:t>Reliance by researcher on research decision or urgent medical research decision</w:t>
      </w:r>
      <w:bookmarkEnd w:id="349"/>
      <w:r>
        <w:rPr>
          <w:color w:val="000000" w:themeColor="text1"/>
        </w:rPr>
        <w:t xml:space="preserve"> </w:t>
      </w:r>
    </w:p>
    <w:p>
      <w:pPr>
        <w:pStyle w:val="Subsection"/>
      </w:pPr>
      <w:r>
        <w:rPr>
          <w:color w:val="000000" w:themeColor="text1"/>
        </w:rPr>
        <w:tab/>
        <w:t>(1)</w:t>
      </w:r>
      <w:r>
        <w:rPr>
          <w:color w:val="000000" w:themeColor="text1"/>
        </w:rPr>
        <w:tab/>
        <w:t xml:space="preserve">In this section — </w:t>
      </w:r>
    </w:p>
    <w:p>
      <w:pPr>
        <w:pStyle w:val="Defstart"/>
      </w:pPr>
      <w:r>
        <w:rPr>
          <w:color w:val="000000" w:themeColor="text1"/>
        </w:rPr>
        <w:tab/>
      </w:r>
      <w:r>
        <w:rPr>
          <w:rStyle w:val="CharDefText"/>
          <w:color w:val="000000" w:themeColor="text1"/>
        </w:rPr>
        <w:t>take research action</w:t>
      </w:r>
      <w:r>
        <w:rPr>
          <w:color w:val="000000" w:themeColor="text1"/>
        </w:rPr>
        <w:t xml:space="preserve"> means — </w:t>
      </w:r>
    </w:p>
    <w:p>
      <w:pPr>
        <w:pStyle w:val="Defpara"/>
      </w:pPr>
      <w:r>
        <w:rPr>
          <w:color w:val="000000" w:themeColor="text1"/>
        </w:rPr>
        <w:tab/>
        <w:t>(a)</w:t>
      </w:r>
      <w:r>
        <w:rPr>
          <w:color w:val="000000" w:themeColor="text1"/>
        </w:rPr>
        <w:tab/>
        <w:t>to commence or continue any medical research in relation to a research candidate; or</w:t>
      </w:r>
    </w:p>
    <w:p>
      <w:pPr>
        <w:pStyle w:val="Defpara"/>
      </w:pPr>
      <w:r>
        <w:tab/>
        <w:t>(b)</w:t>
      </w:r>
      <w:r>
        <w:tab/>
        <w:t>to not commence or to discontinue any medical research in relation to a research candidate.</w:t>
      </w:r>
    </w:p>
    <w:p>
      <w:pPr>
        <w:pStyle w:val="Subsection"/>
      </w:pPr>
      <w:r>
        <w:rPr>
          <w:color w:val="000000" w:themeColor="text1"/>
        </w:rPr>
        <w:tab/>
        <w:t>(2)</w:t>
      </w:r>
      <w:r>
        <w:rPr>
          <w:color w:val="000000" w:themeColor="text1"/>
        </w:rPr>
        <w:tab/>
        <w:t xml:space="preserve">This section applies if a researcher — </w:t>
      </w:r>
    </w:p>
    <w:p>
      <w:pPr>
        <w:pStyle w:val="Indenta"/>
      </w:pPr>
      <w:r>
        <w:rPr>
          <w:color w:val="000000" w:themeColor="text1"/>
        </w:rPr>
        <w:tab/>
        <w:t>(a)</w:t>
      </w:r>
      <w:r>
        <w:rPr>
          <w:color w:val="000000" w:themeColor="text1"/>
        </w:rPr>
        <w:tab/>
        <w:t xml:space="preserve">takes research action — </w:t>
      </w:r>
    </w:p>
    <w:p>
      <w:pPr>
        <w:pStyle w:val="Indenti"/>
      </w:pPr>
      <w:r>
        <w:rPr>
          <w:color w:val="000000" w:themeColor="text1"/>
        </w:rPr>
        <w:tab/>
        <w:t>(i)</w:t>
      </w:r>
      <w:r>
        <w:rPr>
          <w:color w:val="000000" w:themeColor="text1"/>
        </w:rPr>
        <w:tab/>
        <w:t>reasonably believing that a research candidate is unable to make reasonable judgments in respect of the research action; and</w:t>
      </w:r>
    </w:p>
    <w:p>
      <w:pPr>
        <w:pStyle w:val="Indenti"/>
      </w:pPr>
      <w:r>
        <w:tab/>
        <w:t>(ii)</w:t>
      </w:r>
      <w:r>
        <w:tab/>
        <w:t>relying in good faith on what is purportedly a research decision made by the research decision</w:t>
      </w:r>
      <w:r>
        <w:noBreakHyphen/>
        <w:t>maker for the research candidate under section 110ZR;</w:t>
      </w:r>
    </w:p>
    <w:p>
      <w:pPr>
        <w:pStyle w:val="Indenta"/>
      </w:pPr>
      <w:r>
        <w:rPr>
          <w:color w:val="000000" w:themeColor="text1"/>
        </w:rPr>
        <w:tab/>
      </w:r>
      <w:r>
        <w:rPr>
          <w:color w:val="000000" w:themeColor="text1"/>
        </w:rPr>
        <w:tab/>
        <w:t>or</w:t>
      </w:r>
    </w:p>
    <w:p>
      <w:pPr>
        <w:pStyle w:val="Indenta"/>
      </w:pPr>
      <w:r>
        <w:tab/>
        <w:t>(b)</w:t>
      </w:r>
      <w:r>
        <w:tab/>
        <w:t xml:space="preserve">takes research action — </w:t>
      </w:r>
    </w:p>
    <w:p>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 research decision by the research decision</w:t>
      </w:r>
      <w:r>
        <w:rPr>
          <w:color w:val="000000" w:themeColor="text1"/>
        </w:rPr>
        <w:noBreakHyphen/>
        <w:t>maker for the research candidate under section 110ZR; and</w:t>
      </w:r>
    </w:p>
    <w:p>
      <w:pPr>
        <w:pStyle w:val="Indenti"/>
      </w:pPr>
      <w:r>
        <w:tab/>
        <w:t>(ii)</w:t>
      </w:r>
      <w:r>
        <w:tab/>
        <w:t xml:space="preserve">reasonably assuming that another researcher has ascertained that the research action is in accordance with a research decision by the </w:t>
      </w:r>
      <w:r>
        <w:lastRenderedPageBreak/>
        <w:t>research decision</w:t>
      </w:r>
      <w:r>
        <w:noBreakHyphen/>
        <w:t xml:space="preserve">maker for the research candidate under section 110ZR; </w:t>
      </w:r>
    </w:p>
    <w:p>
      <w:pPr>
        <w:pStyle w:val="Indenta"/>
      </w:pPr>
      <w:r>
        <w:rPr>
          <w:color w:val="000000" w:themeColor="text1"/>
        </w:rPr>
        <w:tab/>
      </w:r>
      <w:r>
        <w:rPr>
          <w:color w:val="000000" w:themeColor="text1"/>
        </w:rPr>
        <w:tab/>
        <w:t>or</w:t>
      </w:r>
    </w:p>
    <w:p>
      <w:pPr>
        <w:pStyle w:val="Indenta"/>
      </w:pPr>
      <w:r>
        <w:tab/>
        <w:t>(c)</w:t>
      </w:r>
      <w:r>
        <w:tab/>
        <w:t xml:space="preserve">takes research action — </w:t>
      </w:r>
    </w:p>
    <w:p>
      <w:pPr>
        <w:pStyle w:val="Indenti"/>
      </w:pPr>
      <w:r>
        <w:rPr>
          <w:color w:val="000000" w:themeColor="text1"/>
        </w:rPr>
        <w:tab/>
        <w:t>(i)</w:t>
      </w:r>
      <w:r>
        <w:rPr>
          <w:color w:val="000000" w:themeColor="text1"/>
        </w:rPr>
        <w:tab/>
        <w:t>reasonably believing that the research candidate is unable to make reasonable judgments in respect of the research action; and</w:t>
      </w:r>
    </w:p>
    <w:p>
      <w:pPr>
        <w:pStyle w:val="Indenti"/>
      </w:pPr>
      <w:r>
        <w:tab/>
        <w:t>(ii)</w:t>
      </w:r>
      <w:r>
        <w:tab/>
        <w:t>relying in good faith on what is purportedly an urgent medical research decision made by a researcher;</w:t>
      </w:r>
    </w:p>
    <w:p>
      <w:pPr>
        <w:pStyle w:val="Indenta"/>
      </w:pPr>
      <w:r>
        <w:rPr>
          <w:color w:val="000000" w:themeColor="text1"/>
        </w:rPr>
        <w:tab/>
      </w:r>
      <w:r>
        <w:rPr>
          <w:color w:val="000000" w:themeColor="text1"/>
        </w:rPr>
        <w:tab/>
        <w:t>or</w:t>
      </w:r>
    </w:p>
    <w:p>
      <w:pPr>
        <w:pStyle w:val="Indenta"/>
      </w:pPr>
      <w:r>
        <w:tab/>
        <w:t>(d)</w:t>
      </w:r>
      <w:r>
        <w:tab/>
        <w:t xml:space="preserve">takes research action — </w:t>
      </w:r>
    </w:p>
    <w:p>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an urgent medical research decision; and</w:t>
      </w:r>
    </w:p>
    <w:p>
      <w:pPr>
        <w:pStyle w:val="Indenti"/>
        <w:keepNext/>
        <w:keepLines/>
      </w:pPr>
      <w:r>
        <w:tab/>
        <w:t>(ii)</w:t>
      </w:r>
      <w:r>
        <w:tab/>
        <w:t xml:space="preserve">reasonably assuming that another researcher has ascertained that the research action is in accordance with an urgent medical research decision. </w:t>
      </w:r>
    </w:p>
    <w:p>
      <w:pPr>
        <w:pStyle w:val="Subsection"/>
      </w:pPr>
      <w:r>
        <w:rPr>
          <w:color w:val="000000" w:themeColor="text1"/>
        </w:rPr>
        <w:tab/>
        <w:t>(3)</w:t>
      </w:r>
      <w:r>
        <w:rPr>
          <w:color w:val="000000" w:themeColor="text1"/>
        </w:rPr>
        <w:tab/>
        <w:t xml:space="preserve">However, this section does not apply to the extent that a researcher takes research action inconsistent with — </w:t>
      </w:r>
    </w:p>
    <w:p>
      <w:pPr>
        <w:pStyle w:val="Indenta"/>
      </w:pPr>
      <w:r>
        <w:rPr>
          <w:color w:val="000000" w:themeColor="text1"/>
        </w:rPr>
        <w:tab/>
        <w:t>(a)</w:t>
      </w:r>
      <w:r>
        <w:rPr>
          <w:color w:val="000000" w:themeColor="text1"/>
        </w:rPr>
        <w:tab/>
        <w:t>section 110ZR(4) or (7)(b) or 110ZS(2) or (5); or</w:t>
      </w:r>
    </w:p>
    <w:p>
      <w:pPr>
        <w:pStyle w:val="Indenta"/>
      </w:pPr>
      <w:r>
        <w:tab/>
        <w:t>(b)</w:t>
      </w:r>
      <w:r>
        <w:tab/>
        <w:t>section 110ZT; or</w:t>
      </w:r>
    </w:p>
    <w:p>
      <w:pPr>
        <w:pStyle w:val="Indenta"/>
      </w:pPr>
      <w:r>
        <w:tab/>
        <w:t>(c)</w:t>
      </w:r>
      <w:r>
        <w:tab/>
        <w:t>a decision made under Division 5.</w:t>
      </w:r>
    </w:p>
    <w:p>
      <w:pPr>
        <w:pStyle w:val="Subsection"/>
      </w:pPr>
      <w:r>
        <w:rPr>
          <w:color w:val="000000" w:themeColor="text1"/>
        </w:rPr>
        <w:tab/>
        <w:t>(4)</w:t>
      </w:r>
      <w:r>
        <w:rPr>
          <w:color w:val="000000" w:themeColor="text1"/>
        </w:rPr>
        <w:tab/>
        <w:t xml:space="preserve">If this section applies, the researcher is taken for all purposes to take the research action in accordance with a research decision or urgent medical research decision that has effect as if — </w:t>
      </w:r>
    </w:p>
    <w:p>
      <w:pPr>
        <w:pStyle w:val="Indenta"/>
      </w:pPr>
      <w:r>
        <w:rPr>
          <w:color w:val="000000" w:themeColor="text1"/>
        </w:rPr>
        <w:tab/>
        <w:t>(a)</w:t>
      </w:r>
      <w:r>
        <w:rPr>
          <w:color w:val="000000" w:themeColor="text1"/>
        </w:rPr>
        <w:tab/>
        <w:t xml:space="preserve">the decision were made by the research candidate; and </w:t>
      </w:r>
    </w:p>
    <w:p>
      <w:pPr>
        <w:pStyle w:val="Indenta"/>
      </w:pPr>
      <w:r>
        <w:tab/>
        <w:t>(b)</w:t>
      </w:r>
      <w:r>
        <w:tab/>
        <w:t>the research action is taken with the research candidate’s consent; and</w:t>
      </w:r>
    </w:p>
    <w:p>
      <w:pPr>
        <w:pStyle w:val="Indenta"/>
      </w:pPr>
      <w:r>
        <w:lastRenderedPageBreak/>
        <w:tab/>
        <w:t>(c)</w:t>
      </w:r>
      <w:r>
        <w:tab/>
        <w:t>the research candidate were of full legal capacity.</w:t>
      </w:r>
    </w:p>
    <w:p>
      <w:pPr>
        <w:pStyle w:val="Subsection"/>
      </w:pPr>
      <w:r>
        <w:rPr>
          <w:color w:val="000000" w:themeColor="text1"/>
        </w:rPr>
        <w:tab/>
        <w:t>(5)</w:t>
      </w:r>
      <w:r>
        <w:rPr>
          <w:color w:val="000000" w:themeColor="text1"/>
        </w:rPr>
        <w:tab/>
        <w:t>For the purposes of subsection (2)(a)(ii) and (c)(ii), a researcher is taken to have relied in good faith on what was purportedly a research decision or urgent medical research decision if, after considering whether or not to rely on it, the researcher acted honestly in relying on it.</w:t>
      </w:r>
    </w:p>
    <w:p>
      <w:pPr>
        <w:pStyle w:val="Subsection"/>
      </w:pPr>
      <w:r>
        <w:tab/>
        <w:t>(6)</w:t>
      </w:r>
      <w:r>
        <w:tab/>
        <w:t xml:space="preserve">For the purposes of determining under subsection (2)(b)(ii) and (d)(ii) whether the researcher’s assumption was reasonable, the following matters must be taken into account — </w:t>
      </w:r>
    </w:p>
    <w:p>
      <w:pPr>
        <w:pStyle w:val="Indenta"/>
      </w:pPr>
      <w:r>
        <w:rPr>
          <w:color w:val="000000" w:themeColor="text1"/>
        </w:rPr>
        <w:tab/>
        <w:t>(a)</w:t>
      </w:r>
      <w:r>
        <w:rPr>
          <w:color w:val="000000" w:themeColor="text1"/>
        </w:rPr>
        <w:tab/>
        <w:t>whether the researcher sighted any written evidence that another researcher had ascertained that the research action was in accordance with a research decision or urgent medical research decision;</w:t>
      </w:r>
    </w:p>
    <w:p>
      <w:pPr>
        <w:pStyle w:val="Indenta"/>
      </w:pPr>
      <w:r>
        <w:tab/>
        <w:t>(b)</w:t>
      </w:r>
      <w:r>
        <w:tab/>
        <w:t>anything else relevant to the determination.</w:t>
      </w:r>
    </w:p>
    <w:p>
      <w:pPr>
        <w:pStyle w:val="Footnotesection"/>
      </w:pPr>
      <w:r>
        <w:tab/>
        <w:t>[Section 110ZX inserted: No. 14 of 2020 s. 12.]</w:t>
      </w:r>
    </w:p>
    <w:p>
      <w:pPr>
        <w:pStyle w:val="Heading5"/>
      </w:pPr>
      <w:bookmarkStart w:id="350" w:name="_Toc161907042"/>
      <w:r>
        <w:rPr>
          <w:rStyle w:val="CharSectno"/>
        </w:rPr>
        <w:t>110ZY</w:t>
      </w:r>
      <w:r>
        <w:rPr>
          <w:color w:val="000000" w:themeColor="text1"/>
        </w:rPr>
        <w:t>.</w:t>
      </w:r>
      <w:r>
        <w:rPr>
          <w:color w:val="000000" w:themeColor="text1"/>
        </w:rPr>
        <w:tab/>
        <w:t>Validity of certain research decisions or urgent medical research decisions</w:t>
      </w:r>
      <w:bookmarkEnd w:id="350"/>
    </w:p>
    <w:p>
      <w:pPr>
        <w:pStyle w:val="Subsection"/>
      </w:pPr>
      <w:r>
        <w:rPr>
          <w:color w:val="000000" w:themeColor="text1"/>
        </w:rPr>
        <w:tab/>
        <w:t>(1)</w:t>
      </w:r>
      <w:r>
        <w:rPr>
          <w:color w:val="000000" w:themeColor="text1"/>
        </w:rPr>
        <w:tab/>
        <w:t>If a researcher does not commence or discontinues medical research in relation to a research candidate in accordance with a research decision or urgent medical research decision, the researcher is taken for all purposes to have done so in accordance with a valid decision, even if an effect of doing so is to worsen the severity of the candidate’s condition or the prognosis for the candidate.</w:t>
      </w:r>
    </w:p>
    <w:p>
      <w:pPr>
        <w:pStyle w:val="Subsection"/>
      </w:pPr>
      <w:r>
        <w:tab/>
        <w:t>(2)</w:t>
      </w:r>
      <w:r>
        <w:tab/>
        <w:t xml:space="preserve">However, subsection (1) does not apply to the extent that an act or omission of a researcher is inconsistent with — </w:t>
      </w:r>
    </w:p>
    <w:p>
      <w:pPr>
        <w:pStyle w:val="Indenta"/>
      </w:pPr>
      <w:r>
        <w:rPr>
          <w:color w:val="000000" w:themeColor="text1"/>
        </w:rPr>
        <w:tab/>
        <w:t>(a)</w:t>
      </w:r>
      <w:r>
        <w:rPr>
          <w:color w:val="000000" w:themeColor="text1"/>
        </w:rPr>
        <w:tab/>
        <w:t>section 110ZR(4) or (7)(b) or 110ZS(2) or (5); or</w:t>
      </w:r>
    </w:p>
    <w:p>
      <w:pPr>
        <w:pStyle w:val="Indenta"/>
      </w:pPr>
      <w:r>
        <w:tab/>
        <w:t>(b)</w:t>
      </w:r>
      <w:r>
        <w:tab/>
        <w:t>section 110ZT; or</w:t>
      </w:r>
    </w:p>
    <w:p>
      <w:pPr>
        <w:pStyle w:val="Indenta"/>
      </w:pPr>
      <w:r>
        <w:tab/>
        <w:t>(c)</w:t>
      </w:r>
      <w:r>
        <w:tab/>
        <w:t>a decision made under Division 5.</w:t>
      </w:r>
    </w:p>
    <w:p>
      <w:pPr>
        <w:pStyle w:val="Footnotesection"/>
      </w:pPr>
      <w:r>
        <w:tab/>
        <w:t>[Section 110ZY inserted: No. 14 of 2020 s. 12.]</w:t>
      </w:r>
    </w:p>
    <w:p>
      <w:pPr>
        <w:pStyle w:val="Heading3"/>
      </w:pPr>
      <w:bookmarkStart w:id="351" w:name="_Toc161843347"/>
      <w:bookmarkStart w:id="352" w:name="_Toc161846062"/>
      <w:bookmarkStart w:id="353" w:name="_Toc161907043"/>
      <w:r>
        <w:rPr>
          <w:rStyle w:val="CharDivNo"/>
        </w:rPr>
        <w:lastRenderedPageBreak/>
        <w:t>Division 5</w:t>
      </w:r>
      <w:r>
        <w:rPr>
          <w:color w:val="000000" w:themeColor="text1"/>
        </w:rPr>
        <w:t> — </w:t>
      </w:r>
      <w:r>
        <w:rPr>
          <w:rStyle w:val="CharDivText"/>
        </w:rPr>
        <w:t>Jurisdiction of State Administrative Tribunal</w:t>
      </w:r>
      <w:bookmarkEnd w:id="351"/>
      <w:bookmarkEnd w:id="352"/>
      <w:bookmarkEnd w:id="353"/>
    </w:p>
    <w:p>
      <w:pPr>
        <w:pStyle w:val="Footnoteheading"/>
      </w:pPr>
      <w:r>
        <w:tab/>
        <w:t>[Heading inserted: No. 14 of 2020 s. 12.]</w:t>
      </w:r>
    </w:p>
    <w:p>
      <w:pPr>
        <w:pStyle w:val="Heading5"/>
      </w:pPr>
      <w:bookmarkStart w:id="354" w:name="_Toc161907044"/>
      <w:r>
        <w:rPr>
          <w:rStyle w:val="CharSectno"/>
        </w:rPr>
        <w:t>110ZZ</w:t>
      </w:r>
      <w:r>
        <w:rPr>
          <w:color w:val="000000" w:themeColor="text1"/>
        </w:rPr>
        <w:t>.</w:t>
      </w:r>
      <w:r>
        <w:rPr>
          <w:color w:val="000000" w:themeColor="text1"/>
        </w:rPr>
        <w:tab/>
        <w:t>Applying for review of decision made under this Part</w:t>
      </w:r>
      <w:bookmarkEnd w:id="354"/>
    </w:p>
    <w:p>
      <w:pPr>
        <w:pStyle w:val="Subsection"/>
      </w:pPr>
      <w:r>
        <w:rPr>
          <w:color w:val="000000" w:themeColor="text1"/>
        </w:rPr>
        <w:tab/>
      </w:r>
      <w:r>
        <w:rPr>
          <w:color w:val="000000" w:themeColor="text1"/>
        </w:rPr>
        <w:tab/>
        <w:t>A person who, in the opinion of the State Administrative Tribunal, is interested in a decision made under this Part may apply for a review of a decision.</w:t>
      </w:r>
    </w:p>
    <w:p>
      <w:pPr>
        <w:pStyle w:val="Footnotesection"/>
      </w:pPr>
      <w:r>
        <w:tab/>
        <w:t>[Section 110ZZ inserted: No. 14 of 2020 s. 12.]</w:t>
      </w:r>
    </w:p>
    <w:p>
      <w:pPr>
        <w:pStyle w:val="Heading5"/>
      </w:pPr>
      <w:bookmarkStart w:id="355" w:name="_Toc161907045"/>
      <w:r>
        <w:rPr>
          <w:rStyle w:val="CharSectno"/>
        </w:rPr>
        <w:t>110ZZA</w:t>
      </w:r>
      <w:r>
        <w:rPr>
          <w:color w:val="000000" w:themeColor="text1"/>
        </w:rPr>
        <w:t>.</w:t>
      </w:r>
      <w:r>
        <w:rPr>
          <w:color w:val="000000" w:themeColor="text1"/>
        </w:rPr>
        <w:tab/>
        <w:t>Procedure on review</w:t>
      </w:r>
      <w:bookmarkEnd w:id="355"/>
    </w:p>
    <w:p>
      <w:pPr>
        <w:pStyle w:val="Subsection"/>
      </w:pPr>
      <w:r>
        <w:rPr>
          <w:color w:val="000000" w:themeColor="text1"/>
        </w:rPr>
        <w:tab/>
        <w:t>(1)</w:t>
      </w:r>
      <w:r>
        <w:rPr>
          <w:color w:val="000000" w:themeColor="text1"/>
        </w:rPr>
        <w:tab/>
        <w:t xml:space="preserve">The following provisions of the </w:t>
      </w:r>
      <w:r>
        <w:rPr>
          <w:i/>
          <w:color w:val="000000" w:themeColor="text1"/>
        </w:rPr>
        <w:t>State Administrative Tribunal Act 2004</w:t>
      </w:r>
      <w:r>
        <w:rPr>
          <w:color w:val="000000" w:themeColor="text1"/>
        </w:rPr>
        <w:t xml:space="preserve"> do not apply in relation to a review application — </w:t>
      </w:r>
    </w:p>
    <w:p>
      <w:pPr>
        <w:pStyle w:val="Indenta"/>
      </w:pPr>
      <w:r>
        <w:rPr>
          <w:color w:val="000000" w:themeColor="text1"/>
        </w:rPr>
        <w:tab/>
        <w:t>(a)</w:t>
      </w:r>
      <w:r>
        <w:rPr>
          <w:color w:val="000000" w:themeColor="text1"/>
        </w:rPr>
        <w:tab/>
        <w:t xml:space="preserve">section 20; </w:t>
      </w:r>
    </w:p>
    <w:p>
      <w:pPr>
        <w:pStyle w:val="Indenta"/>
      </w:pPr>
      <w:r>
        <w:tab/>
        <w:t>(b)</w:t>
      </w:r>
      <w:r>
        <w:tab/>
        <w:t>subject to subsection (4) — sections 21, 22 and 23;</w:t>
      </w:r>
    </w:p>
    <w:p>
      <w:pPr>
        <w:pStyle w:val="Indenta"/>
      </w:pPr>
      <w:r>
        <w:tab/>
        <w:t>(c)</w:t>
      </w:r>
      <w:r>
        <w:tab/>
        <w:t>sections 26(e) and 31;</w:t>
      </w:r>
    </w:p>
    <w:p>
      <w:pPr>
        <w:pStyle w:val="Indenta"/>
        <w:keepNext/>
      </w:pPr>
      <w:r>
        <w:tab/>
        <w:t>(d)</w:t>
      </w:r>
      <w:r>
        <w:tab/>
        <w:t>section 29(3)(c)(ii);</w:t>
      </w:r>
    </w:p>
    <w:p>
      <w:pPr>
        <w:pStyle w:val="Indenta"/>
      </w:pPr>
      <w:r>
        <w:tab/>
        <w:t>(e)</w:t>
      </w:r>
      <w:r>
        <w:tab/>
        <w:t>section 29(5)(b).</w:t>
      </w:r>
    </w:p>
    <w:p>
      <w:pPr>
        <w:pStyle w:val="Subsection"/>
      </w:pPr>
      <w:r>
        <w:rPr>
          <w:color w:val="000000" w:themeColor="text1"/>
        </w:rPr>
        <w:tab/>
        <w:t>(2)</w:t>
      </w:r>
      <w:r>
        <w:rPr>
          <w:color w:val="000000" w:themeColor="text1"/>
        </w:rPr>
        <w:tab/>
        <w:t xml:space="preserve">For the purposes of the </w:t>
      </w:r>
      <w:r>
        <w:rPr>
          <w:i/>
          <w:color w:val="000000" w:themeColor="text1"/>
        </w:rPr>
        <w:t>State Administrative Tribunal Act 2004</w:t>
      </w:r>
      <w:r>
        <w:rPr>
          <w:color w:val="000000" w:themeColor="text1"/>
        </w:rPr>
        <w:t xml:space="preserve"> section 26(c), a reviewed decision may be varied or ceased by the person making the decision.</w:t>
      </w:r>
    </w:p>
    <w:p>
      <w:pPr>
        <w:pStyle w:val="Subsection"/>
      </w:pPr>
      <w:r>
        <w:tab/>
        <w:t>(3)</w:t>
      </w:r>
      <w:r>
        <w:tab/>
        <w:t xml:space="preserve">A person who makes a review application may request (a </w:t>
      </w:r>
      <w:r>
        <w:rPr>
          <w:rStyle w:val="CharDefText"/>
          <w:color w:val="000000" w:themeColor="text1"/>
        </w:rPr>
        <w:t>report request</w:t>
      </w:r>
      <w:r>
        <w:t xml:space="preserve">) the independent medical practitioner’s written reports under Division 3 made in relation to the reviewed decision from — </w:t>
      </w:r>
    </w:p>
    <w:p>
      <w:pPr>
        <w:pStyle w:val="Indenta"/>
      </w:pPr>
      <w:r>
        <w:rPr>
          <w:color w:val="000000" w:themeColor="text1"/>
        </w:rPr>
        <w:tab/>
        <w:t>(a)</w:t>
      </w:r>
      <w:r>
        <w:rPr>
          <w:color w:val="000000" w:themeColor="text1"/>
        </w:rPr>
        <w:tab/>
        <w:t>the research decision</w:t>
      </w:r>
      <w:r>
        <w:rPr>
          <w:color w:val="000000" w:themeColor="text1"/>
        </w:rPr>
        <w:noBreakHyphen/>
        <w:t xml:space="preserve">maker or researcher who made the reviewed decision; or </w:t>
      </w:r>
    </w:p>
    <w:p>
      <w:pPr>
        <w:pStyle w:val="Indenta"/>
      </w:pPr>
      <w:r>
        <w:tab/>
        <w:t>(b)</w:t>
      </w:r>
      <w:r>
        <w:tab/>
        <w:t>the independent medical practitioner who made the report.</w:t>
      </w:r>
    </w:p>
    <w:p>
      <w:pPr>
        <w:pStyle w:val="Subsection"/>
        <w:keepNext/>
      </w:pPr>
      <w:r>
        <w:rPr>
          <w:color w:val="000000" w:themeColor="text1"/>
        </w:rPr>
        <w:lastRenderedPageBreak/>
        <w:tab/>
        <w:t>(4)</w:t>
      </w:r>
      <w:r>
        <w:rPr>
          <w:color w:val="000000" w:themeColor="text1"/>
        </w:rPr>
        <w:tab/>
        <w:t xml:space="preserve">The </w:t>
      </w:r>
      <w:r>
        <w:rPr>
          <w:i/>
          <w:color w:val="000000" w:themeColor="text1"/>
        </w:rPr>
        <w:t>State Administrative Tribunal Act 2004</w:t>
      </w:r>
      <w:r>
        <w:rPr>
          <w:color w:val="000000" w:themeColor="text1"/>
        </w:rPr>
        <w:t xml:space="preserve"> sections 21(3) to (5), 22 and 23 apply to a report request as if — </w:t>
      </w:r>
    </w:p>
    <w:p>
      <w:pPr>
        <w:pStyle w:val="Indenta"/>
      </w:pPr>
      <w:r>
        <w:rPr>
          <w:color w:val="000000" w:themeColor="text1"/>
        </w:rPr>
        <w:tab/>
        <w:t>(a)</w:t>
      </w:r>
      <w:r>
        <w:rPr>
          <w:color w:val="000000" w:themeColor="text1"/>
        </w:rPr>
        <w:tab/>
        <w:t>the report request were a request made under section 21(1) or 22(1) of that Act; and</w:t>
      </w:r>
    </w:p>
    <w:p>
      <w:pPr>
        <w:pStyle w:val="Indenta"/>
      </w:pPr>
      <w:r>
        <w:tab/>
        <w:t>(b)</w:t>
      </w:r>
      <w:r>
        <w:tab/>
        <w:t>the person to whom the report request is made were the decision</w:t>
      </w:r>
      <w:r>
        <w:noBreakHyphen/>
        <w:t>maker.</w:t>
      </w:r>
    </w:p>
    <w:p>
      <w:pPr>
        <w:pStyle w:val="Footnotesection"/>
      </w:pPr>
      <w:r>
        <w:tab/>
        <w:t>[Section 110ZZA inserted: No. 14 of 2020 s. 12.]</w:t>
      </w:r>
    </w:p>
    <w:p>
      <w:pPr>
        <w:pStyle w:val="Heading5"/>
      </w:pPr>
      <w:bookmarkStart w:id="356" w:name="_Toc161907046"/>
      <w:r>
        <w:rPr>
          <w:rStyle w:val="CharSectno"/>
        </w:rPr>
        <w:t>110ZZB</w:t>
      </w:r>
      <w:r>
        <w:rPr>
          <w:color w:val="000000" w:themeColor="text1"/>
        </w:rPr>
        <w:t>.</w:t>
      </w:r>
      <w:r>
        <w:rPr>
          <w:color w:val="000000" w:themeColor="text1"/>
        </w:rPr>
        <w:tab/>
        <w:t>Effect of State Administrative Tribunal’s decision under this Division</w:t>
      </w:r>
      <w:bookmarkEnd w:id="356"/>
    </w:p>
    <w:p>
      <w:pPr>
        <w:pStyle w:val="Subsection"/>
      </w:pPr>
      <w:r>
        <w:rPr>
          <w:color w:val="000000" w:themeColor="text1"/>
        </w:rPr>
        <w:tab/>
        <w:t>(1)</w:t>
      </w:r>
      <w:r>
        <w:rPr>
          <w:color w:val="000000" w:themeColor="text1"/>
        </w:rPr>
        <w:tab/>
        <w:t xml:space="preserve">A decision of the State Administrative Tribunal on a review application takes effect on the day on which the Tribunal’s decision is made. </w:t>
      </w:r>
    </w:p>
    <w:p>
      <w:pPr>
        <w:pStyle w:val="Subsection"/>
      </w:pPr>
      <w:r>
        <w:tab/>
        <w:t>(2)</w:t>
      </w:r>
      <w:r>
        <w:tab/>
        <w:t>If the State Administrative Tribunal sets aside a reviewed decision, the Tribunal’s decision does not affect the operation of sections 110ZX and 110ZY in relation to actions or omissions of a researcher before the day the Tribunal’s decision takes effect under subsection (1).</w:t>
      </w:r>
    </w:p>
    <w:p>
      <w:pPr>
        <w:pStyle w:val="Footnotesection"/>
      </w:pPr>
      <w:r>
        <w:tab/>
        <w:t>[Section 110ZZB inserted: No. 14 of 2020 s. 12.]</w:t>
      </w:r>
    </w:p>
    <w:p>
      <w:pPr>
        <w:pStyle w:val="Heading3"/>
      </w:pPr>
      <w:bookmarkStart w:id="357" w:name="_Toc161843351"/>
      <w:bookmarkStart w:id="358" w:name="_Toc161846066"/>
      <w:bookmarkStart w:id="359" w:name="_Toc161907047"/>
      <w:r>
        <w:rPr>
          <w:rStyle w:val="CharDivNo"/>
        </w:rPr>
        <w:t>Division 6</w:t>
      </w:r>
      <w:r>
        <w:rPr>
          <w:color w:val="000000" w:themeColor="text1"/>
        </w:rPr>
        <w:t> — </w:t>
      </w:r>
      <w:r>
        <w:rPr>
          <w:rStyle w:val="CharDivText"/>
        </w:rPr>
        <w:t>Reporting</w:t>
      </w:r>
      <w:bookmarkEnd w:id="357"/>
      <w:bookmarkEnd w:id="358"/>
      <w:bookmarkEnd w:id="359"/>
    </w:p>
    <w:p>
      <w:pPr>
        <w:pStyle w:val="Footnoteheading"/>
        <w:keepNext/>
      </w:pPr>
      <w:r>
        <w:tab/>
        <w:t>[Heading inserted: No. 14 of 2020 s. 12.]</w:t>
      </w:r>
    </w:p>
    <w:p>
      <w:pPr>
        <w:pStyle w:val="Heading5"/>
      </w:pPr>
      <w:bookmarkStart w:id="360" w:name="_Toc161907048"/>
      <w:r>
        <w:rPr>
          <w:rStyle w:val="CharSectno"/>
        </w:rPr>
        <w:t>110ZZC</w:t>
      </w:r>
      <w:r>
        <w:rPr>
          <w:color w:val="000000" w:themeColor="text1"/>
        </w:rPr>
        <w:t>.</w:t>
      </w:r>
      <w:r>
        <w:rPr>
          <w:color w:val="000000" w:themeColor="text1"/>
        </w:rPr>
        <w:tab/>
        <w:t>Researcher to report medical research conducted under this Part to Health Minister</w:t>
      </w:r>
      <w:bookmarkEnd w:id="360"/>
      <w:r>
        <w:rPr>
          <w:color w:val="000000" w:themeColor="text1"/>
        </w:rPr>
        <w:t xml:space="preserve"> </w:t>
      </w:r>
    </w:p>
    <w:p>
      <w:pPr>
        <w:pStyle w:val="Subsection"/>
        <w:keepNext/>
      </w:pPr>
      <w:r>
        <w:rPr>
          <w:color w:val="000000" w:themeColor="text1"/>
        </w:rPr>
        <w:tab/>
      </w:r>
      <w:r>
        <w:rPr>
          <w:color w:val="000000" w:themeColor="text1"/>
        </w:rPr>
        <w:tab/>
        <w:t xml:space="preserve">If a researcher conducts medical research in relation to a research candidate under this Part, the researcher must give the Health Minister a written notice, in the form approved by the Health Minister, stating the following — </w:t>
      </w:r>
    </w:p>
    <w:p>
      <w:pPr>
        <w:pStyle w:val="Indenta"/>
      </w:pPr>
      <w:r>
        <w:rPr>
          <w:color w:val="000000" w:themeColor="text1"/>
        </w:rPr>
        <w:tab/>
        <w:t>(a)</w:t>
      </w:r>
      <w:r>
        <w:rPr>
          <w:color w:val="000000" w:themeColor="text1"/>
        </w:rPr>
        <w:tab/>
        <w:t xml:space="preserve">that the researcher is conducting medical research in relation to the candidate; </w:t>
      </w:r>
    </w:p>
    <w:p>
      <w:pPr>
        <w:pStyle w:val="Indenta"/>
        <w:keepNext/>
      </w:pPr>
      <w:r>
        <w:lastRenderedPageBreak/>
        <w:tab/>
        <w:t>(b)</w:t>
      </w:r>
      <w:r>
        <w:tab/>
        <w:t xml:space="preserve">whether the medical research is carried out pursuant to — </w:t>
      </w:r>
    </w:p>
    <w:p>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pPr>
        <w:pStyle w:val="Indenti"/>
      </w:pPr>
      <w:r>
        <w:tab/>
        <w:t>(ii)</w:t>
      </w:r>
      <w:r>
        <w:tab/>
        <w:t xml:space="preserve">an urgent medical research decision; </w:t>
      </w:r>
    </w:p>
    <w:p>
      <w:pPr>
        <w:pStyle w:val="Indenta"/>
      </w:pPr>
      <w:r>
        <w:rPr>
          <w:color w:val="000000" w:themeColor="text1"/>
        </w:rPr>
        <w:tab/>
        <w:t>(c)</w:t>
      </w:r>
      <w:r>
        <w:rPr>
          <w:color w:val="000000" w:themeColor="text1"/>
        </w:rPr>
        <w:tab/>
        <w:t xml:space="preserve">the type of medical research the researcher is conducting in relation to the candidate; </w:t>
      </w:r>
    </w:p>
    <w:p>
      <w:pPr>
        <w:pStyle w:val="Indenta"/>
      </w:pPr>
      <w:r>
        <w:tab/>
        <w:t>(d)</w:t>
      </w:r>
      <w:r>
        <w:tab/>
        <w:t xml:space="preserve">the purpose of the medical research; </w:t>
      </w:r>
    </w:p>
    <w:p>
      <w:pPr>
        <w:pStyle w:val="Indenta"/>
      </w:pPr>
      <w:r>
        <w:tab/>
        <w:t>(e)</w:t>
      </w:r>
      <w:r>
        <w:tab/>
        <w:t>any other information required by the approved form.</w:t>
      </w:r>
    </w:p>
    <w:p>
      <w:pPr>
        <w:pStyle w:val="Footnotesection"/>
      </w:pPr>
      <w:r>
        <w:tab/>
        <w:t>[Section 110ZZC inserted: No. 14 of 2020 s. 12.]</w:t>
      </w:r>
    </w:p>
    <w:p>
      <w:pPr>
        <w:pStyle w:val="Heading5"/>
      </w:pPr>
      <w:bookmarkStart w:id="361" w:name="_Toc161907049"/>
      <w:r>
        <w:rPr>
          <w:rStyle w:val="CharSectno"/>
        </w:rPr>
        <w:t>110ZZD</w:t>
      </w:r>
      <w:r>
        <w:rPr>
          <w:color w:val="000000" w:themeColor="text1"/>
        </w:rPr>
        <w:t>.</w:t>
      </w:r>
      <w:r>
        <w:rPr>
          <w:color w:val="000000" w:themeColor="text1"/>
        </w:rPr>
        <w:tab/>
        <w:t>Health Minister to report to Parliament on medical research carried out under this Part</w:t>
      </w:r>
      <w:bookmarkEnd w:id="361"/>
    </w:p>
    <w:p>
      <w:pPr>
        <w:pStyle w:val="Subsection"/>
        <w:rPr>
          <w:snapToGrid w:val="0"/>
        </w:rPr>
      </w:pPr>
      <w:r>
        <w:rPr>
          <w:color w:val="000000" w:themeColor="text1"/>
        </w:rPr>
        <w:tab/>
        <w:t>(1)</w:t>
      </w:r>
      <w:r>
        <w:rPr>
          <w:color w:val="000000" w:themeColor="text1"/>
        </w:rPr>
        <w:tab/>
        <w:t xml:space="preserve">The Health Minister must, as soon as practicable after each anniversary of the day on which </w:t>
      </w:r>
      <w:r>
        <w:rPr>
          <w:snapToGrid w:val="0"/>
          <w:color w:val="000000" w:themeColor="text1"/>
        </w:rPr>
        <w:t xml:space="preserve">the </w:t>
      </w:r>
      <w:r>
        <w:rPr>
          <w:i/>
          <w:color w:val="000000" w:themeColor="text1"/>
        </w:rPr>
        <w:t>Guardianship and Administration Amendment (Medical Research) Act 2020</w:t>
      </w:r>
      <w:r>
        <w:rPr>
          <w:color w:val="000000" w:themeColor="text1"/>
        </w:rPr>
        <w:t xml:space="preserve"> section 12</w:t>
      </w:r>
      <w:r>
        <w:rPr>
          <w:snapToGrid w:val="0"/>
          <w:color w:val="000000" w:themeColor="text1"/>
        </w:rPr>
        <w:t xml:space="preserve"> comes into operation, report to Parliament on the following in relation to the year to which the report relates — </w:t>
      </w:r>
    </w:p>
    <w:p>
      <w:pPr>
        <w:pStyle w:val="Indenta"/>
      </w:pPr>
      <w:r>
        <w:rPr>
          <w:snapToGrid w:val="0"/>
          <w:color w:val="000000" w:themeColor="text1"/>
        </w:rPr>
        <w:tab/>
        <w:t>(a)</w:t>
      </w:r>
      <w:r>
        <w:rPr>
          <w:snapToGrid w:val="0"/>
          <w:color w:val="000000" w:themeColor="text1"/>
        </w:rPr>
        <w:tab/>
      </w:r>
      <w:r>
        <w:rPr>
          <w:color w:val="000000" w:themeColor="text1"/>
        </w:rPr>
        <w:t xml:space="preserve">the number of research candidates who have participated in medical research under this Part; </w:t>
      </w:r>
    </w:p>
    <w:p>
      <w:pPr>
        <w:pStyle w:val="Indenta"/>
      </w:pPr>
      <w:r>
        <w:tab/>
        <w:t>(b)</w:t>
      </w:r>
      <w:r>
        <w:tab/>
        <w:t xml:space="preserve">whether the medical research is carried out pursuant to — </w:t>
      </w:r>
    </w:p>
    <w:p>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pPr>
        <w:pStyle w:val="Indenti"/>
      </w:pPr>
      <w:r>
        <w:tab/>
        <w:t>(ii)</w:t>
      </w:r>
      <w:r>
        <w:tab/>
        <w:t xml:space="preserve">an urgent medical research decision; </w:t>
      </w:r>
    </w:p>
    <w:p>
      <w:pPr>
        <w:pStyle w:val="Indenta"/>
      </w:pPr>
      <w:r>
        <w:rPr>
          <w:color w:val="000000" w:themeColor="text1"/>
        </w:rPr>
        <w:tab/>
        <w:t>(c)</w:t>
      </w:r>
      <w:r>
        <w:rPr>
          <w:color w:val="000000" w:themeColor="text1"/>
        </w:rPr>
        <w:tab/>
        <w:t xml:space="preserve">the type of medical research the researcher is conducting in relation to the candidate; </w:t>
      </w:r>
    </w:p>
    <w:p>
      <w:pPr>
        <w:pStyle w:val="Indenta"/>
      </w:pPr>
      <w:r>
        <w:tab/>
        <w:t>(d)</w:t>
      </w:r>
      <w:r>
        <w:tab/>
        <w:t>the purpose of the medical research;</w:t>
      </w:r>
    </w:p>
    <w:p>
      <w:pPr>
        <w:pStyle w:val="Indenta"/>
      </w:pPr>
      <w:r>
        <w:tab/>
        <w:t>(e)</w:t>
      </w:r>
      <w:r>
        <w:tab/>
        <w:t>any other matter relating to the operation of this Part that the Health Minister considers appropriate.</w:t>
      </w:r>
    </w:p>
    <w:p>
      <w:pPr>
        <w:pStyle w:val="Subsection"/>
      </w:pPr>
      <w:r>
        <w:rPr>
          <w:color w:val="000000" w:themeColor="text1"/>
        </w:rPr>
        <w:lastRenderedPageBreak/>
        <w:tab/>
        <w:t>(2)</w:t>
      </w:r>
      <w:r>
        <w:rPr>
          <w:color w:val="000000" w:themeColor="text1"/>
        </w:rPr>
        <w:tab/>
        <w:t xml:space="preserve">The report under subsection (1) — </w:t>
      </w:r>
    </w:p>
    <w:p>
      <w:pPr>
        <w:pStyle w:val="Indenta"/>
        <w:rPr>
          <w:snapToGrid w:val="0"/>
        </w:rPr>
      </w:pPr>
      <w:r>
        <w:rPr>
          <w:color w:val="000000" w:themeColor="text1"/>
        </w:rPr>
        <w:tab/>
        <w:t>(a)</w:t>
      </w:r>
      <w:r>
        <w:rPr>
          <w:color w:val="000000" w:themeColor="text1"/>
        </w:rPr>
        <w:tab/>
        <w:t xml:space="preserve">may include statistics or other general information derived from a written notice the Health Minister receives under </w:t>
      </w:r>
      <w:r>
        <w:rPr>
          <w:snapToGrid w:val="0"/>
          <w:color w:val="000000" w:themeColor="text1"/>
        </w:rPr>
        <w:t>section 110ZZC; but</w:t>
      </w:r>
    </w:p>
    <w:p>
      <w:pPr>
        <w:pStyle w:val="Indenta"/>
      </w:pPr>
      <w:r>
        <w:tab/>
        <w:t>(b)</w:t>
      </w:r>
      <w:r>
        <w:tab/>
        <w:t>must not include personal information.</w:t>
      </w:r>
    </w:p>
    <w:p>
      <w:pPr>
        <w:pStyle w:val="Footnotesection"/>
      </w:pPr>
      <w:r>
        <w:tab/>
        <w:t>[Section 110ZZD inserted: No. 14 of 2020 s. 12.]</w:t>
      </w:r>
    </w:p>
    <w:p>
      <w:pPr>
        <w:pStyle w:val="Heading3"/>
      </w:pPr>
      <w:bookmarkStart w:id="362" w:name="_Toc161843354"/>
      <w:bookmarkStart w:id="363" w:name="_Toc161846069"/>
      <w:bookmarkStart w:id="364" w:name="_Toc161907050"/>
      <w:r>
        <w:rPr>
          <w:rStyle w:val="CharDivNo"/>
        </w:rPr>
        <w:t>Division 7</w:t>
      </w:r>
      <w:r>
        <w:rPr>
          <w:color w:val="000000" w:themeColor="text1"/>
        </w:rPr>
        <w:t> — </w:t>
      </w:r>
      <w:r>
        <w:rPr>
          <w:rStyle w:val="CharDivText"/>
        </w:rPr>
        <w:t>Reviews</w:t>
      </w:r>
      <w:bookmarkEnd w:id="362"/>
      <w:bookmarkEnd w:id="363"/>
      <w:bookmarkEnd w:id="364"/>
    </w:p>
    <w:p>
      <w:pPr>
        <w:pStyle w:val="Footnoteheading"/>
      </w:pPr>
      <w:r>
        <w:tab/>
        <w:t>[Heading inserted: No. 14 of 2020 s. 12.]</w:t>
      </w:r>
    </w:p>
    <w:p>
      <w:pPr>
        <w:pStyle w:val="Heading5"/>
      </w:pPr>
      <w:bookmarkStart w:id="365" w:name="_Toc161907051"/>
      <w:r>
        <w:rPr>
          <w:rStyle w:val="CharSectno"/>
        </w:rPr>
        <w:t>110ZZE</w:t>
      </w:r>
      <w:r>
        <w:rPr>
          <w:color w:val="000000" w:themeColor="text1"/>
        </w:rPr>
        <w:t>.</w:t>
      </w:r>
      <w:r>
        <w:rPr>
          <w:color w:val="000000" w:themeColor="text1"/>
        </w:rPr>
        <w:tab/>
        <w:t>Review of this Part</w:t>
      </w:r>
      <w:bookmarkEnd w:id="365"/>
    </w:p>
    <w:p>
      <w:pPr>
        <w:pStyle w:val="Subsection"/>
        <w:rPr>
          <w:snapToGrid w:val="0"/>
        </w:rPr>
      </w:pPr>
      <w:r>
        <w:rPr>
          <w:snapToGrid w:val="0"/>
          <w:color w:val="000000" w:themeColor="text1"/>
        </w:rPr>
        <w:tab/>
        <w:t>(1)</w:t>
      </w:r>
      <w:r>
        <w:rPr>
          <w:snapToGrid w:val="0"/>
          <w:color w:val="000000" w:themeColor="text1"/>
        </w:rPr>
        <w:tab/>
        <w:t xml:space="preserve">The Minister must review the operation and effectiveness of this Part and prepare a report based on the review — </w:t>
      </w:r>
    </w:p>
    <w:p>
      <w:pPr>
        <w:pStyle w:val="Indenta"/>
        <w:rPr>
          <w:snapToGrid w:val="0"/>
        </w:rPr>
      </w:pPr>
      <w:r>
        <w:rPr>
          <w:snapToGrid w:val="0"/>
          <w:color w:val="000000" w:themeColor="text1"/>
        </w:rPr>
        <w:tab/>
        <w:t>(a)</w:t>
      </w:r>
      <w:r>
        <w:rPr>
          <w:snapToGrid w:val="0"/>
          <w:color w:val="000000" w:themeColor="text1"/>
        </w:rPr>
        <w:tab/>
        <w:t>as soon as practicable after the 1</w:t>
      </w:r>
      <w:r>
        <w:rPr>
          <w:snapToGrid w:val="0"/>
          <w:color w:val="000000" w:themeColor="text1"/>
          <w:vertAlign w:val="superscript"/>
        </w:rPr>
        <w:t>st</w:t>
      </w:r>
      <w:r>
        <w:rPr>
          <w:snapToGrid w:val="0"/>
          <w:color w:val="000000" w:themeColor="text1"/>
        </w:rPr>
        <w:t xml:space="preserve"> anniversary of the day on </w:t>
      </w:r>
      <w:r>
        <w:rPr>
          <w:color w:val="000000" w:themeColor="text1"/>
        </w:rPr>
        <w:t>which</w:t>
      </w:r>
      <w:r>
        <w:rPr>
          <w:snapToGrid w:val="0"/>
          <w:color w:val="000000" w:themeColor="text1"/>
        </w:rPr>
        <w:t xml:space="preserve"> the </w:t>
      </w:r>
      <w:r>
        <w:rPr>
          <w:i/>
          <w:color w:val="000000" w:themeColor="text1"/>
        </w:rPr>
        <w:t>Guardianship and Administration Amendment (Medical Research) Act 2020</w:t>
      </w:r>
      <w:r>
        <w:rPr>
          <w:color w:val="000000" w:themeColor="text1"/>
        </w:rPr>
        <w:t xml:space="preserve"> section 12 </w:t>
      </w:r>
      <w:r>
        <w:rPr>
          <w:snapToGrid w:val="0"/>
          <w:color w:val="000000" w:themeColor="text1"/>
        </w:rPr>
        <w:t>comes into operation; and</w:t>
      </w:r>
    </w:p>
    <w:p>
      <w:pPr>
        <w:pStyle w:val="Indenta"/>
      </w:pPr>
      <w:r>
        <w:rPr>
          <w:snapToGrid w:val="0"/>
        </w:rPr>
        <w:tab/>
        <w:t>(b)</w:t>
      </w:r>
      <w:r>
        <w:rPr>
          <w:snapToGrid w:val="0"/>
        </w:rPr>
        <w:tab/>
        <w:t>after that, at intervals of not more than 3 years.</w:t>
      </w:r>
    </w:p>
    <w:p>
      <w:pPr>
        <w:pStyle w:val="Subsection"/>
        <w:keepNext/>
        <w:keepLines/>
        <w:rPr>
          <w:snapToGrid w:val="0"/>
        </w:rPr>
      </w:pPr>
      <w:r>
        <w:rPr>
          <w:snapToGrid w:val="0"/>
          <w:color w:val="000000" w:themeColor="text1"/>
        </w:rPr>
        <w:tab/>
        <w:t>(2)</w:t>
      </w:r>
      <w:r>
        <w:rPr>
          <w:snapToGrid w:val="0"/>
          <w:color w:val="000000" w:themeColor="text1"/>
        </w:rPr>
        <w:tab/>
        <w:t>The Minister must cause the report to be laid before each House of Parliament as soon as practicable after it is prepared, but not later than 12 months after the 1</w:t>
      </w:r>
      <w:r>
        <w:rPr>
          <w:snapToGrid w:val="0"/>
          <w:color w:val="000000" w:themeColor="text1"/>
          <w:vertAlign w:val="superscript"/>
        </w:rPr>
        <w:t>st</w:t>
      </w:r>
      <w:r>
        <w:rPr>
          <w:snapToGrid w:val="0"/>
          <w:color w:val="000000" w:themeColor="text1"/>
        </w:rPr>
        <w:t xml:space="preserve"> anniversary or the expiry of the period of 3 years, as the case may be.</w:t>
      </w:r>
    </w:p>
    <w:p>
      <w:pPr>
        <w:pStyle w:val="Footnotesection"/>
      </w:pPr>
      <w:r>
        <w:tab/>
        <w:t>[Section 110ZZE inserted: No. 14 of 2020 s. 12.]</w:t>
      </w:r>
    </w:p>
    <w:p>
      <w:pPr>
        <w:pStyle w:val="Heading2"/>
      </w:pPr>
      <w:bookmarkStart w:id="366" w:name="_Toc161843356"/>
      <w:bookmarkStart w:id="367" w:name="_Toc161846071"/>
      <w:bookmarkStart w:id="368" w:name="_Toc161907052"/>
      <w:r>
        <w:rPr>
          <w:rStyle w:val="CharPartNo"/>
        </w:rPr>
        <w:lastRenderedPageBreak/>
        <w:t>Part 10</w:t>
      </w:r>
      <w:r>
        <w:rPr>
          <w:rStyle w:val="CharDivNo"/>
        </w:rPr>
        <w:t> </w:t>
      </w:r>
      <w:r>
        <w:t>—</w:t>
      </w:r>
      <w:r>
        <w:rPr>
          <w:rStyle w:val="CharDivText"/>
        </w:rPr>
        <w:t> </w:t>
      </w:r>
      <w:r>
        <w:rPr>
          <w:rStyle w:val="CharPartText"/>
        </w:rPr>
        <w:t>Miscellaneous provisions</w:t>
      </w:r>
      <w:bookmarkEnd w:id="366"/>
      <w:bookmarkEnd w:id="367"/>
      <w:bookmarkEnd w:id="368"/>
      <w:r>
        <w:rPr>
          <w:rStyle w:val="CharPartText"/>
        </w:rPr>
        <w:t xml:space="preserve"> </w:t>
      </w:r>
    </w:p>
    <w:p>
      <w:pPr>
        <w:pStyle w:val="Heading5"/>
        <w:rPr>
          <w:snapToGrid w:val="0"/>
        </w:rPr>
      </w:pPr>
      <w:bookmarkStart w:id="369" w:name="_Toc161907053"/>
      <w:r>
        <w:rPr>
          <w:rStyle w:val="CharSectno"/>
        </w:rPr>
        <w:t>111</w:t>
      </w:r>
      <w:r>
        <w:rPr>
          <w:snapToGrid w:val="0"/>
        </w:rPr>
        <w:t>.</w:t>
      </w:r>
      <w:r>
        <w:rPr>
          <w:snapToGrid w:val="0"/>
        </w:rPr>
        <w:tab/>
        <w:t>Declaration as to capacity to vote</w:t>
      </w:r>
      <w:bookmarkEnd w:id="369"/>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w:t>
      </w:r>
      <w:r>
        <w:rPr>
          <w:snapToGrid w:val="0"/>
        </w:rPr>
        <w:lastRenderedPageBreak/>
        <w:t xml:space="preserve">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No. 16 of 1992 s. 18; No. 55 of 2004 s. 455 and 466.] </w:t>
      </w:r>
    </w:p>
    <w:p>
      <w:pPr>
        <w:pStyle w:val="Heading5"/>
      </w:pPr>
      <w:bookmarkStart w:id="370" w:name="_Toc161907054"/>
      <w:r>
        <w:rPr>
          <w:rStyle w:val="CharSectno"/>
        </w:rPr>
        <w:t>111A</w:t>
      </w:r>
      <w:r>
        <w:t>.</w:t>
      </w:r>
      <w:r>
        <w:tab/>
        <w:t xml:space="preserve">Applications under </w:t>
      </w:r>
      <w:r>
        <w:rPr>
          <w:i/>
          <w:iCs/>
        </w:rPr>
        <w:t xml:space="preserve">Wills Act 1970 </w:t>
      </w:r>
      <w:r>
        <w:t>s. 40</w:t>
      </w:r>
      <w:bookmarkEnd w:id="370"/>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No. 27 of 2007 s. 25.]</w:t>
      </w:r>
    </w:p>
    <w:p>
      <w:pPr>
        <w:pStyle w:val="Heading5"/>
        <w:rPr>
          <w:snapToGrid w:val="0"/>
        </w:rPr>
      </w:pPr>
      <w:bookmarkStart w:id="371" w:name="_Toc161907055"/>
      <w:r>
        <w:rPr>
          <w:rStyle w:val="CharSectno"/>
        </w:rPr>
        <w:t>112</w:t>
      </w:r>
      <w:r>
        <w:rPr>
          <w:snapToGrid w:val="0"/>
        </w:rPr>
        <w:t>.</w:t>
      </w:r>
      <w:r>
        <w:rPr>
          <w:snapToGrid w:val="0"/>
        </w:rPr>
        <w:tab/>
        <w:t>Inspection of records</w:t>
      </w:r>
      <w:bookmarkEnd w:id="371"/>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lastRenderedPageBreak/>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No. 50 of 2003 s. 70(3); No. 55 of 2004 s. 456 and 466.]</w:t>
      </w:r>
    </w:p>
    <w:p>
      <w:pPr>
        <w:pStyle w:val="Heading5"/>
        <w:rPr>
          <w:snapToGrid w:val="0"/>
        </w:rPr>
      </w:pPr>
      <w:bookmarkStart w:id="372" w:name="_Toc161907056"/>
      <w:r>
        <w:rPr>
          <w:rStyle w:val="CharSectno"/>
        </w:rPr>
        <w:t>113</w:t>
      </w:r>
      <w:r>
        <w:rPr>
          <w:snapToGrid w:val="0"/>
        </w:rPr>
        <w:t>.</w:t>
      </w:r>
      <w:r>
        <w:rPr>
          <w:snapToGrid w:val="0"/>
        </w:rPr>
        <w:tab/>
        <w:t>Confidentiality</w:t>
      </w:r>
      <w:bookmarkEnd w:id="372"/>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lastRenderedPageBreak/>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No. 50 of 2003 s. 70(4); No. 55 of 2004 s. 457.]</w:t>
      </w:r>
    </w:p>
    <w:p>
      <w:pPr>
        <w:pStyle w:val="Heading5"/>
        <w:rPr>
          <w:snapToGrid w:val="0"/>
        </w:rPr>
      </w:pPr>
      <w:bookmarkStart w:id="373" w:name="_Toc161907057"/>
      <w:r>
        <w:rPr>
          <w:rStyle w:val="CharSectno"/>
        </w:rPr>
        <w:t>114</w:t>
      </w:r>
      <w:r>
        <w:rPr>
          <w:snapToGrid w:val="0"/>
        </w:rPr>
        <w:t>.</w:t>
      </w:r>
      <w:r>
        <w:rPr>
          <w:snapToGrid w:val="0"/>
        </w:rPr>
        <w:tab/>
        <w:t>Immunity</w:t>
      </w:r>
      <w:bookmarkEnd w:id="373"/>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No. 55 of 2004 s. 458 and 466.]</w:t>
      </w:r>
    </w:p>
    <w:p>
      <w:pPr>
        <w:pStyle w:val="Heading5"/>
        <w:rPr>
          <w:snapToGrid w:val="0"/>
        </w:rPr>
      </w:pPr>
      <w:bookmarkStart w:id="374" w:name="_Toc161907058"/>
      <w:r>
        <w:rPr>
          <w:rStyle w:val="CharSectno"/>
        </w:rPr>
        <w:t>115</w:t>
      </w:r>
      <w:r>
        <w:rPr>
          <w:snapToGrid w:val="0"/>
        </w:rPr>
        <w:t>.</w:t>
      </w:r>
      <w:r>
        <w:rPr>
          <w:snapToGrid w:val="0"/>
        </w:rPr>
        <w:tab/>
        <w:t>Service of notices</w:t>
      </w:r>
      <w:bookmarkEnd w:id="374"/>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 xml:space="preserve">The contents of any notice referred to in subsection (1) shall, at the time when the notice is given to the person, be explained to him by the person who gives the notice or some other person and, as far as is practicable, in the language, mode of </w:t>
      </w:r>
      <w:r>
        <w:rPr>
          <w:snapToGrid w:val="0"/>
        </w:rPr>
        <w:lastRenderedPageBreak/>
        <w:t>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No. 55 of 2004 s. 459.] </w:t>
      </w:r>
    </w:p>
    <w:p>
      <w:pPr>
        <w:pStyle w:val="Heading5"/>
        <w:rPr>
          <w:snapToGrid w:val="0"/>
        </w:rPr>
      </w:pPr>
      <w:bookmarkStart w:id="375" w:name="_Toc161907059"/>
      <w:r>
        <w:rPr>
          <w:rStyle w:val="CharSectno"/>
        </w:rPr>
        <w:t>117</w:t>
      </w:r>
      <w:r>
        <w:rPr>
          <w:snapToGrid w:val="0"/>
        </w:rPr>
        <w:t>.</w:t>
      </w:r>
      <w:r>
        <w:rPr>
          <w:snapToGrid w:val="0"/>
        </w:rPr>
        <w:tab/>
        <w:t>Remuneration</w:t>
      </w:r>
      <w:bookmarkEnd w:id="37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No. 55 of 2004 s. 460 and 466.]</w:t>
      </w:r>
    </w:p>
    <w:p>
      <w:pPr>
        <w:pStyle w:val="Heading5"/>
        <w:rPr>
          <w:snapToGrid w:val="0"/>
        </w:rPr>
      </w:pPr>
      <w:bookmarkStart w:id="376" w:name="_Toc161907060"/>
      <w:r>
        <w:rPr>
          <w:rStyle w:val="CharSectno"/>
        </w:rPr>
        <w:lastRenderedPageBreak/>
        <w:t>118</w:t>
      </w:r>
      <w:r>
        <w:rPr>
          <w:snapToGrid w:val="0"/>
        </w:rPr>
        <w:t>.</w:t>
      </w:r>
      <w:r>
        <w:rPr>
          <w:snapToGrid w:val="0"/>
        </w:rPr>
        <w:tab/>
        <w:t>Expenses</w:t>
      </w:r>
      <w:bookmarkEnd w:id="376"/>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No. 55 of 2004 s. 466(1).]</w:t>
      </w:r>
    </w:p>
    <w:p>
      <w:pPr>
        <w:pStyle w:val="Heading5"/>
      </w:pPr>
      <w:bookmarkStart w:id="377" w:name="_Toc161907061"/>
      <w:r>
        <w:rPr>
          <w:rStyle w:val="CharSectno"/>
        </w:rPr>
        <w:t>119</w:t>
      </w:r>
      <w:r>
        <w:t>.</w:t>
      </w:r>
      <w:r>
        <w:tab/>
        <w:t>Order of priority of enduring guardian and guardian for matters other than treatment decisions</w:t>
      </w:r>
      <w:bookmarkEnd w:id="377"/>
    </w:p>
    <w:p>
      <w:pPr>
        <w:pStyle w:val="Subsection"/>
      </w:pPr>
      <w:r>
        <w:rPr>
          <w:color w:val="000000" w:themeColor="text1"/>
        </w:rPr>
        <w:tab/>
        <w:t>(1)</w:t>
      </w:r>
      <w:r>
        <w:rPr>
          <w:color w:val="000000" w:themeColor="text1"/>
        </w:rPr>
        <w:tab/>
        <w:t xml:space="preserve">This section applies if a person is unable to make reasonable judgments in respect of a matter relating to their person other than — </w:t>
      </w:r>
    </w:p>
    <w:p>
      <w:pPr>
        <w:pStyle w:val="Indenta"/>
      </w:pPr>
      <w:r>
        <w:rPr>
          <w:color w:val="000000" w:themeColor="text1"/>
        </w:rPr>
        <w:tab/>
        <w:t>(a)</w:t>
      </w:r>
      <w:r>
        <w:rPr>
          <w:color w:val="000000" w:themeColor="text1"/>
        </w:rPr>
        <w:tab/>
        <w:t>treatment proposed to be provided to the person; or</w:t>
      </w:r>
    </w:p>
    <w:p>
      <w:pPr>
        <w:pStyle w:val="Indenta"/>
        <w:rPr>
          <w:sz w:val="20"/>
        </w:rPr>
      </w:pPr>
      <w:r>
        <w:tab/>
        <w:t>(b)</w:t>
      </w:r>
      <w:r>
        <w:tab/>
        <w:t>medical research proposed to be conducted in relation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keepNext/>
      </w:pPr>
      <w:r>
        <w:lastRenderedPageBreak/>
        <w:tab/>
        <w:t>(3)</w:t>
      </w:r>
      <w:r>
        <w:tab/>
        <w:t xml:space="preserve">If — </w:t>
      </w:r>
    </w:p>
    <w:p>
      <w:pPr>
        <w:pStyle w:val="Indenta"/>
        <w:keepNext/>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No. 25 of 2008 s. 13; amended: No. 14 of 2020 s. 14.]</w:t>
      </w:r>
    </w:p>
    <w:p>
      <w:pPr>
        <w:pStyle w:val="Heading5"/>
      </w:pPr>
      <w:bookmarkStart w:id="378" w:name="_Toc161907062"/>
      <w:r>
        <w:rPr>
          <w:rStyle w:val="CharSectno"/>
        </w:rPr>
        <w:t>119A</w:t>
      </w:r>
      <w:r>
        <w:t>.</w:t>
      </w:r>
      <w:r>
        <w:tab/>
        <w:t>No fee for application to State Administrative Tribunal</w:t>
      </w:r>
      <w:bookmarkEnd w:id="378"/>
    </w:p>
    <w:p>
      <w:pPr>
        <w:pStyle w:val="Subsection"/>
      </w:pPr>
      <w:r>
        <w:tab/>
      </w:r>
      <w:r>
        <w:tab/>
        <w:t>No fee is payable in respect of an application made to the State Administrative Tribunal under this Act.</w:t>
      </w:r>
    </w:p>
    <w:p>
      <w:pPr>
        <w:pStyle w:val="Footnotesection"/>
      </w:pPr>
      <w:r>
        <w:tab/>
        <w:t>[Section 119A inserted: No. 55 of 2004 s. 461.]</w:t>
      </w:r>
    </w:p>
    <w:p>
      <w:pPr>
        <w:pStyle w:val="Heading5"/>
        <w:rPr>
          <w:snapToGrid w:val="0"/>
        </w:rPr>
      </w:pPr>
      <w:bookmarkStart w:id="379" w:name="_Toc161907063"/>
      <w:r>
        <w:rPr>
          <w:rStyle w:val="CharSectno"/>
        </w:rPr>
        <w:t>120</w:t>
      </w:r>
      <w:r>
        <w:rPr>
          <w:snapToGrid w:val="0"/>
        </w:rPr>
        <w:t>.</w:t>
      </w:r>
      <w:r>
        <w:rPr>
          <w:snapToGrid w:val="0"/>
        </w:rPr>
        <w:tab/>
        <w:t>Regulations</w:t>
      </w:r>
      <w:bookmarkEnd w:id="37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No. 55 of 2004 s. 462.]</w:t>
      </w:r>
    </w:p>
    <w:p>
      <w:pPr>
        <w:pStyle w:val="Ednotesection"/>
      </w:pPr>
      <w:r>
        <w:t>[</w:t>
      </w:r>
      <w:r>
        <w:rPr>
          <w:b/>
        </w:rPr>
        <w:t>121</w:t>
      </w:r>
      <w:r>
        <w:rPr>
          <w:b/>
        </w:rPr>
        <w:noBreakHyphen/>
        <w:t>123.</w:t>
      </w:r>
      <w:r>
        <w:rPr>
          <w:b/>
        </w:rPr>
        <w:tab/>
      </w:r>
      <w:r>
        <w:t xml:space="preserve">Deleted: No. 55 of 2004 s. 463.] </w:t>
      </w:r>
    </w:p>
    <w:p>
      <w:pPr>
        <w:pStyle w:val="Heading5"/>
        <w:rPr>
          <w:snapToGrid w:val="0"/>
        </w:rPr>
      </w:pPr>
      <w:bookmarkStart w:id="380" w:name="_Toc161907064"/>
      <w:r>
        <w:rPr>
          <w:rStyle w:val="CharSectno"/>
        </w:rPr>
        <w:t>124</w:t>
      </w:r>
      <w:r>
        <w:rPr>
          <w:snapToGrid w:val="0"/>
        </w:rPr>
        <w:t>.</w:t>
      </w:r>
      <w:r>
        <w:rPr>
          <w:snapToGrid w:val="0"/>
        </w:rPr>
        <w:tab/>
        <w:t>Transitional provisions</w:t>
      </w:r>
      <w:bookmarkEnd w:id="380"/>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rPr>
          <w:rFonts w:eastAsia="MS Mincho"/>
        </w:rPr>
      </w:pPr>
      <w:bookmarkStart w:id="381" w:name="_Toc161843369"/>
      <w:bookmarkStart w:id="382" w:name="_Toc161846084"/>
      <w:bookmarkStart w:id="383" w:name="_Toc161907065"/>
      <w:r>
        <w:rPr>
          <w:rStyle w:val="CharSchNo"/>
          <w:rFonts w:eastAsia="MS Mincho"/>
        </w:rPr>
        <w:lastRenderedPageBreak/>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381"/>
      <w:bookmarkEnd w:id="382"/>
      <w:bookmarkEnd w:id="383"/>
    </w:p>
    <w:p>
      <w:pPr>
        <w:pStyle w:val="yShoulderClause"/>
        <w:rPr>
          <w:rFonts w:eastAsia="MS Mincho"/>
        </w:rPr>
      </w:pPr>
      <w:r>
        <w:rPr>
          <w:rFonts w:eastAsia="MS Mincho"/>
        </w:rPr>
        <w:t>[s. 17]</w:t>
      </w:r>
    </w:p>
    <w:p>
      <w:pPr>
        <w:pStyle w:val="yFootnoteheading"/>
      </w:pPr>
      <w:r>
        <w:tab/>
        <w:t>[Heading inserted: No. 19 of 2010 s. 18(3).]</w:t>
      </w:r>
    </w:p>
    <w:p>
      <w:pPr>
        <w:pStyle w:val="yEdnotesection"/>
        <w:spacing w:before="180"/>
      </w:pPr>
      <w:r>
        <w:t>[</w:t>
      </w:r>
      <w:r>
        <w:rPr>
          <w:b/>
        </w:rPr>
        <w:t>1</w:t>
      </w:r>
      <w:r>
        <w:rPr>
          <w:b/>
        </w:rPr>
        <w:noBreakHyphen/>
        <w:t>10</w:t>
      </w:r>
      <w:r>
        <w:t>.</w:t>
      </w:r>
      <w:r>
        <w:tab/>
        <w:t>Deleted: No. 55 of 2004 s. 464(3).]</w:t>
      </w:r>
    </w:p>
    <w:p>
      <w:pPr>
        <w:pStyle w:val="yHeading5"/>
      </w:pPr>
      <w:bookmarkStart w:id="384" w:name="_Toc161907066"/>
      <w:r>
        <w:rPr>
          <w:rStyle w:val="CharSClsNo"/>
        </w:rPr>
        <w:t>11</w:t>
      </w:r>
      <w:r>
        <w:t>.</w:t>
      </w:r>
      <w:r>
        <w:tab/>
        <w:t>Hearings</w:t>
      </w:r>
      <w:bookmarkEnd w:id="384"/>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No. 50 of 2003 s. 70(5); No. 55 of 2004 s. 464(4)</w:t>
      </w:r>
      <w:r>
        <w:noBreakHyphen/>
        <w:t>(7) and 466.]</w:t>
      </w:r>
    </w:p>
    <w:p>
      <w:pPr>
        <w:pStyle w:val="yHeading5"/>
      </w:pPr>
      <w:bookmarkStart w:id="385" w:name="_Toc161907067"/>
      <w:r>
        <w:rPr>
          <w:rStyle w:val="CharSClsNo"/>
        </w:rPr>
        <w:t>12</w:t>
      </w:r>
      <w:r>
        <w:t>.</w:t>
      </w:r>
      <w:r>
        <w:tab/>
        <w:t>Limitations on publication of proceedings</w:t>
      </w:r>
      <w:bookmarkEnd w:id="385"/>
      <w: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lastRenderedPageBreak/>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lastRenderedPageBreak/>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lastRenderedPageBreak/>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No. 50 of 2003 s. 70(6); No. 4 of 2004 s. 58; No. 55 of 2004 s. 464(8) and 466.]</w:t>
      </w:r>
    </w:p>
    <w:p>
      <w:pPr>
        <w:pStyle w:val="yHeading5"/>
      </w:pPr>
      <w:bookmarkStart w:id="386" w:name="_Toc161907068"/>
      <w:r>
        <w:rPr>
          <w:rStyle w:val="CharSClsNo"/>
        </w:rPr>
        <w:t>13</w:t>
      </w:r>
      <w:r>
        <w:t>.</w:t>
      </w:r>
      <w:r>
        <w:tab/>
        <w:t>Entitlement to appear, and representation</w:t>
      </w:r>
      <w:bookmarkEnd w:id="386"/>
      <w: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lastRenderedPageBreak/>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No. 16 of 1992 s. 18; No. 55 of 2004 s. 464(9)</w:t>
      </w:r>
      <w:r>
        <w:noBreakHyphen/>
        <w:t>(11) and 466.]</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rPr>
          <w:rFonts w:eastAsia="MS Mincho"/>
        </w:rPr>
      </w:pPr>
      <w:bookmarkStart w:id="388" w:name="_Toc161843373"/>
      <w:bookmarkStart w:id="389" w:name="_Toc161846088"/>
      <w:bookmarkStart w:id="390" w:name="_Toc161907069"/>
      <w:r>
        <w:rPr>
          <w:rStyle w:val="CharSchNo"/>
          <w:rFonts w:eastAsia="MS Mincho"/>
        </w:rPr>
        <w:lastRenderedPageBreak/>
        <w:t>Schedule 2</w:t>
      </w:r>
      <w:r>
        <w:rPr>
          <w:rFonts w:eastAsia="MS Mincho"/>
        </w:rPr>
        <w:t> — </w:t>
      </w:r>
      <w:r>
        <w:rPr>
          <w:rStyle w:val="CharSchText"/>
          <w:rFonts w:eastAsia="MS Mincho"/>
        </w:rPr>
        <w:t>Functions for administration of estates</w:t>
      </w:r>
      <w:bookmarkEnd w:id="388"/>
      <w:bookmarkEnd w:id="389"/>
      <w:bookmarkEnd w:id="390"/>
    </w:p>
    <w:p>
      <w:pPr>
        <w:pStyle w:val="yShoulderClause"/>
        <w:rPr>
          <w:rFonts w:eastAsia="MS Mincho"/>
        </w:rPr>
      </w:pPr>
      <w:r>
        <w:rPr>
          <w:rFonts w:eastAsia="MS Mincho"/>
        </w:rPr>
        <w:t>[s. 71(3) and 72(1)]</w:t>
      </w:r>
    </w:p>
    <w:p>
      <w:pPr>
        <w:pStyle w:val="yFootnoteheading"/>
      </w:pPr>
      <w:r>
        <w:tab/>
        <w:t>[Heading inserted: No. 19 of 2010 s. 18(4).]</w:t>
      </w:r>
    </w:p>
    <w:p>
      <w:pPr>
        <w:pStyle w:val="yHeading3"/>
        <w:rPr>
          <w:rFonts w:eastAsia="MS Mincho"/>
        </w:rPr>
      </w:pPr>
      <w:bookmarkStart w:id="391" w:name="_Toc161843374"/>
      <w:bookmarkStart w:id="392" w:name="_Toc161846089"/>
      <w:bookmarkStart w:id="393" w:name="_Toc161907070"/>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391"/>
      <w:bookmarkEnd w:id="392"/>
      <w:bookmarkEnd w:id="393"/>
    </w:p>
    <w:p>
      <w:pPr>
        <w:pStyle w:val="yFootnoteheading"/>
      </w:pPr>
      <w:r>
        <w:tab/>
        <w:t>[Heading inserted: No. 19 of 2010 s. 18(4).]</w:t>
      </w:r>
    </w:p>
    <w:p>
      <w:pPr>
        <w:pStyle w:val="ySubsection"/>
        <w:rPr>
          <w:snapToGrid w:val="0"/>
        </w:rPr>
      </w:pPr>
      <w:r>
        <w:rPr>
          <w:snapToGrid w:val="0"/>
        </w:rPr>
        <w:t>1.</w:t>
      </w:r>
      <w:r>
        <w:rPr>
          <w:snapToGrid w:val="0"/>
        </w:rPr>
        <w:tab/>
      </w:r>
      <w:r>
        <w:rPr>
          <w:snapToGrid w:val="0"/>
        </w:rPr>
        <w:tab/>
        <w:t>To take possession of all or any of the property of the represented person.</w:t>
      </w:r>
    </w:p>
    <w:p>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pPr>
        <w:pStyle w:val="ySubsection"/>
        <w:rPr>
          <w:snapToGrid w:val="0"/>
        </w:rPr>
      </w:pPr>
      <w:r>
        <w:rPr>
          <w:snapToGrid w:val="0"/>
        </w:rPr>
        <w:lastRenderedPageBreak/>
        <w:t>10.</w:t>
      </w:r>
      <w:r>
        <w:rPr>
          <w:snapToGrid w:val="0"/>
        </w:rPr>
        <w:tab/>
      </w:r>
      <w:r>
        <w:rPr>
          <w:snapToGrid w:val="0"/>
        </w:rPr>
        <w:tab/>
        <w:t>To expend money in the improvement of any property of the represented person by way of building or otherwise.</w:t>
      </w:r>
    </w:p>
    <w:p>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r>
        <w:rPr>
          <w:snapToGrid w:val="0"/>
        </w:rPr>
        <w:t>20.</w:t>
      </w:r>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w:t>
      </w:r>
      <w:r>
        <w:rPr>
          <w:snapToGrid w:val="0"/>
        </w:rPr>
        <w:lastRenderedPageBreak/>
        <w:t>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No. 3 of 2002 s. 70; No. 55 of 2004 s. 466.]</w:t>
      </w:r>
    </w:p>
    <w:p>
      <w:pPr>
        <w:pStyle w:val="yHeading3"/>
        <w:rPr>
          <w:rFonts w:eastAsia="MS Mincho"/>
        </w:rPr>
      </w:pPr>
      <w:bookmarkStart w:id="394" w:name="_Toc161843375"/>
      <w:bookmarkStart w:id="395" w:name="_Toc161846090"/>
      <w:bookmarkStart w:id="396" w:name="_Toc161907071"/>
      <w:r>
        <w:rPr>
          <w:rStyle w:val="CharSDivNo"/>
          <w:rFonts w:eastAsia="MS Mincho"/>
        </w:rPr>
        <w:t>Part B</w:t>
      </w:r>
      <w:r>
        <w:rPr>
          <w:rFonts w:eastAsia="MS Mincho"/>
        </w:rPr>
        <w:t> — </w:t>
      </w:r>
      <w:r>
        <w:rPr>
          <w:rStyle w:val="CharSDivText"/>
          <w:rFonts w:eastAsia="MS Mincho"/>
        </w:rPr>
        <w:t>State Administrative Tribunal</w:t>
      </w:r>
      <w:bookmarkEnd w:id="394"/>
      <w:bookmarkEnd w:id="395"/>
      <w:bookmarkEnd w:id="396"/>
    </w:p>
    <w:p>
      <w:pPr>
        <w:pStyle w:val="yFootnoteheading"/>
      </w:pPr>
      <w:r>
        <w:tab/>
        <w:t>[Heading inserted: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lastRenderedPageBreak/>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No. 55 of 2004 s. 466.]</w:t>
      </w:r>
    </w:p>
    <w:p>
      <w:pPr>
        <w:pStyle w:val="yScheduleHeading"/>
        <w:rPr>
          <w:rFonts w:eastAsia="MS Mincho"/>
        </w:rPr>
      </w:pPr>
      <w:bookmarkStart w:id="397" w:name="_Toc161843376"/>
      <w:bookmarkStart w:id="398" w:name="_Toc161846091"/>
      <w:bookmarkStart w:id="399" w:name="_Toc161907072"/>
      <w:r>
        <w:rPr>
          <w:rStyle w:val="CharSchNo"/>
          <w:rFonts w:eastAsia="MS Mincho"/>
        </w:rPr>
        <w:lastRenderedPageBreak/>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397"/>
      <w:bookmarkEnd w:id="398"/>
      <w:bookmarkEnd w:id="399"/>
    </w:p>
    <w:p>
      <w:pPr>
        <w:pStyle w:val="yShoulderClause"/>
        <w:rPr>
          <w:rFonts w:eastAsia="MS Mincho"/>
        </w:rPr>
      </w:pPr>
      <w:r>
        <w:rPr>
          <w:rFonts w:eastAsia="MS Mincho"/>
        </w:rPr>
        <w:t>[s. 104]</w:t>
      </w:r>
    </w:p>
    <w:p>
      <w:pPr>
        <w:pStyle w:val="yFootnoteheading"/>
      </w:pPr>
      <w:r>
        <w:tab/>
        <w:t>[Heading inserted: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No. 70 of 2000 s. 20(1); No. 55 of 2004 s. 465.]</w:t>
      </w:r>
    </w:p>
    <w:p>
      <w:pPr>
        <w:pStyle w:val="MiscellaneousHeading"/>
        <w:pageBreakBefore/>
        <w:rPr>
          <w:snapToGrid w:val="0"/>
          <w:sz w:val="22"/>
        </w:rPr>
      </w:pPr>
      <w:r>
        <w:rPr>
          <w:snapToGrid w:val="0"/>
          <w:sz w:val="22"/>
        </w:rPr>
        <w:lastRenderedPageBreak/>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No. 70 of 2000 s. 20(2); No. 55 of 2004 s. 465.]</w:t>
      </w:r>
    </w:p>
    <w:p>
      <w:pPr>
        <w:pStyle w:val="yEdnoteschedule"/>
      </w:pPr>
      <w:r>
        <w:t>[Schedule 4 omitted under the Reprints Act 1984 s. 7(4)(e).]</w:t>
      </w:r>
    </w:p>
    <w:p>
      <w:pPr>
        <w:sectPr>
          <w:headerReference w:type="even" r:id="rId27"/>
          <w:headerReference w:type="default" r:id="rId28"/>
          <w:headerReference w:type="first" r:id="rId29"/>
          <w:pgSz w:w="11907" w:h="16840" w:code="9"/>
          <w:pgMar w:top="2376" w:right="2405" w:bottom="3542" w:left="2405" w:header="706" w:footer="3544" w:gutter="0"/>
          <w:cols w:space="720"/>
          <w:noEndnote/>
          <w:docGrid w:linePitch="326"/>
        </w:sectPr>
      </w:pPr>
    </w:p>
    <w:p>
      <w:pPr>
        <w:pStyle w:val="yScheduleHeading"/>
      </w:pPr>
      <w:bookmarkStart w:id="400" w:name="_Toc161843377"/>
      <w:bookmarkStart w:id="401" w:name="_Toc161846092"/>
      <w:bookmarkStart w:id="402" w:name="_Toc161907073"/>
      <w:r>
        <w:rPr>
          <w:rStyle w:val="CharSchNo"/>
        </w:rPr>
        <w:lastRenderedPageBreak/>
        <w:t>Schedule 5</w:t>
      </w:r>
      <w:r>
        <w:t> — </w:t>
      </w:r>
      <w:r>
        <w:rPr>
          <w:rStyle w:val="CharSchText"/>
        </w:rPr>
        <w:t>Transitional provisions</w:t>
      </w:r>
      <w:bookmarkEnd w:id="400"/>
      <w:bookmarkEnd w:id="401"/>
      <w:bookmarkEnd w:id="402"/>
    </w:p>
    <w:p>
      <w:pPr>
        <w:pStyle w:val="yShoulderClause"/>
      </w:pPr>
      <w:r>
        <w:t>[s. 124]</w:t>
      </w:r>
    </w:p>
    <w:p>
      <w:pPr>
        <w:pStyle w:val="yFootnoteheading"/>
      </w:pPr>
      <w:r>
        <w:tab/>
        <w:t>[Heading amended: No. 19 of 2010 s. 18(7).]</w:t>
      </w:r>
    </w:p>
    <w:p>
      <w:pPr>
        <w:pStyle w:val="yHeading3"/>
      </w:pPr>
      <w:bookmarkStart w:id="403" w:name="_Toc161843378"/>
      <w:bookmarkStart w:id="404" w:name="_Toc161846093"/>
      <w:bookmarkStart w:id="405" w:name="_Toc161907074"/>
      <w:r>
        <w:rPr>
          <w:rStyle w:val="CharSDivNo"/>
        </w:rPr>
        <w:t>Division 1</w:t>
      </w:r>
      <w:r>
        <w:t> — </w:t>
      </w:r>
      <w:r>
        <w:rPr>
          <w:rStyle w:val="CharSDivText"/>
        </w:rPr>
        <w:t xml:space="preserve">Transitional matters for </w:t>
      </w:r>
      <w:r>
        <w:rPr>
          <w:rStyle w:val="CharSDivText"/>
          <w:i/>
        </w:rPr>
        <w:t>Guardianship and Administration Act 1990</w:t>
      </w:r>
      <w:bookmarkEnd w:id="403"/>
      <w:bookmarkEnd w:id="404"/>
      <w:bookmarkEnd w:id="405"/>
    </w:p>
    <w:p>
      <w:pPr>
        <w:pStyle w:val="yFootnoteheading"/>
      </w:pPr>
      <w:r>
        <w:tab/>
        <w:t>[Heading inserted: No. 25 of 2014 s. 22.]</w:t>
      </w:r>
    </w:p>
    <w:p>
      <w:pPr>
        <w:pStyle w:val="yHeading5"/>
      </w:pPr>
      <w:bookmarkStart w:id="406" w:name="_Toc161907075"/>
      <w:r>
        <w:rPr>
          <w:rStyle w:val="CharSClsNo"/>
        </w:rPr>
        <w:t>1A</w:t>
      </w:r>
      <w:r>
        <w:t>.</w:t>
      </w:r>
      <w:r>
        <w:tab/>
        <w:t>Application of this Division</w:t>
      </w:r>
      <w:bookmarkEnd w:id="406"/>
    </w:p>
    <w:p>
      <w:pPr>
        <w:pStyle w:val="ySubsection"/>
      </w:pPr>
      <w:r>
        <w:tab/>
      </w:r>
      <w:r>
        <w:tab/>
        <w:t>This Division does not apply in relation to the estate of a person to whom Division 2 applies.</w:t>
      </w:r>
    </w:p>
    <w:p>
      <w:pPr>
        <w:pStyle w:val="yFootnotesection"/>
      </w:pPr>
      <w:r>
        <w:tab/>
        <w:t>[Clause 1A inserted: No. 25 of 2014 s. 23.]</w:t>
      </w:r>
    </w:p>
    <w:p>
      <w:pPr>
        <w:pStyle w:val="yHeading5"/>
      </w:pPr>
      <w:bookmarkStart w:id="407" w:name="_Toc161907076"/>
      <w:r>
        <w:rPr>
          <w:rStyle w:val="CharSClsNo"/>
        </w:rPr>
        <w:t>1</w:t>
      </w:r>
      <w:r>
        <w:t xml:space="preserve">. </w:t>
      </w:r>
      <w:r>
        <w:tab/>
        <w:t>Existing functions of Public Trustee to continue</w:t>
      </w:r>
      <w:bookmarkEnd w:id="407"/>
      <w: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keepNext/>
        <w:rPr>
          <w:snapToGrid w:val="0"/>
        </w:rPr>
      </w:pPr>
      <w:r>
        <w:rPr>
          <w:snapToGrid w:val="0"/>
        </w:rPr>
        <w:lastRenderedPageBreak/>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keepNext/>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w:t>
      </w:r>
      <w:r>
        <w:rPr>
          <w:snapToGrid w:val="0"/>
        </w:rPr>
        <w:lastRenderedPageBreak/>
        <w:t xml:space="preserve">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No. 69 of 1996 s. 37.]</w:t>
      </w:r>
    </w:p>
    <w:p>
      <w:pPr>
        <w:pStyle w:val="yHeading5"/>
      </w:pPr>
      <w:bookmarkStart w:id="408" w:name="_Toc161907077"/>
      <w:r>
        <w:rPr>
          <w:rStyle w:val="CharSClsNo"/>
        </w:rPr>
        <w:t>2</w:t>
      </w:r>
      <w:r>
        <w:t xml:space="preserve">. </w:t>
      </w:r>
      <w:r>
        <w:tab/>
        <w:t xml:space="preserve">Existing managers under </w:t>
      </w:r>
      <w:r>
        <w:rPr>
          <w:i/>
        </w:rPr>
        <w:t>Mental Health Act 1962</w:t>
      </w:r>
      <w:r>
        <w:t xml:space="preserve"> to continue</w:t>
      </w:r>
      <w:bookmarkEnd w:id="408"/>
      <w: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pPr>
      <w:bookmarkStart w:id="409" w:name="_Toc161907078"/>
      <w:r>
        <w:rPr>
          <w:rStyle w:val="CharSClsNo"/>
        </w:rPr>
        <w:t>3</w:t>
      </w:r>
      <w:r>
        <w:t xml:space="preserve">. </w:t>
      </w:r>
      <w:r>
        <w:tab/>
        <w:t>Application for administration order may be made</w:t>
      </w:r>
      <w:bookmarkEnd w:id="409"/>
      <w: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keepNext/>
        <w:keepLines/>
        <w:rPr>
          <w:snapToGrid w:val="0"/>
        </w:rPr>
      </w:pPr>
      <w:r>
        <w:rPr>
          <w:snapToGrid w:val="0"/>
        </w:rPr>
        <w:lastRenderedPageBreak/>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No. 55 of 2004 s. 466(1).]</w:t>
      </w:r>
    </w:p>
    <w:p>
      <w:pPr>
        <w:pStyle w:val="yHeading5"/>
      </w:pPr>
      <w:bookmarkStart w:id="410" w:name="_Toc161907079"/>
      <w:r>
        <w:rPr>
          <w:rStyle w:val="CharSClsNo"/>
        </w:rPr>
        <w:t>4</w:t>
      </w:r>
      <w:r>
        <w:t xml:space="preserve">. </w:t>
      </w:r>
      <w:r>
        <w:tab/>
        <w:t>References in other laws</w:t>
      </w:r>
      <w:bookmarkEnd w:id="410"/>
      <w: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pPr>
      <w:bookmarkStart w:id="411" w:name="_Toc161907080"/>
      <w:r>
        <w:rPr>
          <w:rStyle w:val="CharSClsNo"/>
        </w:rPr>
        <w:t>5</w:t>
      </w:r>
      <w:r>
        <w:t xml:space="preserve">. </w:t>
      </w:r>
      <w:r>
        <w:tab/>
        <w:t xml:space="preserve">Proceedings in progress under </w:t>
      </w:r>
      <w:r>
        <w:rPr>
          <w:i/>
        </w:rPr>
        <w:t>Mental Health Act 1962</w:t>
      </w:r>
      <w:r>
        <w:t xml:space="preserve"> Pt. VI</w:t>
      </w:r>
      <w:bookmarkEnd w:id="411"/>
      <w: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pPr>
      <w:bookmarkStart w:id="412" w:name="_Toc161907081"/>
      <w:r>
        <w:rPr>
          <w:rStyle w:val="CharSClsNo"/>
        </w:rPr>
        <w:lastRenderedPageBreak/>
        <w:t>6</w:t>
      </w:r>
      <w:r>
        <w:t>.</w:t>
      </w:r>
      <w:r>
        <w:tab/>
        <w:t>Final accounts where administration order made</w:t>
      </w:r>
      <w:bookmarkEnd w:id="412"/>
      <w:r>
        <w:t xml:space="preserve"> </w:t>
      </w:r>
    </w:p>
    <w:p>
      <w:pPr>
        <w:pStyle w:val="ySubsection"/>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pStyle w:val="yHeading3"/>
      </w:pPr>
      <w:bookmarkStart w:id="413" w:name="_Toc161843386"/>
      <w:bookmarkStart w:id="414" w:name="_Toc161846101"/>
      <w:bookmarkStart w:id="415" w:name="_Toc161907082"/>
      <w:r>
        <w:rPr>
          <w:rStyle w:val="CharSDivNo"/>
        </w:rPr>
        <w:t>Division 2</w:t>
      </w:r>
      <w:r>
        <w:t> — </w:t>
      </w:r>
      <w:r>
        <w:rPr>
          <w:rStyle w:val="CharSDivText"/>
        </w:rPr>
        <w:t xml:space="preserve">Transitional matters in connection with </w:t>
      </w:r>
      <w:r>
        <w:rPr>
          <w:rStyle w:val="CharSDivText"/>
          <w:i/>
        </w:rPr>
        <w:t>Mental Health Act 2014</w:t>
      </w:r>
      <w:bookmarkEnd w:id="413"/>
      <w:bookmarkEnd w:id="414"/>
      <w:bookmarkEnd w:id="415"/>
    </w:p>
    <w:p>
      <w:pPr>
        <w:pStyle w:val="Footnoteheading"/>
      </w:pPr>
      <w:r>
        <w:tab/>
        <w:t>[Heading inserted: No. 25 of 2014 s. 24.]</w:t>
      </w:r>
    </w:p>
    <w:p>
      <w:pPr>
        <w:pStyle w:val="yHeading5"/>
      </w:pPr>
      <w:bookmarkStart w:id="416" w:name="_Toc161907083"/>
      <w:r>
        <w:rPr>
          <w:rStyle w:val="CharSClsNo"/>
        </w:rPr>
        <w:t>7</w:t>
      </w:r>
      <w:r>
        <w:t>.</w:t>
      </w:r>
      <w:r>
        <w:tab/>
        <w:t>Estates being managed by Public Trustee under Division 1</w:t>
      </w:r>
      <w:bookmarkEnd w:id="416"/>
    </w:p>
    <w:p>
      <w:pPr>
        <w:pStyle w:val="ySubsection"/>
      </w:pPr>
      <w:r>
        <w:tab/>
        <w:t>(1)</w:t>
      </w:r>
      <w:r>
        <w:tab/>
        <w:t xml:space="preserve">Subclause (2) applies to a person whose estate was, immediately before the day on which the </w:t>
      </w:r>
      <w:r>
        <w:rPr>
          <w:i/>
        </w:rPr>
        <w:t>Mental Health Legislation Amendment Act 2014</w:t>
      </w:r>
      <w:r>
        <w:t xml:space="preserve"> section 24 commences (the </w:t>
      </w:r>
      <w:r>
        <w:rPr>
          <w:rStyle w:val="CharDefText"/>
        </w:rPr>
        <w:t>prescribed day</w:t>
      </w:r>
      <w:r>
        <w:t xml:space="preserve">) — </w:t>
      </w:r>
    </w:p>
    <w:p>
      <w:pPr>
        <w:pStyle w:val="yIndenta"/>
      </w:pPr>
      <w:r>
        <w:tab/>
        <w:t>(a)</w:t>
      </w:r>
      <w:r>
        <w:tab/>
        <w:t>under the care and management of the Public Trustee as provided by clause 1; or</w:t>
      </w:r>
    </w:p>
    <w:p>
      <w:pPr>
        <w:pStyle w:val="yIndenta"/>
      </w:pPr>
      <w:r>
        <w:tab/>
        <w:t>(b)</w:t>
      </w:r>
      <w:r>
        <w:tab/>
        <w:t>being managed by the Public Trustee as provided by clause 2 or because of clause 5.</w:t>
      </w:r>
    </w:p>
    <w:p>
      <w:pPr>
        <w:pStyle w:val="ySubsection"/>
      </w:pPr>
      <w:r>
        <w:tab/>
        <w:t>(2)</w:t>
      </w:r>
      <w:r>
        <w:tab/>
        <w:t>The person is taken to be under an administration order appointing the Public Trustee as the administrator of the person’s estate.</w:t>
      </w:r>
    </w:p>
    <w:p>
      <w:pPr>
        <w:pStyle w:val="ySubsection"/>
      </w:pPr>
      <w:r>
        <w:tab/>
        <w:t>(3)</w:t>
      </w:r>
      <w:r>
        <w:tab/>
        <w:t xml:space="preserve">Despite any other provision of this Act or any provision of the </w:t>
      </w:r>
      <w:r>
        <w:rPr>
          <w:i/>
        </w:rPr>
        <w:t>Public Trustee Act 1941</w:t>
      </w:r>
      <w:r>
        <w:t>, the Public Trustee has the same functions, duties and powers in relation to the person’s estate that the Public Trustee had immediately before the prescribed day.</w:t>
      </w:r>
    </w:p>
    <w:p>
      <w:pPr>
        <w:pStyle w:val="ySubsection"/>
      </w:pPr>
      <w:r>
        <w:tab/>
        <w:t>(4)</w:t>
      </w:r>
      <w:r>
        <w:tab/>
        <w:t>An administration order referred to in subclause (2) must be reviewed under section 84 on or within 3 years after the prescribed day.</w:t>
      </w:r>
    </w:p>
    <w:p>
      <w:pPr>
        <w:pStyle w:val="ySubsection"/>
      </w:pPr>
      <w:r>
        <w:tab/>
        <w:t>(5)</w:t>
      </w:r>
      <w:r>
        <w:tab/>
        <w:t>The Public Trustee must, on or as soon as practicable after the prescribed day, give to the Public Advocate and the State Administrative Tribunal a list of the persons to whom subclause (2) applies.</w:t>
      </w:r>
    </w:p>
    <w:p>
      <w:pPr>
        <w:pStyle w:val="yFootnotesection"/>
      </w:pPr>
      <w:r>
        <w:tab/>
        <w:t>[Clause 7 inserted: No. 25 of 2014 s. 24.]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31"/>
          <w:headerReference w:type="default" r:id="rId32"/>
          <w:pgSz w:w="11907" w:h="16840" w:code="9"/>
          <w:pgMar w:top="2381" w:right="2410" w:bottom="3544" w:left="2410" w:header="720" w:footer="3544" w:gutter="0"/>
          <w:cols w:space="720"/>
        </w:sectPr>
      </w:pPr>
    </w:p>
    <w:p>
      <w:pPr>
        <w:pStyle w:val="nHeading2"/>
      </w:pPr>
      <w:bookmarkStart w:id="417" w:name="_Toc161843388"/>
      <w:bookmarkStart w:id="418" w:name="_Toc161846103"/>
      <w:bookmarkStart w:id="419" w:name="_Toc161907084"/>
      <w:r>
        <w:lastRenderedPageBreak/>
        <w:t>Notes</w:t>
      </w:r>
      <w:bookmarkEnd w:id="417"/>
      <w:bookmarkEnd w:id="418"/>
      <w:bookmarkEnd w:id="419"/>
    </w:p>
    <w:p>
      <w:pPr>
        <w:pStyle w:val="nStatement"/>
      </w:pPr>
      <w:r>
        <w:t xml:space="preserve">This is a compilation of the </w:t>
      </w:r>
      <w:r>
        <w:rPr>
          <w:i/>
          <w:noProof/>
        </w:rPr>
        <w:t>Guardianship and Administration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20" w:name="_Toc161907085"/>
      <w:r>
        <w:t>Compilation table</w:t>
      </w:r>
      <w:bookmarkEnd w:id="420"/>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rPr>
            </w:pPr>
            <w:r>
              <w:rPr>
                <w:b/>
              </w:rPr>
              <w:t>Short title</w:t>
            </w:r>
          </w:p>
        </w:tc>
        <w:tc>
          <w:tcPr>
            <w:tcW w:w="1131" w:type="dxa"/>
            <w:tcBorders>
              <w:top w:val="single" w:sz="8" w:space="0" w:color="auto"/>
              <w:bottom w:val="single" w:sz="8" w:space="0" w:color="auto"/>
            </w:tcBorders>
          </w:tcPr>
          <w:p>
            <w:pPr>
              <w:pStyle w:val="nTable"/>
              <w:spacing w:after="40"/>
              <w:rPr>
                <w:b/>
              </w:rPr>
            </w:pPr>
            <w:r>
              <w:rPr>
                <w:b/>
              </w:rPr>
              <w:t>Number and year</w:t>
            </w:r>
          </w:p>
        </w:tc>
        <w:tc>
          <w:tcPr>
            <w:tcW w:w="1130"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59" w:type="dxa"/>
          </w:tcPr>
          <w:p>
            <w:pPr>
              <w:pStyle w:val="nTable"/>
              <w:spacing w:after="40"/>
            </w:pPr>
            <w:r>
              <w:rPr>
                <w:i/>
              </w:rPr>
              <w:t>Guardianship and Administration Act 1990</w:t>
            </w:r>
          </w:p>
        </w:tc>
        <w:tc>
          <w:tcPr>
            <w:tcW w:w="1131" w:type="dxa"/>
          </w:tcPr>
          <w:p>
            <w:pPr>
              <w:pStyle w:val="nTable"/>
              <w:spacing w:after="40"/>
            </w:pPr>
            <w:r>
              <w:t>24 of 1990</w:t>
            </w:r>
          </w:p>
        </w:tc>
        <w:tc>
          <w:tcPr>
            <w:tcW w:w="1130" w:type="dxa"/>
          </w:tcPr>
          <w:p>
            <w:pPr>
              <w:pStyle w:val="nTable"/>
              <w:spacing w:after="40"/>
            </w:pPr>
            <w:r>
              <w:t>7 Sep 1990</w:t>
            </w:r>
          </w:p>
        </w:tc>
        <w:tc>
          <w:tcPr>
            <w:tcW w:w="2570" w:type="dxa"/>
            <w:gridSpan w:val="2"/>
          </w:tcPr>
          <w:p>
            <w:pPr>
              <w:pStyle w:val="nTable"/>
              <w:spacing w:after="40"/>
            </w:pPr>
            <w:r>
              <w:rPr>
                <w:color w:val="000000"/>
              </w:rPr>
              <w:t>s. 1 and 2: 7 Sep 1990;</w:t>
            </w:r>
            <w:r>
              <w:rPr>
                <w:color w:val="000000"/>
              </w:rPr>
              <w:br/>
            </w:r>
            <w:r>
              <w:t>Act other than s. 1 and 2, Pt. 4</w:t>
            </w:r>
            <w:r>
              <w:noBreakHyphen/>
              <w:t xml:space="preserve">7, s. 123, 124 and Sch. 2, 4 and 5: 1 Jul 1992 (see s. 2 and </w:t>
            </w:r>
            <w:r>
              <w:rPr>
                <w:i/>
              </w:rPr>
              <w:t>Gazette</w:t>
            </w:r>
            <w:r>
              <w:t xml:space="preserve"> 26 Jun 1992 p. 2649); </w:t>
            </w:r>
            <w:r>
              <w:br/>
              <w:t>Pt. 4</w:t>
            </w:r>
            <w:r>
              <w:noBreakHyphen/>
              <w:t xml:space="preserve">7, s. 123, 124 and Sch. 2, 4 and 5: 20 Oct 1992 (see s. 2 and </w:t>
            </w:r>
            <w:r>
              <w:rPr>
                <w:i/>
              </w:rPr>
              <w:t>Gazette</w:t>
            </w:r>
            <w:r>
              <w:t xml:space="preserve"> 2 Oct 1992 p. 4811)</w:t>
            </w:r>
          </w:p>
        </w:tc>
      </w:tr>
      <w:tr>
        <w:trPr>
          <w:cantSplit/>
        </w:trPr>
        <w:tc>
          <w:tcPr>
            <w:tcW w:w="2259" w:type="dxa"/>
          </w:tcPr>
          <w:p>
            <w:pPr>
              <w:pStyle w:val="nTable"/>
              <w:spacing w:after="40"/>
            </w:pPr>
            <w:r>
              <w:rPr>
                <w:i/>
              </w:rPr>
              <w:t>Guardianship and Administration Amendment Act 1992</w:t>
            </w:r>
          </w:p>
        </w:tc>
        <w:tc>
          <w:tcPr>
            <w:tcW w:w="1131" w:type="dxa"/>
          </w:tcPr>
          <w:p>
            <w:pPr>
              <w:pStyle w:val="nTable"/>
              <w:spacing w:after="40"/>
            </w:pPr>
            <w:r>
              <w:t>16 of 1992</w:t>
            </w:r>
          </w:p>
        </w:tc>
        <w:tc>
          <w:tcPr>
            <w:tcW w:w="1130" w:type="dxa"/>
          </w:tcPr>
          <w:p>
            <w:pPr>
              <w:pStyle w:val="nTable"/>
              <w:spacing w:after="40"/>
            </w:pPr>
            <w:r>
              <w:t>17 Jun 1992</w:t>
            </w:r>
          </w:p>
        </w:tc>
        <w:tc>
          <w:tcPr>
            <w:tcW w:w="2570" w:type="dxa"/>
            <w:gridSpan w:val="2"/>
          </w:tcPr>
          <w:p>
            <w:pPr>
              <w:pStyle w:val="nTable"/>
              <w:spacing w:after="40"/>
            </w:pPr>
            <w:r>
              <w:t>17 Jun 1992 (see s. 2)</w:t>
            </w:r>
          </w:p>
        </w:tc>
      </w:tr>
      <w:tr>
        <w:trPr>
          <w:cantSplit/>
        </w:trPr>
        <w:tc>
          <w:tcPr>
            <w:tcW w:w="2259" w:type="dxa"/>
          </w:tcPr>
          <w:p>
            <w:pPr>
              <w:pStyle w:val="nTable"/>
              <w:spacing w:after="40"/>
            </w:pPr>
            <w:r>
              <w:rPr>
                <w:i/>
              </w:rPr>
              <w:t>Acts Amendment (Public Sector Management) Act 1994</w:t>
            </w:r>
            <w:r>
              <w:t xml:space="preserve"> s. 3(2)</w:t>
            </w:r>
          </w:p>
        </w:tc>
        <w:tc>
          <w:tcPr>
            <w:tcW w:w="1131" w:type="dxa"/>
          </w:tcPr>
          <w:p>
            <w:pPr>
              <w:pStyle w:val="nTable"/>
              <w:spacing w:after="40"/>
            </w:pPr>
            <w:r>
              <w:t>32 of 1994</w:t>
            </w:r>
          </w:p>
        </w:tc>
        <w:tc>
          <w:tcPr>
            <w:tcW w:w="1130" w:type="dxa"/>
          </w:tcPr>
          <w:p>
            <w:pPr>
              <w:pStyle w:val="nTable"/>
              <w:spacing w:after="40"/>
            </w:pPr>
            <w:r>
              <w:t>29 Jun 1994</w:t>
            </w:r>
          </w:p>
        </w:tc>
        <w:tc>
          <w:tcPr>
            <w:tcW w:w="2570" w:type="dxa"/>
            <w:gridSpan w:val="2"/>
          </w:tcPr>
          <w:p>
            <w:pPr>
              <w:pStyle w:val="nTable"/>
              <w:spacing w:after="40"/>
            </w:pPr>
            <w:r>
              <w:t xml:space="preserve">1 Oct 1994 (see s. 2 and </w:t>
            </w:r>
            <w:r>
              <w:rPr>
                <w:i/>
              </w:rPr>
              <w:t>Gazette</w:t>
            </w:r>
            <w:r>
              <w:t xml:space="preserve"> 30 Sep 1994 p. 4948)</w:t>
            </w:r>
          </w:p>
        </w:tc>
      </w:tr>
      <w:tr>
        <w:trPr>
          <w:cantSplit/>
        </w:trPr>
        <w:tc>
          <w:tcPr>
            <w:tcW w:w="2259" w:type="dxa"/>
          </w:tcPr>
          <w:p>
            <w:pPr>
              <w:pStyle w:val="nTable"/>
              <w:spacing w:after="40"/>
            </w:pPr>
            <w:r>
              <w:rPr>
                <w:i/>
              </w:rPr>
              <w:t>Guardianship and Administration Amendment Act 1996</w:t>
            </w:r>
          </w:p>
        </w:tc>
        <w:tc>
          <w:tcPr>
            <w:tcW w:w="1131" w:type="dxa"/>
          </w:tcPr>
          <w:p>
            <w:pPr>
              <w:pStyle w:val="nTable"/>
              <w:spacing w:after="40"/>
            </w:pPr>
            <w:r>
              <w:t>7 of 1996</w:t>
            </w:r>
          </w:p>
        </w:tc>
        <w:tc>
          <w:tcPr>
            <w:tcW w:w="1130" w:type="dxa"/>
          </w:tcPr>
          <w:p>
            <w:pPr>
              <w:pStyle w:val="nTable"/>
              <w:spacing w:after="40"/>
            </w:pPr>
            <w:r>
              <w:t>24 May 1996</w:t>
            </w:r>
          </w:p>
        </w:tc>
        <w:tc>
          <w:tcPr>
            <w:tcW w:w="2570" w:type="dxa"/>
            <w:gridSpan w:val="2"/>
          </w:tcPr>
          <w:p>
            <w:pPr>
              <w:pStyle w:val="nTable"/>
              <w:spacing w:after="40"/>
            </w:pPr>
            <w:r>
              <w:rPr>
                <w:color w:val="000000"/>
              </w:rPr>
              <w:t>s. 1 and 2: 24 May 1996;</w:t>
            </w:r>
            <w:r>
              <w:rPr>
                <w:color w:val="000000"/>
              </w:rPr>
              <w:br/>
              <w:t xml:space="preserve">Act other than s. 1 and 2: </w:t>
            </w:r>
            <w:r>
              <w:t xml:space="preserve">1 Jul 1996 (see s. 2 and </w:t>
            </w:r>
            <w:r>
              <w:rPr>
                <w:i/>
              </w:rPr>
              <w:t>Gazette</w:t>
            </w:r>
            <w:r>
              <w:t xml:space="preserve"> 28 Jun 1996 p. 3014)</w:t>
            </w:r>
          </w:p>
        </w:tc>
      </w:tr>
      <w:tr>
        <w:trPr>
          <w:cantSplit/>
        </w:trPr>
        <w:tc>
          <w:tcPr>
            <w:tcW w:w="2259" w:type="dxa"/>
          </w:tcPr>
          <w:p>
            <w:pPr>
              <w:pStyle w:val="nTable"/>
              <w:spacing w:after="40"/>
            </w:pPr>
            <w:r>
              <w:rPr>
                <w:i/>
              </w:rPr>
              <w:t>Mental Health (Consequential Provisions) Act 1996</w:t>
            </w:r>
            <w:r>
              <w:t xml:space="preserve"> Pt. 8</w:t>
            </w:r>
          </w:p>
        </w:tc>
        <w:tc>
          <w:tcPr>
            <w:tcW w:w="1131" w:type="dxa"/>
          </w:tcPr>
          <w:p>
            <w:pPr>
              <w:pStyle w:val="nTable"/>
              <w:spacing w:after="40"/>
            </w:pPr>
            <w:r>
              <w:t>69 of 1996</w:t>
            </w:r>
          </w:p>
        </w:tc>
        <w:tc>
          <w:tcPr>
            <w:tcW w:w="1130" w:type="dxa"/>
          </w:tcPr>
          <w:p>
            <w:pPr>
              <w:pStyle w:val="nTable"/>
              <w:spacing w:after="40"/>
            </w:pPr>
            <w:r>
              <w:t>13 Nov 1996</w:t>
            </w:r>
          </w:p>
        </w:tc>
        <w:tc>
          <w:tcPr>
            <w:tcW w:w="2570" w:type="dxa"/>
            <w:gridSpan w:val="2"/>
          </w:tcPr>
          <w:p>
            <w:pPr>
              <w:pStyle w:val="nTable"/>
              <w:spacing w:after="40"/>
            </w:pPr>
            <w:r>
              <w:t>13 Nov 1997 (see s. 2)</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21 Apr 1997 </w:t>
            </w:r>
            <w:r>
              <w:br/>
              <w:t xml:space="preserve">(includes amendments listed above except those in the </w:t>
            </w:r>
            <w:r>
              <w:rPr>
                <w:i/>
              </w:rPr>
              <w:t>Mental Health (Consequential Provisions) Act 1996</w:t>
            </w:r>
            <w:r>
              <w:t>)</w:t>
            </w:r>
          </w:p>
        </w:tc>
      </w:tr>
      <w:tr>
        <w:trPr>
          <w:cantSplit/>
        </w:trPr>
        <w:tc>
          <w:tcPr>
            <w:tcW w:w="2259" w:type="dxa"/>
          </w:tcPr>
          <w:p>
            <w:pPr>
              <w:pStyle w:val="nTable"/>
              <w:spacing w:after="40"/>
            </w:pPr>
            <w:r>
              <w:rPr>
                <w:i/>
              </w:rPr>
              <w:t>Acts Amendment and Repeal (Family Court) Act 1997</w:t>
            </w:r>
            <w:r>
              <w:t xml:space="preserve"> s. 32</w:t>
            </w:r>
          </w:p>
        </w:tc>
        <w:tc>
          <w:tcPr>
            <w:tcW w:w="1131" w:type="dxa"/>
          </w:tcPr>
          <w:p>
            <w:pPr>
              <w:pStyle w:val="nTable"/>
              <w:spacing w:after="40"/>
            </w:pPr>
            <w:r>
              <w:t>41 of 1997</w:t>
            </w:r>
          </w:p>
        </w:tc>
        <w:tc>
          <w:tcPr>
            <w:tcW w:w="1130" w:type="dxa"/>
          </w:tcPr>
          <w:p>
            <w:pPr>
              <w:pStyle w:val="nTable"/>
              <w:spacing w:after="40"/>
            </w:pPr>
            <w:r>
              <w:t>9 Dec 1997</w:t>
            </w:r>
          </w:p>
        </w:tc>
        <w:tc>
          <w:tcPr>
            <w:tcW w:w="2570" w:type="dxa"/>
            <w:gridSpan w:val="2"/>
          </w:tcPr>
          <w:p>
            <w:pPr>
              <w:pStyle w:val="nTable"/>
              <w:spacing w:after="40"/>
            </w:pPr>
            <w:r>
              <w:t xml:space="preserve">26 Sep 1998 (see s. 2 and </w:t>
            </w:r>
            <w:r>
              <w:rPr>
                <w:i/>
              </w:rPr>
              <w:t>Gazette</w:t>
            </w:r>
            <w:r>
              <w:t xml:space="preserve"> 25 Sep 1998 p. 5295)</w:t>
            </w:r>
          </w:p>
        </w:tc>
      </w:tr>
      <w:tr>
        <w:trPr>
          <w:cantSplit/>
        </w:trPr>
        <w:tc>
          <w:tcPr>
            <w:tcW w:w="2259" w:type="dxa"/>
          </w:tcPr>
          <w:p>
            <w:pPr>
              <w:pStyle w:val="nTable"/>
              <w:spacing w:after="40"/>
            </w:pPr>
            <w:r>
              <w:rPr>
                <w:i/>
              </w:rPr>
              <w:t>Statutes (Repeals and Minor Amendments) Act 1997</w:t>
            </w:r>
            <w:r>
              <w:t xml:space="preserve"> s. 67</w:t>
            </w:r>
          </w:p>
        </w:tc>
        <w:tc>
          <w:tcPr>
            <w:tcW w:w="1131" w:type="dxa"/>
          </w:tcPr>
          <w:p>
            <w:pPr>
              <w:pStyle w:val="nTable"/>
              <w:spacing w:after="40"/>
            </w:pPr>
            <w:r>
              <w:t>57 of 1997</w:t>
            </w:r>
          </w:p>
        </w:tc>
        <w:tc>
          <w:tcPr>
            <w:tcW w:w="1130" w:type="dxa"/>
          </w:tcPr>
          <w:p>
            <w:pPr>
              <w:pStyle w:val="nTable"/>
              <w:spacing w:after="40"/>
            </w:pPr>
            <w:r>
              <w:t>15 Dec 1997</w:t>
            </w:r>
          </w:p>
        </w:tc>
        <w:tc>
          <w:tcPr>
            <w:tcW w:w="2570" w:type="dxa"/>
            <w:gridSpan w:val="2"/>
          </w:tcPr>
          <w:p>
            <w:pPr>
              <w:pStyle w:val="nTable"/>
              <w:spacing w:after="40"/>
            </w:pPr>
            <w:r>
              <w:t>15 Dec 1997 (see s. 2(1))</w:t>
            </w:r>
          </w:p>
        </w:tc>
      </w:tr>
      <w:tr>
        <w:trPr>
          <w:cantSplit/>
        </w:trPr>
        <w:tc>
          <w:tcPr>
            <w:tcW w:w="2259" w:type="dxa"/>
          </w:tcPr>
          <w:p>
            <w:pPr>
              <w:pStyle w:val="nTable"/>
              <w:spacing w:after="40"/>
            </w:pPr>
            <w:r>
              <w:rPr>
                <w:i/>
              </w:rPr>
              <w:lastRenderedPageBreak/>
              <w:t>Guardianship and Administration Amendment Act 1998</w:t>
            </w:r>
          </w:p>
        </w:tc>
        <w:tc>
          <w:tcPr>
            <w:tcW w:w="1131" w:type="dxa"/>
          </w:tcPr>
          <w:p>
            <w:pPr>
              <w:pStyle w:val="nTable"/>
              <w:spacing w:after="40"/>
            </w:pPr>
            <w:r>
              <w:t>8 of 1998</w:t>
            </w:r>
          </w:p>
        </w:tc>
        <w:tc>
          <w:tcPr>
            <w:tcW w:w="1130" w:type="dxa"/>
          </w:tcPr>
          <w:p>
            <w:pPr>
              <w:pStyle w:val="nTable"/>
              <w:spacing w:after="40"/>
            </w:pPr>
            <w:r>
              <w:t>30 Apr 1998</w:t>
            </w:r>
          </w:p>
        </w:tc>
        <w:tc>
          <w:tcPr>
            <w:tcW w:w="2570" w:type="dxa"/>
            <w:gridSpan w:val="2"/>
          </w:tcPr>
          <w:p>
            <w:pPr>
              <w:pStyle w:val="nTable"/>
              <w:spacing w:after="40"/>
            </w:pPr>
            <w:r>
              <w:t>30 Apr 1998 (see s. 2)</w:t>
            </w:r>
          </w:p>
        </w:tc>
      </w:tr>
      <w:tr>
        <w:trPr>
          <w:cantSplit/>
        </w:trPr>
        <w:tc>
          <w:tcPr>
            <w:tcW w:w="2259" w:type="dxa"/>
          </w:tcPr>
          <w:p>
            <w:pPr>
              <w:pStyle w:val="nTable"/>
              <w:spacing w:after="40"/>
            </w:pPr>
            <w:r>
              <w:rPr>
                <w:i/>
              </w:rPr>
              <w:t>Guardianship and Administration Amendment Act 2000</w:t>
            </w:r>
            <w:r>
              <w:rPr>
                <w:vertAlign w:val="superscript"/>
              </w:rPr>
              <w:t> 8</w:t>
            </w:r>
          </w:p>
        </w:tc>
        <w:tc>
          <w:tcPr>
            <w:tcW w:w="1131" w:type="dxa"/>
          </w:tcPr>
          <w:p>
            <w:pPr>
              <w:pStyle w:val="nTable"/>
              <w:spacing w:after="40"/>
            </w:pPr>
            <w:r>
              <w:t>70 of 2000</w:t>
            </w:r>
          </w:p>
        </w:tc>
        <w:tc>
          <w:tcPr>
            <w:tcW w:w="1130" w:type="dxa"/>
          </w:tcPr>
          <w:p>
            <w:pPr>
              <w:pStyle w:val="nTable"/>
              <w:spacing w:after="40"/>
            </w:pPr>
            <w:r>
              <w:t>4 Dec 2000</w:t>
            </w:r>
          </w:p>
        </w:tc>
        <w:tc>
          <w:tcPr>
            <w:tcW w:w="2570" w:type="dxa"/>
            <w:gridSpan w:val="2"/>
          </w:tcPr>
          <w:p>
            <w:pPr>
              <w:pStyle w:val="nTable"/>
              <w:spacing w:after="40"/>
            </w:pPr>
            <w:r>
              <w:t>4 Dec 2000 (see s. 2)</w:t>
            </w:r>
          </w:p>
        </w:tc>
      </w:tr>
      <w:tr>
        <w:trPr>
          <w:cantSplit/>
        </w:trPr>
        <w:tc>
          <w:tcPr>
            <w:tcW w:w="2259" w:type="dxa"/>
          </w:tcPr>
          <w:p>
            <w:pPr>
              <w:pStyle w:val="nTable"/>
              <w:spacing w:after="40"/>
              <w:rPr>
                <w:i/>
              </w:rPr>
            </w:pPr>
            <w:r>
              <w:rPr>
                <w:i/>
              </w:rPr>
              <w:t xml:space="preserve">Acts Amendment (Lesbian and Gay Law Reform) Act 2002 </w:t>
            </w:r>
            <w:r>
              <w:t>Pt. 10</w:t>
            </w:r>
          </w:p>
        </w:tc>
        <w:tc>
          <w:tcPr>
            <w:tcW w:w="1131" w:type="dxa"/>
          </w:tcPr>
          <w:p>
            <w:pPr>
              <w:pStyle w:val="nTable"/>
              <w:spacing w:after="40"/>
            </w:pPr>
            <w:r>
              <w:t>3 of 2002</w:t>
            </w:r>
          </w:p>
        </w:tc>
        <w:tc>
          <w:tcPr>
            <w:tcW w:w="1130" w:type="dxa"/>
          </w:tcPr>
          <w:p>
            <w:pPr>
              <w:pStyle w:val="nTable"/>
              <w:spacing w:after="40"/>
            </w:pPr>
            <w:r>
              <w:t>17 Apr 2002</w:t>
            </w:r>
          </w:p>
        </w:tc>
        <w:tc>
          <w:tcPr>
            <w:tcW w:w="2570" w:type="dxa"/>
            <w:gridSpan w:val="2"/>
          </w:tcPr>
          <w:p>
            <w:pPr>
              <w:pStyle w:val="nTable"/>
              <w:spacing w:after="40"/>
            </w:pPr>
            <w:r>
              <w:t xml:space="preserve">21 Sep 2002 (see s. 2 and </w:t>
            </w:r>
            <w:r>
              <w:rPr>
                <w:i/>
              </w:rPr>
              <w:t>Gazette</w:t>
            </w:r>
            <w:r>
              <w:t xml:space="preserve"> 20 Sep 2002 p. 4693)</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22 Nov 2002 </w:t>
            </w:r>
            <w:r>
              <w:br/>
              <w:t>(includes amendments listed above)</w:t>
            </w:r>
          </w:p>
        </w:tc>
      </w:tr>
      <w:tr>
        <w:trPr>
          <w:cantSplit/>
        </w:trPr>
        <w:tc>
          <w:tcPr>
            <w:tcW w:w="2259" w:type="dxa"/>
          </w:tcPr>
          <w:p>
            <w:pPr>
              <w:pStyle w:val="nTable"/>
              <w:spacing w:after="40"/>
              <w:rPr>
                <w:i/>
              </w:rPr>
            </w:pPr>
            <w:r>
              <w:rPr>
                <w:i/>
              </w:rPr>
              <w:t xml:space="preserve">Sentencing Legislation Amendment and Repeal Act 2003 </w:t>
            </w:r>
            <w:r>
              <w:t>s. 70</w:t>
            </w:r>
          </w:p>
        </w:tc>
        <w:tc>
          <w:tcPr>
            <w:tcW w:w="1131" w:type="dxa"/>
          </w:tcPr>
          <w:p>
            <w:pPr>
              <w:pStyle w:val="nTable"/>
              <w:spacing w:after="40"/>
            </w:pPr>
            <w:r>
              <w:t>50 of 2003</w:t>
            </w:r>
          </w:p>
        </w:tc>
        <w:tc>
          <w:tcPr>
            <w:tcW w:w="1130" w:type="dxa"/>
          </w:tcPr>
          <w:p>
            <w:pPr>
              <w:pStyle w:val="nTable"/>
              <w:spacing w:after="40"/>
            </w:pPr>
            <w:r>
              <w:t>9 Jul 2003</w:t>
            </w:r>
          </w:p>
        </w:tc>
        <w:tc>
          <w:tcPr>
            <w:tcW w:w="2570"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2259" w:type="dxa"/>
          </w:tcPr>
          <w:p>
            <w:pPr>
              <w:pStyle w:val="nTable"/>
              <w:spacing w:after="40"/>
            </w:pPr>
            <w:r>
              <w:rPr>
                <w:i/>
              </w:rPr>
              <w:t>Acts Amendment and Repeal (Courts and Legal Practice) Act 2003</w:t>
            </w:r>
            <w:r>
              <w:t xml:space="preserve"> s. 40</w:t>
            </w:r>
          </w:p>
        </w:tc>
        <w:tc>
          <w:tcPr>
            <w:tcW w:w="1131" w:type="dxa"/>
          </w:tcPr>
          <w:p>
            <w:pPr>
              <w:pStyle w:val="nTable"/>
              <w:spacing w:after="40"/>
            </w:pPr>
            <w:r>
              <w:t>65 of 2003</w:t>
            </w:r>
          </w:p>
        </w:tc>
        <w:tc>
          <w:tcPr>
            <w:tcW w:w="1130" w:type="dxa"/>
          </w:tcPr>
          <w:p>
            <w:pPr>
              <w:pStyle w:val="nTable"/>
              <w:spacing w:after="40"/>
            </w:pPr>
            <w:r>
              <w:t>4 Dec 2003</w:t>
            </w:r>
          </w:p>
        </w:tc>
        <w:tc>
          <w:tcPr>
            <w:tcW w:w="2570" w:type="dxa"/>
            <w:gridSpan w:val="2"/>
          </w:tcPr>
          <w:p>
            <w:pPr>
              <w:pStyle w:val="nTable"/>
              <w:spacing w:after="40"/>
            </w:pPr>
            <w:r>
              <w:t xml:space="preserve">1 Jan 2004 (see s. 2 and </w:t>
            </w:r>
            <w:r>
              <w:rPr>
                <w:i/>
              </w:rPr>
              <w:t>Gazette</w:t>
            </w:r>
            <w:r>
              <w:t xml:space="preserve"> 30 Dec 2003 p. 5722)</w:t>
            </w:r>
          </w:p>
        </w:tc>
      </w:tr>
      <w:tr>
        <w:trPr>
          <w:cantSplit/>
        </w:trPr>
        <w:tc>
          <w:tcPr>
            <w:tcW w:w="2259" w:type="dxa"/>
          </w:tcPr>
          <w:p>
            <w:pPr>
              <w:pStyle w:val="nTable"/>
              <w:spacing w:after="40"/>
              <w:rPr>
                <w:i/>
              </w:rPr>
            </w:pPr>
            <w:r>
              <w:rPr>
                <w:i/>
              </w:rPr>
              <w:t xml:space="preserve">Criminal Code Amendment Act 2004 </w:t>
            </w:r>
            <w:r>
              <w:t>s. 58</w:t>
            </w:r>
          </w:p>
        </w:tc>
        <w:tc>
          <w:tcPr>
            <w:tcW w:w="1131" w:type="dxa"/>
          </w:tcPr>
          <w:p>
            <w:pPr>
              <w:pStyle w:val="nTable"/>
              <w:spacing w:after="40"/>
            </w:pPr>
            <w:r>
              <w:t>4 of 2004</w:t>
            </w:r>
          </w:p>
        </w:tc>
        <w:tc>
          <w:tcPr>
            <w:tcW w:w="1130" w:type="dxa"/>
          </w:tcPr>
          <w:p>
            <w:pPr>
              <w:pStyle w:val="nTable"/>
              <w:spacing w:after="40"/>
            </w:pPr>
            <w:r>
              <w:t>23 Apr 2004</w:t>
            </w:r>
          </w:p>
        </w:tc>
        <w:tc>
          <w:tcPr>
            <w:tcW w:w="2570" w:type="dxa"/>
            <w:gridSpan w:val="2"/>
          </w:tcPr>
          <w:p>
            <w:pPr>
              <w:pStyle w:val="nTable"/>
              <w:spacing w:after="40"/>
            </w:pPr>
            <w:r>
              <w:t>21 May 2004 (see s. 2)</w:t>
            </w:r>
          </w:p>
        </w:tc>
      </w:tr>
      <w:tr>
        <w:trPr>
          <w:cantSplit/>
        </w:trPr>
        <w:tc>
          <w:tcPr>
            <w:tcW w:w="2259" w:type="dxa"/>
          </w:tcPr>
          <w:p>
            <w:pPr>
              <w:pStyle w:val="nTable"/>
              <w:spacing w:after="40"/>
              <w:rPr>
                <w:i/>
              </w:rPr>
            </w:pPr>
            <w:r>
              <w:rPr>
                <w:i/>
                <w:snapToGrid w:val="0"/>
              </w:rPr>
              <w:t>Children and Community Services Act 2004</w:t>
            </w:r>
            <w:r>
              <w:rPr>
                <w:snapToGrid w:val="0"/>
              </w:rPr>
              <w:t xml:space="preserve"> Sch. </w:t>
            </w:r>
            <w:r>
              <w:t>2 cl. 11</w:t>
            </w:r>
          </w:p>
        </w:tc>
        <w:tc>
          <w:tcPr>
            <w:tcW w:w="1131" w:type="dxa"/>
          </w:tcPr>
          <w:p>
            <w:pPr>
              <w:pStyle w:val="nTable"/>
              <w:spacing w:after="40"/>
            </w:pPr>
            <w:r>
              <w:rPr>
                <w:snapToGrid w:val="0"/>
              </w:rPr>
              <w:t>34 of 2004</w:t>
            </w:r>
          </w:p>
        </w:tc>
        <w:tc>
          <w:tcPr>
            <w:tcW w:w="1130" w:type="dxa"/>
          </w:tcPr>
          <w:p>
            <w:pPr>
              <w:pStyle w:val="nTable"/>
              <w:spacing w:after="40"/>
            </w:pPr>
            <w:r>
              <w:t>20 Oct 2004</w:t>
            </w:r>
          </w:p>
        </w:tc>
        <w:tc>
          <w:tcPr>
            <w:tcW w:w="2570" w:type="dxa"/>
            <w:gridSpan w:val="2"/>
          </w:tcPr>
          <w:p>
            <w:pPr>
              <w:pStyle w:val="nTable"/>
              <w:spacing w:after="40"/>
            </w:pPr>
            <w:r>
              <w:t xml:space="preserve">1 Mar 2006 (see s. 2 and </w:t>
            </w:r>
            <w:r>
              <w:rPr>
                <w:i/>
              </w:rPr>
              <w:t>Gazette</w:t>
            </w:r>
            <w:r>
              <w:t xml:space="preserve"> 14 Feb 2006 p. 695)</w:t>
            </w:r>
          </w:p>
        </w:tc>
      </w:tr>
      <w:tr>
        <w:trPr>
          <w:cantSplit/>
        </w:trPr>
        <w:tc>
          <w:tcPr>
            <w:tcW w:w="2259" w:type="dxa"/>
          </w:tcPr>
          <w:p>
            <w:pPr>
              <w:pStyle w:val="nTable"/>
              <w:spacing w:after="40"/>
              <w:rPr>
                <w:i/>
              </w:rPr>
            </w:pPr>
            <w:r>
              <w:rPr>
                <w:i/>
                <w:snapToGrid w:val="0"/>
              </w:rPr>
              <w:t>Acts Amendment (Court of Appeal) Act 2004</w:t>
            </w:r>
            <w:r>
              <w:rPr>
                <w:snapToGrid w:val="0"/>
              </w:rPr>
              <w:t xml:space="preserve"> s. 37</w:t>
            </w:r>
            <w:r>
              <w:t xml:space="preserve"> (Sch. 1 cl. 7)</w:t>
            </w:r>
            <w:r>
              <w:rPr>
                <w:snapToGrid w:val="0"/>
                <w:vertAlign w:val="superscript"/>
              </w:rPr>
              <w:t xml:space="preserve"> 9</w:t>
            </w:r>
          </w:p>
        </w:tc>
        <w:tc>
          <w:tcPr>
            <w:tcW w:w="1131" w:type="dxa"/>
          </w:tcPr>
          <w:p>
            <w:pPr>
              <w:pStyle w:val="nTable"/>
              <w:spacing w:after="40"/>
            </w:pPr>
            <w:r>
              <w:rPr>
                <w:snapToGrid w:val="0"/>
              </w:rPr>
              <w:t>45 of 2004 (as amended by No. 2 of 2008 s. 75(3))</w:t>
            </w:r>
          </w:p>
        </w:tc>
        <w:tc>
          <w:tcPr>
            <w:tcW w:w="1130" w:type="dxa"/>
          </w:tcPr>
          <w:p>
            <w:pPr>
              <w:pStyle w:val="nTable"/>
              <w:spacing w:after="40"/>
            </w:pPr>
            <w:r>
              <w:t>9 Nov 2004</w:t>
            </w:r>
          </w:p>
        </w:tc>
        <w:tc>
          <w:tcPr>
            <w:tcW w:w="2570" w:type="dxa"/>
            <w:gridSpan w:val="2"/>
          </w:tcPr>
          <w:p>
            <w:pPr>
              <w:pStyle w:val="nTable"/>
              <w:spacing w:after="40"/>
            </w:pPr>
            <w:r>
              <w:t>Sch. 1 cl. 7 (the amendments to s. 18(1) and 19(b)):</w:t>
            </w:r>
            <w:r>
              <w:br/>
            </w:r>
            <w:r>
              <w:rPr>
                <w:snapToGrid w:val="0"/>
              </w:rPr>
              <w:t xml:space="preserve">1 Feb 2005 (see s. 2 and </w:t>
            </w:r>
            <w:r>
              <w:rPr>
                <w:i/>
                <w:snapToGrid w:val="0"/>
              </w:rPr>
              <w:t>Gazette</w:t>
            </w:r>
            <w:r>
              <w:rPr>
                <w:snapToGrid w:val="0"/>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 xml:space="preserve">Courts Legislation Amendment and Repeal Act 2004 </w:t>
            </w:r>
            <w:r>
              <w:rPr>
                <w:snapToGrid w:val="0"/>
              </w:rPr>
              <w:t>s. 141</w:t>
            </w:r>
          </w:p>
        </w:tc>
        <w:tc>
          <w:tcPr>
            <w:tcW w:w="1131" w:type="dxa"/>
            <w:tcBorders>
              <w:top w:val="nil"/>
              <w:bottom w:val="nil"/>
            </w:tcBorders>
          </w:tcPr>
          <w:p>
            <w:pPr>
              <w:pStyle w:val="nTable"/>
              <w:spacing w:after="40"/>
              <w:rPr>
                <w:snapToGrid w:val="0"/>
              </w:rPr>
            </w:pPr>
            <w:r>
              <w:rPr>
                <w:snapToGrid w:val="0"/>
              </w:rPr>
              <w:t>59 of 2004</w:t>
            </w:r>
          </w:p>
        </w:tc>
        <w:tc>
          <w:tcPr>
            <w:tcW w:w="1130" w:type="dxa"/>
            <w:tcBorders>
              <w:top w:val="nil"/>
              <w:bottom w:val="nil"/>
            </w:tcBorders>
          </w:tcPr>
          <w:p>
            <w:pPr>
              <w:pStyle w:val="nTable"/>
              <w:spacing w:after="40"/>
            </w:pPr>
            <w:r>
              <w:rPr>
                <w:snapToGrid w:val="0"/>
              </w:rPr>
              <w:t>23 Nov 2004</w:t>
            </w:r>
          </w:p>
        </w:tc>
        <w:tc>
          <w:tcPr>
            <w:tcW w:w="2570"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pPr>
            <w:r>
              <w:rPr>
                <w:i/>
              </w:rPr>
              <w:t>State Administrative Tribunal (Conferral of Jurisdiction) Amendment and Repeal Act 2004</w:t>
            </w:r>
            <w:r>
              <w:t xml:space="preserve"> Pt. 2 Div. 56 Subdiv. 1</w:t>
            </w:r>
            <w:r>
              <w:rPr>
                <w:vertAlign w:val="superscript"/>
              </w:rPr>
              <w:t> 10, 11</w:t>
            </w:r>
          </w:p>
        </w:tc>
        <w:tc>
          <w:tcPr>
            <w:tcW w:w="1131" w:type="dxa"/>
            <w:tcBorders>
              <w:top w:val="nil"/>
              <w:bottom w:val="nil"/>
            </w:tcBorders>
          </w:tcPr>
          <w:p>
            <w:pPr>
              <w:pStyle w:val="nTable"/>
              <w:spacing w:after="40"/>
            </w:pPr>
            <w:r>
              <w:t>55 of 2004</w:t>
            </w:r>
          </w:p>
        </w:tc>
        <w:tc>
          <w:tcPr>
            <w:tcW w:w="1130" w:type="dxa"/>
            <w:tcBorders>
              <w:top w:val="nil"/>
              <w:bottom w:val="nil"/>
            </w:tcBorders>
          </w:tcPr>
          <w:p>
            <w:pPr>
              <w:pStyle w:val="nTable"/>
              <w:spacing w:after="40"/>
            </w:pPr>
            <w:r>
              <w:t>24 Nov 2004</w:t>
            </w:r>
          </w:p>
        </w:tc>
        <w:tc>
          <w:tcPr>
            <w:tcW w:w="2570" w:type="dxa"/>
            <w:gridSpan w:val="2"/>
            <w:tcBorders>
              <w:top w:val="nil"/>
              <w:bottom w:val="nil"/>
            </w:tcBorders>
          </w:tcPr>
          <w:p>
            <w:pPr>
              <w:pStyle w:val="nTable"/>
              <w:spacing w:after="40"/>
            </w:pPr>
            <w:r>
              <w:t xml:space="preserve">24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1" w:type="dxa"/>
            <w:tcBorders>
              <w:top w:val="nil"/>
              <w:bottom w:val="nil"/>
            </w:tcBorders>
          </w:tcPr>
          <w:p>
            <w:pPr>
              <w:pStyle w:val="nTable"/>
              <w:spacing w:after="40"/>
            </w:pPr>
            <w:r>
              <w:rPr>
                <w:snapToGrid w:val="0"/>
              </w:rPr>
              <w:t>84 of 2004</w:t>
            </w:r>
          </w:p>
        </w:tc>
        <w:tc>
          <w:tcPr>
            <w:tcW w:w="1130" w:type="dxa"/>
            <w:tcBorders>
              <w:top w:val="nil"/>
              <w:bottom w:val="nil"/>
            </w:tcBorders>
          </w:tcPr>
          <w:p>
            <w:pPr>
              <w:pStyle w:val="nTable"/>
              <w:spacing w:after="40"/>
            </w:pPr>
            <w:r>
              <w:t>16 Dec 2004</w:t>
            </w:r>
          </w:p>
        </w:tc>
        <w:tc>
          <w:tcPr>
            <w:tcW w:w="2570" w:type="dxa"/>
            <w:gridSpan w:val="2"/>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pPr>
            <w:r>
              <w:rPr>
                <w:b/>
              </w:rPr>
              <w:lastRenderedPageBreak/>
              <w:t xml:space="preserve">Reprint 3: The </w:t>
            </w:r>
            <w:r>
              <w:rPr>
                <w:b/>
                <w:i/>
              </w:rPr>
              <w:t>Guardianship and Administration Act 1990</w:t>
            </w:r>
            <w:r>
              <w:rPr>
                <w:b/>
              </w:rPr>
              <w:t xml:space="preserve"> as at 1 Apr 2005 </w:t>
            </w:r>
            <w:r>
              <w:br/>
              <w:t xml:space="preserve">(includes amendments listed above except those in </w:t>
            </w:r>
            <w:r>
              <w:rPr>
                <w:snapToGrid w:val="0"/>
              </w:rPr>
              <w:t xml:space="preserve">the </w:t>
            </w:r>
            <w:r>
              <w:rPr>
                <w:i/>
                <w:snapToGrid w:val="0"/>
              </w:rPr>
              <w:t>Children and Community Services Act 2004</w:t>
            </w:r>
            <w:r>
              <w:rPr>
                <w:iCs/>
                <w:snapToGrid w:val="0"/>
              </w:rPr>
              <w:t xml:space="preserve">,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 xml:space="preserve">Family Legislation Amendment Act 2006 </w:t>
            </w:r>
            <w:r>
              <w:rPr>
                <w:snapToGrid w:val="0"/>
              </w:rPr>
              <w:t>Pt. 6 Div. 2</w:t>
            </w:r>
          </w:p>
        </w:tc>
        <w:tc>
          <w:tcPr>
            <w:tcW w:w="1131" w:type="dxa"/>
            <w:tcBorders>
              <w:top w:val="nil"/>
              <w:bottom w:val="nil"/>
            </w:tcBorders>
          </w:tcPr>
          <w:p>
            <w:pPr>
              <w:pStyle w:val="nTable"/>
              <w:spacing w:after="40"/>
            </w:pPr>
            <w:r>
              <w:t>35 of 2006</w:t>
            </w:r>
          </w:p>
        </w:tc>
        <w:tc>
          <w:tcPr>
            <w:tcW w:w="1130" w:type="dxa"/>
            <w:tcBorders>
              <w:top w:val="nil"/>
              <w:bottom w:val="nil"/>
            </w:tcBorders>
          </w:tcPr>
          <w:p>
            <w:pPr>
              <w:pStyle w:val="nTable"/>
              <w:spacing w:after="40"/>
            </w:pPr>
            <w:r>
              <w:t>4 Jul 2006</w:t>
            </w:r>
          </w:p>
        </w:tc>
        <w:tc>
          <w:tcPr>
            <w:tcW w:w="2570" w:type="dxa"/>
            <w:gridSpan w:val="2"/>
            <w:tcBorders>
              <w:top w:val="nil"/>
              <w:bottom w:val="nil"/>
            </w:tcBorders>
          </w:tcPr>
          <w:p>
            <w:pPr>
              <w:pStyle w:val="nTable"/>
              <w:spacing w:after="40"/>
            </w:pPr>
            <w:r>
              <w:rPr>
                <w:snapToGrid w:val="0"/>
              </w:rPr>
              <w:t xml:space="preserve">15 Jul 2006 (see s. 2 and </w:t>
            </w:r>
            <w:r>
              <w:rPr>
                <w:i/>
                <w:iCs/>
                <w:snapToGrid w:val="0"/>
              </w:rPr>
              <w:t>Gazette</w:t>
            </w:r>
            <w:r>
              <w:rPr>
                <w:snapToGrid w:val="0"/>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Criminal Investigation (Consequential Provisions) Act 2006</w:t>
            </w:r>
            <w:r>
              <w:rPr>
                <w:iCs/>
                <w:snapToGrid w:val="0"/>
              </w:rPr>
              <w:t xml:space="preserve"> s. 73</w:t>
            </w:r>
          </w:p>
        </w:tc>
        <w:tc>
          <w:tcPr>
            <w:tcW w:w="1131" w:type="dxa"/>
            <w:tcBorders>
              <w:top w:val="nil"/>
              <w:bottom w:val="nil"/>
            </w:tcBorders>
          </w:tcPr>
          <w:p>
            <w:pPr>
              <w:pStyle w:val="nTable"/>
              <w:spacing w:after="40"/>
            </w:pPr>
            <w:r>
              <w:rPr>
                <w:snapToGrid w:val="0"/>
              </w:rPr>
              <w:t>59 of 2006</w:t>
            </w:r>
          </w:p>
        </w:tc>
        <w:tc>
          <w:tcPr>
            <w:tcW w:w="1130" w:type="dxa"/>
            <w:tcBorders>
              <w:top w:val="nil"/>
              <w:bottom w:val="nil"/>
            </w:tcBorders>
          </w:tcPr>
          <w:p>
            <w:pPr>
              <w:pStyle w:val="nTable"/>
              <w:spacing w:after="40"/>
            </w:pPr>
            <w:r>
              <w:t>16 Nov 2006</w:t>
            </w:r>
          </w:p>
        </w:tc>
        <w:tc>
          <w:tcPr>
            <w:tcW w:w="2570" w:type="dxa"/>
            <w:gridSpan w:val="2"/>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rPr>
              <w:t>Wills Amendment Act 2007</w:t>
            </w:r>
            <w:r>
              <w:rPr>
                <w:iCs/>
              </w:rPr>
              <w:t xml:space="preserve"> s. 25</w:t>
            </w:r>
          </w:p>
        </w:tc>
        <w:tc>
          <w:tcPr>
            <w:tcW w:w="1131" w:type="dxa"/>
            <w:tcBorders>
              <w:top w:val="nil"/>
              <w:bottom w:val="nil"/>
            </w:tcBorders>
          </w:tcPr>
          <w:p>
            <w:pPr>
              <w:pStyle w:val="nTable"/>
              <w:spacing w:after="40"/>
              <w:rPr>
                <w:snapToGrid w:val="0"/>
              </w:rPr>
            </w:pPr>
            <w:r>
              <w:rPr>
                <w:snapToGrid w:val="0"/>
              </w:rPr>
              <w:t>27 of 2007</w:t>
            </w:r>
          </w:p>
        </w:tc>
        <w:tc>
          <w:tcPr>
            <w:tcW w:w="1130" w:type="dxa"/>
            <w:tcBorders>
              <w:top w:val="nil"/>
              <w:bottom w:val="nil"/>
            </w:tcBorders>
          </w:tcPr>
          <w:p>
            <w:pPr>
              <w:pStyle w:val="nTable"/>
              <w:spacing w:after="40"/>
            </w:pPr>
            <w:r>
              <w:rPr>
                <w:snapToGrid w:val="0"/>
              </w:rPr>
              <w:t>26 Oct 2007</w:t>
            </w:r>
          </w:p>
        </w:tc>
        <w:tc>
          <w:tcPr>
            <w:tcW w:w="2570" w:type="dxa"/>
            <w:gridSpan w:val="2"/>
            <w:tcBorders>
              <w:top w:val="nil"/>
              <w:bottom w:val="nil"/>
            </w:tcBorders>
          </w:tcPr>
          <w:p>
            <w:pPr>
              <w:pStyle w:val="nTable"/>
              <w:spacing w:after="40"/>
              <w:rPr>
                <w:snapToGrid w:val="0"/>
              </w:rPr>
            </w:pPr>
            <w:r>
              <w:rPr>
                <w:snapToGrid w:val="0"/>
              </w:rPr>
              <w:t xml:space="preserve">9 Feb 2008 (see s. 2 and </w:t>
            </w:r>
            <w:r>
              <w:rPr>
                <w:i/>
                <w:iCs/>
                <w:snapToGrid w:val="0"/>
              </w:rPr>
              <w:t>Gazette</w:t>
            </w:r>
            <w:r>
              <w:rPr>
                <w:snapToGrid w:val="0"/>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Acts Amendment (Justice) Act 2008</w:t>
            </w:r>
            <w:r>
              <w:rPr>
                <w:iCs/>
                <w:snapToGrid w:val="0"/>
              </w:rPr>
              <w:t xml:space="preserve"> Pt. 12</w:t>
            </w:r>
          </w:p>
        </w:tc>
        <w:tc>
          <w:tcPr>
            <w:tcW w:w="1131" w:type="dxa"/>
            <w:tcBorders>
              <w:top w:val="nil"/>
              <w:bottom w:val="nil"/>
            </w:tcBorders>
          </w:tcPr>
          <w:p>
            <w:pPr>
              <w:pStyle w:val="nTable"/>
              <w:spacing w:after="40"/>
              <w:rPr>
                <w:snapToGrid w:val="0"/>
              </w:rPr>
            </w:pPr>
            <w:r>
              <w:t>5 of 2008</w:t>
            </w:r>
          </w:p>
        </w:tc>
        <w:tc>
          <w:tcPr>
            <w:tcW w:w="1130" w:type="dxa"/>
            <w:tcBorders>
              <w:top w:val="nil"/>
              <w:bottom w:val="nil"/>
            </w:tcBorders>
          </w:tcPr>
          <w:p>
            <w:pPr>
              <w:pStyle w:val="nTable"/>
              <w:spacing w:after="40"/>
              <w:rPr>
                <w:snapToGrid w:val="0"/>
              </w:rPr>
            </w:pPr>
            <w:r>
              <w:t>31 Mar 2008</w:t>
            </w:r>
          </w:p>
        </w:tc>
        <w:tc>
          <w:tcPr>
            <w:tcW w:w="2570" w:type="dxa"/>
            <w:gridSpan w:val="2"/>
            <w:tcBorders>
              <w:top w:val="nil"/>
              <w:bottom w:val="nil"/>
            </w:tcBorders>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s. 667</w:t>
            </w:r>
          </w:p>
        </w:tc>
        <w:tc>
          <w:tcPr>
            <w:tcW w:w="1131" w:type="dxa"/>
            <w:tcBorders>
              <w:top w:val="nil"/>
              <w:bottom w:val="nil"/>
            </w:tcBorders>
          </w:tcPr>
          <w:p>
            <w:pPr>
              <w:pStyle w:val="nTable"/>
              <w:spacing w:after="40"/>
            </w:pPr>
            <w:r>
              <w:t>21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pPr>
            <w:r>
              <w:rPr>
                <w:i/>
                <w:snapToGrid w:val="0"/>
              </w:rPr>
              <w:t>Medical Practitioners Act 2008</w:t>
            </w:r>
            <w:r>
              <w:t xml:space="preserve"> Sch. 3 cl. 22</w:t>
            </w:r>
          </w:p>
        </w:tc>
        <w:tc>
          <w:tcPr>
            <w:tcW w:w="1131" w:type="dxa"/>
            <w:tcBorders>
              <w:top w:val="nil"/>
              <w:bottom w:val="nil"/>
            </w:tcBorders>
          </w:tcPr>
          <w:p>
            <w:pPr>
              <w:pStyle w:val="nTable"/>
              <w:spacing w:after="40"/>
            </w:pPr>
            <w:r>
              <w:t>22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Acts Amendment (Consent to Medical Treatment) Act 2008</w:t>
            </w:r>
            <w:r>
              <w:rPr>
                <w:iCs/>
                <w:snapToGrid w:val="0"/>
              </w:rPr>
              <w:t xml:space="preserve"> Pt. 2</w:t>
            </w:r>
            <w:r>
              <w:rPr>
                <w:iCs/>
                <w:snapToGrid w:val="0"/>
                <w:vertAlign w:val="superscript"/>
              </w:rPr>
              <w:t xml:space="preserve"> 12</w:t>
            </w:r>
          </w:p>
        </w:tc>
        <w:tc>
          <w:tcPr>
            <w:tcW w:w="1131" w:type="dxa"/>
            <w:tcBorders>
              <w:top w:val="nil"/>
              <w:bottom w:val="nil"/>
            </w:tcBorders>
          </w:tcPr>
          <w:p>
            <w:pPr>
              <w:pStyle w:val="nTable"/>
              <w:spacing w:after="40"/>
            </w:pPr>
            <w:r>
              <w:t>25 of 2008</w:t>
            </w:r>
          </w:p>
        </w:tc>
        <w:tc>
          <w:tcPr>
            <w:tcW w:w="1130" w:type="dxa"/>
            <w:tcBorders>
              <w:top w:val="nil"/>
              <w:bottom w:val="nil"/>
            </w:tcBorders>
          </w:tcPr>
          <w:p>
            <w:pPr>
              <w:pStyle w:val="nTable"/>
              <w:spacing w:after="40"/>
            </w:pPr>
            <w:r>
              <w:t>19 Jun 2008</w:t>
            </w:r>
          </w:p>
        </w:tc>
        <w:tc>
          <w:tcPr>
            <w:tcW w:w="2570" w:type="dxa"/>
            <w:gridSpan w:val="2"/>
            <w:tcBorders>
              <w:top w:val="nil"/>
              <w:bottom w:val="nil"/>
            </w:tcBorders>
          </w:tcPr>
          <w:p>
            <w:pPr>
              <w:pStyle w:val="nTable"/>
              <w:spacing w:after="40"/>
              <w:rPr>
                <w:snapToGrid w:val="0"/>
              </w:rPr>
            </w:pPr>
            <w:r>
              <w:t xml:space="preserve">Pt. 2 other than s. 11 (to the extent that it inserts s. 110RA, 110ZAA, 110ZAB and 110ZAC) and s. 12: 15 Feb 2010 (see s. 2 and </w:t>
            </w:r>
            <w:r>
              <w:rPr>
                <w:i/>
                <w:iCs/>
              </w:rPr>
              <w:t>Gazette</w:t>
            </w:r>
            <w: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 xml:space="preserve">Surrogacy Act 2008 </w:t>
            </w:r>
            <w:r>
              <w:rPr>
                <w:snapToGrid w:val="0"/>
              </w:rPr>
              <w:t>Pt. 4 Div. 4</w:t>
            </w:r>
          </w:p>
        </w:tc>
        <w:tc>
          <w:tcPr>
            <w:tcW w:w="1131" w:type="dxa"/>
            <w:tcBorders>
              <w:top w:val="nil"/>
              <w:bottom w:val="nil"/>
            </w:tcBorders>
          </w:tcPr>
          <w:p>
            <w:pPr>
              <w:pStyle w:val="nTable"/>
              <w:spacing w:after="40"/>
            </w:pPr>
            <w:r>
              <w:t>47 of 2008</w:t>
            </w:r>
          </w:p>
        </w:tc>
        <w:tc>
          <w:tcPr>
            <w:tcW w:w="1130" w:type="dxa"/>
            <w:tcBorders>
              <w:top w:val="nil"/>
              <w:bottom w:val="nil"/>
            </w:tcBorders>
          </w:tcPr>
          <w:p>
            <w:pPr>
              <w:pStyle w:val="nTable"/>
              <w:spacing w:after="40"/>
            </w:pPr>
            <w:r>
              <w:t>10 Dec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rPr>
            </w:pPr>
            <w:r>
              <w:rPr>
                <w:b/>
              </w:rPr>
              <w:t xml:space="preserve">Reprint 4: The </w:t>
            </w:r>
            <w:r>
              <w:rPr>
                <w:b/>
                <w:i/>
              </w:rPr>
              <w:t>Guardianship and Administration Act 1990</w:t>
            </w:r>
            <w:r>
              <w:rPr>
                <w:b/>
              </w:rPr>
              <w:t xml:space="preserve"> as at 6 Feb 2009 </w:t>
            </w:r>
            <w:r>
              <w:br/>
              <w:t xml:space="preserve">(includes amendments listed above except those in the </w:t>
            </w:r>
            <w:r>
              <w:rPr>
                <w:i/>
                <w:iCs/>
              </w:rPr>
              <w:t>Legal Profession Act 2008</w:t>
            </w:r>
            <w:r>
              <w:t xml:space="preserve">, the </w:t>
            </w:r>
            <w:r>
              <w:rPr>
                <w:i/>
                <w:snapToGrid w:val="0"/>
              </w:rPr>
              <w:t xml:space="preserve">Surrogacy Act 2008 </w:t>
            </w:r>
            <w:r>
              <w:rPr>
                <w:iCs/>
                <w:snapToGrid w:val="0"/>
              </w:rPr>
              <w:t xml:space="preserve">and the </w:t>
            </w:r>
            <w:r>
              <w:rPr>
                <w:i/>
                <w:snapToGrid w:val="0"/>
              </w:rPr>
              <w:t>Acts Amendment (Consent to Medical Treatment) Act 2008</w:t>
            </w:r>
            <w:r>
              <w:t>)</w:t>
            </w:r>
          </w:p>
        </w:tc>
      </w:tr>
      <w:tr>
        <w:trPr>
          <w:cantSplit/>
        </w:trPr>
        <w:tc>
          <w:tcPr>
            <w:tcW w:w="2259" w:type="dxa"/>
          </w:tcPr>
          <w:p>
            <w:pPr>
              <w:pStyle w:val="nTable"/>
              <w:spacing w:after="40"/>
              <w:ind w:right="113"/>
              <w:rPr>
                <w:iCs/>
              </w:rPr>
            </w:pPr>
            <w:r>
              <w:rPr>
                <w:i/>
              </w:rPr>
              <w:t>Statutes (Repeals and Miscellaneous Amendments) Act 2009</w:t>
            </w:r>
            <w:r>
              <w:rPr>
                <w:iCs/>
              </w:rPr>
              <w:t xml:space="preserve"> s. 68</w:t>
            </w:r>
          </w:p>
        </w:tc>
        <w:tc>
          <w:tcPr>
            <w:tcW w:w="1131" w:type="dxa"/>
          </w:tcPr>
          <w:p>
            <w:pPr>
              <w:pStyle w:val="nTable"/>
              <w:spacing w:after="40"/>
            </w:pPr>
            <w:r>
              <w:t xml:space="preserve">8 of 2009 </w:t>
            </w:r>
          </w:p>
        </w:tc>
        <w:tc>
          <w:tcPr>
            <w:tcW w:w="1130" w:type="dxa"/>
          </w:tcPr>
          <w:p>
            <w:pPr>
              <w:pStyle w:val="nTable"/>
              <w:spacing w:after="40"/>
            </w:pPr>
            <w:r>
              <w:t>21 May 2009</w:t>
            </w:r>
          </w:p>
        </w:tc>
        <w:tc>
          <w:tcPr>
            <w:tcW w:w="2570" w:type="dxa"/>
            <w:gridSpan w:val="2"/>
          </w:tcPr>
          <w:p>
            <w:pPr>
              <w:pStyle w:val="nTable"/>
              <w:spacing w:after="40"/>
            </w:pPr>
            <w:r>
              <w:t>22 May 2009 (see s. 2(b))</w:t>
            </w:r>
          </w:p>
        </w:tc>
      </w:tr>
      <w:tr>
        <w:trPr>
          <w:cantSplit/>
        </w:trPr>
        <w:tc>
          <w:tcPr>
            <w:tcW w:w="2259" w:type="dxa"/>
          </w:tcPr>
          <w:p>
            <w:pPr>
              <w:pStyle w:val="nTable"/>
              <w:spacing w:after="40"/>
              <w:rPr>
                <w:iCs/>
                <w:snapToGrid w:val="0"/>
              </w:rPr>
            </w:pPr>
            <w:r>
              <w:rPr>
                <w:i/>
                <w:snapToGrid w:val="0"/>
              </w:rPr>
              <w:t>Acts Amendment (Bankruptcy) Act 2009</w:t>
            </w:r>
            <w:r>
              <w:rPr>
                <w:iCs/>
                <w:snapToGrid w:val="0"/>
              </w:rPr>
              <w:t xml:space="preserve"> s. 38</w:t>
            </w:r>
          </w:p>
        </w:tc>
        <w:tc>
          <w:tcPr>
            <w:tcW w:w="1131" w:type="dxa"/>
          </w:tcPr>
          <w:p>
            <w:pPr>
              <w:pStyle w:val="nTable"/>
              <w:spacing w:after="40"/>
            </w:pPr>
            <w:r>
              <w:t>18 of 2009</w:t>
            </w:r>
          </w:p>
        </w:tc>
        <w:tc>
          <w:tcPr>
            <w:tcW w:w="1130" w:type="dxa"/>
          </w:tcPr>
          <w:p>
            <w:pPr>
              <w:pStyle w:val="nTable"/>
              <w:spacing w:after="40"/>
            </w:pPr>
            <w:r>
              <w:t>16 Sep 2009</w:t>
            </w:r>
          </w:p>
        </w:tc>
        <w:tc>
          <w:tcPr>
            <w:tcW w:w="2570" w:type="dxa"/>
            <w:gridSpan w:val="2"/>
          </w:tcPr>
          <w:p>
            <w:pPr>
              <w:pStyle w:val="nTable"/>
              <w:spacing w:after="40"/>
            </w:pPr>
            <w:r>
              <w:t>17 Sep 2009 (see s. 2(b))</w:t>
            </w:r>
          </w:p>
        </w:tc>
      </w:tr>
      <w:tr>
        <w:trPr>
          <w:cantSplit/>
        </w:trPr>
        <w:tc>
          <w:tcPr>
            <w:tcW w:w="7090" w:type="dxa"/>
            <w:gridSpan w:val="5"/>
          </w:tcPr>
          <w:p>
            <w:pPr>
              <w:pStyle w:val="nTable"/>
              <w:spacing w:after="40"/>
            </w:pPr>
            <w:r>
              <w:rPr>
                <w:b/>
              </w:rPr>
              <w:t xml:space="preserve">Reprint 5: The </w:t>
            </w:r>
            <w:r>
              <w:rPr>
                <w:b/>
                <w:i/>
              </w:rPr>
              <w:t>Guardianship and Administration Act 1990</w:t>
            </w:r>
            <w:r>
              <w:rPr>
                <w:b/>
              </w:rPr>
              <w:t xml:space="preserve"> as at 5 Mar 2010 </w:t>
            </w:r>
            <w:r>
              <w:t>(includes amendments listed above)</w:t>
            </w:r>
          </w:p>
        </w:tc>
      </w:tr>
      <w:tr>
        <w:trPr>
          <w:gridAfter w:val="1"/>
          <w:wAfter w:w="8" w:type="dxa"/>
          <w:cantSplit/>
        </w:trPr>
        <w:tc>
          <w:tcPr>
            <w:tcW w:w="2259" w:type="dxa"/>
          </w:tcPr>
          <w:p>
            <w:pPr>
              <w:pStyle w:val="nTable"/>
              <w:spacing w:after="40"/>
              <w:ind w:right="113"/>
              <w:rPr>
                <w:iCs/>
                <w:snapToGrid w:val="0"/>
              </w:rPr>
            </w:pPr>
            <w:r>
              <w:rPr>
                <w:i/>
                <w:snapToGrid w:val="0"/>
              </w:rPr>
              <w:lastRenderedPageBreak/>
              <w:t>Standardisation of Formatting Act 2010</w:t>
            </w:r>
            <w:r>
              <w:rPr>
                <w:iCs/>
                <w:snapToGrid w:val="0"/>
              </w:rPr>
              <w:t xml:space="preserve"> s. 18 and 51</w:t>
            </w:r>
          </w:p>
        </w:tc>
        <w:tc>
          <w:tcPr>
            <w:tcW w:w="1131" w:type="dxa"/>
          </w:tcPr>
          <w:p>
            <w:pPr>
              <w:pStyle w:val="nTable"/>
              <w:spacing w:after="40"/>
              <w:rPr>
                <w:snapToGrid w:val="0"/>
              </w:rPr>
            </w:pPr>
            <w:r>
              <w:rPr>
                <w:snapToGrid w:val="0"/>
              </w:rPr>
              <w:t>19 of 2010</w:t>
            </w:r>
          </w:p>
        </w:tc>
        <w:tc>
          <w:tcPr>
            <w:tcW w:w="1130" w:type="dxa"/>
          </w:tcPr>
          <w:p>
            <w:pPr>
              <w:pStyle w:val="nTable"/>
              <w:spacing w:after="40"/>
              <w:rPr>
                <w:snapToGrid w:val="0"/>
              </w:rPr>
            </w:pPr>
            <w:r>
              <w:rPr>
                <w:snapToGrid w:val="0"/>
              </w:rPr>
              <w:t>28 Jun 2010</w:t>
            </w:r>
          </w:p>
        </w:tc>
        <w:tc>
          <w:tcPr>
            <w:tcW w:w="256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8" w:type="dxa"/>
          <w:cantSplit/>
        </w:trPr>
        <w:tc>
          <w:tcPr>
            <w:tcW w:w="2259"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1" w:type="dxa"/>
          </w:tcPr>
          <w:p>
            <w:pPr>
              <w:pStyle w:val="nTable"/>
              <w:spacing w:after="40"/>
              <w:rPr>
                <w:snapToGrid w:val="0"/>
              </w:rPr>
            </w:pPr>
            <w:r>
              <w:rPr>
                <w:snapToGrid w:val="0"/>
              </w:rPr>
              <w:t>39 of 2010</w:t>
            </w:r>
          </w:p>
        </w:tc>
        <w:tc>
          <w:tcPr>
            <w:tcW w:w="1130" w:type="dxa"/>
          </w:tcPr>
          <w:p>
            <w:pPr>
              <w:pStyle w:val="nTable"/>
              <w:spacing w:after="40"/>
              <w:rPr>
                <w:snapToGrid w:val="0"/>
              </w:rPr>
            </w:pPr>
            <w:r>
              <w:rPr>
                <w:snapToGrid w:val="0"/>
              </w:rPr>
              <w:t>1 Oct 2010</w:t>
            </w:r>
          </w:p>
        </w:tc>
        <w:tc>
          <w:tcPr>
            <w:tcW w:w="256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8" w:type="dxa"/>
          <w:cantSplit/>
        </w:trPr>
        <w:tc>
          <w:tcPr>
            <w:tcW w:w="2259" w:type="dxa"/>
          </w:tcPr>
          <w:p>
            <w:pPr>
              <w:pStyle w:val="nTable"/>
              <w:spacing w:after="40"/>
              <w:ind w:right="113"/>
              <w:rPr>
                <w:i/>
                <w:iCs/>
                <w:snapToGrid w:val="0"/>
              </w:rPr>
            </w:pPr>
            <w:r>
              <w:rPr>
                <w:i/>
                <w:iCs/>
                <w:snapToGrid w:val="0"/>
              </w:rPr>
              <w:t>Statutes (Repeals and Minor Amendments) Act 2014</w:t>
            </w:r>
            <w:r>
              <w:rPr>
                <w:iCs/>
                <w:snapToGrid w:val="0"/>
              </w:rPr>
              <w:t xml:space="preserve"> s. 12 and 22</w:t>
            </w:r>
          </w:p>
        </w:tc>
        <w:tc>
          <w:tcPr>
            <w:tcW w:w="1131" w:type="dxa"/>
          </w:tcPr>
          <w:p>
            <w:pPr>
              <w:pStyle w:val="nTable"/>
              <w:spacing w:after="40"/>
              <w:rPr>
                <w:snapToGrid w:val="0"/>
              </w:rPr>
            </w:pPr>
            <w:r>
              <w:rPr>
                <w:snapToGrid w:val="0"/>
              </w:rPr>
              <w:t>17 of 2014</w:t>
            </w:r>
          </w:p>
        </w:tc>
        <w:tc>
          <w:tcPr>
            <w:tcW w:w="1130" w:type="dxa"/>
          </w:tcPr>
          <w:p>
            <w:pPr>
              <w:pStyle w:val="nTable"/>
              <w:spacing w:after="40"/>
              <w:rPr>
                <w:snapToGrid w:val="0"/>
              </w:rPr>
            </w:pPr>
            <w:r>
              <w:rPr>
                <w:snapToGrid w:val="0"/>
              </w:rPr>
              <w:t>2 Jul 2014</w:t>
            </w:r>
          </w:p>
        </w:tc>
        <w:tc>
          <w:tcPr>
            <w:tcW w:w="256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8" w:type="dxa"/>
          <w:cantSplit/>
        </w:trPr>
        <w:tc>
          <w:tcPr>
            <w:tcW w:w="2259" w:type="dxa"/>
          </w:tcPr>
          <w:p>
            <w:pPr>
              <w:pStyle w:val="nTable"/>
              <w:spacing w:after="40"/>
              <w:ind w:right="113"/>
              <w:rPr>
                <w:i/>
                <w:iCs/>
                <w:snapToGrid w:val="0"/>
              </w:rPr>
            </w:pPr>
            <w:r>
              <w:rPr>
                <w:i/>
              </w:rPr>
              <w:t>Mental Health Legislation Amendment Act 2014</w:t>
            </w:r>
            <w:r>
              <w:t xml:space="preserve"> Pt. 4 Div. 2</w:t>
            </w:r>
          </w:p>
        </w:tc>
        <w:tc>
          <w:tcPr>
            <w:tcW w:w="1131" w:type="dxa"/>
          </w:tcPr>
          <w:p>
            <w:pPr>
              <w:pStyle w:val="nTable"/>
              <w:spacing w:after="40"/>
              <w:rPr>
                <w:snapToGrid w:val="0"/>
              </w:rPr>
            </w:pPr>
            <w:r>
              <w:rPr>
                <w:snapToGrid w:val="0"/>
              </w:rPr>
              <w:t>25 of 2014</w:t>
            </w:r>
          </w:p>
        </w:tc>
        <w:tc>
          <w:tcPr>
            <w:tcW w:w="1130" w:type="dxa"/>
          </w:tcPr>
          <w:p>
            <w:pPr>
              <w:pStyle w:val="nTable"/>
              <w:spacing w:after="40"/>
              <w:rPr>
                <w:snapToGrid w:val="0"/>
              </w:rPr>
            </w:pPr>
            <w:r>
              <w:t>3 Nov 2014</w:t>
            </w:r>
          </w:p>
        </w:tc>
        <w:tc>
          <w:tcPr>
            <w:tcW w:w="256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After w:val="1"/>
          <w:wAfter w:w="8" w:type="dxa"/>
          <w:cantSplit/>
        </w:trPr>
        <w:tc>
          <w:tcPr>
            <w:tcW w:w="2259" w:type="dxa"/>
          </w:tcPr>
          <w:p>
            <w:pPr>
              <w:pStyle w:val="nTable"/>
              <w:spacing w:after="40"/>
              <w:ind w:right="113"/>
              <w:rPr>
                <w:i/>
              </w:rPr>
            </w:pPr>
            <w:r>
              <w:rPr>
                <w:i/>
                <w:snapToGrid w:val="0"/>
              </w:rPr>
              <w:t>Voluntary Assisted Dying Act 2019</w:t>
            </w:r>
            <w:r>
              <w:rPr>
                <w:snapToGrid w:val="0"/>
              </w:rPr>
              <w:t xml:space="preserve"> Pt. 12 Div. 3</w:t>
            </w:r>
          </w:p>
        </w:tc>
        <w:tc>
          <w:tcPr>
            <w:tcW w:w="1131" w:type="dxa"/>
          </w:tcPr>
          <w:p>
            <w:pPr>
              <w:pStyle w:val="nTable"/>
              <w:spacing w:after="40"/>
              <w:rPr>
                <w:snapToGrid w:val="0"/>
              </w:rPr>
            </w:pPr>
            <w:r>
              <w:t>27 of 2019</w:t>
            </w:r>
          </w:p>
        </w:tc>
        <w:tc>
          <w:tcPr>
            <w:tcW w:w="1130" w:type="dxa"/>
          </w:tcPr>
          <w:p>
            <w:pPr>
              <w:pStyle w:val="nTable"/>
              <w:spacing w:after="40"/>
            </w:pPr>
            <w:r>
              <w:t>19 Dec 2019</w:t>
            </w:r>
          </w:p>
        </w:tc>
        <w:tc>
          <w:tcPr>
            <w:tcW w:w="2562" w:type="dxa"/>
          </w:tcPr>
          <w:p>
            <w:pPr>
              <w:pStyle w:val="nTable"/>
              <w:spacing w:after="40"/>
              <w:rPr>
                <w:snapToGrid w:val="0"/>
              </w:rPr>
            </w:pPr>
            <w:r>
              <w:t>1 Jul 2021 (see s. 2(b) and SL 2021/83 cl. 2)</w:t>
            </w:r>
          </w:p>
        </w:tc>
      </w:tr>
      <w:tr>
        <w:trPr>
          <w:gridAfter w:val="1"/>
          <w:wAfter w:w="8" w:type="dxa"/>
          <w:cantSplit/>
        </w:trPr>
        <w:tc>
          <w:tcPr>
            <w:tcW w:w="2259" w:type="dxa"/>
          </w:tcPr>
          <w:p>
            <w:pPr>
              <w:pStyle w:val="nTable"/>
              <w:spacing w:after="40"/>
              <w:ind w:right="113"/>
            </w:pPr>
            <w:r>
              <w:rPr>
                <w:i/>
                <w:color w:val="000000" w:themeColor="text1"/>
              </w:rPr>
              <w:t>Guardianship and Administration Amendment (Medical Research) Act 2020 </w:t>
            </w:r>
            <w:r>
              <w:rPr>
                <w:iCs/>
                <w:color w:val="000000" w:themeColor="text1"/>
                <w:vertAlign w:val="superscript"/>
              </w:rPr>
              <w:t>13</w:t>
            </w:r>
          </w:p>
        </w:tc>
        <w:tc>
          <w:tcPr>
            <w:tcW w:w="1131" w:type="dxa"/>
          </w:tcPr>
          <w:p>
            <w:pPr>
              <w:pStyle w:val="nTable"/>
              <w:spacing w:after="40"/>
              <w:rPr>
                <w:snapToGrid w:val="0"/>
              </w:rPr>
            </w:pPr>
            <w:r>
              <w:rPr>
                <w:snapToGrid w:val="0"/>
              </w:rPr>
              <w:t>14 of 2020 (as amended by No. 32 of 2023 Pt. 3)</w:t>
            </w:r>
          </w:p>
        </w:tc>
        <w:tc>
          <w:tcPr>
            <w:tcW w:w="1130" w:type="dxa"/>
          </w:tcPr>
          <w:p>
            <w:pPr>
              <w:pStyle w:val="nTable"/>
              <w:spacing w:after="40"/>
            </w:pPr>
            <w:r>
              <w:t>6 Apr 2020</w:t>
            </w:r>
          </w:p>
        </w:tc>
        <w:tc>
          <w:tcPr>
            <w:tcW w:w="2562" w:type="dxa"/>
          </w:tcPr>
          <w:p>
            <w:pPr>
              <w:pStyle w:val="nTable"/>
              <w:spacing w:after="40"/>
              <w:rPr>
                <w:snapToGrid w:val="0"/>
              </w:rPr>
            </w:pPr>
            <w:r>
              <w:rPr>
                <w:snapToGrid w:val="0"/>
              </w:rPr>
              <w:t>s. 1 and 2: 6 Apr 2020 (see s. 2(a));</w:t>
            </w:r>
            <w:r>
              <w:rPr>
                <w:snapToGrid w:val="0"/>
              </w:rPr>
              <w:br/>
              <w:t>Act other than s. 1, 2, 13 and 15: 7 Apr 2020 (see s. 2(c))</w:t>
            </w:r>
          </w:p>
        </w:tc>
      </w:tr>
      <w:tr>
        <w:trPr>
          <w:gridAfter w:val="1"/>
          <w:wAfter w:w="8" w:type="dxa"/>
          <w:cantSplit/>
        </w:trPr>
        <w:tc>
          <w:tcPr>
            <w:tcW w:w="2259" w:type="dxa"/>
          </w:tcPr>
          <w:p>
            <w:pPr>
              <w:pStyle w:val="nTable"/>
              <w:spacing w:after="40"/>
              <w:ind w:right="113"/>
              <w:rPr>
                <w:i/>
                <w:color w:val="000000" w:themeColor="text1"/>
              </w:rPr>
            </w:pPr>
            <w:r>
              <w:rPr>
                <w:i/>
                <w:color w:val="000000" w:themeColor="text1"/>
              </w:rPr>
              <w:t>Legal Profession Uniform Law Application Act 2022</w:t>
            </w:r>
            <w:r>
              <w:rPr>
                <w:color w:val="000000" w:themeColor="text1"/>
              </w:rPr>
              <w:t xml:space="preserve"> s. 424</w:t>
            </w:r>
          </w:p>
        </w:tc>
        <w:tc>
          <w:tcPr>
            <w:tcW w:w="1131" w:type="dxa"/>
          </w:tcPr>
          <w:p>
            <w:pPr>
              <w:pStyle w:val="nTable"/>
              <w:spacing w:after="40"/>
              <w:rPr>
                <w:snapToGrid w:val="0"/>
              </w:rPr>
            </w:pPr>
            <w:r>
              <w:rPr>
                <w:snapToGrid w:val="0"/>
              </w:rPr>
              <w:t>9 of 2022</w:t>
            </w:r>
          </w:p>
        </w:tc>
        <w:tc>
          <w:tcPr>
            <w:tcW w:w="1130" w:type="dxa"/>
          </w:tcPr>
          <w:p>
            <w:pPr>
              <w:pStyle w:val="nTable"/>
              <w:spacing w:after="40"/>
            </w:pPr>
            <w:r>
              <w:t>14 Apr 2022</w:t>
            </w:r>
          </w:p>
        </w:tc>
        <w:tc>
          <w:tcPr>
            <w:tcW w:w="2562" w:type="dxa"/>
          </w:tcPr>
          <w:p>
            <w:pPr>
              <w:pStyle w:val="nTable"/>
              <w:spacing w:after="40"/>
              <w:rPr>
                <w:snapToGrid w:val="0"/>
              </w:rPr>
            </w:pPr>
            <w:r>
              <w:rPr>
                <w:snapToGrid w:val="0"/>
              </w:rPr>
              <w:t>1 Jul 2022 (see s. 2(c) and SL 2022/113 cl. 2)</w:t>
            </w:r>
          </w:p>
        </w:tc>
      </w:tr>
      <w:tr>
        <w:trPr>
          <w:gridAfter w:val="1"/>
          <w:wAfter w:w="8" w:type="dxa"/>
          <w:cantSplit/>
        </w:trPr>
        <w:tc>
          <w:tcPr>
            <w:tcW w:w="2259" w:type="dxa"/>
          </w:tcPr>
          <w:p>
            <w:pPr>
              <w:pStyle w:val="nTable"/>
              <w:spacing w:after="40"/>
              <w:ind w:right="113"/>
              <w:rPr>
                <w:i/>
                <w:color w:val="000000" w:themeColor="text1"/>
              </w:rPr>
            </w:pPr>
            <w:r>
              <w:rPr>
                <w:i/>
                <w:color w:val="000000" w:themeColor="text1"/>
              </w:rPr>
              <w:t xml:space="preserve">Abortion Legislation Reform Act 2023 </w:t>
            </w:r>
            <w:r>
              <w:rPr>
                <w:color w:val="000000" w:themeColor="text1"/>
              </w:rPr>
              <w:t>Pt. 4 Div. 5</w:t>
            </w:r>
          </w:p>
        </w:tc>
        <w:tc>
          <w:tcPr>
            <w:tcW w:w="1131" w:type="dxa"/>
          </w:tcPr>
          <w:p>
            <w:pPr>
              <w:pStyle w:val="nTable"/>
              <w:spacing w:after="40"/>
              <w:rPr>
                <w:snapToGrid w:val="0"/>
              </w:rPr>
            </w:pPr>
            <w:r>
              <w:rPr>
                <w:snapToGrid w:val="0"/>
              </w:rPr>
              <w:t>20 of 2023</w:t>
            </w:r>
          </w:p>
        </w:tc>
        <w:tc>
          <w:tcPr>
            <w:tcW w:w="1130" w:type="dxa"/>
          </w:tcPr>
          <w:p>
            <w:pPr>
              <w:pStyle w:val="nTable"/>
              <w:spacing w:after="40"/>
            </w:pPr>
            <w:r>
              <w:t>27 Sep 2023</w:t>
            </w:r>
          </w:p>
        </w:tc>
        <w:tc>
          <w:tcPr>
            <w:tcW w:w="2562" w:type="dxa"/>
          </w:tcPr>
          <w:p>
            <w:pPr>
              <w:pStyle w:val="nTable"/>
              <w:spacing w:after="40"/>
              <w:rPr>
                <w:snapToGrid w:val="0"/>
              </w:rPr>
            </w:pPr>
            <w:r>
              <w:t>27 Mar 2024 (see s. 2(b) and SL 2024/21 cl. 2)</w:t>
            </w:r>
          </w:p>
        </w:tc>
      </w:tr>
      <w:tr>
        <w:trPr>
          <w:gridAfter w:val="1"/>
          <w:wAfter w:w="8" w:type="dxa"/>
          <w:cantSplit/>
        </w:trPr>
        <w:tc>
          <w:tcPr>
            <w:tcW w:w="2259" w:type="dxa"/>
            <w:tcBorders>
              <w:bottom w:val="single" w:sz="4" w:space="0" w:color="auto"/>
            </w:tcBorders>
          </w:tcPr>
          <w:p>
            <w:pPr>
              <w:pStyle w:val="nTable"/>
              <w:spacing w:after="40"/>
              <w:ind w:right="113"/>
              <w:rPr>
                <w:iCs/>
                <w:color w:val="000000" w:themeColor="text1"/>
              </w:rPr>
            </w:pPr>
            <w:r>
              <w:rPr>
                <w:i/>
              </w:rPr>
              <w:t>Guardianship and Administration Amendment (Medical Research) Act 2023</w:t>
            </w:r>
            <w:r>
              <w:rPr>
                <w:iCs/>
              </w:rPr>
              <w:t xml:space="preserve"> Pt. 2</w:t>
            </w:r>
          </w:p>
        </w:tc>
        <w:tc>
          <w:tcPr>
            <w:tcW w:w="1131" w:type="dxa"/>
            <w:tcBorders>
              <w:bottom w:val="single" w:sz="4" w:space="0" w:color="auto"/>
            </w:tcBorders>
          </w:tcPr>
          <w:p>
            <w:pPr>
              <w:pStyle w:val="nTable"/>
              <w:spacing w:after="40"/>
              <w:rPr>
                <w:snapToGrid w:val="0"/>
              </w:rPr>
            </w:pPr>
            <w:r>
              <w:rPr>
                <w:snapToGrid w:val="0"/>
              </w:rPr>
              <w:t>32 of 2023</w:t>
            </w:r>
          </w:p>
        </w:tc>
        <w:tc>
          <w:tcPr>
            <w:tcW w:w="1130" w:type="dxa"/>
            <w:tcBorders>
              <w:bottom w:val="single" w:sz="4" w:space="0" w:color="auto"/>
            </w:tcBorders>
          </w:tcPr>
          <w:p>
            <w:pPr>
              <w:pStyle w:val="nTable"/>
              <w:spacing w:after="40"/>
            </w:pPr>
            <w:r>
              <w:t>11 Dec 2023</w:t>
            </w:r>
          </w:p>
        </w:tc>
        <w:tc>
          <w:tcPr>
            <w:tcW w:w="2562" w:type="dxa"/>
            <w:tcBorders>
              <w:bottom w:val="single" w:sz="4" w:space="0" w:color="auto"/>
            </w:tcBorders>
          </w:tcPr>
          <w:p>
            <w:pPr>
              <w:pStyle w:val="nTable"/>
              <w:spacing w:after="40"/>
              <w:rPr>
                <w:snapToGrid w:val="0"/>
              </w:rPr>
            </w:pPr>
            <w:r>
              <w:rPr>
                <w:snapToGrid w:val="0"/>
              </w:rPr>
              <w:t>12 Dec 2023 (see s. 2(b))</w:t>
            </w:r>
          </w:p>
        </w:tc>
      </w:tr>
    </w:tbl>
    <w:p>
      <w:pPr>
        <w:pStyle w:val="nHeading3"/>
      </w:pPr>
      <w:bookmarkStart w:id="421" w:name="_Toc161907086"/>
      <w:r>
        <w:t>Uncommenced provisions table</w:t>
      </w:r>
      <w:bookmarkEnd w:id="421"/>
    </w:p>
    <w:p>
      <w:pPr>
        <w:pStyle w:val="nStatement"/>
        <w:keepNext/>
        <w:spacing w:after="240"/>
      </w:pPr>
      <w:r>
        <w:t xml:space="preserve">To view the text of the uncommenced provisions see </w:t>
      </w:r>
      <w:r>
        <w:rPr>
          <w:i/>
        </w:rPr>
        <w:t>Acts as passed</w:t>
      </w:r>
      <w:r>
        <w:t xml:space="preserve"> on the WA Legislation website.</w:t>
      </w:r>
    </w:p>
    <w:tbl>
      <w:tblPr>
        <w:tblW w:w="7103" w:type="dxa"/>
        <w:tblInd w:w="28" w:type="dxa"/>
        <w:tblLayout w:type="fixed"/>
        <w:tblCellMar>
          <w:left w:w="56" w:type="dxa"/>
          <w:right w:w="56" w:type="dxa"/>
        </w:tblCellMar>
        <w:tblLook w:val="0000" w:firstRow="0" w:lastRow="0" w:firstColumn="0" w:lastColumn="0" w:noHBand="0" w:noVBand="0"/>
      </w:tblPr>
      <w:tblGrid>
        <w:gridCol w:w="2278"/>
        <w:gridCol w:w="1138"/>
        <w:gridCol w:w="1135"/>
        <w:gridCol w:w="2552"/>
      </w:tblGrid>
      <w:tr>
        <w:trPr>
          <w:cantSplit/>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Borders>
              <w:top w:val="single" w:sz="8" w:space="0" w:color="auto"/>
            </w:tcBorders>
          </w:tcPr>
          <w:p>
            <w:pPr>
              <w:pStyle w:val="nTable"/>
              <w:spacing w:after="40"/>
              <w:rPr>
                <w:iCs/>
                <w:snapToGrid w:val="0"/>
                <w:vertAlign w:val="superscript"/>
              </w:rPr>
            </w:pPr>
            <w:r>
              <w:rPr>
                <w:i/>
                <w:snapToGrid w:val="0"/>
              </w:rPr>
              <w:t>Acts Amendment (Consent to Medical Treatment) Act 2008</w:t>
            </w:r>
            <w:r>
              <w:rPr>
                <w:iCs/>
                <w:snapToGrid w:val="0"/>
              </w:rPr>
              <w:t xml:space="preserve"> Pt. 2</w:t>
            </w:r>
          </w:p>
        </w:tc>
        <w:tc>
          <w:tcPr>
            <w:tcW w:w="1138" w:type="dxa"/>
            <w:tcBorders>
              <w:top w:val="single" w:sz="8" w:space="0" w:color="auto"/>
            </w:tcBorders>
          </w:tcPr>
          <w:p>
            <w:pPr>
              <w:pStyle w:val="nTable"/>
              <w:spacing w:after="40"/>
            </w:pPr>
            <w:r>
              <w:t>25 of 2008</w:t>
            </w:r>
          </w:p>
        </w:tc>
        <w:tc>
          <w:tcPr>
            <w:tcW w:w="1135" w:type="dxa"/>
            <w:tcBorders>
              <w:top w:val="single" w:sz="8" w:space="0" w:color="auto"/>
            </w:tcBorders>
          </w:tcPr>
          <w:p>
            <w:pPr>
              <w:pStyle w:val="nTable"/>
              <w:spacing w:after="40"/>
            </w:pPr>
            <w:r>
              <w:t>19 Jun 2008</w:t>
            </w:r>
          </w:p>
        </w:tc>
        <w:tc>
          <w:tcPr>
            <w:tcW w:w="2552" w:type="dxa"/>
            <w:tcBorders>
              <w:top w:val="single" w:sz="8" w:space="0" w:color="auto"/>
            </w:tcBorders>
          </w:tcPr>
          <w:p>
            <w:pPr>
              <w:pStyle w:val="nTable"/>
              <w:spacing w:after="40"/>
            </w:pPr>
            <w:r>
              <w:t>s. 11 (to the extent that it inserts s. 110RA, 110ZAA, 110ZAB and 110ZAC) and s. 12: to be proclaimed (see s. 2)</w:t>
            </w:r>
          </w:p>
        </w:tc>
      </w:tr>
      <w:tr>
        <w:trPr>
          <w:cantSplit/>
        </w:trPr>
        <w:tc>
          <w:tcPr>
            <w:tcW w:w="2278" w:type="dxa"/>
            <w:tcBorders>
              <w:bottom w:val="single" w:sz="4" w:space="0" w:color="auto"/>
            </w:tcBorders>
          </w:tcPr>
          <w:p>
            <w:pPr>
              <w:pStyle w:val="nTable"/>
              <w:spacing w:after="40"/>
              <w:rPr>
                <w:color w:val="000000" w:themeColor="text1"/>
              </w:rPr>
            </w:pPr>
            <w:r>
              <w:rPr>
                <w:i/>
                <w:color w:val="000000" w:themeColor="text1"/>
              </w:rPr>
              <w:lastRenderedPageBreak/>
              <w:t>Criminal Law (Mental Impairment) Act 2023</w:t>
            </w:r>
            <w:r>
              <w:rPr>
                <w:color w:val="000000" w:themeColor="text1"/>
              </w:rPr>
              <w:t xml:space="preserve"> Pt. 15 Div. 16</w:t>
            </w:r>
          </w:p>
        </w:tc>
        <w:tc>
          <w:tcPr>
            <w:tcW w:w="1138" w:type="dxa"/>
            <w:tcBorders>
              <w:bottom w:val="single" w:sz="4" w:space="0" w:color="auto"/>
            </w:tcBorders>
          </w:tcPr>
          <w:p>
            <w:pPr>
              <w:pStyle w:val="nTable"/>
              <w:spacing w:after="40"/>
              <w:rPr>
                <w:snapToGrid w:val="0"/>
              </w:rPr>
            </w:pPr>
            <w:r>
              <w:rPr>
                <w:snapToGrid w:val="0"/>
              </w:rPr>
              <w:t>10 of 2023</w:t>
            </w:r>
          </w:p>
        </w:tc>
        <w:tc>
          <w:tcPr>
            <w:tcW w:w="1135" w:type="dxa"/>
            <w:tcBorders>
              <w:bottom w:val="single" w:sz="4" w:space="0" w:color="auto"/>
            </w:tcBorders>
          </w:tcPr>
          <w:p>
            <w:pPr>
              <w:pStyle w:val="nTable"/>
              <w:spacing w:after="40"/>
            </w:pPr>
            <w:r>
              <w:t>13 Apr 2023</w:t>
            </w:r>
          </w:p>
        </w:tc>
        <w:tc>
          <w:tcPr>
            <w:tcW w:w="2552" w:type="dxa"/>
            <w:tcBorders>
              <w:bottom w:val="single" w:sz="4" w:space="0" w:color="auto"/>
            </w:tcBorders>
          </w:tcPr>
          <w:p>
            <w:pPr>
              <w:pStyle w:val="nTable"/>
              <w:spacing w:after="40"/>
            </w:pPr>
            <w:r>
              <w:t>To be proclaimed (see s. 2(b))</w:t>
            </w:r>
          </w:p>
        </w:tc>
      </w:tr>
    </w:tbl>
    <w:p>
      <w:pPr>
        <w:pStyle w:val="nHeading3"/>
      </w:pPr>
      <w:bookmarkStart w:id="422" w:name="_Toc161907087"/>
      <w:r>
        <w:t>Other notes</w:t>
      </w:r>
      <w:bookmarkEnd w:id="422"/>
    </w:p>
    <w:p>
      <w:pPr>
        <w:pStyle w:val="nNote"/>
        <w:spacing w:before="160"/>
        <w:rPr>
          <w:iCs/>
          <w:snapToGrid w:val="0"/>
        </w:rPr>
      </w:pPr>
      <w:r>
        <w:rPr>
          <w:snapToGrid w:val="0"/>
          <w:vertAlign w:val="superscript"/>
        </w:rPr>
        <w:t>1-3</w:t>
      </w:r>
      <w:r>
        <w:rPr>
          <w:snapToGrid w:val="0"/>
          <w:vertAlign w:val="superscript"/>
        </w:rPr>
        <w:tab/>
      </w:r>
      <w:r>
        <w:rPr>
          <w:snapToGrid w:val="0"/>
        </w:rPr>
        <w:t>Footnotes no longer applicable.</w:t>
      </w:r>
    </w:p>
    <w:p>
      <w:pPr>
        <w:pStyle w:val="nNote"/>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Note"/>
        <w:keepLines/>
        <w:rPr>
          <w:snapToGrid w:val="0"/>
        </w:rPr>
      </w:pPr>
      <w:r>
        <w:rPr>
          <w:snapToGrid w:val="0"/>
          <w:vertAlign w:val="superscript"/>
        </w:rPr>
        <w:t>5, 6</w:t>
      </w:r>
      <w:r>
        <w:rPr>
          <w:snapToGrid w:val="0"/>
          <w:vertAlign w:val="superscript"/>
        </w:rPr>
        <w:tab/>
      </w:r>
      <w:r>
        <w:rPr>
          <w:snapToGrid w:val="0"/>
        </w:rPr>
        <w:t>Footnotes no longer applicable.</w:t>
      </w:r>
    </w:p>
    <w:p>
      <w:pPr>
        <w:pStyle w:val="nNote"/>
        <w:spacing w:before="200"/>
      </w:pPr>
      <w:r>
        <w:rPr>
          <w:vertAlign w:val="superscript"/>
        </w:rPr>
        <w:t>7</w:t>
      </w:r>
      <w:r>
        <w:tab/>
        <w:t xml:space="preserve">Repealed by the </w:t>
      </w:r>
      <w:r>
        <w:rPr>
          <w:i/>
        </w:rPr>
        <w:t>Mental Health (Consequential Provisions) Act 1996</w:t>
      </w:r>
      <w:r>
        <w:t>.</w:t>
      </w:r>
    </w:p>
    <w:p>
      <w:pPr>
        <w:pStyle w:val="nNote"/>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Note"/>
        <w:rPr>
          <w:snapToGrid w:val="0"/>
        </w:rPr>
      </w:pPr>
      <w:r>
        <w:rPr>
          <w:snapToGrid w:val="0"/>
          <w:vertAlign w:val="superscript"/>
        </w:rPr>
        <w:lastRenderedPageBreak/>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Note"/>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keepNext/>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lastRenderedPageBreak/>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Note"/>
        <w:keepNext/>
      </w:pPr>
      <w:r>
        <w:rPr>
          <w:vertAlign w:val="superscript"/>
        </w:rPr>
        <w:lastRenderedPageBreak/>
        <w:t>12</w:t>
      </w:r>
      <w:r>
        <w:tab/>
        <w:t xml:space="preserve">The </w:t>
      </w:r>
      <w:r>
        <w:rPr>
          <w:i/>
          <w:iCs/>
        </w:rPr>
        <w:t xml:space="preserve">Acts Amendment (Consent to Medical Treatment) Act 2008 </w:t>
      </w:r>
      <w:r>
        <w:t>s. 14 reads as follows:</w:t>
      </w:r>
    </w:p>
    <w:p>
      <w:pPr>
        <w:pStyle w:val="BlankOpen"/>
      </w:pPr>
    </w:p>
    <w:p>
      <w:pPr>
        <w:pStyle w:val="nzHeading5"/>
      </w:pPr>
      <w:r>
        <w:t>14.</w:t>
      </w:r>
      <w:r>
        <w:tab/>
        <w:t xml:space="preserve">Review of the </w:t>
      </w:r>
      <w:r>
        <w:rPr>
          <w:i/>
        </w:rPr>
        <w:t>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BlankClose"/>
      </w:pPr>
    </w:p>
    <w:p>
      <w:pPr>
        <w:pStyle w:val="nNote"/>
        <w:rPr>
          <w:iCs/>
          <w:color w:val="000000" w:themeColor="text1"/>
        </w:rPr>
      </w:pPr>
      <w:r>
        <w:rPr>
          <w:vertAlign w:val="superscript"/>
        </w:rPr>
        <w:t>13</w:t>
      </w:r>
      <w:r>
        <w:tab/>
        <w:t xml:space="preserve">The </w:t>
      </w:r>
      <w:r>
        <w:rPr>
          <w:i/>
          <w:color w:val="000000" w:themeColor="text1"/>
        </w:rPr>
        <w:t xml:space="preserve">Guardianship and Administration Amendment (Medical Research) Act 2020 </w:t>
      </w:r>
      <w:r>
        <w:rPr>
          <w:iCs/>
          <w:color w:val="000000" w:themeColor="text1"/>
        </w:rPr>
        <w:t xml:space="preserve">s. 13 and 15 were deleted before they came into operation by the </w:t>
      </w:r>
      <w:r>
        <w:rPr>
          <w:i/>
        </w:rPr>
        <w:t xml:space="preserve">Guardianship and Administration Amendment (Medical Research) Act 2023 </w:t>
      </w:r>
      <w:r>
        <w:rPr>
          <w:iCs/>
        </w:rPr>
        <w:t>s. 7 and 8.</w:t>
      </w:r>
    </w:p>
    <w:p/>
    <w:p>
      <w:pPr>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nHeading2"/>
        <w:rPr>
          <w:sz w:val="28"/>
        </w:rPr>
      </w:pPr>
      <w:bookmarkStart w:id="424" w:name="_Toc161843392"/>
      <w:bookmarkStart w:id="425" w:name="_Toc161846107"/>
      <w:bookmarkStart w:id="426" w:name="_Toc161907088"/>
      <w:r>
        <w:rPr>
          <w:sz w:val="28"/>
        </w:rPr>
        <w:lastRenderedPageBreak/>
        <w:t>Defined terms</w:t>
      </w:r>
      <w:bookmarkEnd w:id="424"/>
      <w:bookmarkEnd w:id="425"/>
      <w:bookmarkEnd w:id="4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114(4)</w:t>
      </w:r>
    </w:p>
    <w:p>
      <w:pPr>
        <w:pStyle w:val="DefinedTerms"/>
      </w:pPr>
      <w:r>
        <w:t>administration order</w:t>
      </w:r>
      <w:r>
        <w:tab/>
        <w:t>3(1)</w:t>
      </w:r>
    </w:p>
    <w:p>
      <w:pPr>
        <w:pStyle w:val="DefinedTerms"/>
      </w:pPr>
      <w:r>
        <w:t>administrator</w:t>
      </w:r>
      <w:r>
        <w:tab/>
        <w:t>3(1)</w:t>
      </w:r>
    </w:p>
    <w:p>
      <w:pPr>
        <w:pStyle w:val="DefinedTerms"/>
      </w:pPr>
      <w:r>
        <w:t>advance health directive</w:t>
      </w:r>
      <w:r>
        <w:tab/>
        <w:t>3(1), 110ZH</w:t>
      </w:r>
    </w:p>
    <w:p>
      <w:pPr>
        <w:pStyle w:val="DefinedTerms"/>
      </w:pPr>
      <w:r>
        <w:t>application</w:t>
      </w:r>
      <w:r>
        <w:tab/>
        <w:t>3(1)</w:t>
      </w:r>
    </w:p>
    <w:p>
      <w:pPr>
        <w:pStyle w:val="DefinedTerms"/>
      </w:pPr>
      <w:r>
        <w:t>appointee</w:t>
      </w:r>
      <w:r>
        <w:tab/>
        <w:t>110E(1)</w:t>
      </w:r>
    </w:p>
    <w:p>
      <w:pPr>
        <w:pStyle w:val="DefinedTerms"/>
      </w:pPr>
      <w:r>
        <w:t>appointor</w:t>
      </w:r>
      <w:r>
        <w:tab/>
        <w:t>110A</w:t>
      </w:r>
    </w:p>
    <w:p>
      <w:pPr>
        <w:pStyle w:val="DefinedTerms"/>
      </w:pPr>
      <w:r>
        <w:t>corporate trustee</w:t>
      </w:r>
      <w:r>
        <w:tab/>
        <w:t>3(1)</w:t>
      </w:r>
    </w:p>
    <w:p>
      <w:pPr>
        <w:pStyle w:val="DefinedTerms"/>
      </w:pPr>
      <w:r>
        <w:t>Court</w:t>
      </w:r>
      <w:r>
        <w:tab/>
        <w:t>18(1)</w:t>
      </w:r>
    </w:p>
    <w:p>
      <w:pPr>
        <w:pStyle w:val="DefinedTerms"/>
      </w:pPr>
      <w:r>
        <w:t>Deputy President</w:t>
      </w:r>
      <w:r>
        <w:tab/>
        <w:t>3(1)</w:t>
      </w:r>
    </w:p>
    <w:p>
      <w:pPr>
        <w:pStyle w:val="DefinedTerms"/>
      </w:pPr>
      <w:r>
        <w:t>designated country</w:t>
      </w:r>
      <w:r>
        <w:tab/>
        <w:t>67(5)</w:t>
      </w:r>
    </w:p>
    <w:p>
      <w:pPr>
        <w:pStyle w:val="DefinedTerms"/>
      </w:pPr>
      <w:r>
        <w:t>determination</w:t>
      </w:r>
      <w:r>
        <w:tab/>
        <w:t>3(1)</w:t>
      </w:r>
    </w:p>
    <w:p>
      <w:pPr>
        <w:pStyle w:val="DefinedTerms"/>
      </w:pPr>
      <w:r>
        <w:t>donee</w:t>
      </w:r>
      <w:r>
        <w:tab/>
        <w:t>102</w:t>
      </w:r>
    </w:p>
    <w:p>
      <w:pPr>
        <w:pStyle w:val="DefinedTerms"/>
      </w:pPr>
      <w:r>
        <w:t>electroconvulsive therapy</w:t>
      </w:r>
      <w:r>
        <w:tab/>
        <w:t>3(1)</w:t>
      </w:r>
    </w:p>
    <w:p>
      <w:pPr>
        <w:pStyle w:val="DefinedTerms"/>
      </w:pPr>
      <w:r>
        <w:t>enduring guardian</w:t>
      </w:r>
      <w:r>
        <w:tab/>
        <w:t>3(1)</w:t>
      </w:r>
    </w:p>
    <w:p>
      <w:pPr>
        <w:pStyle w:val="DefinedTerms"/>
      </w:pPr>
      <w:r>
        <w:t>enduring power of attorney</w:t>
      </w:r>
      <w:r>
        <w:tab/>
        <w:t>102</w:t>
      </w:r>
    </w:p>
    <w:p>
      <w:pPr>
        <w:pStyle w:val="DefinedTerms"/>
      </w:pPr>
      <w:r>
        <w:t>enduring power of guardianship</w:t>
      </w:r>
      <w:r>
        <w:tab/>
        <w:t>3(1)</w:t>
      </w:r>
    </w:p>
    <w:p>
      <w:pPr>
        <w:pStyle w:val="DefinedTerms"/>
      </w:pPr>
      <w:r>
        <w:t>executive officer</w:t>
      </w:r>
      <w:r>
        <w:tab/>
        <w:t>3(1)</w:t>
      </w:r>
    </w:p>
    <w:p>
      <w:pPr>
        <w:pStyle w:val="DefinedTerms"/>
      </w:pPr>
      <w:r>
        <w:t>foreign administrator</w:t>
      </w:r>
      <w:r>
        <w:tab/>
        <w:t>83B(4)</w:t>
      </w:r>
    </w:p>
    <w:p>
      <w:pPr>
        <w:pStyle w:val="DefinedTerms"/>
      </w:pPr>
      <w:r>
        <w:t>Full Tribunal</w:t>
      </w:r>
      <w:r>
        <w:tab/>
        <w:t>3(1)</w:t>
      </w:r>
    </w:p>
    <w:p>
      <w:pPr>
        <w:pStyle w:val="DefinedTerms"/>
      </w:pPr>
      <w:r>
        <w:t>guardian</w:t>
      </w:r>
      <w:r>
        <w:tab/>
        <w:t>3(1)</w:t>
      </w:r>
    </w:p>
    <w:p>
      <w:pPr>
        <w:pStyle w:val="DefinedTerms"/>
      </w:pPr>
      <w:r>
        <w:t>guardianship order</w:t>
      </w:r>
      <w:r>
        <w:tab/>
        <w:t>3(1)</w:t>
      </w:r>
    </w:p>
    <w:p>
      <w:pPr>
        <w:pStyle w:val="DefinedTerms"/>
      </w:pPr>
      <w:r>
        <w:t>Health Minister</w:t>
      </w:r>
      <w:r>
        <w:tab/>
        <w:t>110ZO</w:t>
      </w:r>
    </w:p>
    <w:p>
      <w:pPr>
        <w:pStyle w:val="DefinedTerms"/>
      </w:pPr>
      <w:r>
        <w:t>health professional</w:t>
      </w:r>
      <w:r>
        <w:tab/>
        <w:t>110ZH</w:t>
      </w:r>
    </w:p>
    <w:p>
      <w:pPr>
        <w:pStyle w:val="DefinedTerms"/>
      </w:pPr>
      <w:r>
        <w:t>HREC</w:t>
      </w:r>
      <w:r>
        <w:tab/>
        <w:t>110ZO</w:t>
      </w:r>
    </w:p>
    <w:p>
      <w:pPr>
        <w:pStyle w:val="DefinedTerms"/>
      </w:pPr>
      <w:r>
        <w:t>independent medical practitioner</w:t>
      </w:r>
      <w:r>
        <w:tab/>
        <w:t>110ZO</w:t>
      </w:r>
    </w:p>
    <w:p>
      <w:pPr>
        <w:pStyle w:val="DefinedTerms"/>
      </w:pPr>
      <w:r>
        <w:t>lead researcher</w:t>
      </w:r>
      <w:r>
        <w:tab/>
        <w:t>110ZO</w:t>
      </w:r>
    </w:p>
    <w:p>
      <w:pPr>
        <w:pStyle w:val="DefinedTerms"/>
      </w:pPr>
      <w:r>
        <w:t>life sustaining measure</w:t>
      </w:r>
      <w:r>
        <w:tab/>
        <w:t>3(1)</w:t>
      </w:r>
    </w:p>
    <w:p>
      <w:pPr>
        <w:pStyle w:val="DefinedTerms"/>
      </w:pPr>
      <w:r>
        <w:t>medical practitioner</w:t>
      </w:r>
      <w:r>
        <w:tab/>
        <w:t>110ZO</w:t>
      </w:r>
    </w:p>
    <w:p>
      <w:pPr>
        <w:pStyle w:val="DefinedTerms"/>
      </w:pPr>
      <w:r>
        <w:t>medical research</w:t>
      </w:r>
      <w:r>
        <w:tab/>
        <w:t>3(1), 3AA(1), (2), (3)</w:t>
      </w:r>
    </w:p>
    <w:p>
      <w:pPr>
        <w:pStyle w:val="DefinedTerms"/>
      </w:pPr>
      <w:r>
        <w:t>member</w:t>
      </w:r>
      <w:r>
        <w:tab/>
        <w:t>3(1)</w:t>
      </w:r>
    </w:p>
    <w:p>
      <w:pPr>
        <w:pStyle w:val="DefinedTerms"/>
      </w:pPr>
      <w:r>
        <w:t>mental disability</w:t>
      </w:r>
      <w:r>
        <w:tab/>
        <w:t>3(1)</w:t>
      </w:r>
    </w:p>
    <w:p>
      <w:pPr>
        <w:pStyle w:val="DefinedTerms"/>
      </w:pPr>
      <w:r>
        <w:t>National Statement</w:t>
      </w:r>
      <w:r>
        <w:tab/>
        <w:t>110ZO</w:t>
      </w:r>
    </w:p>
    <w:p>
      <w:pPr>
        <w:pStyle w:val="DefinedTerms"/>
      </w:pPr>
      <w:r>
        <w:t>nearest relative</w:t>
      </w:r>
      <w:r>
        <w:tab/>
        <w:t>3(1)</w:t>
      </w:r>
    </w:p>
    <w:p>
      <w:pPr>
        <w:pStyle w:val="DefinedTerms"/>
      </w:pPr>
      <w:r>
        <w:t>palliative care</w:t>
      </w:r>
      <w:r>
        <w:tab/>
        <w:t>3(1)</w:t>
      </w:r>
    </w:p>
    <w:p>
      <w:pPr>
        <w:pStyle w:val="DefinedTerms"/>
      </w:pPr>
      <w:r>
        <w:t>party</w:t>
      </w:r>
      <w:r>
        <w:tab/>
        <w:t>3(1)</w:t>
      </w:r>
    </w:p>
    <w:p>
      <w:pPr>
        <w:pStyle w:val="DefinedTerms"/>
      </w:pPr>
      <w:r>
        <w:t>patient</w:t>
      </w:r>
      <w:r>
        <w:tab/>
        <w:t>110ZC, 110ZH</w:t>
      </w:r>
    </w:p>
    <w:p>
      <w:pPr>
        <w:pStyle w:val="DefinedTerms"/>
      </w:pPr>
      <w:r>
        <w:t>personal information</w:t>
      </w:r>
      <w:r>
        <w:tab/>
        <w:t>3(1)</w:t>
      </w:r>
    </w:p>
    <w:p>
      <w:pPr>
        <w:pStyle w:val="DefinedTerms"/>
      </w:pPr>
      <w:r>
        <w:t>placebo</w:t>
      </w:r>
      <w:r>
        <w:tab/>
        <w:t>3(1)</w:t>
      </w:r>
    </w:p>
    <w:p>
      <w:pPr>
        <w:pStyle w:val="DefinedTerms"/>
      </w:pPr>
      <w:r>
        <w:lastRenderedPageBreak/>
        <w:t>prescribed day</w:t>
      </w:r>
      <w:r>
        <w:tab/>
        <w:t>Sch. 5 cl. 7(1)</w:t>
      </w:r>
    </w:p>
    <w:p>
      <w:pPr>
        <w:pStyle w:val="DefinedTerms"/>
      </w:pPr>
      <w:r>
        <w:t>President</w:t>
      </w:r>
      <w:r>
        <w:tab/>
        <w:t>3(1)</w:t>
      </w:r>
    </w:p>
    <w:p>
      <w:pPr>
        <w:pStyle w:val="DefinedTerms"/>
      </w:pPr>
      <w:r>
        <w:t>procedure for the sterilisation</w:t>
      </w:r>
      <w:r>
        <w:tab/>
        <w:t>56, 110ZT(1)</w:t>
      </w:r>
    </w:p>
    <w:p>
      <w:pPr>
        <w:pStyle w:val="DefinedTerms"/>
      </w:pPr>
      <w:r>
        <w:t>Public Advocate</w:t>
      </w:r>
      <w:r>
        <w:tab/>
        <w:t>3(1)</w:t>
      </w:r>
    </w:p>
    <w:p>
      <w:pPr>
        <w:pStyle w:val="DefinedTerms"/>
      </w:pPr>
      <w:r>
        <w:t>Public Trustee</w:t>
      </w:r>
      <w:r>
        <w:tab/>
        <w:t>3(1)</w:t>
      </w:r>
    </w:p>
    <w:p>
      <w:pPr>
        <w:pStyle w:val="DefinedTerms"/>
      </w:pPr>
      <w:r>
        <w:t>registered health practitioner</w:t>
      </w:r>
      <w:r>
        <w:tab/>
        <w:t>110ZO</w:t>
      </w:r>
    </w:p>
    <w:p>
      <w:pPr>
        <w:pStyle w:val="DefinedTerms"/>
      </w:pPr>
      <w:r>
        <w:t>relevant finding</w:t>
      </w:r>
      <w:r>
        <w:tab/>
        <w:t>67(5)</w:t>
      </w:r>
    </w:p>
    <w:p>
      <w:pPr>
        <w:pStyle w:val="DefinedTerms"/>
      </w:pPr>
      <w:r>
        <w:t>relevant official</w:t>
      </w:r>
      <w:r>
        <w:tab/>
        <w:t>83C(4)</w:t>
      </w:r>
    </w:p>
    <w:p>
      <w:pPr>
        <w:pStyle w:val="DefinedTerms"/>
      </w:pPr>
      <w:r>
        <w:t>report request</w:t>
      </w:r>
      <w:r>
        <w:tab/>
        <w:t>110ZZA(3)</w:t>
      </w:r>
    </w:p>
    <w:p>
      <w:pPr>
        <w:pStyle w:val="DefinedTerms"/>
      </w:pPr>
      <w:r>
        <w:t>represented person</w:t>
      </w:r>
      <w:r>
        <w:tab/>
        <w:t>3(1), 56</w:t>
      </w:r>
    </w:p>
    <w:p>
      <w:pPr>
        <w:pStyle w:val="DefinedTerms"/>
      </w:pPr>
      <w:r>
        <w:t>research candidate</w:t>
      </w:r>
      <w:r>
        <w:tab/>
        <w:t>3(1)</w:t>
      </w:r>
    </w:p>
    <w:p>
      <w:pPr>
        <w:pStyle w:val="DefinedTerms"/>
      </w:pPr>
      <w:r>
        <w:t>research decision</w:t>
      </w:r>
      <w:r>
        <w:tab/>
        <w:t>3(1)</w:t>
      </w:r>
    </w:p>
    <w:p>
      <w:pPr>
        <w:pStyle w:val="DefinedTerms"/>
      </w:pPr>
      <w:r>
        <w:t>research decision-maker</w:t>
      </w:r>
      <w:r>
        <w:tab/>
        <w:t>3(1), 110ZP(1)</w:t>
      </w:r>
    </w:p>
    <w:p>
      <w:pPr>
        <w:pStyle w:val="DefinedTerms"/>
      </w:pPr>
      <w:r>
        <w:t>researcher</w:t>
      </w:r>
      <w:r>
        <w:tab/>
        <w:t>110ZO</w:t>
      </w:r>
    </w:p>
    <w:p>
      <w:pPr>
        <w:pStyle w:val="DefinedTerms"/>
      </w:pPr>
      <w:r>
        <w:t>review application</w:t>
      </w:r>
      <w:r>
        <w:tab/>
        <w:t>110ZO</w:t>
      </w:r>
    </w:p>
    <w:p>
      <w:pPr>
        <w:pStyle w:val="DefinedTerms"/>
      </w:pPr>
      <w:r>
        <w:t>reviewed decision</w:t>
      </w:r>
      <w:r>
        <w:tab/>
        <w:t>110ZO</w:t>
      </w:r>
    </w:p>
    <w:p>
      <w:pPr>
        <w:pStyle w:val="DefinedTerms"/>
      </w:pPr>
      <w:r>
        <w:t>substitute enduring guardian</w:t>
      </w:r>
      <w:r>
        <w:tab/>
        <w:t>3(1)</w:t>
      </w:r>
    </w:p>
    <w:p>
      <w:pPr>
        <w:pStyle w:val="DefinedTerms"/>
      </w:pPr>
      <w:r>
        <w:t>take research action</w:t>
      </w:r>
      <w:r>
        <w:tab/>
        <w:t>110ZX(1)</w:t>
      </w:r>
    </w:p>
    <w:p>
      <w:pPr>
        <w:pStyle w:val="DefinedTerms"/>
      </w:pPr>
      <w:r>
        <w:t>take treatment action</w:t>
      </w:r>
      <w:r>
        <w:tab/>
        <w:t>110ZK(1)</w:t>
      </w:r>
    </w:p>
    <w:p>
      <w:pPr>
        <w:pStyle w:val="DefinedTerms"/>
      </w:pPr>
      <w:r>
        <w:t>treatment</w:t>
      </w:r>
      <w:r>
        <w:tab/>
        <w:t>3(1)</w:t>
      </w:r>
    </w:p>
    <w:p>
      <w:pPr>
        <w:pStyle w:val="DefinedTerms"/>
      </w:pPr>
      <w:r>
        <w:t>treatment decision</w:t>
      </w:r>
      <w:r>
        <w:tab/>
        <w:t>3(1)</w:t>
      </w:r>
    </w:p>
    <w:p>
      <w:pPr>
        <w:pStyle w:val="DefinedTerms"/>
      </w:pPr>
      <w:r>
        <w:t>urgent medical research decision</w:t>
      </w:r>
      <w:r>
        <w:tab/>
        <w:t>110ZO</w:t>
      </w:r>
    </w:p>
    <w:p>
      <w:pPr>
        <w:pStyle w:val="DefinedTerms"/>
      </w:pPr>
      <w:r>
        <w:t>urgent treatment</w:t>
      </w:r>
      <w:r>
        <w:tab/>
        <w:t>110ZH</w:t>
      </w:r>
    </w:p>
    <w:p>
      <w:pPr>
        <w:sectPr>
          <w:headerReference w:type="even" r:id="rId35"/>
          <w:headerReference w:type="default" r:id="rId36"/>
          <w:pgSz w:w="11907" w:h="16840" w:code="9"/>
          <w:pgMar w:top="2381" w:right="2409" w:bottom="3543" w:left="2409" w:header="720" w:footer="3544" w:gutter="0"/>
          <w:cols w:space="720"/>
          <w:noEndnote/>
          <w:docGrid w:linePitch="326"/>
        </w:sectPr>
      </w:pPr>
    </w:p>
    <w:p/>
    <w:p>
      <w:pPr>
        <w:sectPr>
          <w:headerReference w:type="even" r:id="rId37"/>
          <w:headerReference w:type="default" r:id="rId38"/>
          <w:type w:val="continuous"/>
          <w:pgSz w:w="11907" w:h="16840" w:code="9"/>
          <w:pgMar w:top="2381" w:right="2409" w:bottom="3543" w:left="2409" w:header="720" w:footer="3544" w:gutter="0"/>
          <w:cols w:space="720"/>
          <w:noEndnote/>
          <w:docGrid w:linePitch="326"/>
        </w:sectPr>
      </w:pPr>
    </w:p>
    <w:p>
      <w:pPr>
        <w:pStyle w:val="nHeading2"/>
        <w:rPr>
          <w:sz w:val="28"/>
        </w:rPr>
      </w:pPr>
      <w:bookmarkStart w:id="427" w:name="_Toc161907089"/>
      <w:r>
        <w:rPr>
          <w:sz w:val="28"/>
        </w:rPr>
        <w:lastRenderedPageBreak/>
        <w:t>Defined terms</w:t>
      </w:r>
      <w:bookmarkEnd w:id="4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abortion treatment decision</w:t>
      </w:r>
      <w:r>
        <w:tab/>
        <w:t>110ZLD(1)</w:t>
      </w:r>
    </w:p>
    <w:p>
      <w:pPr>
        <w:pStyle w:val="DefinedTerms"/>
      </w:pPr>
      <w:r>
        <w:t>act</w:t>
      </w:r>
      <w:r>
        <w:tab/>
        <w:t>114(4)</w:t>
      </w:r>
    </w:p>
    <w:p>
      <w:pPr>
        <w:pStyle w:val="DefinedTerms"/>
      </w:pPr>
      <w:r>
        <w:t>administration order</w:t>
      </w:r>
      <w:r>
        <w:tab/>
        <w:t>3(1)</w:t>
      </w:r>
    </w:p>
    <w:p>
      <w:pPr>
        <w:pStyle w:val="DefinedTerms"/>
      </w:pPr>
      <w:r>
        <w:t>administrator</w:t>
      </w:r>
      <w:r>
        <w:tab/>
        <w:t>3(1)</w:t>
      </w:r>
    </w:p>
    <w:p>
      <w:pPr>
        <w:pStyle w:val="DefinedTerms"/>
      </w:pPr>
      <w:r>
        <w:t>advance health directive</w:t>
      </w:r>
      <w:r>
        <w:tab/>
        <w:t>3(1), 110ZH</w:t>
      </w:r>
    </w:p>
    <w:p>
      <w:pPr>
        <w:pStyle w:val="DefinedTerms"/>
      </w:pPr>
      <w:r>
        <w:t>application</w:t>
      </w:r>
      <w:r>
        <w:tab/>
        <w:t>3(1)</w:t>
      </w:r>
    </w:p>
    <w:p>
      <w:pPr>
        <w:pStyle w:val="DefinedTerms"/>
      </w:pPr>
      <w:r>
        <w:t>appointee</w:t>
      </w:r>
      <w:r>
        <w:tab/>
        <w:t>110E(1)</w:t>
      </w:r>
    </w:p>
    <w:p>
      <w:pPr>
        <w:pStyle w:val="DefinedTerms"/>
      </w:pPr>
      <w:r>
        <w:t>appointor</w:t>
      </w:r>
      <w:r>
        <w:tab/>
        <w:t>110A</w:t>
      </w:r>
    </w:p>
    <w:p>
      <w:pPr>
        <w:pStyle w:val="DefinedTerms"/>
      </w:pPr>
      <w:r>
        <w:t>corporate trustee</w:t>
      </w:r>
      <w:r>
        <w:tab/>
        <w:t>3(1)</w:t>
      </w:r>
    </w:p>
    <w:p>
      <w:pPr>
        <w:pStyle w:val="DefinedTerms"/>
      </w:pPr>
      <w:r>
        <w:t>Court</w:t>
      </w:r>
      <w:r>
        <w:tab/>
        <w:t>18(1)</w:t>
      </w:r>
    </w:p>
    <w:p>
      <w:pPr>
        <w:pStyle w:val="DefinedTerms"/>
      </w:pPr>
      <w:r>
        <w:t>Deputy President</w:t>
      </w:r>
      <w:r>
        <w:tab/>
        <w:t>3</w:t>
      </w:r>
    </w:p>
    <w:p>
      <w:pPr>
        <w:pStyle w:val="DefinedTerms"/>
      </w:pPr>
      <w:r>
        <w:t>designated country</w:t>
      </w:r>
      <w:r>
        <w:tab/>
        <w:t>67(5)</w:t>
      </w:r>
    </w:p>
    <w:p>
      <w:pPr>
        <w:pStyle w:val="DefinedTerms"/>
      </w:pPr>
      <w:r>
        <w:t>determination</w:t>
      </w:r>
      <w:r>
        <w:tab/>
        <w:t>3(1), 30(1A)</w:t>
      </w:r>
    </w:p>
    <w:p>
      <w:pPr>
        <w:pStyle w:val="DefinedTerms"/>
      </w:pPr>
      <w:r>
        <w:t>donee</w:t>
      </w:r>
      <w:r>
        <w:tab/>
        <w:t>102</w:t>
      </w:r>
    </w:p>
    <w:p>
      <w:pPr>
        <w:pStyle w:val="DefinedTerms"/>
      </w:pPr>
      <w:r>
        <w:t>electroconvulsive therapy</w:t>
      </w:r>
      <w:r>
        <w:tab/>
        <w:t>3(1)</w:t>
      </w:r>
    </w:p>
    <w:p>
      <w:pPr>
        <w:pStyle w:val="DefinedTerms"/>
      </w:pPr>
      <w:r>
        <w:t>enduring guardian</w:t>
      </w:r>
      <w:r>
        <w:tab/>
        <w:t>3(1)</w:t>
      </w:r>
    </w:p>
    <w:p>
      <w:pPr>
        <w:pStyle w:val="DefinedTerms"/>
      </w:pPr>
      <w:r>
        <w:t>enduring power of attorney</w:t>
      </w:r>
      <w:r>
        <w:tab/>
        <w:t>102</w:t>
      </w:r>
    </w:p>
    <w:p>
      <w:pPr>
        <w:pStyle w:val="DefinedTerms"/>
      </w:pPr>
      <w:r>
        <w:t>enduring power of guardianship</w:t>
      </w:r>
      <w:r>
        <w:tab/>
        <w:t>3(1)</w:t>
      </w:r>
    </w:p>
    <w:p>
      <w:pPr>
        <w:pStyle w:val="DefinedTerms"/>
      </w:pPr>
      <w:r>
        <w:t>executive officer</w:t>
      </w:r>
      <w:r>
        <w:tab/>
        <w:t>3(1)</w:t>
      </w:r>
    </w:p>
    <w:p>
      <w:pPr>
        <w:pStyle w:val="DefinedTerms"/>
      </w:pPr>
      <w:r>
        <w:t>foreign administrator</w:t>
      </w:r>
      <w:r>
        <w:tab/>
        <w:t>83B(4)</w:t>
      </w:r>
    </w:p>
    <w:p>
      <w:pPr>
        <w:pStyle w:val="DefinedTerms"/>
      </w:pPr>
      <w:r>
        <w:t>Full Tribunal</w:t>
      </w:r>
      <w:r>
        <w:tab/>
        <w:t>3(1)</w:t>
      </w:r>
    </w:p>
    <w:p>
      <w:pPr>
        <w:pStyle w:val="DefinedTerms"/>
      </w:pPr>
      <w:r>
        <w:t>guardian</w:t>
      </w:r>
      <w:r>
        <w:tab/>
        <w:t>3(1)</w:t>
      </w:r>
    </w:p>
    <w:p>
      <w:pPr>
        <w:pStyle w:val="DefinedTerms"/>
      </w:pPr>
      <w:r>
        <w:t>guardianship order</w:t>
      </w:r>
      <w:r>
        <w:tab/>
        <w:t>3(1)</w:t>
      </w:r>
    </w:p>
    <w:p>
      <w:pPr>
        <w:pStyle w:val="DefinedTerms"/>
      </w:pPr>
      <w:r>
        <w:t>Health Minister</w:t>
      </w:r>
      <w:r>
        <w:tab/>
        <w:t>110ZO</w:t>
      </w:r>
    </w:p>
    <w:p>
      <w:pPr>
        <w:pStyle w:val="DefinedTerms"/>
      </w:pPr>
      <w:r>
        <w:t>health professional</w:t>
      </w:r>
      <w:r>
        <w:tab/>
        <w:t>110ZH</w:t>
      </w:r>
    </w:p>
    <w:p>
      <w:pPr>
        <w:pStyle w:val="DefinedTerms"/>
      </w:pPr>
      <w:r>
        <w:t>HREC</w:t>
      </w:r>
      <w:r>
        <w:tab/>
        <w:t>110ZO</w:t>
      </w:r>
    </w:p>
    <w:p>
      <w:pPr>
        <w:pStyle w:val="DefinedTerms"/>
      </w:pPr>
      <w:r>
        <w:t>independent medical practitioner</w:t>
      </w:r>
      <w:r>
        <w:tab/>
        <w:t>110ZO</w:t>
      </w:r>
    </w:p>
    <w:p>
      <w:pPr>
        <w:pStyle w:val="DefinedTerms"/>
      </w:pPr>
      <w:r>
        <w:t>lead researcher</w:t>
      </w:r>
      <w:r>
        <w:tab/>
        <w:t>110ZO</w:t>
      </w:r>
    </w:p>
    <w:p>
      <w:pPr>
        <w:pStyle w:val="DefinedTerms"/>
      </w:pPr>
      <w:r>
        <w:t>life sustaining measure</w:t>
      </w:r>
      <w:r>
        <w:tab/>
        <w:t>3(1)</w:t>
      </w:r>
    </w:p>
    <w:p>
      <w:pPr>
        <w:pStyle w:val="DefinedTerms"/>
      </w:pPr>
      <w:r>
        <w:t>medical practitioner</w:t>
      </w:r>
      <w:r>
        <w:tab/>
        <w:t>110ZO</w:t>
      </w:r>
    </w:p>
    <w:p>
      <w:pPr>
        <w:pStyle w:val="DefinedTerms"/>
      </w:pPr>
      <w:r>
        <w:t>medical research</w:t>
      </w:r>
      <w:r>
        <w:tab/>
        <w:t>3(1), 3AA(1), (2), (3)</w:t>
      </w:r>
    </w:p>
    <w:p>
      <w:pPr>
        <w:pStyle w:val="DefinedTerms"/>
      </w:pPr>
      <w:r>
        <w:t>member</w:t>
      </w:r>
      <w:r>
        <w:tab/>
        <w:t>3(1)</w:t>
      </w:r>
    </w:p>
    <w:p>
      <w:pPr>
        <w:pStyle w:val="DefinedTerms"/>
      </w:pPr>
      <w:r>
        <w:t>mental disability</w:t>
      </w:r>
      <w:r>
        <w:tab/>
        <w:t>3(1)</w:t>
      </w:r>
    </w:p>
    <w:p>
      <w:pPr>
        <w:pStyle w:val="DefinedTerms"/>
      </w:pPr>
      <w:r>
        <w:t>National Statement</w:t>
      </w:r>
      <w:r>
        <w:tab/>
        <w:t>110ZO</w:t>
      </w:r>
    </w:p>
    <w:p>
      <w:pPr>
        <w:pStyle w:val="DefinedTerms"/>
      </w:pPr>
      <w:r>
        <w:t>nearest relative</w:t>
      </w:r>
      <w:r>
        <w:tab/>
        <w:t>3(1)</w:t>
      </w:r>
    </w:p>
    <w:p>
      <w:pPr>
        <w:pStyle w:val="DefinedTerms"/>
      </w:pPr>
      <w:r>
        <w:t>palliative care</w:t>
      </w:r>
      <w:r>
        <w:tab/>
        <w:t>3(1)</w:t>
      </w:r>
    </w:p>
    <w:p>
      <w:pPr>
        <w:pStyle w:val="DefinedTerms"/>
      </w:pPr>
      <w:r>
        <w:t>party</w:t>
      </w:r>
      <w:r>
        <w:tab/>
        <w:t>3(1)</w:t>
      </w:r>
    </w:p>
    <w:p>
      <w:pPr>
        <w:pStyle w:val="DefinedTerms"/>
      </w:pPr>
      <w:r>
        <w:t>patient</w:t>
      </w:r>
      <w:r>
        <w:tab/>
        <w:t>110ZC, 110ZH</w:t>
      </w:r>
    </w:p>
    <w:p>
      <w:pPr>
        <w:pStyle w:val="DefinedTerms"/>
      </w:pPr>
      <w:r>
        <w:t>personal information</w:t>
      </w:r>
      <w:r>
        <w:tab/>
        <w:t>3(1)</w:t>
      </w:r>
    </w:p>
    <w:p>
      <w:pPr>
        <w:pStyle w:val="DefinedTerms"/>
      </w:pPr>
      <w:r>
        <w:lastRenderedPageBreak/>
        <w:t>placebo</w:t>
      </w:r>
      <w:r>
        <w:tab/>
        <w:t>3(1)</w:t>
      </w:r>
    </w:p>
    <w:p>
      <w:pPr>
        <w:pStyle w:val="DefinedTerms"/>
      </w:pPr>
      <w:r>
        <w:t>prescribed day</w:t>
      </w:r>
      <w:r>
        <w:tab/>
        <w:t>Sch. 5 cl. 7(1)</w:t>
      </w:r>
    </w:p>
    <w:p>
      <w:pPr>
        <w:pStyle w:val="DefinedTerms"/>
      </w:pPr>
      <w:r>
        <w:t>President</w:t>
      </w:r>
      <w:r>
        <w:tab/>
        <w:t>3(1)</w:t>
      </w:r>
    </w:p>
    <w:p>
      <w:pPr>
        <w:pStyle w:val="DefinedTerms"/>
      </w:pPr>
      <w:r>
        <w:t>procedure for the sterilisation</w:t>
      </w:r>
      <w:r>
        <w:tab/>
        <w:t>56, 110ZT(1)</w:t>
      </w:r>
    </w:p>
    <w:p>
      <w:pPr>
        <w:pStyle w:val="DefinedTerms"/>
      </w:pPr>
      <w:r>
        <w:t>Public Advocate</w:t>
      </w:r>
      <w:r>
        <w:tab/>
        <w:t>3(1)</w:t>
      </w:r>
    </w:p>
    <w:p>
      <w:pPr>
        <w:pStyle w:val="DefinedTerms"/>
      </w:pPr>
      <w:r>
        <w:t>Public Trustee</w:t>
      </w:r>
      <w:r>
        <w:tab/>
        <w:t>3(1)</w:t>
      </w:r>
    </w:p>
    <w:p>
      <w:pPr>
        <w:pStyle w:val="DefinedTerms"/>
      </w:pPr>
      <w:r>
        <w:t>registered health practitioner</w:t>
      </w:r>
      <w:r>
        <w:tab/>
        <w:t>110ZO</w:t>
      </w:r>
    </w:p>
    <w:p>
      <w:pPr>
        <w:pStyle w:val="DefinedTerms"/>
      </w:pPr>
      <w:r>
        <w:t>relevant finding</w:t>
      </w:r>
      <w:r>
        <w:tab/>
        <w:t>67(5)</w:t>
      </w:r>
    </w:p>
    <w:p>
      <w:pPr>
        <w:pStyle w:val="DefinedTerms"/>
      </w:pPr>
      <w:r>
        <w:t>relevant official</w:t>
      </w:r>
      <w:r>
        <w:tab/>
        <w:t>83C(4)</w:t>
      </w:r>
    </w:p>
    <w:p>
      <w:pPr>
        <w:pStyle w:val="DefinedTerms"/>
      </w:pPr>
      <w:r>
        <w:t>report request</w:t>
      </w:r>
      <w:r>
        <w:tab/>
        <w:t>110ZZA(3)</w:t>
      </w:r>
    </w:p>
    <w:p>
      <w:pPr>
        <w:pStyle w:val="DefinedTerms"/>
      </w:pPr>
      <w:r>
        <w:t>represented person</w:t>
      </w:r>
      <w:r>
        <w:tab/>
        <w:t>3(1), 56</w:t>
      </w:r>
    </w:p>
    <w:p>
      <w:pPr>
        <w:pStyle w:val="DefinedTerms"/>
      </w:pPr>
      <w:r>
        <w:t>research candidate</w:t>
      </w:r>
      <w:r>
        <w:tab/>
        <w:t>3(1)</w:t>
      </w:r>
    </w:p>
    <w:p>
      <w:pPr>
        <w:pStyle w:val="DefinedTerms"/>
      </w:pPr>
      <w:r>
        <w:t>research decision</w:t>
      </w:r>
      <w:r>
        <w:tab/>
        <w:t>3(1)</w:t>
      </w:r>
    </w:p>
    <w:p>
      <w:pPr>
        <w:pStyle w:val="DefinedTerms"/>
      </w:pPr>
      <w:r>
        <w:t>research decision-maker</w:t>
      </w:r>
      <w:r>
        <w:tab/>
        <w:t>3(1), 110ZP(1)</w:t>
      </w:r>
    </w:p>
    <w:p>
      <w:pPr>
        <w:pStyle w:val="DefinedTerms"/>
      </w:pPr>
      <w:r>
        <w:t>researcher</w:t>
      </w:r>
      <w:r>
        <w:tab/>
        <w:t>110ZO</w:t>
      </w:r>
    </w:p>
    <w:p>
      <w:pPr>
        <w:pStyle w:val="DefinedTerms"/>
      </w:pPr>
      <w:r>
        <w:t>review application</w:t>
      </w:r>
      <w:r>
        <w:tab/>
        <w:t>110ZO</w:t>
      </w:r>
    </w:p>
    <w:p>
      <w:pPr>
        <w:pStyle w:val="DefinedTerms"/>
      </w:pPr>
      <w:r>
        <w:t>reviewed decision</w:t>
      </w:r>
      <w:r>
        <w:tab/>
        <w:t>110ZO</w:t>
      </w:r>
    </w:p>
    <w:p>
      <w:pPr>
        <w:pStyle w:val="DefinedTerms"/>
      </w:pPr>
      <w:r>
        <w:t>substitute enduring guardian</w:t>
      </w:r>
      <w:r>
        <w:tab/>
        <w:t>3(1)</w:t>
      </w:r>
    </w:p>
    <w:p>
      <w:pPr>
        <w:pStyle w:val="DefinedTerms"/>
      </w:pPr>
      <w:r>
        <w:t>take abortion action</w:t>
      </w:r>
      <w:r>
        <w:tab/>
        <w:t>110ZLD(1)</w:t>
      </w:r>
    </w:p>
    <w:p>
      <w:pPr>
        <w:pStyle w:val="DefinedTerms"/>
      </w:pPr>
      <w:r>
        <w:t>take research action</w:t>
      </w:r>
      <w:r>
        <w:tab/>
        <w:t>110ZX(1)</w:t>
      </w:r>
    </w:p>
    <w:p>
      <w:pPr>
        <w:pStyle w:val="DefinedTerms"/>
      </w:pPr>
      <w:r>
        <w:t>take treatment action</w:t>
      </w:r>
      <w:r>
        <w:tab/>
        <w:t>110ZK(1)</w:t>
      </w:r>
    </w:p>
    <w:p>
      <w:pPr>
        <w:pStyle w:val="DefinedTerms"/>
      </w:pPr>
      <w:r>
        <w:t>treatment</w:t>
      </w:r>
      <w:r>
        <w:tab/>
        <w:t>3(1)</w:t>
      </w:r>
    </w:p>
    <w:p>
      <w:pPr>
        <w:pStyle w:val="DefinedTerms"/>
      </w:pPr>
      <w:r>
        <w:t>treatment decision</w:t>
      </w:r>
      <w:r>
        <w:tab/>
        <w:t>3(1)</w:t>
      </w:r>
    </w:p>
    <w:p>
      <w:pPr>
        <w:pStyle w:val="DefinedTerms"/>
      </w:pPr>
      <w:r>
        <w:t>urgent medical research decision</w:t>
      </w:r>
      <w:r>
        <w:tab/>
        <w:t>110ZO</w:t>
      </w:r>
    </w:p>
    <w:p>
      <w:pPr>
        <w:pStyle w:val="DefinedTerms"/>
      </w:pPr>
      <w:r>
        <w:t>urgent treatment</w:t>
      </w:r>
      <w:r>
        <w:tab/>
        <w:t>110ZH</w:t>
      </w:r>
    </w:p>
    <w:p/>
    <w:p>
      <w:pPr>
        <w:sectPr>
          <w:headerReference w:type="even" r:id="rId39"/>
          <w:headerReference w:type="default" r:id="rId40"/>
          <w:pgSz w:w="11907" w:h="16840" w:code="9"/>
          <w:pgMar w:top="2381" w:right="2409" w:bottom="3543" w:left="2409" w:header="720" w:footer="3544" w:gutter="0"/>
          <w:cols w:space="720"/>
          <w:noEndnote/>
          <w:docGrid w:linePitch="326"/>
        </w:sectPr>
      </w:pPr>
    </w:p>
    <w:p>
      <w:pPr>
        <w:spacing w:after="40"/>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4D40B4E8"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73D38764" w14:textId="0C0663C9" w:rsidR="00C77C18" w:rsidRDefault="00B51E8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EA1A77">
                        <w:rPr>
                          <w:sz w:val="16"/>
                        </w:rPr>
                        <w:t>2024</w:t>
                      </w:r>
                      <w:r>
                        <w:rPr>
                          <w:sz w:val="16"/>
                        </w:rPr>
                        <w:fldChar w:fldCharType="end"/>
                      </w:r>
                      <w:r>
                        <w:rPr>
                          <w:sz w:val="16"/>
                        </w:rPr>
                        <w:t>.</w:t>
                      </w:r>
                    </w:p>
                    <w:p w14:paraId="14FE0729" w14:textId="77777777" w:rsidR="00C77C18" w:rsidRDefault="00B51E8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0655EDF" w14:textId="75AF1236" w:rsidR="00C77C18" w:rsidRDefault="00B51E8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EA1A77">
                        <w:rPr>
                          <w:sz w:val="16"/>
                        </w:rPr>
                        <w:t>2024</w:t>
                      </w:r>
                      <w:r>
                        <w:rPr>
                          <w:sz w:val="16"/>
                        </w:rPr>
                        <w:fldChar w:fldCharType="end"/>
                      </w:r>
                      <w:r>
                        <w:rPr>
                          <w:sz w:val="16"/>
                        </w:rPr>
                        <w:t>.</w:t>
                      </w:r>
                    </w:p>
                    <w:p w14:paraId="7BF58CF1" w14:textId="77777777" w:rsidR="00C77C18" w:rsidRDefault="00B51E8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05-s0-00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05-s0-00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05-s0-00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clxii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05-s0-00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05-s0-00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05-s0-00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387" w:name="Schedule"/>
    <w:bookmarkEnd w:id="38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proceedings of State Administrative Tribunal</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as to proceedings of State Administrative Tribunal</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for enduring power of attorney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ind w:right="315"/>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for enduring power of attorney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ind w:left="567"/>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23" w:name="Compilation"/>
    <w:bookmarkEnd w:id="4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bookmarkStart w:id="428" w:name="DefinedTerms"/>
    <w:bookmarkEnd w:id="428"/>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29" w:name="Coversheet"/>
    <w:bookmarkEnd w:id="4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D0D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8475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04D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60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3A35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BC26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AA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ACA4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F85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6649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9DE8C5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0160404"/>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 w:name="WAFER_20141104172538" w:val="RemoveTocBookmarks,RemoveUnusedBookmarks,RemoveLanguageTags,UsedStyles,ResetPageSize,UpdateArrangement"/>
    <w:docVar w:name="WAFER_20141104172538_GUID" w:val="42e6d4ea-540b-4bc8-a5a3-981bec00fe12"/>
    <w:docVar w:name="WAFER_20150512151304" w:val="ResetPageSize,UpdateArrangement,UpdateNTable"/>
    <w:docVar w:name="WAFER_20150512151304_GUID" w:val="fe43496a-7cd6-4fba-b639-ac60ec529e58"/>
    <w:docVar w:name="WAFER_20151105132048" w:val="UpdateStyles,UsedStyles"/>
    <w:docVar w:name="WAFER_20151105132048_GUID" w:val="3c4bbd94-dc46-4106-b3d1-cc826ce900e5"/>
    <w:docVar w:name="WAFER_20191220111350" w:val="RemoveTocBookmarks,RemoveUnusedBookmarks,RemoveLanguageTags,ResetPageSize,RunningHeaders,UpdateStyles,UsedStyles"/>
    <w:docVar w:name="WAFER_20191220111350_GUID" w:val="e06d3b40-539c-4532-8034-5a530124f5bc"/>
    <w:docVar w:name="WAFER_202002101543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4324_GUID" w:val="e7891727-48de-43c2-9082-133c18223edb"/>
    <w:docVar w:name="WAFER_20200407102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407102852_GUID" w:val="9acd8b7f-e1b6-4eca-b52e-e7bd828534fc"/>
    <w:docVar w:name="WAFER_20210617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908_GUID" w:val="a5b5dab8-42e2-455d-9ec9-9a1b37c3d84b"/>
    <w:docVar w:name="WAFER_202106251445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31_GUID" w:val="1e806d13-42a4-4b27-9e9f-45d6c52ff7c3"/>
    <w:docVar w:name="WAFER_202204081549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953_GUID" w:val="99fc1bfd-1748-4242-8a0f-0df2bca627d4"/>
    <w:docVar w:name="WAFER_202206290952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5240_GUID" w:val="3e4d3338-2059-45eb-bd43-b12821f296bb"/>
    <w:docVar w:name="WAFER_202304121152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254_GUID" w:val="5b3de0cd-d8fd-4a3d-beca-526ec38a48f9"/>
    <w:docVar w:name="WAFER_202309221203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2120335_GUID" w:val="fde69854-a570-4ed4-88f6-0d817c1a2d1c"/>
    <w:docVar w:name="WAFER_202312061158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06115824_GUID" w:val="742331c1-a3ba-47f0-bc32-246de81c377a"/>
    <w:docVar w:name="WAFER_202312061201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06120121_GUID" w:val="7f4bce85-5565-4493-9ece-c4179439548b"/>
    <w:docVar w:name="WAFER_202402161233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3337_GUID" w:val="a9f54619-0bc8-473f-a5af-ea596fea12f6"/>
    <w:docVar w:name="WAFER_202403201604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0160404_GUID" w:val="3af54310-4368-4367-b7bf-646a62fe1d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jpeg"/><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A54E-5A37-46FC-83D8-4DA48A4F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43823</Words>
  <Characters>215171</Characters>
  <Application>Microsoft Office Word</Application>
  <DocSecurity>0</DocSecurity>
  <Lines>5976</Lines>
  <Paragraphs>3453</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255541</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1990 - 05-s0-00</dc:title>
  <dc:subject/>
  <dc:creator/>
  <cp:keywords/>
  <dc:description/>
  <cp:lastModifiedBy>Master Repository Process</cp:lastModifiedBy>
  <cp:revision>4</cp:revision>
  <cp:lastPrinted>2014-09-11T02:46:00Z</cp:lastPrinted>
  <dcterms:created xsi:type="dcterms:W3CDTF">2024-03-26T03:27:00Z</dcterms:created>
  <dcterms:modified xsi:type="dcterms:W3CDTF">2024-03-26T03:27:00Z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DocumentType">
    <vt:lpwstr>Act</vt:lpwstr>
  </property>
  <property fmtid="{D5CDD505-2E9C-101B-9397-08002B2CF9AE}" pid="4" name="OwlsUID">
    <vt:i4>336</vt:i4>
  </property>
  <property fmtid="{D5CDD505-2E9C-101B-9397-08002B2CF9AE}" pid="5" name="ReprintNo">
    <vt:lpwstr>5</vt:lpwstr>
  </property>
  <property fmtid="{D5CDD505-2E9C-101B-9397-08002B2CF9AE}" pid="6" name="AsAtDate">
    <vt:lpwstr>27 Mar 2024</vt:lpwstr>
  </property>
  <property fmtid="{D5CDD505-2E9C-101B-9397-08002B2CF9AE}" pid="7" name="Suffix">
    <vt:lpwstr>05-s0-00</vt:lpwstr>
  </property>
  <property fmtid="{D5CDD505-2E9C-101B-9397-08002B2CF9AE}" pid="8" name="Official">
    <vt:lpwstr/>
  </property>
  <property fmtid="{D5CDD505-2E9C-101B-9397-08002B2CF9AE}" pid="9" name="CommencementDate">
    <vt:lpwstr>20240327</vt:lpwstr>
  </property>
  <property fmtid="{D5CDD505-2E9C-101B-9397-08002B2CF9AE}" pid="10" name="CommencementAsAt">
    <vt:filetime>2024-03-26T16:00:00Z</vt:filetime>
  </property>
  <property fmtid="{D5CDD505-2E9C-101B-9397-08002B2CF9AE}" pid="11" name="CommencementYear">
    <vt:lpwstr>2024</vt:lpwstr>
  </property>
</Properties>
</file>