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_Toc161843672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_Toc161843673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_Toc161843674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_Toc161843675 \h </w:instrText>
      </w:r>
      <w:r>
        <w:fldChar w:fldCharType="separate"/>
      </w:r>
      <w:r>
        <w:t>1</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_Toc161843676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_Toc161843680 \h </w:instrText>
      </w:r>
      <w:r>
        <w:fldChar w:fldCharType="separate"/>
      </w:r>
      <w:r>
        <w:t>1</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_Toc161843681 \h </w:instrText>
      </w:r>
      <w:r>
        <w:fldChar w:fldCharType="separate"/>
      </w:r>
      <w:r>
        <w:t>1</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_Toc161843682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_Toc161843684 \h </w:instrText>
      </w:r>
      <w:r>
        <w:fldChar w:fldCharType="separate"/>
      </w:r>
      <w:r>
        <w:t>1</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_Toc161843685 \h </w:instrText>
      </w:r>
      <w:r>
        <w:fldChar w:fldCharType="separate"/>
      </w:r>
      <w:r>
        <w:t>1</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_Toc161843686 \h </w:instrText>
      </w:r>
      <w:r>
        <w:fldChar w:fldCharType="separate"/>
      </w:r>
      <w:r>
        <w:t>1</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_Toc161843687 \h </w:instrText>
      </w:r>
      <w:r>
        <w:fldChar w:fldCharType="separate"/>
      </w:r>
      <w:r>
        <w:t>1</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_Toc161843688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_Toc161843690 \h </w:instrText>
      </w:r>
      <w:r>
        <w:fldChar w:fldCharType="separate"/>
      </w:r>
      <w:r>
        <w:t>1</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_Toc161843691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w:t>
      </w:r>
      <w:r>
        <w:tab/>
        <w:t>Chief Health Officer to approve qualifications and experience required by environmental health officers</w:t>
      </w:r>
      <w:r>
        <w:tab/>
      </w:r>
      <w:r>
        <w:fldChar w:fldCharType="begin"/>
      </w:r>
      <w:r>
        <w:instrText xml:space="preserve"> PAGEREF _Toc161843692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_Toc161843694 \h </w:instrText>
      </w:r>
      <w:r>
        <w:fldChar w:fldCharType="separate"/>
      </w:r>
      <w:r>
        <w:t>1</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_Toc161843695 \h </w:instrText>
      </w:r>
      <w:r>
        <w:fldChar w:fldCharType="separate"/>
      </w:r>
      <w:r>
        <w:t>1</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_Toc161843696 \h </w:instrText>
      </w:r>
      <w:r>
        <w:fldChar w:fldCharType="separate"/>
      </w:r>
      <w:r>
        <w:t>1</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_Toc161843697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_Toc161843699 \h </w:instrText>
      </w:r>
      <w:r>
        <w:fldChar w:fldCharType="separate"/>
      </w:r>
      <w:r>
        <w:t>1</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_Toc161843700 \h </w:instrText>
      </w:r>
      <w:r>
        <w:fldChar w:fldCharType="separate"/>
      </w:r>
      <w:r>
        <w:t>1</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_Toc161843701 \h </w:instrText>
      </w:r>
      <w:r>
        <w:fldChar w:fldCharType="separate"/>
      </w:r>
      <w:r>
        <w:t>1</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_Toc161843702 \h </w:instrText>
      </w:r>
      <w:r>
        <w:fldChar w:fldCharType="separate"/>
      </w:r>
      <w:r>
        <w:t>1</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_Toc161843703 \h </w:instrText>
      </w:r>
      <w:r>
        <w:fldChar w:fldCharType="separate"/>
      </w:r>
      <w:r>
        <w:t>1</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_Toc161843704 \h </w:instrText>
      </w:r>
      <w:r>
        <w:fldChar w:fldCharType="separate"/>
      </w:r>
      <w:r>
        <w:t>1</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_Toc161843705 \h </w:instrText>
      </w:r>
      <w:r>
        <w:fldChar w:fldCharType="separate"/>
      </w:r>
      <w:r>
        <w:t>1</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_Toc161843706 \h </w:instrText>
      </w:r>
      <w:r>
        <w:fldChar w:fldCharType="separate"/>
      </w:r>
      <w:r>
        <w:t>1</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_Toc161843707 \h </w:instrText>
      </w:r>
      <w:r>
        <w:fldChar w:fldCharType="separate"/>
      </w:r>
      <w:r>
        <w:t>1</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_Toc161843708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_Toc161843710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_Toc161843712 \h </w:instrText>
      </w:r>
      <w:r>
        <w:fldChar w:fldCharType="separate"/>
      </w:r>
      <w:r>
        <w:t>1</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_Toc161843713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_Toc161843715 \h </w:instrText>
      </w:r>
      <w:r>
        <w:fldChar w:fldCharType="separate"/>
      </w:r>
      <w:r>
        <w:t>1</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_Toc161843716 \h </w:instrText>
      </w:r>
      <w:r>
        <w:fldChar w:fldCharType="separate"/>
      </w:r>
      <w:r>
        <w:t>1</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_Toc161843717 \h </w:instrText>
      </w:r>
      <w:r>
        <w:fldChar w:fldCharType="separate"/>
      </w:r>
      <w:r>
        <w:t>1</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_Toc161843718 \h </w:instrText>
      </w:r>
      <w:r>
        <w:fldChar w:fldCharType="separate"/>
      </w:r>
      <w:r>
        <w:t>1</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_Toc161843719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41.</w:t>
      </w:r>
      <w:r>
        <w:tab/>
        <w:t>Determination by court of appropriate punishment</w:t>
      </w:r>
      <w:r>
        <w:tab/>
      </w:r>
      <w:r>
        <w:fldChar w:fldCharType="begin"/>
      </w:r>
      <w:r>
        <w:instrText xml:space="preserve"> PAGEREF _Toc161843720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_Toc161843723 \h </w:instrText>
      </w:r>
      <w:r>
        <w:fldChar w:fldCharType="separate"/>
      </w:r>
      <w:r>
        <w:t>1</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_Toc161843724 \h </w:instrText>
      </w:r>
      <w:r>
        <w:fldChar w:fldCharType="separate"/>
      </w:r>
      <w:r>
        <w:t>1</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_Toc161843725 \h </w:instrText>
      </w:r>
      <w:r>
        <w:fldChar w:fldCharType="separate"/>
      </w:r>
      <w:r>
        <w:t>1</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_Toc161843726 \h </w:instrText>
      </w:r>
      <w:r>
        <w:fldChar w:fldCharType="separate"/>
      </w:r>
      <w:r>
        <w:t>1</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_Toc161843727 \h </w:instrText>
      </w:r>
      <w:r>
        <w:fldChar w:fldCharType="separate"/>
      </w:r>
      <w:r>
        <w:t>1</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_Toc161843728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_Toc161843730 \h </w:instrText>
      </w:r>
      <w:r>
        <w:fldChar w:fldCharType="separate"/>
      </w:r>
      <w:r>
        <w:t>1</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_Toc161843731 \h </w:instrText>
      </w:r>
      <w:r>
        <w:fldChar w:fldCharType="separate"/>
      </w:r>
      <w:r>
        <w:t>1</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_Toc161843732 \h </w:instrText>
      </w:r>
      <w:r>
        <w:fldChar w:fldCharType="separate"/>
      </w:r>
      <w:r>
        <w:t>1</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_Toc161843733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_Toc161843735 \h </w:instrText>
      </w:r>
      <w:r>
        <w:fldChar w:fldCharType="separate"/>
      </w:r>
      <w:r>
        <w:t>1</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_Toc161843736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_Toc161843738 \h </w:instrText>
      </w:r>
      <w:r>
        <w:fldChar w:fldCharType="separate"/>
      </w:r>
      <w:r>
        <w:t>1</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_Toc161843739 \h </w:instrText>
      </w:r>
      <w:r>
        <w:fldChar w:fldCharType="separate"/>
      </w:r>
      <w:r>
        <w:t>1</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_Toc161843740 \h </w:instrText>
      </w:r>
      <w:r>
        <w:fldChar w:fldCharType="separate"/>
      </w:r>
      <w:r>
        <w:t>1</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_Toc161843741 \h </w:instrText>
      </w:r>
      <w:r>
        <w:fldChar w:fldCharType="separate"/>
      </w:r>
      <w:r>
        <w:t>1</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_Toc161843742 \h </w:instrText>
      </w:r>
      <w:r>
        <w:fldChar w:fldCharType="separate"/>
      </w:r>
      <w:r>
        <w:t>1</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_Toc161843743 \h </w:instrText>
      </w:r>
      <w:r>
        <w:fldChar w:fldCharType="separate"/>
      </w:r>
      <w:r>
        <w:t>1</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_Toc161843744 \h </w:instrText>
      </w:r>
      <w:r>
        <w:fldChar w:fldCharType="separate"/>
      </w:r>
      <w:r>
        <w:t>1</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_Toc161843745 \h </w:instrText>
      </w:r>
      <w:r>
        <w:fldChar w:fldCharType="separate"/>
      </w:r>
      <w:r>
        <w:t>1</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_Toc161843746 \h </w:instrText>
      </w:r>
      <w:r>
        <w:fldChar w:fldCharType="separate"/>
      </w:r>
      <w:r>
        <w:t>1</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_Toc161843747 \h </w:instrText>
      </w:r>
      <w:r>
        <w:fldChar w:fldCharType="separate"/>
      </w:r>
      <w:r>
        <w:t>1</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_Toc161843748 \h </w:instrText>
      </w:r>
      <w:r>
        <w:fldChar w:fldCharType="separate"/>
      </w:r>
      <w:r>
        <w:t>1</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_Toc161843749 \h </w:instrText>
      </w:r>
      <w:r>
        <w:fldChar w:fldCharType="separate"/>
      </w:r>
      <w:r>
        <w:t>1</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_Toc161843750 \h </w:instrText>
      </w:r>
      <w:r>
        <w:fldChar w:fldCharType="separate"/>
      </w:r>
      <w:r>
        <w:t>1</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_Toc161843751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113.</w:t>
      </w:r>
      <w:r>
        <w:tab/>
        <w:t>No liability for reporting test results</w:t>
      </w:r>
      <w:r>
        <w:tab/>
      </w:r>
      <w:r>
        <w:fldChar w:fldCharType="begin"/>
      </w:r>
      <w:r>
        <w:instrText xml:space="preserve"> PAGEREF _Toc161843752 \h </w:instrText>
      </w:r>
      <w:r>
        <w:fldChar w:fldCharType="separate"/>
      </w:r>
      <w:r>
        <w:t>1</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_Toc161843753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_Toc161843755 \h </w:instrText>
      </w:r>
      <w:r>
        <w:fldChar w:fldCharType="separate"/>
      </w:r>
      <w:r>
        <w:t>1</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_Toc161843756 \h </w:instrText>
      </w:r>
      <w:r>
        <w:fldChar w:fldCharType="separate"/>
      </w:r>
      <w:r>
        <w:t>1</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_Toc161843757 \h </w:instrText>
      </w:r>
      <w:r>
        <w:fldChar w:fldCharType="separate"/>
      </w:r>
      <w:r>
        <w:t>1</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_Toc161843758 \h </w:instrText>
      </w:r>
      <w:r>
        <w:fldChar w:fldCharType="separate"/>
      </w:r>
      <w:r>
        <w:t>1</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_Toc161843759 \h </w:instrText>
      </w:r>
      <w:r>
        <w:fldChar w:fldCharType="separate"/>
      </w:r>
      <w:r>
        <w:t>1</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_Toc161843760 \h </w:instrText>
      </w:r>
      <w:r>
        <w:fldChar w:fldCharType="separate"/>
      </w:r>
      <w:r>
        <w:t>1</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_Toc161843761 \h </w:instrText>
      </w:r>
      <w:r>
        <w:fldChar w:fldCharType="separate"/>
      </w:r>
      <w:r>
        <w:t>1</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_Toc161843762 \h </w:instrText>
      </w:r>
      <w:r>
        <w:fldChar w:fldCharType="separate"/>
      </w:r>
      <w:r>
        <w:t>1</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_Toc161843763 \h </w:instrText>
      </w:r>
      <w:r>
        <w:fldChar w:fldCharType="separate"/>
      </w:r>
      <w:r>
        <w:t>1</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_Toc161843764 \h </w:instrText>
      </w:r>
      <w:r>
        <w:fldChar w:fldCharType="separate"/>
      </w:r>
      <w:r>
        <w:t>1</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_Toc161843765 \h </w:instrText>
      </w:r>
      <w:r>
        <w:fldChar w:fldCharType="separate"/>
      </w:r>
      <w:r>
        <w:t>1</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_Toc161843766 \h </w:instrText>
      </w:r>
      <w:r>
        <w:fldChar w:fldCharType="separate"/>
      </w:r>
      <w:r>
        <w:t>1</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_Toc161843767 \h </w:instrText>
      </w:r>
      <w:r>
        <w:fldChar w:fldCharType="separate"/>
      </w:r>
      <w:r>
        <w:t>1</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_Toc161843768 \h </w:instrText>
      </w:r>
      <w:r>
        <w:fldChar w:fldCharType="separate"/>
      </w:r>
      <w:r>
        <w:t>1</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_Toc161843769 \h </w:instrText>
      </w:r>
      <w:r>
        <w:fldChar w:fldCharType="separate"/>
      </w:r>
      <w:r>
        <w:t>1</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_Toc161843770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_Toc161843772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_Toc161843774 \h </w:instrText>
      </w:r>
      <w:r>
        <w:fldChar w:fldCharType="separate"/>
      </w:r>
      <w:r>
        <w:t>1</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_Toc161843775 \h </w:instrText>
      </w:r>
      <w:r>
        <w:fldChar w:fldCharType="separate"/>
      </w:r>
      <w:r>
        <w:t>1</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_Toc161843776 \h </w:instrText>
      </w:r>
      <w:r>
        <w:fldChar w:fldCharType="separate"/>
      </w:r>
      <w:r>
        <w:t>1</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_Toc161843777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136.</w:t>
      </w:r>
      <w:r>
        <w:tab/>
        <w:t>Authorised officer to produce evidence of authority</w:t>
      </w:r>
      <w:r>
        <w:tab/>
      </w:r>
      <w:r>
        <w:fldChar w:fldCharType="begin"/>
      </w:r>
      <w:r>
        <w:instrText xml:space="preserve"> PAGEREF _Toc161843778 \h </w:instrText>
      </w:r>
      <w:r>
        <w:fldChar w:fldCharType="separate"/>
      </w:r>
      <w:r>
        <w:t>1</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_Toc161843779 \h </w:instrText>
      </w:r>
      <w:r>
        <w:fldChar w:fldCharType="separate"/>
      </w:r>
      <w:r>
        <w:t>1</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_Toc161843780 \h </w:instrText>
      </w:r>
      <w:r>
        <w:fldChar w:fldCharType="separate"/>
      </w:r>
      <w:r>
        <w:t>1</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_Toc161843781 \h </w:instrText>
      </w:r>
      <w:r>
        <w:fldChar w:fldCharType="separate"/>
      </w:r>
      <w:r>
        <w:t>1</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_Toc161843782 \h </w:instrText>
      </w:r>
      <w:r>
        <w:fldChar w:fldCharType="separate"/>
      </w:r>
      <w:r>
        <w:t>1</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_Toc161843783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Immunisation status of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141A.</w:t>
      </w:r>
      <w:r>
        <w:tab/>
        <w:t>Terms used</w:t>
      </w:r>
      <w:r>
        <w:tab/>
      </w:r>
      <w:r>
        <w:fldChar w:fldCharType="begin"/>
      </w:r>
      <w:r>
        <w:instrText xml:space="preserve"> PAGEREF _Toc161843786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Immunisation requirements for enrolment</w:t>
      </w:r>
    </w:p>
    <w:p>
      <w:pPr>
        <w:pStyle w:val="TOC8"/>
        <w:rPr>
          <w:rFonts w:asciiTheme="minorHAnsi" w:eastAsiaTheme="minorEastAsia" w:hAnsiTheme="minorHAnsi" w:cstheme="minorBidi"/>
          <w:szCs w:val="22"/>
        </w:rPr>
      </w:pPr>
      <w:r>
        <w:t>141B.</w:t>
      </w:r>
      <w:r>
        <w:tab/>
        <w:t>Responsible person to give immunisation status to person in charge</w:t>
      </w:r>
      <w:r>
        <w:tab/>
      </w:r>
      <w:r>
        <w:fldChar w:fldCharType="begin"/>
      </w:r>
      <w:r>
        <w:instrText xml:space="preserve"> PAGEREF _Toc161843788 \h </w:instrText>
      </w:r>
      <w:r>
        <w:fldChar w:fldCharType="separate"/>
      </w:r>
      <w:r>
        <w:t>1</w:t>
      </w:r>
      <w:r>
        <w:fldChar w:fldCharType="end"/>
      </w:r>
    </w:p>
    <w:p>
      <w:pPr>
        <w:pStyle w:val="TOC8"/>
        <w:rPr>
          <w:rFonts w:asciiTheme="minorHAnsi" w:eastAsiaTheme="minorEastAsia" w:hAnsiTheme="minorHAnsi" w:cstheme="minorBidi"/>
          <w:szCs w:val="22"/>
        </w:rPr>
      </w:pPr>
      <w:r>
        <w:t>141C.</w:t>
      </w:r>
      <w:r>
        <w:tab/>
        <w:t>Immunisation certificates issued or declared by Chief Health Officer</w:t>
      </w:r>
      <w:r>
        <w:tab/>
      </w:r>
      <w:r>
        <w:fldChar w:fldCharType="begin"/>
      </w:r>
      <w:r>
        <w:instrText xml:space="preserve"> PAGEREF _Toc161843789 \h </w:instrText>
      </w:r>
      <w:r>
        <w:fldChar w:fldCharType="separate"/>
      </w:r>
      <w:r>
        <w:t>1</w:t>
      </w:r>
      <w:r>
        <w:fldChar w:fldCharType="end"/>
      </w:r>
    </w:p>
    <w:p>
      <w:pPr>
        <w:pStyle w:val="TOC8"/>
        <w:rPr>
          <w:rFonts w:asciiTheme="minorHAnsi" w:eastAsiaTheme="minorEastAsia" w:hAnsiTheme="minorHAnsi" w:cstheme="minorBidi"/>
          <w:szCs w:val="22"/>
        </w:rPr>
      </w:pPr>
      <w:r>
        <w:t>141D.</w:t>
      </w:r>
      <w:r>
        <w:tab/>
        <w:t>Immunisation or exemption a condition of enrolment</w:t>
      </w:r>
      <w:r>
        <w:tab/>
      </w:r>
      <w:r>
        <w:fldChar w:fldCharType="begin"/>
      </w:r>
      <w:r>
        <w:instrText xml:space="preserve"> PAGEREF _Toc161843790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 and control of disease</w:t>
      </w:r>
      <w:r>
        <w:tab/>
      </w:r>
      <w:r>
        <w:fldChar w:fldCharType="begin"/>
      </w:r>
      <w:r>
        <w:instrText xml:space="preserve"> PAGEREF _Toc161843792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requirements</w:t>
      </w:r>
    </w:p>
    <w:p>
      <w:pPr>
        <w:pStyle w:val="TOC8"/>
        <w:rPr>
          <w:rFonts w:asciiTheme="minorHAnsi" w:eastAsiaTheme="minorEastAsia" w:hAnsiTheme="minorHAnsi" w:cstheme="minorBidi"/>
          <w:szCs w:val="22"/>
        </w:rPr>
      </w:pPr>
      <w:r>
        <w:t>142A.</w:t>
      </w:r>
      <w:r>
        <w:tab/>
        <w:t>Annual report to include information about enrolments</w:t>
      </w:r>
      <w:r>
        <w:tab/>
      </w:r>
      <w:r>
        <w:fldChar w:fldCharType="begin"/>
      </w:r>
      <w:r>
        <w:instrText xml:space="preserve"> PAGEREF _Toc161843794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_Toc161843796 \h </w:instrText>
      </w:r>
      <w:r>
        <w:fldChar w:fldCharType="separate"/>
      </w:r>
      <w:r>
        <w:t>1</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_Toc161843797 \h </w:instrText>
      </w:r>
      <w:r>
        <w:fldChar w:fldCharType="separate"/>
      </w:r>
      <w:r>
        <w:t>1</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_Toc161843798 \h </w:instrText>
      </w:r>
      <w:r>
        <w:fldChar w:fldCharType="separate"/>
      </w:r>
      <w:r>
        <w:t>1</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_Toc161843799 \h </w:instrText>
      </w:r>
      <w:r>
        <w:fldChar w:fldCharType="separate"/>
      </w:r>
      <w:r>
        <w:t>1</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_Toc161843800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_Toc161843803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153.</w:t>
      </w:r>
      <w:r>
        <w:tab/>
        <w:t>Authorisation to state certain matters</w:t>
      </w:r>
      <w:r>
        <w:tab/>
      </w:r>
      <w:r>
        <w:fldChar w:fldCharType="begin"/>
      </w:r>
      <w:r>
        <w:instrText xml:space="preserve"> PAGEREF _Toc161843804 \h </w:instrText>
      </w:r>
      <w:r>
        <w:fldChar w:fldCharType="separate"/>
      </w:r>
      <w:r>
        <w:t>1</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_Toc161843805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_Toc161843807 \h </w:instrText>
      </w:r>
      <w:r>
        <w:fldChar w:fldCharType="separate"/>
      </w:r>
      <w:r>
        <w:t>1</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_Toc161843808 \h </w:instrText>
      </w:r>
      <w:r>
        <w:fldChar w:fldCharType="separate"/>
      </w:r>
      <w:r>
        <w:t>1</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_Toc161843809 \h </w:instrText>
      </w:r>
      <w:r>
        <w:fldChar w:fldCharType="separate"/>
      </w:r>
      <w:r>
        <w:t>1</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_Toc161843810 \h </w:instrText>
      </w:r>
      <w:r>
        <w:fldChar w:fldCharType="separate"/>
      </w:r>
      <w:r>
        <w:t>1</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_Toc161843811 \h </w:instrText>
      </w:r>
      <w:r>
        <w:fldChar w:fldCharType="separate"/>
      </w:r>
      <w:r>
        <w:t>1</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_Toc161843812 \h </w:instrText>
      </w:r>
      <w:r>
        <w:fldChar w:fldCharType="separate"/>
      </w:r>
      <w:r>
        <w:t>1</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_Toc161843813 \h </w:instrText>
      </w:r>
      <w:r>
        <w:fldChar w:fldCharType="separate"/>
      </w:r>
      <w:r>
        <w:t>1</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_Toc161843814 \h </w:instrText>
      </w:r>
      <w:r>
        <w:fldChar w:fldCharType="separate"/>
      </w:r>
      <w:r>
        <w:t>1</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_Toc161843815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_Toc161843818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_Toc161843820 \h </w:instrText>
      </w:r>
      <w:r>
        <w:fldChar w:fldCharType="separate"/>
      </w:r>
      <w:r>
        <w:t>1</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_Toc161843821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_Toc161843823 \h </w:instrText>
      </w:r>
      <w:r>
        <w:fldChar w:fldCharType="separate"/>
      </w:r>
      <w:r>
        <w:t>1</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_Toc161843824 \h </w:instrText>
      </w:r>
      <w:r>
        <w:fldChar w:fldCharType="separate"/>
      </w:r>
      <w:r>
        <w:t>1</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_Toc161843825 \h </w:instrText>
      </w:r>
      <w:r>
        <w:fldChar w:fldCharType="separate"/>
      </w:r>
      <w:r>
        <w:t>1</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_Toc161843826 \h </w:instrText>
      </w:r>
      <w:r>
        <w:fldChar w:fldCharType="separate"/>
      </w:r>
      <w:r>
        <w:t>1</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_Toc161843827 \h </w:instrText>
      </w:r>
      <w:r>
        <w:fldChar w:fldCharType="separate"/>
      </w:r>
      <w:r>
        <w:t>1</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_Toc161843828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173.</w:t>
      </w:r>
      <w:r>
        <w:tab/>
        <w:t>Limitation of stay of operation of public health state of emergency declaration</w:t>
      </w:r>
      <w:r>
        <w:tab/>
      </w:r>
      <w:r>
        <w:fldChar w:fldCharType="begin"/>
      </w:r>
      <w:r>
        <w:instrText xml:space="preserve"> PAGEREF _Toc161843829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_Toc161843831 \h </w:instrText>
      </w:r>
      <w:r>
        <w:fldChar w:fldCharType="separate"/>
      </w:r>
      <w:r>
        <w:t>1</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_Toc161843832 \h </w:instrText>
      </w:r>
      <w:r>
        <w:fldChar w:fldCharType="separate"/>
      </w:r>
      <w:r>
        <w:t>1</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_Toc161843833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_Toc161843835 \h </w:instrText>
      </w:r>
      <w:r>
        <w:fldChar w:fldCharType="separate"/>
      </w:r>
      <w:r>
        <w:t>1</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_Toc161843836 \h </w:instrText>
      </w:r>
      <w:r>
        <w:fldChar w:fldCharType="separate"/>
      </w:r>
      <w:r>
        <w:t>1</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_Toc161843837 \h </w:instrText>
      </w:r>
      <w:r>
        <w:fldChar w:fldCharType="separate"/>
      </w:r>
      <w:r>
        <w:t>1</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_Toc161843838 \h </w:instrText>
      </w:r>
      <w:r>
        <w:fldChar w:fldCharType="separate"/>
      </w:r>
      <w:r>
        <w:t>1</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_Toc161843839 \h </w:instrText>
      </w:r>
      <w:r>
        <w:fldChar w:fldCharType="separate"/>
      </w:r>
      <w:r>
        <w:t>1</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_Toc161843840 \h </w:instrText>
      </w:r>
      <w:r>
        <w:fldChar w:fldCharType="separate"/>
      </w:r>
      <w:r>
        <w:t>1</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_Toc161843841 \h </w:instrText>
      </w:r>
      <w:r>
        <w:fldChar w:fldCharType="separate"/>
      </w:r>
      <w:r>
        <w:t>1</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_Toc161843842 \h </w:instrText>
      </w:r>
      <w:r>
        <w:fldChar w:fldCharType="separate"/>
      </w:r>
      <w:r>
        <w:t>1</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_Toc161843843 \h </w:instrText>
      </w:r>
      <w:r>
        <w:fldChar w:fldCharType="separate"/>
      </w:r>
      <w:r>
        <w:t>1</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_Toc161843844 \h </w:instrText>
      </w:r>
      <w:r>
        <w:fldChar w:fldCharType="separate"/>
      </w:r>
      <w:r>
        <w:t>1</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_Toc161843845 \h </w:instrText>
      </w:r>
      <w:r>
        <w:fldChar w:fldCharType="separate"/>
      </w:r>
      <w:r>
        <w:t>1</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_Toc161843846 \h </w:instrText>
      </w:r>
      <w:r>
        <w:fldChar w:fldCharType="separate"/>
      </w:r>
      <w:r>
        <w:t>1</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_Toc161843847 \h </w:instrText>
      </w:r>
      <w:r>
        <w:fldChar w:fldCharType="separate"/>
      </w:r>
      <w:r>
        <w:t>1</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_Toc161843848 \h </w:instrText>
      </w:r>
      <w:r>
        <w:fldChar w:fldCharType="separate"/>
      </w:r>
      <w:r>
        <w:t>1</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_Toc161843849 \h </w:instrText>
      </w:r>
      <w:r>
        <w:fldChar w:fldCharType="separate"/>
      </w:r>
      <w:r>
        <w:t>1</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_Toc161843850 \h </w:instrText>
      </w:r>
      <w:r>
        <w:fldChar w:fldCharType="separate"/>
      </w:r>
      <w:r>
        <w:t>1</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_Toc161843851 \h </w:instrText>
      </w:r>
      <w:r>
        <w:fldChar w:fldCharType="separate"/>
      </w:r>
      <w:r>
        <w:t>1</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_Toc161843852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_Toc161843854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196.</w:t>
      </w:r>
      <w:r>
        <w:tab/>
        <w:t>Power of Chief Health Officer to direct public authorities during public health state of emergency</w:t>
      </w:r>
      <w:r>
        <w:tab/>
      </w:r>
      <w:r>
        <w:fldChar w:fldCharType="begin"/>
      </w:r>
      <w:r>
        <w:instrText xml:space="preserve"> PAGEREF _Toc161843855 \h </w:instrText>
      </w:r>
      <w:r>
        <w:fldChar w:fldCharType="separate"/>
      </w:r>
      <w:r>
        <w:t>1</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_Toc161843856 \h </w:instrText>
      </w:r>
      <w:r>
        <w:fldChar w:fldCharType="separate"/>
      </w:r>
      <w:r>
        <w:t>1</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_Toc161843857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_Toc161843859 \h </w:instrText>
      </w:r>
      <w:r>
        <w:fldChar w:fldCharType="separate"/>
      </w:r>
      <w:r>
        <w:t>1</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_Toc161843860 \h </w:instrText>
      </w:r>
      <w:r>
        <w:fldChar w:fldCharType="separate"/>
      </w:r>
      <w:r>
        <w:t>1</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_Toc161843861 \h </w:instrText>
      </w:r>
      <w:r>
        <w:fldChar w:fldCharType="separate"/>
      </w:r>
      <w:r>
        <w:t>1</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_Toc161843862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12A — Infectious disease extreme circumstance declarations</w:t>
      </w:r>
    </w:p>
    <w:p>
      <w:pPr>
        <w:pStyle w:val="TOC8"/>
        <w:rPr>
          <w:rFonts w:asciiTheme="minorHAnsi" w:eastAsiaTheme="minorEastAsia" w:hAnsiTheme="minorHAnsi" w:cstheme="minorBidi"/>
          <w:szCs w:val="22"/>
        </w:rPr>
      </w:pPr>
      <w:r>
        <w:t>202A.</w:t>
      </w:r>
      <w:r>
        <w:tab/>
        <w:t>Minister may make IDEC declaration</w:t>
      </w:r>
      <w:r>
        <w:tab/>
      </w:r>
      <w:r>
        <w:fldChar w:fldCharType="begin"/>
      </w:r>
      <w:r>
        <w:instrText xml:space="preserve"> PAGEREF _Toc161843864 \h </w:instrText>
      </w:r>
      <w:r>
        <w:fldChar w:fldCharType="separate"/>
      </w:r>
      <w:r>
        <w:t>1</w:t>
      </w:r>
      <w:r>
        <w:fldChar w:fldCharType="end"/>
      </w:r>
    </w:p>
    <w:p>
      <w:pPr>
        <w:pStyle w:val="TOC8"/>
        <w:rPr>
          <w:rFonts w:asciiTheme="minorHAnsi" w:eastAsiaTheme="minorEastAsia" w:hAnsiTheme="minorHAnsi" w:cstheme="minorBidi"/>
          <w:szCs w:val="22"/>
        </w:rPr>
      </w:pPr>
      <w:r>
        <w:t>202B.</w:t>
      </w:r>
      <w:r>
        <w:tab/>
        <w:t>Duration of IDEC declaration</w:t>
      </w:r>
      <w:r>
        <w:tab/>
      </w:r>
      <w:r>
        <w:fldChar w:fldCharType="begin"/>
      </w:r>
      <w:r>
        <w:instrText xml:space="preserve"> PAGEREF _Toc161843865 \h </w:instrText>
      </w:r>
      <w:r>
        <w:fldChar w:fldCharType="separate"/>
      </w:r>
      <w:r>
        <w:t>1</w:t>
      </w:r>
      <w:r>
        <w:fldChar w:fldCharType="end"/>
      </w:r>
    </w:p>
    <w:p>
      <w:pPr>
        <w:pStyle w:val="TOC8"/>
        <w:rPr>
          <w:rFonts w:asciiTheme="minorHAnsi" w:eastAsiaTheme="minorEastAsia" w:hAnsiTheme="minorHAnsi" w:cstheme="minorBidi"/>
          <w:szCs w:val="22"/>
        </w:rPr>
      </w:pPr>
      <w:r>
        <w:t>202C.</w:t>
      </w:r>
      <w:r>
        <w:tab/>
        <w:t>Extension of IDEC declaration</w:t>
      </w:r>
      <w:r>
        <w:tab/>
      </w:r>
      <w:r>
        <w:fldChar w:fldCharType="begin"/>
      </w:r>
      <w:r>
        <w:instrText xml:space="preserve"> PAGEREF _Toc161843866 \h </w:instrText>
      </w:r>
      <w:r>
        <w:fldChar w:fldCharType="separate"/>
      </w:r>
      <w:r>
        <w:t>1</w:t>
      </w:r>
      <w:r>
        <w:fldChar w:fldCharType="end"/>
      </w:r>
    </w:p>
    <w:p>
      <w:pPr>
        <w:pStyle w:val="TOC8"/>
        <w:rPr>
          <w:rFonts w:asciiTheme="minorHAnsi" w:eastAsiaTheme="minorEastAsia" w:hAnsiTheme="minorHAnsi" w:cstheme="minorBidi"/>
          <w:szCs w:val="22"/>
        </w:rPr>
      </w:pPr>
      <w:r>
        <w:t>202D.</w:t>
      </w:r>
      <w:r>
        <w:tab/>
        <w:t>Revocation of IDEC declaration</w:t>
      </w:r>
      <w:r>
        <w:tab/>
      </w:r>
      <w:r>
        <w:fldChar w:fldCharType="begin"/>
      </w:r>
      <w:r>
        <w:instrText xml:space="preserve"> PAGEREF _Toc161843867 \h </w:instrText>
      </w:r>
      <w:r>
        <w:fldChar w:fldCharType="separate"/>
      </w:r>
      <w:r>
        <w:t>1</w:t>
      </w:r>
      <w:r>
        <w:fldChar w:fldCharType="end"/>
      </w:r>
    </w:p>
    <w:p>
      <w:pPr>
        <w:pStyle w:val="TOC8"/>
        <w:rPr>
          <w:rFonts w:asciiTheme="minorHAnsi" w:eastAsiaTheme="minorEastAsia" w:hAnsiTheme="minorHAnsi" w:cstheme="minorBidi"/>
          <w:szCs w:val="22"/>
        </w:rPr>
      </w:pPr>
      <w:r>
        <w:t>202E.</w:t>
      </w:r>
      <w:r>
        <w:tab/>
        <w:t>Notice of declaration</w:t>
      </w:r>
      <w:r>
        <w:tab/>
      </w:r>
      <w:r>
        <w:fldChar w:fldCharType="begin"/>
      </w:r>
      <w:r>
        <w:instrText xml:space="preserve"> PAGEREF _Toc161843868 \h </w:instrText>
      </w:r>
      <w:r>
        <w:fldChar w:fldCharType="separate"/>
      </w:r>
      <w:r>
        <w:t>1</w:t>
      </w:r>
      <w:r>
        <w:fldChar w:fldCharType="end"/>
      </w:r>
    </w:p>
    <w:p>
      <w:pPr>
        <w:pStyle w:val="TOC8"/>
        <w:rPr>
          <w:rFonts w:asciiTheme="minorHAnsi" w:eastAsiaTheme="minorEastAsia" w:hAnsiTheme="minorHAnsi" w:cstheme="minorBidi"/>
          <w:szCs w:val="22"/>
        </w:rPr>
      </w:pPr>
      <w:r>
        <w:t>202F.</w:t>
      </w:r>
      <w:r>
        <w:tab/>
        <w:t>Limitation of stay of operation of IDEC declaration</w:t>
      </w:r>
      <w:r>
        <w:tab/>
      </w:r>
      <w:r>
        <w:fldChar w:fldCharType="begin"/>
      </w:r>
      <w:r>
        <w:instrText xml:space="preserve"> PAGEREF _Toc161843869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12B — Recovery of certain costs relating to exercise of powers</w:t>
      </w:r>
    </w:p>
    <w:p>
      <w:pPr>
        <w:pStyle w:val="TOC4"/>
        <w:tabs>
          <w:tab w:val="right" w:leader="dot" w:pos="7077"/>
        </w:tabs>
        <w:rPr>
          <w:rFonts w:asciiTheme="minorHAnsi" w:eastAsiaTheme="minorEastAsia" w:hAnsiTheme="minorHAnsi" w:cstheme="minorBidi"/>
          <w:b w:val="0"/>
          <w:szCs w:val="22"/>
        </w:rPr>
      </w:pPr>
      <w:r>
        <w:t>Division 1 — Fees payable by hotel</w:t>
      </w:r>
      <w:r>
        <w:noBreakHyphen/>
        <w:t>quarantined persons</w:t>
      </w:r>
    </w:p>
    <w:p>
      <w:pPr>
        <w:pStyle w:val="TOC8"/>
        <w:rPr>
          <w:rFonts w:asciiTheme="minorHAnsi" w:eastAsiaTheme="minorEastAsia" w:hAnsiTheme="minorHAnsi" w:cstheme="minorBidi"/>
          <w:szCs w:val="22"/>
        </w:rPr>
      </w:pPr>
      <w:r>
        <w:t>202G.</w:t>
      </w:r>
      <w:r>
        <w:tab/>
        <w:t>Terms used</w:t>
      </w:r>
      <w:r>
        <w:tab/>
      </w:r>
      <w:r>
        <w:fldChar w:fldCharType="begin"/>
      </w:r>
      <w:r>
        <w:instrText xml:space="preserve"> PAGEREF _Toc161843872 \h </w:instrText>
      </w:r>
      <w:r>
        <w:fldChar w:fldCharType="separate"/>
      </w:r>
      <w:r>
        <w:t>1</w:t>
      </w:r>
      <w:r>
        <w:fldChar w:fldCharType="end"/>
      </w:r>
    </w:p>
    <w:p>
      <w:pPr>
        <w:pStyle w:val="TOC8"/>
        <w:rPr>
          <w:rFonts w:asciiTheme="minorHAnsi" w:eastAsiaTheme="minorEastAsia" w:hAnsiTheme="minorHAnsi" w:cstheme="minorBidi"/>
          <w:szCs w:val="22"/>
        </w:rPr>
      </w:pPr>
      <w:r>
        <w:t>202H.</w:t>
      </w:r>
      <w:r>
        <w:tab/>
        <w:t>Fee payable by hotel</w:t>
      </w:r>
      <w:r>
        <w:noBreakHyphen/>
        <w:t>quarantined person in relation to cost of quarantine</w:t>
      </w:r>
      <w:r>
        <w:tab/>
      </w:r>
      <w:r>
        <w:fldChar w:fldCharType="begin"/>
      </w:r>
      <w:r>
        <w:instrText xml:space="preserve"> PAGEREF _Toc161843873 \h </w:instrText>
      </w:r>
      <w:r>
        <w:fldChar w:fldCharType="separate"/>
      </w:r>
      <w:r>
        <w:t>1</w:t>
      </w:r>
      <w:r>
        <w:fldChar w:fldCharType="end"/>
      </w:r>
    </w:p>
    <w:p>
      <w:pPr>
        <w:pStyle w:val="TOC8"/>
        <w:rPr>
          <w:rFonts w:asciiTheme="minorHAnsi" w:eastAsiaTheme="minorEastAsia" w:hAnsiTheme="minorHAnsi" w:cstheme="minorBidi"/>
          <w:szCs w:val="22"/>
        </w:rPr>
      </w:pPr>
      <w:r>
        <w:t>202I.</w:t>
      </w:r>
      <w:r>
        <w:tab/>
        <w:t>Period for payment of fee</w:t>
      </w:r>
      <w:r>
        <w:tab/>
      </w:r>
      <w:r>
        <w:fldChar w:fldCharType="begin"/>
      </w:r>
      <w:r>
        <w:instrText xml:space="preserve"> PAGEREF _Toc161843874 \h </w:instrText>
      </w:r>
      <w:r>
        <w:fldChar w:fldCharType="separate"/>
      </w:r>
      <w:r>
        <w:t>1</w:t>
      </w:r>
      <w:r>
        <w:fldChar w:fldCharType="end"/>
      </w:r>
    </w:p>
    <w:p>
      <w:pPr>
        <w:pStyle w:val="TOC8"/>
        <w:rPr>
          <w:rFonts w:asciiTheme="minorHAnsi" w:eastAsiaTheme="minorEastAsia" w:hAnsiTheme="minorHAnsi" w:cstheme="minorBidi"/>
          <w:szCs w:val="22"/>
        </w:rPr>
      </w:pPr>
      <w:r>
        <w:t>202J.</w:t>
      </w:r>
      <w:r>
        <w:tab/>
        <w:t>Fee may be waived</w:t>
      </w:r>
      <w:r>
        <w:tab/>
      </w:r>
      <w:r>
        <w:fldChar w:fldCharType="begin"/>
      </w:r>
      <w:r>
        <w:instrText xml:space="preserve"> PAGEREF _Toc161843875 \h </w:instrText>
      </w:r>
      <w:r>
        <w:fldChar w:fldCharType="separate"/>
      </w:r>
      <w:r>
        <w:t>1</w:t>
      </w:r>
      <w:r>
        <w:fldChar w:fldCharType="end"/>
      </w:r>
    </w:p>
    <w:p>
      <w:pPr>
        <w:pStyle w:val="TOC8"/>
        <w:rPr>
          <w:rFonts w:asciiTheme="minorHAnsi" w:eastAsiaTheme="minorEastAsia" w:hAnsiTheme="minorHAnsi" w:cstheme="minorBidi"/>
          <w:szCs w:val="22"/>
        </w:rPr>
      </w:pPr>
      <w:r>
        <w:t>202K.</w:t>
      </w:r>
      <w:r>
        <w:tab/>
        <w:t>Recovery of fees</w:t>
      </w:r>
      <w:r>
        <w:tab/>
      </w:r>
      <w:r>
        <w:fldChar w:fldCharType="begin"/>
      </w:r>
      <w:r>
        <w:instrText xml:space="preserve"> PAGEREF _Toc161843876 \h </w:instrText>
      </w:r>
      <w:r>
        <w:fldChar w:fldCharType="separate"/>
      </w:r>
      <w:r>
        <w:t>1</w:t>
      </w:r>
      <w:r>
        <w:fldChar w:fldCharType="end"/>
      </w:r>
    </w:p>
    <w:p>
      <w:pPr>
        <w:pStyle w:val="TOC8"/>
        <w:rPr>
          <w:rFonts w:asciiTheme="minorHAnsi" w:eastAsiaTheme="minorEastAsia" w:hAnsiTheme="minorHAnsi" w:cstheme="minorBidi"/>
          <w:szCs w:val="22"/>
        </w:rPr>
      </w:pPr>
      <w:r>
        <w:t>202L.</w:t>
      </w:r>
      <w:r>
        <w:tab/>
        <w:t>Regulations</w:t>
      </w:r>
      <w:r>
        <w:tab/>
      </w:r>
      <w:r>
        <w:fldChar w:fldCharType="begin"/>
      </w:r>
      <w:r>
        <w:instrText xml:space="preserve"> PAGEREF _Toc161843877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Recovery of certain costs and expenses</w:t>
      </w:r>
    </w:p>
    <w:p>
      <w:pPr>
        <w:pStyle w:val="TOC8"/>
        <w:rPr>
          <w:rFonts w:asciiTheme="minorHAnsi" w:eastAsiaTheme="minorEastAsia" w:hAnsiTheme="minorHAnsi" w:cstheme="minorBidi"/>
          <w:szCs w:val="22"/>
        </w:rPr>
      </w:pPr>
      <w:r>
        <w:t>202M.</w:t>
      </w:r>
      <w:r>
        <w:tab/>
        <w:t>Recovery of costs and expenses of requiring premises to be cleaned</w:t>
      </w:r>
      <w:r>
        <w:tab/>
      </w:r>
      <w:r>
        <w:fldChar w:fldCharType="begin"/>
      </w:r>
      <w:r>
        <w:instrText xml:space="preserve"> PAGEREF _Toc161843879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12C — Abortion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202MA.</w:t>
      </w:r>
      <w:r>
        <w:tab/>
        <w:t>Terms used</w:t>
      </w:r>
      <w:r>
        <w:tab/>
      </w:r>
      <w:r>
        <w:fldChar w:fldCharType="begin"/>
      </w:r>
      <w:r>
        <w:instrText xml:space="preserve"> PAGEREF _Toc161843882 \h </w:instrText>
      </w:r>
      <w:r>
        <w:fldChar w:fldCharType="separate"/>
      </w:r>
      <w:r>
        <w:t>1</w:t>
      </w:r>
      <w:r>
        <w:fldChar w:fldCharType="end"/>
      </w:r>
    </w:p>
    <w:p>
      <w:pPr>
        <w:pStyle w:val="TOC8"/>
        <w:rPr>
          <w:rFonts w:asciiTheme="minorHAnsi" w:eastAsiaTheme="minorEastAsia" w:hAnsiTheme="minorHAnsi" w:cstheme="minorBidi"/>
          <w:szCs w:val="22"/>
        </w:rPr>
      </w:pPr>
      <w:r>
        <w:t>202MB.</w:t>
      </w:r>
      <w:r>
        <w:tab/>
        <w:t>Performance of abortion</w:t>
      </w:r>
      <w:r>
        <w:tab/>
      </w:r>
      <w:r>
        <w:fldChar w:fldCharType="begin"/>
      </w:r>
      <w:r>
        <w:instrText xml:space="preserve"> PAGEREF _Toc161843883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Performance of abortion by registered health practitioners</w:t>
      </w:r>
    </w:p>
    <w:p>
      <w:pPr>
        <w:pStyle w:val="TOC8"/>
        <w:rPr>
          <w:rFonts w:asciiTheme="minorHAnsi" w:eastAsiaTheme="minorEastAsia" w:hAnsiTheme="minorHAnsi" w:cstheme="minorBidi"/>
          <w:szCs w:val="22"/>
        </w:rPr>
      </w:pPr>
      <w:r>
        <w:t>202MC.</w:t>
      </w:r>
      <w:r>
        <w:tab/>
        <w:t>Performance of abortion by medical practitioner at not more than 23 weeks</w:t>
      </w:r>
      <w:r>
        <w:tab/>
      </w:r>
      <w:r>
        <w:fldChar w:fldCharType="begin"/>
      </w:r>
      <w:r>
        <w:instrText xml:space="preserve"> PAGEREF _Toc161843885 \h </w:instrText>
      </w:r>
      <w:r>
        <w:fldChar w:fldCharType="separate"/>
      </w:r>
      <w:r>
        <w:t>1</w:t>
      </w:r>
      <w:r>
        <w:fldChar w:fldCharType="end"/>
      </w:r>
    </w:p>
    <w:p>
      <w:pPr>
        <w:pStyle w:val="TOC8"/>
        <w:rPr>
          <w:rFonts w:asciiTheme="minorHAnsi" w:eastAsiaTheme="minorEastAsia" w:hAnsiTheme="minorHAnsi" w:cstheme="minorBidi"/>
          <w:szCs w:val="22"/>
        </w:rPr>
      </w:pPr>
      <w:r>
        <w:t>202MD.</w:t>
      </w:r>
      <w:r>
        <w:tab/>
        <w:t>Performance of medical abortion by certain other registered health practitioners at not more than 23 weeks</w:t>
      </w:r>
      <w:r>
        <w:tab/>
      </w:r>
      <w:r>
        <w:fldChar w:fldCharType="begin"/>
      </w:r>
      <w:r>
        <w:instrText xml:space="preserve"> PAGEREF _Toc161843886 \h </w:instrText>
      </w:r>
      <w:r>
        <w:fldChar w:fldCharType="separate"/>
      </w:r>
      <w:r>
        <w:t>1</w:t>
      </w:r>
      <w:r>
        <w:fldChar w:fldCharType="end"/>
      </w:r>
    </w:p>
    <w:p>
      <w:pPr>
        <w:pStyle w:val="TOC8"/>
        <w:rPr>
          <w:rFonts w:asciiTheme="minorHAnsi" w:eastAsiaTheme="minorEastAsia" w:hAnsiTheme="minorHAnsi" w:cstheme="minorBidi"/>
          <w:szCs w:val="22"/>
        </w:rPr>
      </w:pPr>
      <w:r>
        <w:t>202ME.</w:t>
      </w:r>
      <w:r>
        <w:tab/>
        <w:t>Performance of abortion by medical practitioner at more than 23 weeks</w:t>
      </w:r>
      <w:r>
        <w:tab/>
      </w:r>
      <w:r>
        <w:fldChar w:fldCharType="begin"/>
      </w:r>
      <w:r>
        <w:instrText xml:space="preserve"> PAGEREF _Toc161843887 \h </w:instrText>
      </w:r>
      <w:r>
        <w:fldChar w:fldCharType="separate"/>
      </w:r>
      <w:r>
        <w:t>1</w:t>
      </w:r>
      <w:r>
        <w:fldChar w:fldCharType="end"/>
      </w:r>
    </w:p>
    <w:p>
      <w:pPr>
        <w:pStyle w:val="TOC8"/>
        <w:rPr>
          <w:rFonts w:asciiTheme="minorHAnsi" w:eastAsiaTheme="minorEastAsia" w:hAnsiTheme="minorHAnsi" w:cstheme="minorBidi"/>
          <w:szCs w:val="22"/>
        </w:rPr>
      </w:pPr>
      <w:r>
        <w:t>202MF.</w:t>
      </w:r>
      <w:r>
        <w:tab/>
        <w:t>Performance of medical abortion by certain registered health practitioners on direction of medical practitioner or prescribing practitioner</w:t>
      </w:r>
      <w:r>
        <w:tab/>
      </w:r>
      <w:r>
        <w:fldChar w:fldCharType="begin"/>
      </w:r>
      <w:r>
        <w:instrText xml:space="preserve"> PAGEREF _Toc161843888 \h </w:instrText>
      </w:r>
      <w:r>
        <w:fldChar w:fldCharType="separate"/>
      </w:r>
      <w:r>
        <w:t>1</w:t>
      </w:r>
      <w:r>
        <w:fldChar w:fldCharType="end"/>
      </w:r>
    </w:p>
    <w:p>
      <w:pPr>
        <w:pStyle w:val="TOC8"/>
        <w:rPr>
          <w:rFonts w:asciiTheme="minorHAnsi" w:eastAsiaTheme="minorEastAsia" w:hAnsiTheme="minorHAnsi" w:cstheme="minorBidi"/>
          <w:szCs w:val="22"/>
        </w:rPr>
      </w:pPr>
      <w:r>
        <w:t>202MG.</w:t>
      </w:r>
      <w:r>
        <w:tab/>
        <w:t>Assistance by certain registered health practitioners or students in performance of abortion by medical practitioner or prescribing practitioner</w:t>
      </w:r>
      <w:r>
        <w:tab/>
      </w:r>
      <w:r>
        <w:fldChar w:fldCharType="begin"/>
      </w:r>
      <w:r>
        <w:instrText xml:space="preserve"> PAGEREF _Toc161843889 \h </w:instrText>
      </w:r>
      <w:r>
        <w:fldChar w:fldCharType="separate"/>
      </w:r>
      <w:r>
        <w:t>1</w:t>
      </w:r>
      <w:r>
        <w:fldChar w:fldCharType="end"/>
      </w:r>
    </w:p>
    <w:p>
      <w:pPr>
        <w:pStyle w:val="TOC8"/>
        <w:rPr>
          <w:rFonts w:asciiTheme="minorHAnsi" w:eastAsiaTheme="minorEastAsia" w:hAnsiTheme="minorHAnsi" w:cstheme="minorBidi"/>
          <w:szCs w:val="22"/>
        </w:rPr>
      </w:pPr>
      <w:r>
        <w:t>202MH.</w:t>
      </w:r>
      <w:r>
        <w:tab/>
        <w:t>Registered health practitioner with conscientious objection to abortion</w:t>
      </w:r>
      <w:r>
        <w:tab/>
      </w:r>
      <w:r>
        <w:fldChar w:fldCharType="begin"/>
      </w:r>
      <w:r>
        <w:instrText xml:space="preserve"> PAGEREF _Toc161843890 \h </w:instrText>
      </w:r>
      <w:r>
        <w:fldChar w:fldCharType="separate"/>
      </w:r>
      <w:r>
        <w:t>1</w:t>
      </w:r>
      <w:r>
        <w:fldChar w:fldCharType="end"/>
      </w:r>
    </w:p>
    <w:p>
      <w:pPr>
        <w:pStyle w:val="TOC8"/>
        <w:rPr>
          <w:rFonts w:asciiTheme="minorHAnsi" w:eastAsiaTheme="minorEastAsia" w:hAnsiTheme="minorHAnsi" w:cstheme="minorBidi"/>
          <w:szCs w:val="22"/>
        </w:rPr>
      </w:pPr>
      <w:r>
        <w:t>202MI.</w:t>
      </w:r>
      <w:r>
        <w:tab/>
        <w:t>Obligations of medical practitioners and prescribing practitioners who refuse to participate in abortion</w:t>
      </w:r>
      <w:r>
        <w:tab/>
      </w:r>
      <w:r>
        <w:fldChar w:fldCharType="begin"/>
      </w:r>
      <w:r>
        <w:instrText xml:space="preserve"> PAGEREF _Toc161843891 \h </w:instrText>
      </w:r>
      <w:r>
        <w:fldChar w:fldCharType="separate"/>
      </w:r>
      <w:r>
        <w:t>1</w:t>
      </w:r>
      <w:r>
        <w:fldChar w:fldCharType="end"/>
      </w:r>
    </w:p>
    <w:p>
      <w:pPr>
        <w:pStyle w:val="TOC8"/>
        <w:rPr>
          <w:rFonts w:asciiTheme="minorHAnsi" w:eastAsiaTheme="minorEastAsia" w:hAnsiTheme="minorHAnsi" w:cstheme="minorBidi"/>
          <w:szCs w:val="22"/>
        </w:rPr>
      </w:pPr>
      <w:r>
        <w:t>202MJ.</w:t>
      </w:r>
      <w:r>
        <w:tab/>
        <w:t>Student with conscientious objection to abortion</w:t>
      </w:r>
      <w:r>
        <w:tab/>
      </w:r>
      <w:r>
        <w:fldChar w:fldCharType="begin"/>
      </w:r>
      <w:r>
        <w:instrText xml:space="preserve"> PAGEREF _Toc161843892 \h </w:instrText>
      </w:r>
      <w:r>
        <w:fldChar w:fldCharType="separate"/>
      </w:r>
      <w:r>
        <w:t>1</w:t>
      </w:r>
      <w:r>
        <w:fldChar w:fldCharType="end"/>
      </w:r>
    </w:p>
    <w:p>
      <w:pPr>
        <w:pStyle w:val="TOC8"/>
        <w:rPr>
          <w:rFonts w:asciiTheme="minorHAnsi" w:eastAsiaTheme="minorEastAsia" w:hAnsiTheme="minorHAnsi" w:cstheme="minorBidi"/>
          <w:szCs w:val="22"/>
        </w:rPr>
      </w:pPr>
      <w:r>
        <w:t>202MK.</w:t>
      </w:r>
      <w:r>
        <w:tab/>
        <w:t>Compliance with Division relevant to professional conduct or performance</w:t>
      </w:r>
      <w:r>
        <w:tab/>
      </w:r>
      <w:r>
        <w:fldChar w:fldCharType="begin"/>
      </w:r>
      <w:r>
        <w:instrText xml:space="preserve"> PAGEREF _Toc161843893 \h </w:instrText>
      </w:r>
      <w:r>
        <w:fldChar w:fldCharType="separate"/>
      </w:r>
      <w:r>
        <w:t>1</w:t>
      </w:r>
      <w:r>
        <w:fldChar w:fldCharType="end"/>
      </w:r>
    </w:p>
    <w:p>
      <w:pPr>
        <w:pStyle w:val="TOC8"/>
        <w:rPr>
          <w:rFonts w:asciiTheme="minorHAnsi" w:eastAsiaTheme="minorEastAsia" w:hAnsiTheme="minorHAnsi" w:cstheme="minorBidi"/>
          <w:szCs w:val="22"/>
        </w:rPr>
      </w:pPr>
      <w:r>
        <w:t>202ML.</w:t>
      </w:r>
      <w:r>
        <w:tab/>
      </w:r>
      <w:r>
        <w:rPr>
          <w:i/>
        </w:rPr>
        <w:t>The Criminal Code</w:t>
      </w:r>
      <w:r>
        <w:t xml:space="preserve"> s. 177 does not apply</w:t>
      </w:r>
      <w:r>
        <w:tab/>
      </w:r>
      <w:r>
        <w:fldChar w:fldCharType="begin"/>
      </w:r>
      <w:r>
        <w:instrText xml:space="preserve"> PAGEREF _Toc161843894 \h </w:instrText>
      </w:r>
      <w:r>
        <w:fldChar w:fldCharType="separate"/>
      </w:r>
      <w:r>
        <w:t>1</w:t>
      </w:r>
      <w:r>
        <w:fldChar w:fldCharType="end"/>
      </w:r>
    </w:p>
    <w:p>
      <w:pPr>
        <w:pStyle w:val="TOC8"/>
        <w:rPr>
          <w:rFonts w:asciiTheme="minorHAnsi" w:eastAsiaTheme="minorEastAsia" w:hAnsiTheme="minorHAnsi" w:cstheme="minorBidi"/>
          <w:szCs w:val="22"/>
        </w:rPr>
      </w:pPr>
      <w:r>
        <w:t>202MM.</w:t>
      </w:r>
      <w:r>
        <w:tab/>
        <w:t>Consent to performance of abortion on children who are not mature minors</w:t>
      </w:r>
      <w:r>
        <w:tab/>
      </w:r>
      <w:r>
        <w:fldChar w:fldCharType="begin"/>
      </w:r>
      <w:r>
        <w:instrText xml:space="preserve"> PAGEREF _Toc161843895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Performance of abortion by unqualified persons</w:t>
      </w:r>
    </w:p>
    <w:p>
      <w:pPr>
        <w:pStyle w:val="TOC8"/>
        <w:rPr>
          <w:rFonts w:asciiTheme="minorHAnsi" w:eastAsiaTheme="minorEastAsia" w:hAnsiTheme="minorHAnsi" w:cstheme="minorBidi"/>
          <w:szCs w:val="22"/>
        </w:rPr>
      </w:pPr>
      <w:r>
        <w:t>202MN.</w:t>
      </w:r>
      <w:r>
        <w:tab/>
        <w:t>Unqualified person must not perform abortion</w:t>
      </w:r>
      <w:r>
        <w:tab/>
      </w:r>
      <w:r>
        <w:fldChar w:fldCharType="begin"/>
      </w:r>
      <w:r>
        <w:instrText xml:space="preserve"> PAGEREF _Toc161843897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Protection from criminal liability</w:t>
      </w:r>
    </w:p>
    <w:p>
      <w:pPr>
        <w:pStyle w:val="TOC8"/>
        <w:rPr>
          <w:rFonts w:asciiTheme="minorHAnsi" w:eastAsiaTheme="minorEastAsia" w:hAnsiTheme="minorHAnsi" w:cstheme="minorBidi"/>
          <w:szCs w:val="22"/>
        </w:rPr>
      </w:pPr>
      <w:r>
        <w:t>202MO.</w:t>
      </w:r>
      <w:r>
        <w:tab/>
        <w:t>Person does not commit offence of abortion on themselves</w:t>
      </w:r>
      <w:r>
        <w:tab/>
      </w:r>
      <w:r>
        <w:fldChar w:fldCharType="begin"/>
      </w:r>
      <w:r>
        <w:instrText xml:space="preserve"> PAGEREF _Toc161843899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abortion</w:t>
      </w:r>
    </w:p>
    <w:p>
      <w:pPr>
        <w:pStyle w:val="TOC8"/>
        <w:rPr>
          <w:rFonts w:asciiTheme="minorHAnsi" w:eastAsiaTheme="minorEastAsia" w:hAnsiTheme="minorHAnsi" w:cstheme="minorBidi"/>
          <w:szCs w:val="22"/>
        </w:rPr>
      </w:pPr>
      <w:r>
        <w:t>202MP.</w:t>
      </w:r>
      <w:r>
        <w:tab/>
        <w:t>Chief Health Officer may direct certain persons to give information about abortion</w:t>
      </w:r>
      <w:r>
        <w:tab/>
      </w:r>
      <w:r>
        <w:fldChar w:fldCharType="begin"/>
      </w:r>
      <w:r>
        <w:instrText xml:space="preserve"> PAGEREF _Toc161843901 \h </w:instrText>
      </w:r>
      <w:r>
        <w:fldChar w:fldCharType="separate"/>
      </w:r>
      <w:r>
        <w:t>1</w:t>
      </w:r>
      <w:r>
        <w:fldChar w:fldCharType="end"/>
      </w:r>
    </w:p>
    <w:p>
      <w:pPr>
        <w:pStyle w:val="TOC8"/>
        <w:rPr>
          <w:rFonts w:asciiTheme="minorHAnsi" w:eastAsiaTheme="minorEastAsia" w:hAnsiTheme="minorHAnsi" w:cstheme="minorBidi"/>
          <w:szCs w:val="22"/>
        </w:rPr>
      </w:pPr>
      <w:r>
        <w:t>202MQ.</w:t>
      </w:r>
      <w:r>
        <w:tab/>
        <w:t>Purposes for which Chief Health Officer may record, use or disclose information given under s. 202MP</w:t>
      </w:r>
      <w:r>
        <w:tab/>
      </w:r>
      <w:r>
        <w:fldChar w:fldCharType="begin"/>
      </w:r>
      <w:r>
        <w:instrText xml:space="preserve"> PAGEREF _Toc161843902 \h </w:instrText>
      </w:r>
      <w:r>
        <w:fldChar w:fldCharType="separate"/>
      </w:r>
      <w:r>
        <w:t>1</w:t>
      </w:r>
      <w:r>
        <w:fldChar w:fldCharType="end"/>
      </w:r>
    </w:p>
    <w:p>
      <w:pPr>
        <w:pStyle w:val="TOC8"/>
        <w:rPr>
          <w:rFonts w:asciiTheme="minorHAnsi" w:eastAsiaTheme="minorEastAsia" w:hAnsiTheme="minorHAnsi" w:cstheme="minorBidi"/>
          <w:szCs w:val="22"/>
        </w:rPr>
      </w:pPr>
      <w:r>
        <w:t>202MR.</w:t>
      </w:r>
      <w:r>
        <w:tab/>
        <w:t>Protection from liability</w:t>
      </w:r>
      <w:r>
        <w:tab/>
      </w:r>
      <w:r>
        <w:fldChar w:fldCharType="begin"/>
      </w:r>
      <w:r>
        <w:instrText xml:space="preserve"> PAGEREF _Toc161843903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Safe access to premises at which abortions are provided</w:t>
      </w:r>
    </w:p>
    <w:p>
      <w:pPr>
        <w:pStyle w:val="TOC8"/>
        <w:rPr>
          <w:rFonts w:asciiTheme="minorHAnsi" w:eastAsiaTheme="minorEastAsia" w:hAnsiTheme="minorHAnsi" w:cstheme="minorBidi"/>
          <w:szCs w:val="22"/>
        </w:rPr>
      </w:pPr>
      <w:r>
        <w:t>202N.</w:t>
      </w:r>
      <w:r>
        <w:tab/>
        <w:t>Purpose</w:t>
      </w:r>
      <w:r>
        <w:tab/>
      </w:r>
      <w:r>
        <w:fldChar w:fldCharType="begin"/>
      </w:r>
      <w:r>
        <w:instrText xml:space="preserve"> PAGEREF _Toc161843905 \h </w:instrText>
      </w:r>
      <w:r>
        <w:fldChar w:fldCharType="separate"/>
      </w:r>
      <w:r>
        <w:t>1</w:t>
      </w:r>
      <w:r>
        <w:fldChar w:fldCharType="end"/>
      </w:r>
    </w:p>
    <w:p>
      <w:pPr>
        <w:pStyle w:val="TOC8"/>
        <w:rPr>
          <w:rFonts w:asciiTheme="minorHAnsi" w:eastAsiaTheme="minorEastAsia" w:hAnsiTheme="minorHAnsi" w:cstheme="minorBidi"/>
          <w:szCs w:val="22"/>
        </w:rPr>
      </w:pPr>
      <w:r>
        <w:t>202O.</w:t>
      </w:r>
      <w:r>
        <w:tab/>
        <w:t>Terms used</w:t>
      </w:r>
      <w:r>
        <w:tab/>
      </w:r>
      <w:r>
        <w:fldChar w:fldCharType="begin"/>
      </w:r>
      <w:r>
        <w:instrText xml:space="preserve"> PAGEREF _Toc161843906 \h </w:instrText>
      </w:r>
      <w:r>
        <w:fldChar w:fldCharType="separate"/>
      </w:r>
      <w:r>
        <w:t>1</w:t>
      </w:r>
      <w:r>
        <w:fldChar w:fldCharType="end"/>
      </w:r>
    </w:p>
    <w:p>
      <w:pPr>
        <w:pStyle w:val="TOC8"/>
        <w:rPr>
          <w:rFonts w:asciiTheme="minorHAnsi" w:eastAsiaTheme="minorEastAsia" w:hAnsiTheme="minorHAnsi" w:cstheme="minorBidi"/>
          <w:szCs w:val="22"/>
        </w:rPr>
      </w:pPr>
      <w:r>
        <w:t>202P.</w:t>
      </w:r>
      <w:r>
        <w:tab/>
        <w:t>Offence to engage in prohibited behaviour within safe access zone</w:t>
      </w:r>
      <w:r>
        <w:tab/>
      </w:r>
      <w:r>
        <w:fldChar w:fldCharType="begin"/>
      </w:r>
      <w:r>
        <w:instrText xml:space="preserve"> PAGEREF _Toc161843907 \h </w:instrText>
      </w:r>
      <w:r>
        <w:fldChar w:fldCharType="separate"/>
      </w:r>
      <w:r>
        <w:t>1</w:t>
      </w:r>
      <w:r>
        <w:fldChar w:fldCharType="end"/>
      </w:r>
    </w:p>
    <w:p>
      <w:pPr>
        <w:pStyle w:val="TOC8"/>
        <w:rPr>
          <w:rFonts w:asciiTheme="minorHAnsi" w:eastAsiaTheme="minorEastAsia" w:hAnsiTheme="minorHAnsi" w:cstheme="minorBidi"/>
          <w:szCs w:val="22"/>
        </w:rPr>
      </w:pPr>
      <w:r>
        <w:t>202Q.</w:t>
      </w:r>
      <w:r>
        <w:tab/>
        <w:t>Offence to publish or distribute recording</w:t>
      </w:r>
      <w:r>
        <w:tab/>
      </w:r>
      <w:r>
        <w:fldChar w:fldCharType="begin"/>
      </w:r>
      <w:r>
        <w:instrText xml:space="preserve"> PAGEREF _Toc161843908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_Toc161843911 \h </w:instrText>
      </w:r>
      <w:r>
        <w:fldChar w:fldCharType="separate"/>
      </w:r>
      <w:r>
        <w:t>1</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_Toc161843912 \h </w:instrText>
      </w:r>
      <w:r>
        <w:fldChar w:fldCharType="separate"/>
      </w:r>
      <w:r>
        <w:t>1</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_Toc161843913 \h </w:instrText>
      </w:r>
      <w:r>
        <w:fldChar w:fldCharType="separate"/>
      </w:r>
      <w:r>
        <w:t>1</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_Toc161843914 \h </w:instrText>
      </w:r>
      <w:r>
        <w:fldChar w:fldCharType="separate"/>
      </w:r>
      <w:r>
        <w:t>1</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_Toc161843915 \h </w:instrText>
      </w:r>
      <w:r>
        <w:fldChar w:fldCharType="separate"/>
      </w:r>
      <w:r>
        <w:t>1</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_Toc161843916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_Toc161843918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_Toc161843920 \h </w:instrText>
      </w:r>
      <w:r>
        <w:fldChar w:fldCharType="separate"/>
      </w:r>
      <w:r>
        <w:t>1</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_Toc161843921 \h </w:instrText>
      </w:r>
      <w:r>
        <w:fldChar w:fldCharType="separate"/>
      </w:r>
      <w:r>
        <w:t>1</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_Toc161843922 \h </w:instrText>
      </w:r>
      <w:r>
        <w:fldChar w:fldCharType="separate"/>
      </w:r>
      <w:r>
        <w:t>1</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_Toc161843923 \h </w:instrText>
      </w:r>
      <w:r>
        <w:fldChar w:fldCharType="separate"/>
      </w:r>
      <w:r>
        <w:t>1</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_Toc161843924 \h </w:instrText>
      </w:r>
      <w:r>
        <w:fldChar w:fldCharType="separate"/>
      </w:r>
      <w:r>
        <w:t>1</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_Toc161843925 \h </w:instrText>
      </w:r>
      <w:r>
        <w:fldChar w:fldCharType="separate"/>
      </w:r>
      <w:r>
        <w:t>1</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_Toc161843926 \h </w:instrText>
      </w:r>
      <w:r>
        <w:fldChar w:fldCharType="separate"/>
      </w:r>
      <w:r>
        <w:t>1</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_Toc161843927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235.</w:t>
      </w:r>
      <w:r>
        <w:tab/>
        <w:t>Disruption of inquiry</w:t>
      </w:r>
      <w:r>
        <w:tab/>
      </w:r>
      <w:r>
        <w:fldChar w:fldCharType="begin"/>
      </w:r>
      <w:r>
        <w:instrText xml:space="preserve"> PAGEREF _Toc161843928 \h </w:instrText>
      </w:r>
      <w:r>
        <w:fldChar w:fldCharType="separate"/>
      </w:r>
      <w:r>
        <w:t>1</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_Toc161843929 \h </w:instrText>
      </w:r>
      <w:r>
        <w:fldChar w:fldCharType="separate"/>
      </w:r>
      <w:r>
        <w:t>1</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_Toc161843930 \h </w:instrText>
      </w:r>
      <w:r>
        <w:fldChar w:fldCharType="separate"/>
      </w:r>
      <w:r>
        <w:t>1</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_Toc161843931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_Toc161843934 \h </w:instrText>
      </w:r>
      <w:r>
        <w:fldChar w:fldCharType="separate"/>
      </w:r>
      <w:r>
        <w:t>1</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_Toc161843935 \h </w:instrText>
      </w:r>
      <w:r>
        <w:fldChar w:fldCharType="separate"/>
      </w:r>
      <w:r>
        <w:t>1</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_Toc161843936 \h </w:instrText>
      </w:r>
      <w:r>
        <w:fldChar w:fldCharType="separate"/>
      </w:r>
      <w:r>
        <w:t>1</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_Toc161843937 \h </w:instrText>
      </w:r>
      <w:r>
        <w:fldChar w:fldCharType="separate"/>
      </w:r>
      <w:r>
        <w:t>1</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_Toc161843938 \h </w:instrText>
      </w:r>
      <w:r>
        <w:fldChar w:fldCharType="separate"/>
      </w:r>
      <w:r>
        <w:t>1</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_Toc161843939 \h </w:instrText>
      </w:r>
      <w:r>
        <w:fldChar w:fldCharType="separate"/>
      </w:r>
      <w:r>
        <w:t>1</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_Toc161843940 \h </w:instrText>
      </w:r>
      <w:r>
        <w:fldChar w:fldCharType="separate"/>
      </w:r>
      <w:r>
        <w:t>1</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_Toc161843941 \h </w:instrText>
      </w:r>
      <w:r>
        <w:fldChar w:fldCharType="separate"/>
      </w:r>
      <w:r>
        <w:t>1</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_Toc161843942 \h </w:instrText>
      </w:r>
      <w:r>
        <w:fldChar w:fldCharType="separate"/>
      </w:r>
      <w:r>
        <w:t>1</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_Toc161843943 \h </w:instrText>
      </w:r>
      <w:r>
        <w:fldChar w:fldCharType="separate"/>
      </w:r>
      <w:r>
        <w:t>1</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_Toc161843944 \h </w:instrText>
      </w:r>
      <w:r>
        <w:fldChar w:fldCharType="separate"/>
      </w:r>
      <w:r>
        <w:t>1</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_Toc161843945 \h </w:instrText>
      </w:r>
      <w:r>
        <w:fldChar w:fldCharType="separate"/>
      </w:r>
      <w:r>
        <w:t>1</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_Toc161843946 \h </w:instrText>
      </w:r>
      <w:r>
        <w:fldChar w:fldCharType="separate"/>
      </w:r>
      <w:r>
        <w:t>1</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_Toc161843947 \h </w:instrText>
      </w:r>
      <w:r>
        <w:fldChar w:fldCharType="separate"/>
      </w:r>
      <w:r>
        <w:t>1</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_Toc161843948 \h </w:instrText>
      </w:r>
      <w:r>
        <w:fldChar w:fldCharType="separate"/>
      </w:r>
      <w:r>
        <w:t>1</w:t>
      </w:r>
      <w:r>
        <w:fldChar w:fldCharType="end"/>
      </w:r>
    </w:p>
    <w:p>
      <w:pPr>
        <w:pStyle w:val="TOC8"/>
        <w:rPr>
          <w:rFonts w:asciiTheme="minorHAnsi" w:eastAsiaTheme="minorEastAsia" w:hAnsiTheme="minorHAnsi" w:cstheme="minorBidi"/>
          <w:szCs w:val="22"/>
        </w:rPr>
      </w:pPr>
      <w:r>
        <w:t>254.</w:t>
      </w:r>
      <w:r>
        <w:tab/>
        <w:t>False or misleading information</w:t>
      </w:r>
      <w:r>
        <w:tab/>
      </w:r>
      <w:r>
        <w:fldChar w:fldCharType="begin"/>
      </w:r>
      <w:r>
        <w:instrText xml:space="preserve"> PAGEREF _Toc161843949 \h </w:instrText>
      </w:r>
      <w:r>
        <w:fldChar w:fldCharType="separate"/>
      </w:r>
      <w:r>
        <w:t>1</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_Toc161843950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_Toc161843952 \h </w:instrText>
      </w:r>
      <w:r>
        <w:fldChar w:fldCharType="separate"/>
      </w:r>
      <w:r>
        <w:t>1</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_Toc161843953 \h </w:instrText>
      </w:r>
      <w:r>
        <w:fldChar w:fldCharType="separate"/>
      </w:r>
      <w:r>
        <w:t>1</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_Toc161843954 \h </w:instrText>
      </w:r>
      <w:r>
        <w:fldChar w:fldCharType="separate"/>
      </w:r>
      <w:r>
        <w:t>1</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_Toc161843955 \h </w:instrText>
      </w:r>
      <w:r>
        <w:fldChar w:fldCharType="separate"/>
      </w:r>
      <w:r>
        <w:t>1</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_Toc161843956 \h </w:instrText>
      </w:r>
      <w:r>
        <w:fldChar w:fldCharType="separate"/>
      </w:r>
      <w:r>
        <w:t>1</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_Toc161843957 \h </w:instrText>
      </w:r>
      <w:r>
        <w:fldChar w:fldCharType="separate"/>
      </w:r>
      <w:r>
        <w:t>1</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_Toc161843958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263.</w:t>
      </w:r>
      <w:r>
        <w:tab/>
        <w:t>Return of forfeited item</w:t>
      </w:r>
      <w:r>
        <w:tab/>
      </w:r>
      <w:r>
        <w:fldChar w:fldCharType="begin"/>
      </w:r>
      <w:r>
        <w:instrText xml:space="preserve"> PAGEREF _Toc161843959 \h </w:instrText>
      </w:r>
      <w:r>
        <w:fldChar w:fldCharType="separate"/>
      </w:r>
      <w:r>
        <w:t>1</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_Toc161843960 \h </w:instrText>
      </w:r>
      <w:r>
        <w:fldChar w:fldCharType="separate"/>
      </w:r>
      <w:r>
        <w:t>1</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_Toc161843961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_Toc161843964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_Toc161843966 \h </w:instrText>
      </w:r>
      <w:r>
        <w:fldChar w:fldCharType="separate"/>
      </w:r>
      <w:r>
        <w:t>1</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_Toc161843967 \h </w:instrText>
      </w:r>
      <w:r>
        <w:fldChar w:fldCharType="separate"/>
      </w:r>
      <w:r>
        <w:t>1</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_Toc161843968 \h </w:instrText>
      </w:r>
      <w:r>
        <w:fldChar w:fldCharType="separate"/>
      </w:r>
      <w:r>
        <w:t>1</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_Toc161843969 \h </w:instrText>
      </w:r>
      <w:r>
        <w:fldChar w:fldCharType="separate"/>
      </w:r>
      <w:r>
        <w:t>1</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_Toc161843970 \h </w:instrText>
      </w:r>
      <w:r>
        <w:fldChar w:fldCharType="separate"/>
      </w:r>
      <w:r>
        <w:t>1</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_Toc161843971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_Toc161843973 \h </w:instrText>
      </w:r>
      <w:r>
        <w:fldChar w:fldCharType="separate"/>
      </w:r>
      <w:r>
        <w:t>1</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_Toc161843974 \h </w:instrText>
      </w:r>
      <w:r>
        <w:fldChar w:fldCharType="separate"/>
      </w:r>
      <w:r>
        <w:t>1</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_Toc161843975 \h </w:instrText>
      </w:r>
      <w:r>
        <w:fldChar w:fldCharType="separate"/>
      </w:r>
      <w:r>
        <w:t>1</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_Toc161843976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_Toc161843978 \h </w:instrText>
      </w:r>
      <w:r>
        <w:fldChar w:fldCharType="separate"/>
      </w:r>
      <w:r>
        <w:t>1</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_Toc161843979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_Toc161843982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_Toc161843984 \h </w:instrText>
      </w:r>
      <w:r>
        <w:fldChar w:fldCharType="separate"/>
      </w:r>
      <w:r>
        <w:t>1</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_Toc161843985 \h </w:instrText>
      </w:r>
      <w:r>
        <w:fldChar w:fldCharType="separate"/>
      </w:r>
      <w:r>
        <w:t>1</w:t>
      </w:r>
      <w:r>
        <w:fldChar w:fldCharType="end"/>
      </w:r>
    </w:p>
    <w:p>
      <w:pPr>
        <w:pStyle w:val="TOC8"/>
        <w:rPr>
          <w:rFonts w:asciiTheme="minorHAnsi" w:eastAsiaTheme="minorEastAsia" w:hAnsiTheme="minorHAnsi" w:cstheme="minorBidi"/>
          <w:szCs w:val="22"/>
        </w:rPr>
      </w:pPr>
      <w:r>
        <w:t>282.</w:t>
      </w:r>
      <w:r>
        <w:tab/>
        <w:t>Liability of officers for offence by body corporate</w:t>
      </w:r>
      <w:r>
        <w:tab/>
      </w:r>
      <w:r>
        <w:fldChar w:fldCharType="begin"/>
      </w:r>
      <w:r>
        <w:instrText xml:space="preserve"> PAGEREF _Toc161843986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284.</w:t>
      </w:r>
      <w:r>
        <w:tab/>
        <w:t>Liability of employees and agents</w:t>
      </w:r>
      <w:r>
        <w:tab/>
      </w:r>
      <w:r>
        <w:fldChar w:fldCharType="begin"/>
      </w:r>
      <w:r>
        <w:instrText xml:space="preserve"> PAGEREF _Toc161843987 \h </w:instrText>
      </w:r>
      <w:r>
        <w:fldChar w:fldCharType="separate"/>
      </w:r>
      <w:r>
        <w:t>1</w:t>
      </w:r>
      <w:r>
        <w:fldChar w:fldCharType="end"/>
      </w:r>
    </w:p>
    <w:p>
      <w:pPr>
        <w:pStyle w:val="TOC8"/>
        <w:rPr>
          <w:rFonts w:asciiTheme="minorHAnsi" w:eastAsiaTheme="minorEastAsia" w:hAnsiTheme="minorHAnsi" w:cstheme="minorBidi"/>
          <w:szCs w:val="22"/>
        </w:rPr>
      </w:pPr>
      <w:r>
        <w:t>285.</w:t>
      </w:r>
      <w:r>
        <w:tab/>
        <w:t>Disclosure by witnesses</w:t>
      </w:r>
      <w:r>
        <w:tab/>
      </w:r>
      <w:r>
        <w:fldChar w:fldCharType="begin"/>
      </w:r>
      <w:r>
        <w:instrText xml:space="preserve"> PAGEREF _Toc161843988 \h </w:instrText>
      </w:r>
      <w:r>
        <w:fldChar w:fldCharType="separate"/>
      </w:r>
      <w:r>
        <w:t>1</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_Toc161843989 \h </w:instrText>
      </w:r>
      <w:r>
        <w:fldChar w:fldCharType="separate"/>
      </w:r>
      <w:r>
        <w:t>1</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_Toc161843990 \h </w:instrText>
      </w:r>
      <w:r>
        <w:fldChar w:fldCharType="separate"/>
      </w:r>
      <w:r>
        <w:t>1</w:t>
      </w:r>
      <w:r>
        <w:fldChar w:fldCharType="end"/>
      </w:r>
    </w:p>
    <w:p>
      <w:pPr>
        <w:pStyle w:val="TOC8"/>
        <w:rPr>
          <w:rFonts w:asciiTheme="minorHAnsi" w:eastAsiaTheme="minorEastAsia" w:hAnsiTheme="minorHAnsi" w:cstheme="minorBidi"/>
          <w:szCs w:val="22"/>
        </w:rPr>
      </w:pPr>
      <w:r>
        <w:t>288.</w:t>
      </w:r>
      <w:r>
        <w:tab/>
        <w:t>Court may order forfeiture</w:t>
      </w:r>
      <w:r>
        <w:tab/>
      </w:r>
      <w:r>
        <w:fldChar w:fldCharType="begin"/>
      </w:r>
      <w:r>
        <w:instrText xml:space="preserve"> PAGEREF _Toc161843991 \h </w:instrText>
      </w:r>
      <w:r>
        <w:fldChar w:fldCharType="separate"/>
      </w:r>
      <w:r>
        <w:t>1</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_Toc161843992 \h </w:instrText>
      </w:r>
      <w:r>
        <w:fldChar w:fldCharType="separate"/>
      </w:r>
      <w:r>
        <w:t>1</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_Toc161843993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_Toc161843996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297A.</w:t>
      </w:r>
      <w:r>
        <w:tab/>
        <w:t>Offence of giving false or misleading information</w:t>
      </w:r>
      <w:r>
        <w:tab/>
      </w:r>
      <w:r>
        <w:fldChar w:fldCharType="begin"/>
      </w:r>
      <w:r>
        <w:instrText xml:space="preserve"> PAGEREF _Toc161843998 \h </w:instrText>
      </w:r>
      <w:r>
        <w:fldChar w:fldCharType="separate"/>
      </w:r>
      <w:r>
        <w:t>1</w:t>
      </w:r>
      <w:r>
        <w:fldChar w:fldCharType="end"/>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_Toc161843999 \h </w:instrText>
      </w:r>
      <w:r>
        <w:fldChar w:fldCharType="separate"/>
      </w:r>
      <w:r>
        <w:t>1</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_Toc161844000 \h </w:instrText>
      </w:r>
      <w:r>
        <w:fldChar w:fldCharType="separate"/>
      </w:r>
      <w:r>
        <w:t>1</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_Toc161844001 \h </w:instrText>
      </w:r>
      <w:r>
        <w:fldChar w:fldCharType="separate"/>
      </w:r>
      <w:r>
        <w:t>1</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_Toc161844002 \h </w:instrText>
      </w:r>
      <w:r>
        <w:fldChar w:fldCharType="separate"/>
      </w:r>
      <w:r>
        <w:t>1</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_Toc161844003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_Toc161844005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_Toc161844007 \h </w:instrText>
      </w:r>
      <w:r>
        <w:fldChar w:fldCharType="separate"/>
      </w:r>
      <w:r>
        <w:t>1</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_Toc161844008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_Toc161844010 \h </w:instrText>
      </w:r>
      <w:r>
        <w:fldChar w:fldCharType="separate"/>
      </w:r>
      <w:r>
        <w:t>1</w:t>
      </w:r>
      <w:r>
        <w:fldChar w:fldCharType="end"/>
      </w:r>
    </w:p>
    <w:p>
      <w:pPr>
        <w:pStyle w:val="TOC8"/>
        <w:rPr>
          <w:rFonts w:asciiTheme="minorHAnsi" w:eastAsiaTheme="minorEastAsia" w:hAnsiTheme="minorHAnsi" w:cstheme="minorBidi"/>
          <w:szCs w:val="22"/>
        </w:rPr>
      </w:pPr>
      <w:r>
        <w:t>306A</w:t>
      </w:r>
      <w:r>
        <w:rPr>
          <w:bCs/>
        </w:rPr>
        <w:t>.</w:t>
      </w:r>
      <w:r>
        <w:rPr>
          <w:bCs/>
        </w:rPr>
        <w:tab/>
        <w:t xml:space="preserve">Review of amendments made by </w:t>
      </w:r>
      <w:r>
        <w:rPr>
          <w:bCs/>
          <w:i/>
        </w:rPr>
        <w:t>Public Health Amendment (Immunisation Requirements for Enrolment) Act 2019</w:t>
      </w:r>
      <w:r>
        <w:tab/>
      </w:r>
      <w:r>
        <w:fldChar w:fldCharType="begin"/>
      </w:r>
      <w:r>
        <w:instrText xml:space="preserve"> PAGEREF _Toc161844011 \h </w:instrText>
      </w:r>
      <w:r>
        <w:fldChar w:fldCharType="separate"/>
      </w:r>
      <w:r>
        <w:t>1</w:t>
      </w:r>
      <w:r>
        <w:fldChar w:fldCharType="end"/>
      </w:r>
    </w:p>
    <w:p>
      <w:pPr>
        <w:pStyle w:val="TOC8"/>
        <w:rPr>
          <w:rFonts w:asciiTheme="minorHAnsi" w:eastAsiaTheme="minorEastAsia" w:hAnsiTheme="minorHAnsi" w:cstheme="minorBidi"/>
          <w:szCs w:val="22"/>
        </w:rPr>
      </w:pPr>
      <w:r>
        <w:t>306B.</w:t>
      </w:r>
      <w:r>
        <w:tab/>
        <w:t xml:space="preserve">Review of amendments made by </w:t>
      </w:r>
      <w:r>
        <w:rPr>
          <w:i/>
        </w:rPr>
        <w:t>Public Health Amendment (Safe Access Zones) Act 2021</w:t>
      </w:r>
      <w:r>
        <w:tab/>
      </w:r>
      <w:r>
        <w:fldChar w:fldCharType="begin"/>
      </w:r>
      <w:r>
        <w:instrText xml:space="preserve"> PAGEREF _Toc161844012 \h </w:instrText>
      </w:r>
      <w:r>
        <w:fldChar w:fldCharType="separate"/>
      </w:r>
      <w:r>
        <w:t>1</w:t>
      </w:r>
      <w:r>
        <w:fldChar w:fldCharType="end"/>
      </w:r>
    </w:p>
    <w:p>
      <w:pPr>
        <w:pStyle w:val="TOC8"/>
        <w:rPr>
          <w:rFonts w:asciiTheme="minorHAnsi" w:eastAsiaTheme="minorEastAsia" w:hAnsiTheme="minorHAnsi" w:cstheme="minorBidi"/>
          <w:szCs w:val="22"/>
        </w:rPr>
      </w:pPr>
      <w:r>
        <w:t>306C.</w:t>
      </w:r>
      <w:r>
        <w:tab/>
        <w:t xml:space="preserve">Review of amendments made by </w:t>
      </w:r>
      <w:r>
        <w:rPr>
          <w:i/>
        </w:rPr>
        <w:t>Abortion Legislation Reform Act 2023</w:t>
      </w:r>
      <w:r>
        <w:tab/>
      </w:r>
      <w:r>
        <w:fldChar w:fldCharType="begin"/>
      </w:r>
      <w:r>
        <w:instrText xml:space="preserve"> PAGEREF _Toc161844013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_Toc161844015 \h </w:instrText>
      </w:r>
      <w:r>
        <w:fldChar w:fldCharType="separate"/>
      </w:r>
      <w:r>
        <w:t>1</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_Toc161844016 \h </w:instrText>
      </w:r>
      <w:r>
        <w:fldChar w:fldCharType="separate"/>
      </w:r>
      <w:r>
        <w:t>1</w:t>
      </w:r>
      <w:r>
        <w:fldChar w:fldCharType="end"/>
      </w:r>
    </w:p>
    <w:p>
      <w:pPr>
        <w:pStyle w:val="TOC8"/>
        <w:rPr>
          <w:rFonts w:asciiTheme="minorHAnsi" w:eastAsiaTheme="minorEastAsia" w:hAnsiTheme="minorHAnsi" w:cstheme="minorBidi"/>
          <w:szCs w:val="22"/>
        </w:rPr>
      </w:pPr>
      <w:r>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_Toc161844017 \h </w:instrText>
      </w:r>
      <w:r>
        <w:fldChar w:fldCharType="separate"/>
      </w:r>
      <w:r>
        <w:t>1</w:t>
      </w:r>
      <w:r>
        <w:fldChar w:fldCharType="end"/>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_Toc161844018 \h </w:instrText>
      </w:r>
      <w:r>
        <w:fldChar w:fldCharType="separate"/>
      </w:r>
      <w:r>
        <w:t>1</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_Toc161844019 \h </w:instrText>
      </w:r>
      <w:r>
        <w:fldChar w:fldCharType="separate"/>
      </w:r>
      <w:r>
        <w:t>1</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_Toc161844020 \h </w:instrText>
      </w:r>
      <w:r>
        <w:fldChar w:fldCharType="separate"/>
      </w:r>
      <w:r>
        <w:t>1</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_Toc161844021 \h </w:instrText>
      </w:r>
      <w:r>
        <w:fldChar w:fldCharType="separate"/>
      </w:r>
      <w:r>
        <w:t>1</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_Toc161844022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21 — Transitional provisions for </w:t>
      </w:r>
      <w:r>
        <w:rPr>
          <w:i/>
        </w:rPr>
        <w:t>Abortion Legislation Reform Act 2023</w:t>
      </w:r>
    </w:p>
    <w:p>
      <w:pPr>
        <w:pStyle w:val="TOC8"/>
        <w:rPr>
          <w:rFonts w:asciiTheme="minorHAnsi" w:eastAsiaTheme="minorEastAsia" w:hAnsiTheme="minorHAnsi" w:cstheme="minorBidi"/>
          <w:szCs w:val="22"/>
        </w:rPr>
      </w:pPr>
      <w:r>
        <w:t>323.</w:t>
      </w:r>
      <w:r>
        <w:tab/>
        <w:t>Term used: commencement day</w:t>
      </w:r>
      <w:r>
        <w:tab/>
      </w:r>
      <w:r>
        <w:fldChar w:fldCharType="begin"/>
      </w:r>
      <w:r>
        <w:instrText xml:space="preserve"> PAGEREF _Toc161844024 \h </w:instrText>
      </w:r>
      <w:r>
        <w:fldChar w:fldCharType="separate"/>
      </w:r>
      <w:r>
        <w:t>1</w:t>
      </w:r>
      <w:r>
        <w:fldChar w:fldCharType="end"/>
      </w:r>
    </w:p>
    <w:p>
      <w:pPr>
        <w:pStyle w:val="TOC8"/>
        <w:rPr>
          <w:rFonts w:asciiTheme="minorHAnsi" w:eastAsiaTheme="minorEastAsia" w:hAnsiTheme="minorHAnsi" w:cstheme="minorBidi"/>
          <w:szCs w:val="22"/>
        </w:rPr>
      </w:pPr>
      <w:r>
        <w:t>324.</w:t>
      </w:r>
      <w:r>
        <w:tab/>
        <w:t xml:space="preserve">Decisions made under </w:t>
      </w:r>
      <w:r>
        <w:rPr>
          <w:i/>
        </w:rPr>
        <w:t>Health (Miscellaneous Provisions) Act 1911</w:t>
      </w:r>
      <w:r>
        <w:t xml:space="preserve"> s. 334(7)(a) before commencement day</w:t>
      </w:r>
      <w:r>
        <w:tab/>
      </w:r>
      <w:r>
        <w:fldChar w:fldCharType="begin"/>
      </w:r>
      <w:r>
        <w:instrText xml:space="preserve"> PAGEREF _Toc161844025 \h </w:instrText>
      </w:r>
      <w:r>
        <w:fldChar w:fldCharType="separate"/>
      </w:r>
      <w:r>
        <w:t>1</w:t>
      </w:r>
      <w:r>
        <w:fldChar w:fldCharType="end"/>
      </w:r>
    </w:p>
    <w:p>
      <w:pPr>
        <w:pStyle w:val="TOC8"/>
        <w:rPr>
          <w:rFonts w:asciiTheme="minorHAnsi" w:eastAsiaTheme="minorEastAsia" w:hAnsiTheme="minorHAnsi" w:cstheme="minorBidi"/>
          <w:szCs w:val="22"/>
        </w:rPr>
      </w:pPr>
      <w:r>
        <w:t>325.</w:t>
      </w:r>
      <w:r>
        <w:tab/>
        <w:t xml:space="preserve">Applications made under </w:t>
      </w:r>
      <w:r>
        <w:rPr>
          <w:i/>
        </w:rPr>
        <w:t>Health (Miscellaneous Provisions) Act 1911</w:t>
      </w:r>
      <w:r>
        <w:t xml:space="preserve"> s. 334(9) before commencement day</w:t>
      </w:r>
      <w:r>
        <w:tab/>
      </w:r>
      <w:r>
        <w:fldChar w:fldCharType="begin"/>
      </w:r>
      <w:r>
        <w:instrText xml:space="preserve"> PAGEREF _Toc161844026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_Toc161844028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_Toc161844029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2" w:name="BillCited"/>
      <w:bookmarkEnd w:id="2"/>
      <w:r>
        <w:rPr>
          <w:snapToGrid w:val="0"/>
        </w:rPr>
        <w:t>An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1839079"/>
      <w:bookmarkStart w:id="4" w:name="_Toc161841342"/>
      <w:bookmarkStart w:id="5" w:name="_Toc16184367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1843672"/>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7" w:name="_Toc161843673"/>
      <w:r>
        <w:rPr>
          <w:rStyle w:val="CharSectno"/>
        </w:rPr>
        <w:t>2</w:t>
      </w:r>
      <w:r>
        <w:rPr>
          <w:snapToGrid w:val="0"/>
        </w:rPr>
        <w:t>.</w:t>
      </w:r>
      <w:r>
        <w:rPr>
          <w:snapToGrid w:val="0"/>
        </w:rPr>
        <w:tab/>
      </w:r>
      <w:r>
        <w:t>Commencement</w:t>
      </w:r>
      <w:bookmarkEnd w:id="7"/>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8" w:name="_Toc161843674"/>
      <w:r>
        <w:rPr>
          <w:rStyle w:val="CharSectno"/>
        </w:rPr>
        <w:t>3</w:t>
      </w:r>
      <w:r>
        <w:t>.</w:t>
      </w:r>
      <w:r>
        <w:tab/>
        <w:t>Objects and principles</w:t>
      </w:r>
      <w:bookmarkEnd w:id="8"/>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lastRenderedPageBreak/>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lastRenderedPageBreak/>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lastRenderedPageBreak/>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9" w:name="_Toc161843675"/>
      <w:r>
        <w:rPr>
          <w:rStyle w:val="CharSectno"/>
        </w:rPr>
        <w:t>4</w:t>
      </w:r>
      <w:r>
        <w:t>.</w:t>
      </w:r>
      <w:r>
        <w:tab/>
        <w:t>Terms used</w:t>
      </w:r>
      <w:bookmarkEnd w:id="9"/>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COVID</w:t>
      </w:r>
      <w:r>
        <w:rPr>
          <w:rStyle w:val="CharDefText"/>
        </w:rPr>
        <w:noBreakHyphen/>
        <w:t>19 management</w:t>
      </w:r>
      <w:r>
        <w:t xml:space="preserve"> has the meaning given in the </w:t>
      </w:r>
      <w:r>
        <w:rPr>
          <w:i/>
        </w:rPr>
        <w:t>Emergency Management Act 2005</w:t>
      </w:r>
      <w:r>
        <w:t xml:space="preserve"> section 77B;</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lastRenderedPageBreak/>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IDEC declaration</w:t>
      </w:r>
      <w:r>
        <w:t xml:space="preserve"> has the meaning given in section 202A(1);</w:t>
      </w:r>
    </w:p>
    <w:p>
      <w:pPr>
        <w:pStyle w:val="Defstart"/>
        <w:tabs>
          <w:tab w:val="left" w:pos="1701"/>
        </w:tabs>
      </w:pPr>
      <w:r>
        <w:rPr>
          <w:b/>
        </w:rPr>
        <w:lastRenderedPageBreak/>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keepNex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 (other than as a student);</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w:t>
      </w:r>
      <w:bookmarkStart w:id="10" w:name="_Hlk161839412"/>
      <w:r>
        <w:t>profession (other than as a student);</w:t>
      </w:r>
      <w:bookmarkEnd w:id="10"/>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lastRenderedPageBreak/>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 (other than as a student);</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(other than as a student) whose registration under that Law is endorsed as nurse practitioner;</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keepNext/>
      </w:pPr>
      <w:r>
        <w:rPr>
          <w:b/>
        </w:rPr>
        <w:lastRenderedPageBreak/>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lastRenderedPageBreak/>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or 1A or Part 6A Division 4,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lastRenderedPageBreak/>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tab/>
      </w:r>
      <w:r>
        <w:rPr>
          <w:rStyle w:val="CharDefText"/>
        </w:rPr>
        <w:t>student</w:t>
      </w:r>
      <w:r>
        <w:t>, in relation to a health profession, has the meaning given in section 202MA;</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keepNext/>
      </w:pPr>
      <w:r>
        <w:lastRenderedPageBreak/>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lastRenderedPageBreak/>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 No. 33 of 2022 s. 19; No. 9 of 2023 s. 126; No. 20 of 2023 s. 6.]</w:t>
      </w:r>
    </w:p>
    <w:p>
      <w:pPr>
        <w:pStyle w:val="Heading5"/>
      </w:pPr>
      <w:bookmarkStart w:id="11" w:name="_Toc161843676"/>
      <w:r>
        <w:rPr>
          <w:rStyle w:val="CharSectno"/>
        </w:rPr>
        <w:t>5</w:t>
      </w:r>
      <w:r>
        <w:t>.</w:t>
      </w:r>
      <w:r>
        <w:tab/>
        <w:t>Crown bound</w:t>
      </w:r>
      <w:bookmarkEnd w:id="11"/>
    </w:p>
    <w:p>
      <w:pPr>
        <w:pStyle w:val="Subsection"/>
        <w:keepNext/>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2" w:name="_Toc161839085"/>
      <w:bookmarkStart w:id="13" w:name="_Toc161841348"/>
      <w:bookmarkStart w:id="14" w:name="_Toc161843677"/>
      <w:r>
        <w:rPr>
          <w:rStyle w:val="CharPartNo"/>
        </w:rPr>
        <w:lastRenderedPageBreak/>
        <w:t>Part 2</w:t>
      </w:r>
      <w:r>
        <w:t> — </w:t>
      </w:r>
      <w:r>
        <w:rPr>
          <w:rStyle w:val="CharPartText"/>
        </w:rPr>
        <w:t>Administration</w:t>
      </w:r>
      <w:bookmarkEnd w:id="12"/>
      <w:bookmarkEnd w:id="13"/>
      <w:bookmarkEnd w:id="14"/>
    </w:p>
    <w:p>
      <w:pPr>
        <w:pStyle w:val="Heading3"/>
      </w:pPr>
      <w:bookmarkStart w:id="15" w:name="_Toc161839086"/>
      <w:bookmarkStart w:id="16" w:name="_Toc161841349"/>
      <w:bookmarkStart w:id="17" w:name="_Toc161843678"/>
      <w:r>
        <w:rPr>
          <w:rStyle w:val="CharDivNo"/>
        </w:rPr>
        <w:t>Division 1</w:t>
      </w:r>
      <w:r>
        <w:t> — </w:t>
      </w:r>
      <w:r>
        <w:rPr>
          <w:rStyle w:val="CharDivText"/>
        </w:rPr>
        <w:t>Chief Health Officer</w:t>
      </w:r>
      <w:bookmarkEnd w:id="15"/>
      <w:bookmarkEnd w:id="16"/>
      <w:bookmarkEnd w:id="17"/>
    </w:p>
    <w:p>
      <w:pPr>
        <w:pStyle w:val="Heading4"/>
      </w:pPr>
      <w:bookmarkStart w:id="18" w:name="_Toc161839087"/>
      <w:bookmarkStart w:id="19" w:name="_Toc161841350"/>
      <w:bookmarkStart w:id="20" w:name="_Toc161843679"/>
      <w:r>
        <w:t>Subdivision 1 — Functions of Chief Health Officer</w:t>
      </w:r>
      <w:bookmarkEnd w:id="18"/>
      <w:bookmarkEnd w:id="19"/>
      <w:bookmarkEnd w:id="20"/>
    </w:p>
    <w:p>
      <w:pPr>
        <w:pStyle w:val="Heading5"/>
      </w:pPr>
      <w:bookmarkStart w:id="21" w:name="_Toc161843680"/>
      <w:r>
        <w:rPr>
          <w:rStyle w:val="CharSectno"/>
        </w:rPr>
        <w:t>6</w:t>
      </w:r>
      <w:r>
        <w:t>.</w:t>
      </w:r>
      <w:r>
        <w:tab/>
        <w:t>Functions of Chief Health Officer</w:t>
      </w:r>
      <w:bookmarkEnd w:id="21"/>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22" w:name="_Toc161843681"/>
      <w:r>
        <w:rPr>
          <w:rStyle w:val="CharSectno"/>
        </w:rPr>
        <w:t>9</w:t>
      </w:r>
      <w:r>
        <w:t>.</w:t>
      </w:r>
      <w:r>
        <w:tab/>
        <w:t>Chief Health Officer may delegate</w:t>
      </w:r>
      <w:bookmarkEnd w:id="22"/>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lastRenderedPageBreak/>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23" w:name="_Toc161843682"/>
      <w:r>
        <w:rPr>
          <w:rStyle w:val="CharSectno"/>
        </w:rPr>
        <w:t>10</w:t>
      </w:r>
      <w:r>
        <w:t>.</w:t>
      </w:r>
      <w:r>
        <w:tab/>
        <w:t xml:space="preserve">Power to delegate under </w:t>
      </w:r>
      <w:r>
        <w:rPr>
          <w:i/>
        </w:rPr>
        <w:t>Health Legislation Administration Act 1984</w:t>
      </w:r>
      <w:r>
        <w:t xml:space="preserve"> section 9 excluded</w:t>
      </w:r>
      <w:bookmarkEnd w:id="23"/>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24" w:name="_Toc161839091"/>
      <w:bookmarkStart w:id="25" w:name="_Toc161841354"/>
      <w:bookmarkStart w:id="26" w:name="_Toc161843683"/>
      <w:r>
        <w:t>Subdivision 2 — Designation of Chief Health Officer</w:t>
      </w:r>
      <w:bookmarkEnd w:id="24"/>
      <w:bookmarkEnd w:id="25"/>
      <w:bookmarkEnd w:id="26"/>
    </w:p>
    <w:p>
      <w:pPr>
        <w:pStyle w:val="Heading5"/>
      </w:pPr>
      <w:bookmarkStart w:id="27" w:name="_Toc161843684"/>
      <w:r>
        <w:rPr>
          <w:rStyle w:val="CharSectno"/>
        </w:rPr>
        <w:t>11</w:t>
      </w:r>
      <w:r>
        <w:t>.</w:t>
      </w:r>
      <w:r>
        <w:tab/>
        <w:t>Minister to designate Chief Health Officer</w:t>
      </w:r>
      <w:bookmarkEnd w:id="27"/>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28" w:name="_Toc161843685"/>
      <w:r>
        <w:rPr>
          <w:rStyle w:val="CharSectno"/>
        </w:rPr>
        <w:lastRenderedPageBreak/>
        <w:t>12</w:t>
      </w:r>
      <w:r>
        <w:t>.</w:t>
      </w:r>
      <w:r>
        <w:tab/>
        <w:t>Term of office and remuneration of Chief Health Officer</w:t>
      </w:r>
      <w:bookmarkEnd w:id="28"/>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29" w:name="_Toc161843686"/>
      <w:r>
        <w:rPr>
          <w:rStyle w:val="CharSectno"/>
        </w:rPr>
        <w:t>13</w:t>
      </w:r>
      <w:r>
        <w:t>.</w:t>
      </w:r>
      <w:r>
        <w:tab/>
        <w:t>Resignation, vacation of office and removal from office</w:t>
      </w:r>
      <w:bookmarkEnd w:id="29"/>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lastRenderedPageBreak/>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30" w:name="_Toc161843687"/>
      <w:r>
        <w:rPr>
          <w:rStyle w:val="CharSectno"/>
        </w:rPr>
        <w:t>14</w:t>
      </w:r>
      <w:r>
        <w:t>.</w:t>
      </w:r>
      <w:r>
        <w:tab/>
        <w:t>Acting Chief Health Officer</w:t>
      </w:r>
      <w:bookmarkEnd w:id="30"/>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lastRenderedPageBreak/>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31" w:name="_Toc161843688"/>
      <w:r>
        <w:rPr>
          <w:rStyle w:val="CharSectno"/>
        </w:rPr>
        <w:t>15</w:t>
      </w:r>
      <w:r>
        <w:t>.</w:t>
      </w:r>
      <w:r>
        <w:tab/>
        <w:t>Authority of Acting Chief Health Officer</w:t>
      </w:r>
      <w:bookmarkEnd w:id="31"/>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32" w:name="_Toc161839097"/>
      <w:bookmarkStart w:id="33" w:name="_Toc161841360"/>
      <w:bookmarkStart w:id="34" w:name="_Toc161843689"/>
      <w:r>
        <w:rPr>
          <w:rStyle w:val="CharDivNo"/>
        </w:rPr>
        <w:t>Division 2</w:t>
      </w:r>
      <w:r>
        <w:t> — </w:t>
      </w:r>
      <w:r>
        <w:rPr>
          <w:rStyle w:val="CharDivText"/>
        </w:rPr>
        <w:t>Functions of local governments</w:t>
      </w:r>
      <w:bookmarkEnd w:id="32"/>
      <w:bookmarkEnd w:id="33"/>
      <w:bookmarkEnd w:id="34"/>
    </w:p>
    <w:p>
      <w:pPr>
        <w:pStyle w:val="Heading5"/>
      </w:pPr>
      <w:bookmarkStart w:id="35" w:name="_Toc161843690"/>
      <w:r>
        <w:rPr>
          <w:rStyle w:val="CharSectno"/>
        </w:rPr>
        <w:t>16</w:t>
      </w:r>
      <w:r>
        <w:t>.</w:t>
      </w:r>
      <w:r>
        <w:tab/>
        <w:t>Functions of local governments</w:t>
      </w:r>
      <w:bookmarkEnd w:id="35"/>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lastRenderedPageBreak/>
        <w:tab/>
        <w:t>(d)</w:t>
      </w:r>
      <w:r>
        <w:tab/>
        <w:t>to administer and enforce this Act within its local government district in accordance with the objects and principles of this Act.</w:t>
      </w:r>
    </w:p>
    <w:p>
      <w:pPr>
        <w:pStyle w:val="Heading5"/>
      </w:pPr>
      <w:bookmarkStart w:id="36" w:name="_Toc161843691"/>
      <w:r>
        <w:rPr>
          <w:rStyle w:val="CharSectno"/>
        </w:rPr>
        <w:t>17</w:t>
      </w:r>
      <w:r>
        <w:t>.</w:t>
      </w:r>
      <w:r>
        <w:tab/>
        <w:t>Appointment of environmental health officers</w:t>
      </w:r>
      <w:bookmarkEnd w:id="36"/>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37" w:name="_Toc161843692"/>
      <w:r>
        <w:rPr>
          <w:rStyle w:val="CharSectno"/>
        </w:rPr>
        <w:t>18</w:t>
      </w:r>
      <w:r>
        <w:t>.</w:t>
      </w:r>
      <w:r>
        <w:tab/>
        <w:t>Chief Health Officer to approve qualifications and experience required by environmental health officers</w:t>
      </w:r>
      <w:bookmarkEnd w:id="37"/>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38" w:name="_Toc161839101"/>
      <w:bookmarkStart w:id="39" w:name="_Toc161841364"/>
      <w:bookmarkStart w:id="40" w:name="_Toc161843693"/>
      <w:r>
        <w:rPr>
          <w:rStyle w:val="CharDivNo"/>
        </w:rPr>
        <w:lastRenderedPageBreak/>
        <w:t>Division 3</w:t>
      </w:r>
      <w:r>
        <w:t> — </w:t>
      </w:r>
      <w:r>
        <w:rPr>
          <w:rStyle w:val="CharDivText"/>
        </w:rPr>
        <w:t>Functions of enforcement agencies</w:t>
      </w:r>
      <w:bookmarkEnd w:id="38"/>
      <w:bookmarkEnd w:id="39"/>
      <w:bookmarkEnd w:id="40"/>
    </w:p>
    <w:p>
      <w:pPr>
        <w:pStyle w:val="Heading5"/>
      </w:pPr>
      <w:bookmarkStart w:id="41" w:name="_Toc161843694"/>
      <w:r>
        <w:rPr>
          <w:rStyle w:val="CharSectno"/>
        </w:rPr>
        <w:t>19</w:t>
      </w:r>
      <w:r>
        <w:t>.</w:t>
      </w:r>
      <w:r>
        <w:tab/>
        <w:t>Functions of enforcement agencies</w:t>
      </w:r>
      <w:bookmarkEnd w:id="41"/>
    </w:p>
    <w:p>
      <w:pPr>
        <w:pStyle w:val="Subsection"/>
      </w:pPr>
      <w:r>
        <w:tab/>
      </w:r>
      <w:r>
        <w:tab/>
        <w:t>An enforcement agency has the functions in relation to the administration of this Act that are conferred or imposed on the agency by or under this Act.</w:t>
      </w:r>
    </w:p>
    <w:p>
      <w:pPr>
        <w:pStyle w:val="Heading5"/>
      </w:pPr>
      <w:bookmarkStart w:id="42" w:name="_Toc161843695"/>
      <w:r>
        <w:rPr>
          <w:rStyle w:val="CharSectno"/>
        </w:rPr>
        <w:t>20</w:t>
      </w:r>
      <w:r>
        <w:t>.</w:t>
      </w:r>
      <w:r>
        <w:tab/>
        <w:t>Conditions on performance of functions by enforcement agencies</w:t>
      </w:r>
      <w:bookmarkEnd w:id="42"/>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43" w:name="_Toc161843696"/>
      <w:r>
        <w:rPr>
          <w:rStyle w:val="CharSectno"/>
        </w:rPr>
        <w:t>21</w:t>
      </w:r>
      <w:r>
        <w:t>.</w:t>
      </w:r>
      <w:r>
        <w:tab/>
        <w:t>Enforcement agency may delegate</w:t>
      </w:r>
      <w:bookmarkEnd w:id="43"/>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lastRenderedPageBreak/>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44" w:name="_Toc161843697"/>
      <w:r>
        <w:rPr>
          <w:rStyle w:val="CharSectno"/>
        </w:rPr>
        <w:t>22</w:t>
      </w:r>
      <w:r>
        <w:t>.</w:t>
      </w:r>
      <w:r>
        <w:tab/>
        <w:t>Reports by and about enforcement agencies</w:t>
      </w:r>
      <w:bookmarkEnd w:id="44"/>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lastRenderedPageBreak/>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45" w:name="_Toc161839106"/>
      <w:bookmarkStart w:id="46" w:name="_Toc161841369"/>
      <w:bookmarkStart w:id="47" w:name="_Toc161843698"/>
      <w:r>
        <w:rPr>
          <w:rStyle w:val="CharDivNo"/>
        </w:rPr>
        <w:t>Division 4</w:t>
      </w:r>
      <w:r>
        <w:t> — </w:t>
      </w:r>
      <w:r>
        <w:rPr>
          <w:rStyle w:val="CharDivText"/>
        </w:rPr>
        <w:t>Authorised officers</w:t>
      </w:r>
      <w:bookmarkEnd w:id="45"/>
      <w:bookmarkEnd w:id="46"/>
      <w:bookmarkEnd w:id="47"/>
    </w:p>
    <w:p>
      <w:pPr>
        <w:pStyle w:val="Heading5"/>
      </w:pPr>
      <w:bookmarkStart w:id="48" w:name="_Toc161843699"/>
      <w:r>
        <w:rPr>
          <w:rStyle w:val="CharSectno"/>
        </w:rPr>
        <w:t>23</w:t>
      </w:r>
      <w:r>
        <w:t>.</w:t>
      </w:r>
      <w:r>
        <w:tab/>
        <w:t>Terms used</w:t>
      </w:r>
      <w:bookmarkEnd w:id="48"/>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49" w:name="_Toc161843700"/>
      <w:r>
        <w:rPr>
          <w:rStyle w:val="CharSectno"/>
        </w:rPr>
        <w:t>24</w:t>
      </w:r>
      <w:r>
        <w:t>.</w:t>
      </w:r>
      <w:r>
        <w:tab/>
        <w:t>Designation of authorised officers</w:t>
      </w:r>
      <w:bookmarkEnd w:id="49"/>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lastRenderedPageBreak/>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50" w:name="_Toc161843701"/>
      <w:r>
        <w:rPr>
          <w:rStyle w:val="CharSectno"/>
        </w:rPr>
        <w:t>25</w:t>
      </w:r>
      <w:r>
        <w:t>.</w:t>
      </w:r>
      <w:r>
        <w:tab/>
        <w:t>Certain authorised officers required to have qualifications and experience</w:t>
      </w:r>
      <w:bookmarkEnd w:id="50"/>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51" w:name="_Toc161843702"/>
      <w:r>
        <w:rPr>
          <w:rStyle w:val="CharSectno"/>
        </w:rPr>
        <w:t>26</w:t>
      </w:r>
      <w:r>
        <w:t>.</w:t>
      </w:r>
      <w:r>
        <w:tab/>
        <w:t>Further provisions relating to designations</w:t>
      </w:r>
      <w:bookmarkEnd w:id="51"/>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lastRenderedPageBreak/>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52" w:name="_Toc161843703"/>
      <w:r>
        <w:rPr>
          <w:rStyle w:val="CharSectno"/>
        </w:rPr>
        <w:t>27</w:t>
      </w:r>
      <w:r>
        <w:t>.</w:t>
      </w:r>
      <w:r>
        <w:tab/>
        <w:t>Lists of authorised officers to be maintained</w:t>
      </w:r>
      <w:bookmarkEnd w:id="52"/>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53" w:name="_Toc161843704"/>
      <w:r>
        <w:rPr>
          <w:rStyle w:val="CharSectno"/>
        </w:rPr>
        <w:t>28</w:t>
      </w:r>
      <w:r>
        <w:t>.</w:t>
      </w:r>
      <w:r>
        <w:tab/>
        <w:t>When designation as authorised officer ceases</w:t>
      </w:r>
      <w:bookmarkEnd w:id="53"/>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54" w:name="_Toc161843705"/>
      <w:r>
        <w:rPr>
          <w:rStyle w:val="CharSectno"/>
        </w:rPr>
        <w:lastRenderedPageBreak/>
        <w:t>29</w:t>
      </w:r>
      <w:r>
        <w:t>.</w:t>
      </w:r>
      <w:r>
        <w:tab/>
        <w:t>Chief Health Officer may issue guidelines about qualifications and experience of authorised officers</w:t>
      </w:r>
      <w:bookmarkEnd w:id="54"/>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55" w:name="_Toc161843706"/>
      <w:r>
        <w:rPr>
          <w:rStyle w:val="CharSectno"/>
        </w:rPr>
        <w:t>30</w:t>
      </w:r>
      <w:r>
        <w:t>.</w:t>
      </w:r>
      <w:r>
        <w:tab/>
        <w:t>Certificates of authority</w:t>
      </w:r>
      <w:bookmarkEnd w:id="55"/>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lastRenderedPageBreak/>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56" w:name="_Toc161843707"/>
      <w:r>
        <w:rPr>
          <w:rStyle w:val="CharSectno"/>
        </w:rPr>
        <w:t>31</w:t>
      </w:r>
      <w:r>
        <w:t>.</w:t>
      </w:r>
      <w:r>
        <w:tab/>
        <w:t>Issuing and production of certificate of authority for purposes of other written laws</w:t>
      </w:r>
      <w:bookmarkEnd w:id="56"/>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lastRenderedPageBreak/>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57" w:name="_Toc161843708"/>
      <w:r>
        <w:rPr>
          <w:rStyle w:val="CharSectno"/>
        </w:rPr>
        <w:t>32</w:t>
      </w:r>
      <w:r>
        <w:t>.</w:t>
      </w:r>
      <w:r>
        <w:tab/>
        <w:t>Certificate of authority to be returned</w:t>
      </w:r>
      <w:bookmarkEnd w:id="57"/>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58" w:name="_Toc161839117"/>
      <w:bookmarkStart w:id="59" w:name="_Toc161841380"/>
      <w:bookmarkStart w:id="60" w:name="_Toc161843709"/>
      <w:r>
        <w:rPr>
          <w:rStyle w:val="CharDivNo"/>
        </w:rPr>
        <w:lastRenderedPageBreak/>
        <w:t>Division 5</w:t>
      </w:r>
      <w:r>
        <w:t> — </w:t>
      </w:r>
      <w:r>
        <w:rPr>
          <w:rStyle w:val="CharDivText"/>
        </w:rPr>
        <w:t>Advisory committees</w:t>
      </w:r>
      <w:bookmarkEnd w:id="58"/>
      <w:bookmarkEnd w:id="59"/>
      <w:bookmarkEnd w:id="60"/>
    </w:p>
    <w:p>
      <w:pPr>
        <w:pStyle w:val="Heading5"/>
      </w:pPr>
      <w:bookmarkStart w:id="61" w:name="_Toc161843710"/>
      <w:r>
        <w:rPr>
          <w:rStyle w:val="CharSectno"/>
        </w:rPr>
        <w:t>33</w:t>
      </w:r>
      <w:r>
        <w:t>.</w:t>
      </w:r>
      <w:r>
        <w:tab/>
        <w:t>Establishment and functions of advisory committees</w:t>
      </w:r>
      <w:bookmarkEnd w:id="61"/>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62" w:name="_Toc161839119"/>
      <w:bookmarkStart w:id="63" w:name="_Toc161841382"/>
      <w:bookmarkStart w:id="64" w:name="_Toc161843711"/>
      <w:r>
        <w:rPr>
          <w:rStyle w:val="CharPartNo"/>
        </w:rPr>
        <w:lastRenderedPageBreak/>
        <w:t>Part 3</w:t>
      </w:r>
      <w:r>
        <w:rPr>
          <w:rStyle w:val="CharDivNo"/>
        </w:rPr>
        <w:t> </w:t>
      </w:r>
      <w:r>
        <w:t>—</w:t>
      </w:r>
      <w:r>
        <w:rPr>
          <w:rStyle w:val="CharDivText"/>
        </w:rPr>
        <w:t> </w:t>
      </w:r>
      <w:r>
        <w:rPr>
          <w:rStyle w:val="CharPartText"/>
        </w:rPr>
        <w:t>General public health duty</w:t>
      </w:r>
      <w:bookmarkEnd w:id="62"/>
      <w:bookmarkEnd w:id="63"/>
      <w:bookmarkEnd w:id="64"/>
    </w:p>
    <w:p>
      <w:pPr>
        <w:pStyle w:val="Heading5"/>
      </w:pPr>
      <w:bookmarkStart w:id="65" w:name="_Toc161843712"/>
      <w:r>
        <w:rPr>
          <w:rStyle w:val="CharSectno"/>
        </w:rPr>
        <w:t>34</w:t>
      </w:r>
      <w:r>
        <w:t>.</w:t>
      </w:r>
      <w:r>
        <w:tab/>
        <w:t>General public health duty</w:t>
      </w:r>
      <w:bookmarkEnd w:id="65"/>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66" w:name="_Toc161843713"/>
      <w:r>
        <w:rPr>
          <w:rStyle w:val="CharSectno"/>
        </w:rPr>
        <w:t>35</w:t>
      </w:r>
      <w:r>
        <w:t>.</w:t>
      </w:r>
      <w:r>
        <w:tab/>
        <w:t>Consequences of failure to comply with general public health duty</w:t>
      </w:r>
      <w:bookmarkEnd w:id="66"/>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lastRenderedPageBreak/>
        <w:tab/>
        <w:t>(2)</w:t>
      </w:r>
      <w:r>
        <w:tab/>
        <w:t>However, a failure to comply with the general public health duty may constitute grounds for action to be taken under this Act, including the issue of an improvement notice or enforcement order.</w:t>
      </w:r>
    </w:p>
    <w:p>
      <w:pPr>
        <w:pStyle w:val="Heading2"/>
      </w:pPr>
      <w:bookmarkStart w:id="67" w:name="_Toc161839122"/>
      <w:bookmarkStart w:id="68" w:name="_Toc161841385"/>
      <w:bookmarkStart w:id="69" w:name="_Toc161843714"/>
      <w:r>
        <w:rPr>
          <w:rStyle w:val="CharPartNo"/>
        </w:rPr>
        <w:lastRenderedPageBreak/>
        <w:t>Part 4</w:t>
      </w:r>
      <w:r>
        <w:rPr>
          <w:rStyle w:val="CharDivNo"/>
        </w:rPr>
        <w:t> </w:t>
      </w:r>
      <w:r>
        <w:t>—</w:t>
      </w:r>
      <w:r>
        <w:rPr>
          <w:rStyle w:val="CharDivText"/>
        </w:rPr>
        <w:t> </w:t>
      </w:r>
      <w:r>
        <w:rPr>
          <w:rStyle w:val="CharPartText"/>
        </w:rPr>
        <w:t>Serious public health risks and material public health risks</w:t>
      </w:r>
      <w:bookmarkEnd w:id="67"/>
      <w:bookmarkEnd w:id="68"/>
      <w:bookmarkEnd w:id="69"/>
    </w:p>
    <w:p>
      <w:pPr>
        <w:pStyle w:val="Heading5"/>
      </w:pPr>
      <w:bookmarkStart w:id="70" w:name="_Toc161843715"/>
      <w:r>
        <w:rPr>
          <w:rStyle w:val="CharSectno"/>
        </w:rPr>
        <w:t>36</w:t>
      </w:r>
      <w:r>
        <w:t>.</w:t>
      </w:r>
      <w:r>
        <w:tab/>
        <w:t>Term used: engage in conduct</w:t>
      </w:r>
      <w:bookmarkEnd w:id="70"/>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71" w:name="_Toc161843716"/>
      <w:r>
        <w:rPr>
          <w:rStyle w:val="CharSectno"/>
        </w:rPr>
        <w:t>37</w:t>
      </w:r>
      <w:r>
        <w:t>.</w:t>
      </w:r>
      <w:r>
        <w:tab/>
        <w:t>Offences relating to serious public health risks</w:t>
      </w:r>
      <w:bookmarkEnd w:id="71"/>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lastRenderedPageBreak/>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lastRenderedPageBreak/>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72" w:name="_Toc161843717"/>
      <w:r>
        <w:rPr>
          <w:rStyle w:val="CharSectno"/>
        </w:rPr>
        <w:t>38</w:t>
      </w:r>
      <w:r>
        <w:t>.</w:t>
      </w:r>
      <w:r>
        <w:tab/>
        <w:t>Offences relating to material public health risks</w:t>
      </w:r>
      <w:bookmarkEnd w:id="72"/>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lastRenderedPageBreak/>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lastRenderedPageBreak/>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73" w:name="_Toc161843718"/>
      <w:r>
        <w:rPr>
          <w:rStyle w:val="CharSectno"/>
        </w:rPr>
        <w:t>39</w:t>
      </w:r>
      <w:r>
        <w:t>.</w:t>
      </w:r>
      <w:r>
        <w:tab/>
        <w:t>Defence of due diligence</w:t>
      </w:r>
      <w:bookmarkEnd w:id="73"/>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lastRenderedPageBreak/>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74" w:name="_Toc161843719"/>
      <w:r>
        <w:rPr>
          <w:rStyle w:val="CharSectno"/>
        </w:rPr>
        <w:t>40</w:t>
      </w:r>
      <w:r>
        <w:t>.</w:t>
      </w:r>
      <w:r>
        <w:tab/>
        <w:t>Alternative verdicts for certain offences</w:t>
      </w:r>
      <w:bookmarkEnd w:id="74"/>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75" w:name="_Toc161843720"/>
      <w:r>
        <w:rPr>
          <w:rStyle w:val="CharSectno"/>
        </w:rPr>
        <w:t>41</w:t>
      </w:r>
      <w:r>
        <w:t>.</w:t>
      </w:r>
      <w:r>
        <w:tab/>
        <w:t>Determination by court of appropriate punishment</w:t>
      </w:r>
      <w:bookmarkEnd w:id="75"/>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76" w:name="_Toc161839129"/>
      <w:bookmarkStart w:id="77" w:name="_Toc161841392"/>
      <w:bookmarkStart w:id="78" w:name="_Toc161843721"/>
      <w:r>
        <w:rPr>
          <w:rStyle w:val="CharPartNo"/>
        </w:rPr>
        <w:lastRenderedPageBreak/>
        <w:t>Part 9</w:t>
      </w:r>
      <w:r>
        <w:t> — </w:t>
      </w:r>
      <w:r>
        <w:rPr>
          <w:rStyle w:val="CharPartText"/>
        </w:rPr>
        <w:t>Notifiable infectious diseases and related conditions</w:t>
      </w:r>
      <w:bookmarkEnd w:id="76"/>
      <w:bookmarkEnd w:id="77"/>
      <w:bookmarkEnd w:id="78"/>
    </w:p>
    <w:p>
      <w:pPr>
        <w:pStyle w:val="Heading3"/>
      </w:pPr>
      <w:bookmarkStart w:id="79" w:name="_Toc161839130"/>
      <w:bookmarkStart w:id="80" w:name="_Toc161841393"/>
      <w:bookmarkStart w:id="81" w:name="_Toc161843722"/>
      <w:r>
        <w:rPr>
          <w:rStyle w:val="CharDivNo"/>
        </w:rPr>
        <w:t>Division 1</w:t>
      </w:r>
      <w:r>
        <w:t> — </w:t>
      </w:r>
      <w:r>
        <w:rPr>
          <w:rStyle w:val="CharDivText"/>
        </w:rPr>
        <w:t>Principles and declarations</w:t>
      </w:r>
      <w:bookmarkEnd w:id="79"/>
      <w:bookmarkEnd w:id="80"/>
      <w:bookmarkEnd w:id="81"/>
    </w:p>
    <w:p>
      <w:pPr>
        <w:pStyle w:val="Heading5"/>
      </w:pPr>
      <w:bookmarkStart w:id="82" w:name="_Toc161843723"/>
      <w:r>
        <w:rPr>
          <w:rStyle w:val="CharSectno"/>
        </w:rPr>
        <w:t>87</w:t>
      </w:r>
      <w:r>
        <w:t>.</w:t>
      </w:r>
      <w:r>
        <w:tab/>
        <w:t>Principles applying in relation to this Part</w:t>
      </w:r>
      <w:bookmarkEnd w:id="82"/>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83" w:name="_Toc161843724"/>
      <w:r>
        <w:rPr>
          <w:rStyle w:val="CharSectno"/>
        </w:rPr>
        <w:t>88</w:t>
      </w:r>
      <w:r>
        <w:t>.</w:t>
      </w:r>
      <w:r>
        <w:tab/>
        <w:t>Principles listed</w:t>
      </w:r>
      <w:bookmarkEnd w:id="83"/>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 xml:space="preserve">To the extent to which the exercise of those rights does not infringe on the wellbeing of others, a person who is at risk of contracting, who suspects that he or she may have, or who has a </w:t>
      </w:r>
      <w:r>
        <w:lastRenderedPageBreak/>
        <w:t>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84" w:name="_Toc161843725"/>
      <w:r>
        <w:rPr>
          <w:rStyle w:val="CharSectno"/>
        </w:rPr>
        <w:t>89</w:t>
      </w:r>
      <w:r>
        <w:t>.</w:t>
      </w:r>
      <w:r>
        <w:tab/>
        <w:t>Further provisions relating to application of principles</w:t>
      </w:r>
      <w:bookmarkEnd w:id="84"/>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lastRenderedPageBreak/>
        <w:tab/>
        <w:t>(4)</w:t>
      </w:r>
      <w:r>
        <w:tab/>
        <w:t xml:space="preserve">Sections 87 and 88 do not limit the </w:t>
      </w:r>
      <w:r>
        <w:rPr>
          <w:i/>
          <w:iCs/>
        </w:rPr>
        <w:t>Equal Opportunity Act 1984</w:t>
      </w:r>
      <w:r>
        <w:rPr>
          <w:iCs/>
        </w:rPr>
        <w:t xml:space="preserve"> section 66U.</w:t>
      </w:r>
    </w:p>
    <w:p>
      <w:pPr>
        <w:pStyle w:val="Heading5"/>
      </w:pPr>
      <w:bookmarkStart w:id="85" w:name="_Toc161843726"/>
      <w:r>
        <w:rPr>
          <w:rStyle w:val="CharSectno"/>
        </w:rPr>
        <w:t>90</w:t>
      </w:r>
      <w:r>
        <w:t>.</w:t>
      </w:r>
      <w:r>
        <w:tab/>
        <w:t>Declaration of notifiable infectious diseases</w:t>
      </w:r>
      <w:bookmarkEnd w:id="85"/>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86" w:name="_Toc161843727"/>
      <w:r>
        <w:rPr>
          <w:rStyle w:val="CharSectno"/>
        </w:rPr>
        <w:lastRenderedPageBreak/>
        <w:t>91</w:t>
      </w:r>
      <w:r>
        <w:t>.</w:t>
      </w:r>
      <w:r>
        <w:tab/>
        <w:t>Declaration of notifiable infectious disease</w:t>
      </w:r>
      <w:r>
        <w:noBreakHyphen/>
        <w:t>related conditions</w:t>
      </w:r>
      <w:bookmarkEnd w:id="86"/>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87" w:name="_Toc161843728"/>
      <w:r>
        <w:rPr>
          <w:rStyle w:val="CharSectno"/>
        </w:rPr>
        <w:lastRenderedPageBreak/>
        <w:t>92</w:t>
      </w:r>
      <w:r>
        <w:t>.</w:t>
      </w:r>
      <w:r>
        <w:tab/>
        <w:t>Orders by Minister</w:t>
      </w:r>
      <w:bookmarkEnd w:id="87"/>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88" w:name="_Toc161839137"/>
      <w:bookmarkStart w:id="89" w:name="_Toc161841400"/>
      <w:bookmarkStart w:id="90" w:name="_Toc161843729"/>
      <w:r>
        <w:rPr>
          <w:rStyle w:val="CharDivNo"/>
        </w:rPr>
        <w:t>Division 2</w:t>
      </w:r>
      <w:r>
        <w:t> — </w:t>
      </w:r>
      <w:r>
        <w:rPr>
          <w:rStyle w:val="CharDivText"/>
        </w:rPr>
        <w:t>Notification</w:t>
      </w:r>
      <w:bookmarkEnd w:id="88"/>
      <w:bookmarkEnd w:id="89"/>
      <w:bookmarkEnd w:id="90"/>
    </w:p>
    <w:p>
      <w:pPr>
        <w:pStyle w:val="Heading5"/>
      </w:pPr>
      <w:bookmarkStart w:id="91" w:name="_Toc161843730"/>
      <w:r>
        <w:rPr>
          <w:rStyle w:val="CharSectno"/>
        </w:rPr>
        <w:t>93</w:t>
      </w:r>
      <w:r>
        <w:t>.</w:t>
      </w:r>
      <w:r>
        <w:tab/>
        <w:t>Term used: responsible pathologist</w:t>
      </w:r>
      <w:bookmarkEnd w:id="91"/>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92" w:name="_Toc161843731"/>
      <w:r>
        <w:rPr>
          <w:rStyle w:val="CharSectno"/>
        </w:rPr>
        <w:t>94</w:t>
      </w:r>
      <w:r>
        <w:t>.</w:t>
      </w:r>
      <w:r>
        <w:tab/>
        <w:t>Notification of notifiable infectious diseases and notifiable infectious disease</w:t>
      </w:r>
      <w:r>
        <w:noBreakHyphen/>
        <w:t>related conditions</w:t>
      </w:r>
      <w:bookmarkEnd w:id="92"/>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lastRenderedPageBreak/>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lastRenderedPageBreak/>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93" w:name="_Toc161843732"/>
      <w:r>
        <w:rPr>
          <w:rStyle w:val="CharSectno"/>
        </w:rPr>
        <w:t>95</w:t>
      </w:r>
      <w:r>
        <w:t>.</w:t>
      </w:r>
      <w:r>
        <w:tab/>
        <w:t>Offence of failing to notify Chief Health Officer</w:t>
      </w:r>
      <w:bookmarkEnd w:id="93"/>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94" w:name="_Toc161843733"/>
      <w:r>
        <w:rPr>
          <w:rStyle w:val="CharSectno"/>
        </w:rPr>
        <w:t>96</w:t>
      </w:r>
      <w:r>
        <w:t>.</w:t>
      </w:r>
      <w:r>
        <w:tab/>
        <w:t>No liability for notifying Chief Health Officer</w:t>
      </w:r>
      <w:bookmarkEnd w:id="94"/>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95" w:name="_Toc161839142"/>
      <w:bookmarkStart w:id="96" w:name="_Toc161841405"/>
      <w:bookmarkStart w:id="97" w:name="_Toc161843734"/>
      <w:r>
        <w:rPr>
          <w:rStyle w:val="CharDivNo"/>
        </w:rPr>
        <w:t>Division 3</w:t>
      </w:r>
      <w:r>
        <w:t> — </w:t>
      </w:r>
      <w:r>
        <w:rPr>
          <w:rStyle w:val="CharDivText"/>
        </w:rPr>
        <w:t>Duty to inform</w:t>
      </w:r>
      <w:bookmarkEnd w:id="95"/>
      <w:bookmarkEnd w:id="96"/>
      <w:bookmarkEnd w:id="97"/>
    </w:p>
    <w:p>
      <w:pPr>
        <w:pStyle w:val="Heading5"/>
      </w:pPr>
      <w:bookmarkStart w:id="98" w:name="_Toc161843735"/>
      <w:r>
        <w:rPr>
          <w:rStyle w:val="CharSectno"/>
        </w:rPr>
        <w:t>97</w:t>
      </w:r>
      <w:r>
        <w:t>.</w:t>
      </w:r>
      <w:r>
        <w:tab/>
        <w:t>Practitioners to provide patients with information</w:t>
      </w:r>
      <w:bookmarkEnd w:id="98"/>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lastRenderedPageBreak/>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99" w:name="_Toc161843736"/>
      <w:r>
        <w:rPr>
          <w:rStyle w:val="CharSectno"/>
        </w:rPr>
        <w:t>98</w:t>
      </w:r>
      <w:r>
        <w:t>.</w:t>
      </w:r>
      <w:r>
        <w:tab/>
        <w:t>Offence of failing to provide patient with information</w:t>
      </w:r>
      <w:bookmarkEnd w:id="99"/>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100" w:name="_Toc161839145"/>
      <w:bookmarkStart w:id="101" w:name="_Toc161841408"/>
      <w:bookmarkStart w:id="102" w:name="_Toc161843737"/>
      <w:r>
        <w:rPr>
          <w:rStyle w:val="CharDivNo"/>
        </w:rPr>
        <w:t>Division 4</w:t>
      </w:r>
      <w:r>
        <w:t> — </w:t>
      </w:r>
      <w:r>
        <w:rPr>
          <w:rStyle w:val="CharDivText"/>
        </w:rPr>
        <w:t>Test orders</w:t>
      </w:r>
      <w:bookmarkEnd w:id="100"/>
      <w:bookmarkEnd w:id="101"/>
      <w:bookmarkEnd w:id="102"/>
    </w:p>
    <w:p>
      <w:pPr>
        <w:pStyle w:val="Heading5"/>
      </w:pPr>
      <w:bookmarkStart w:id="103" w:name="_Toc161843738"/>
      <w:r>
        <w:rPr>
          <w:rStyle w:val="CharSectno"/>
        </w:rPr>
        <w:t>99</w:t>
      </w:r>
      <w:r>
        <w:t>.</w:t>
      </w:r>
      <w:r>
        <w:tab/>
        <w:t>Terms used</w:t>
      </w:r>
      <w:bookmarkEnd w:id="103"/>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keepNext/>
      </w:pPr>
      <w:r>
        <w:lastRenderedPageBreak/>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keepNext/>
        <w:keepLines w:val="0"/>
      </w:pPr>
      <w:r>
        <w:tab/>
        <w:t>(iv)</w:t>
      </w:r>
      <w:r>
        <w:tab/>
        <w:t xml:space="preserve">if no person mentioned in another subparagraph of this paragraph is available, a person, or a </w:t>
      </w:r>
      <w:r>
        <w:lastRenderedPageBreak/>
        <w:t>person in a class of persons, prescribed by the regulations for the purposes of this subparagraph;</w:t>
      </w:r>
    </w:p>
    <w:p>
      <w:pPr>
        <w:pStyle w:val="Defpara"/>
        <w:keepNext/>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104" w:name="_Toc161843739"/>
      <w:r>
        <w:rPr>
          <w:rStyle w:val="CharSectno"/>
        </w:rPr>
        <w:lastRenderedPageBreak/>
        <w:t>100</w:t>
      </w:r>
      <w:r>
        <w:t>.</w:t>
      </w:r>
      <w:r>
        <w:tab/>
        <w:t>Chief Health Officer may make test orders</w:t>
      </w:r>
      <w:bookmarkEnd w:id="104"/>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keepNext/>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lastRenderedPageBreak/>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lastRenderedPageBreak/>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105" w:name="_Toc161843740"/>
      <w:r>
        <w:rPr>
          <w:rStyle w:val="CharSectno"/>
        </w:rPr>
        <w:t>101</w:t>
      </w:r>
      <w:r>
        <w:t>.</w:t>
      </w:r>
      <w:r>
        <w:tab/>
        <w:t>Process for making test order</w:t>
      </w:r>
      <w:bookmarkEnd w:id="105"/>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lastRenderedPageBreak/>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106" w:name="_Toc161843741"/>
      <w:r>
        <w:rPr>
          <w:rStyle w:val="CharSectno"/>
        </w:rPr>
        <w:t>102</w:t>
      </w:r>
      <w:r>
        <w:t>.</w:t>
      </w:r>
      <w:r>
        <w:tab/>
        <w:t>Explanation of test order</w:t>
      </w:r>
      <w:bookmarkEnd w:id="106"/>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lastRenderedPageBreak/>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107" w:name="_Toc161843742"/>
      <w:r>
        <w:rPr>
          <w:rStyle w:val="CharSectno"/>
        </w:rPr>
        <w:t>103</w:t>
      </w:r>
      <w:r>
        <w:t>.</w:t>
      </w:r>
      <w:r>
        <w:tab/>
        <w:t>Effect of test orders</w:t>
      </w:r>
      <w:bookmarkEnd w:id="107"/>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lastRenderedPageBreak/>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108" w:name="_Toc161843743"/>
      <w:r>
        <w:rPr>
          <w:rStyle w:val="CharSectno"/>
        </w:rPr>
        <w:t>104</w:t>
      </w:r>
      <w:r>
        <w:t>.</w:t>
      </w:r>
      <w:r>
        <w:tab/>
        <w:t>Offences of failing to comply with test order</w:t>
      </w:r>
      <w:bookmarkEnd w:id="108"/>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109" w:name="_Toc161843744"/>
      <w:r>
        <w:rPr>
          <w:rStyle w:val="CharSectno"/>
        </w:rPr>
        <w:lastRenderedPageBreak/>
        <w:t>105</w:t>
      </w:r>
      <w:r>
        <w:t>.</w:t>
      </w:r>
      <w:r>
        <w:tab/>
        <w:t>No payment may be required in relation to testing under test order</w:t>
      </w:r>
      <w:bookmarkEnd w:id="109"/>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110" w:name="_Toc161843745"/>
      <w:r>
        <w:rPr>
          <w:rStyle w:val="CharSectno"/>
        </w:rPr>
        <w:t>106</w:t>
      </w:r>
      <w:r>
        <w:t>.</w:t>
      </w:r>
      <w:r>
        <w:tab/>
        <w:t>Enforcement of test orders</w:t>
      </w:r>
      <w:bookmarkEnd w:id="110"/>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lastRenderedPageBreak/>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 xml:space="preserve">if the relevant person is a protected person, it must, if practicable, be done in the presence of a responsible </w:t>
      </w:r>
      <w:r>
        <w:lastRenderedPageBreak/>
        <w:t>person or some other person who can provide the protected person with support and represent his or her interests.</w:t>
      </w:r>
    </w:p>
    <w:p>
      <w:pPr>
        <w:pStyle w:val="Heading5"/>
      </w:pPr>
      <w:bookmarkStart w:id="111" w:name="_Toc161843746"/>
      <w:r>
        <w:rPr>
          <w:rStyle w:val="CharSectno"/>
        </w:rPr>
        <w:t>107</w:t>
      </w:r>
      <w:r>
        <w:t>.</w:t>
      </w:r>
      <w:r>
        <w:tab/>
        <w:t>Warrant to enforce test order</w:t>
      </w:r>
      <w:bookmarkEnd w:id="111"/>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lastRenderedPageBreak/>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112" w:name="_Toc161843747"/>
      <w:r>
        <w:rPr>
          <w:rStyle w:val="CharSectno"/>
        </w:rPr>
        <w:t>108</w:t>
      </w:r>
      <w:r>
        <w:t>.</w:t>
      </w:r>
      <w:r>
        <w:tab/>
        <w:t>Further provisions relating to warrant</w:t>
      </w:r>
      <w:bookmarkEnd w:id="112"/>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13" w:name="_Toc161843748"/>
      <w:r>
        <w:rPr>
          <w:rStyle w:val="CharSectno"/>
        </w:rPr>
        <w:lastRenderedPageBreak/>
        <w:t>109</w:t>
      </w:r>
      <w:r>
        <w:t>.</w:t>
      </w:r>
      <w:r>
        <w:tab/>
        <w:t>Review by State Administrative Tribunal</w:t>
      </w:r>
      <w:bookmarkEnd w:id="113"/>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114" w:name="_Toc161843749"/>
      <w:r>
        <w:rPr>
          <w:rStyle w:val="CharSectno"/>
        </w:rPr>
        <w:t>110</w:t>
      </w:r>
      <w:r>
        <w:t>.</w:t>
      </w:r>
      <w:r>
        <w:tab/>
        <w:t>Obtaining or taking samples under test orders</w:t>
      </w:r>
      <w:bookmarkEnd w:id="114"/>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115" w:name="_Toc161843750"/>
      <w:r>
        <w:rPr>
          <w:rStyle w:val="CharSectno"/>
        </w:rPr>
        <w:t>111</w:t>
      </w:r>
      <w:r>
        <w:t>.</w:t>
      </w:r>
      <w:r>
        <w:tab/>
        <w:t>Test results to be reported</w:t>
      </w:r>
      <w:bookmarkEnd w:id="115"/>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lastRenderedPageBreak/>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lastRenderedPageBreak/>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116" w:name="_Toc161843751"/>
      <w:r>
        <w:rPr>
          <w:rStyle w:val="CharSectno"/>
        </w:rPr>
        <w:t>112</w:t>
      </w:r>
      <w:r>
        <w:t>.</w:t>
      </w:r>
      <w:r>
        <w:tab/>
        <w:t>Person tested not to be identified</w:t>
      </w:r>
      <w:bookmarkEnd w:id="116"/>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117" w:name="_Toc161843752"/>
      <w:r>
        <w:rPr>
          <w:rStyle w:val="CharSectno"/>
        </w:rPr>
        <w:t>113</w:t>
      </w:r>
      <w:r>
        <w:t>.</w:t>
      </w:r>
      <w:r>
        <w:tab/>
        <w:t>No liability for reporting test results</w:t>
      </w:r>
      <w:bookmarkEnd w:id="117"/>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lastRenderedPageBreak/>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18" w:name="_Toc161843753"/>
      <w:r>
        <w:rPr>
          <w:rStyle w:val="CharSectno"/>
        </w:rPr>
        <w:t>114</w:t>
      </w:r>
      <w:r>
        <w:t>.</w:t>
      </w:r>
      <w:r>
        <w:tab/>
        <w:t xml:space="preserve">Division not limited by </w:t>
      </w:r>
      <w:r>
        <w:rPr>
          <w:i/>
        </w:rPr>
        <w:t>Mandatory Testing (Infectious Diseases) Act 2014</w:t>
      </w:r>
      <w:bookmarkEnd w:id="118"/>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119" w:name="_Toc161839162"/>
      <w:bookmarkStart w:id="120" w:name="_Toc161841425"/>
      <w:bookmarkStart w:id="121" w:name="_Toc161843754"/>
      <w:r>
        <w:rPr>
          <w:rStyle w:val="CharDivNo"/>
        </w:rPr>
        <w:t>Division 5</w:t>
      </w:r>
      <w:r>
        <w:t> — </w:t>
      </w:r>
      <w:r>
        <w:rPr>
          <w:rStyle w:val="CharDivText"/>
        </w:rPr>
        <w:t>Public health orders</w:t>
      </w:r>
      <w:bookmarkEnd w:id="119"/>
      <w:bookmarkEnd w:id="120"/>
      <w:bookmarkEnd w:id="121"/>
    </w:p>
    <w:p>
      <w:pPr>
        <w:pStyle w:val="Heading5"/>
      </w:pPr>
      <w:bookmarkStart w:id="122" w:name="_Toc161843755"/>
      <w:r>
        <w:rPr>
          <w:rStyle w:val="CharSectno"/>
        </w:rPr>
        <w:t>115</w:t>
      </w:r>
      <w:r>
        <w:t>.</w:t>
      </w:r>
      <w:r>
        <w:tab/>
        <w:t>Terms used</w:t>
      </w:r>
      <w:bookmarkEnd w:id="122"/>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lastRenderedPageBreak/>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123" w:name="_Toc161843756"/>
      <w:r>
        <w:rPr>
          <w:rStyle w:val="CharSectno"/>
        </w:rPr>
        <w:lastRenderedPageBreak/>
        <w:t>116</w:t>
      </w:r>
      <w:r>
        <w:t>.</w:t>
      </w:r>
      <w:r>
        <w:tab/>
        <w:t>Chief Health Officer may make public health orders</w:t>
      </w:r>
      <w:bookmarkEnd w:id="123"/>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lastRenderedPageBreak/>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124" w:name="_Toc161843757"/>
      <w:r>
        <w:rPr>
          <w:rStyle w:val="CharSectno"/>
        </w:rPr>
        <w:lastRenderedPageBreak/>
        <w:t>117</w:t>
      </w:r>
      <w:r>
        <w:t>.</w:t>
      </w:r>
      <w:r>
        <w:tab/>
        <w:t>Effect of public health orders</w:t>
      </w:r>
      <w:bookmarkEnd w:id="124"/>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keepNext/>
      </w:pPr>
      <w:r>
        <w:lastRenderedPageBreak/>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125" w:name="_Toc161843758"/>
      <w:r>
        <w:rPr>
          <w:rStyle w:val="CharSectno"/>
        </w:rPr>
        <w:t>118</w:t>
      </w:r>
      <w:r>
        <w:t>.</w:t>
      </w:r>
      <w:r>
        <w:tab/>
        <w:t>Personal service of orders required</w:t>
      </w:r>
      <w:bookmarkEnd w:id="125"/>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126" w:name="_Toc161843759"/>
      <w:r>
        <w:rPr>
          <w:rStyle w:val="CharSectno"/>
        </w:rPr>
        <w:lastRenderedPageBreak/>
        <w:t>119</w:t>
      </w:r>
      <w:r>
        <w:t>.</w:t>
      </w:r>
      <w:r>
        <w:tab/>
        <w:t>Explanation of public health order</w:t>
      </w:r>
      <w:bookmarkEnd w:id="126"/>
    </w:p>
    <w:p>
      <w:pPr>
        <w:pStyle w:val="Subsection"/>
        <w:keepNext/>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127" w:name="_Toc161843760"/>
      <w:r>
        <w:rPr>
          <w:rStyle w:val="CharSectno"/>
        </w:rPr>
        <w:lastRenderedPageBreak/>
        <w:t>120</w:t>
      </w:r>
      <w:r>
        <w:t>.</w:t>
      </w:r>
      <w:r>
        <w:tab/>
        <w:t>Provisions applying if person detained under public health order</w:t>
      </w:r>
      <w:bookmarkEnd w:id="127"/>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128" w:name="_Toc161843761"/>
      <w:r>
        <w:rPr>
          <w:rStyle w:val="CharSectno"/>
        </w:rPr>
        <w:t>121</w:t>
      </w:r>
      <w:r>
        <w:t>.</w:t>
      </w:r>
      <w:r>
        <w:tab/>
        <w:t>Minister to be informed of detention or release from detention under public health order</w:t>
      </w:r>
      <w:bookmarkEnd w:id="128"/>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lastRenderedPageBreak/>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129" w:name="_Toc161843762"/>
      <w:r>
        <w:rPr>
          <w:rStyle w:val="CharSectno"/>
        </w:rPr>
        <w:t>122</w:t>
      </w:r>
      <w:r>
        <w:t>.</w:t>
      </w:r>
      <w:r>
        <w:tab/>
        <w:t>Offence to fail to comply with public health order</w:t>
      </w:r>
      <w:bookmarkEnd w:id="129"/>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130" w:name="_Toc161843763"/>
      <w:r>
        <w:rPr>
          <w:rStyle w:val="CharSectno"/>
        </w:rPr>
        <w:t>123</w:t>
      </w:r>
      <w:r>
        <w:t>.</w:t>
      </w:r>
      <w:r>
        <w:tab/>
        <w:t>Responsible persons to facilitate compliance with public health order</w:t>
      </w:r>
      <w:bookmarkEnd w:id="13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131" w:name="_Toc161843764"/>
      <w:r>
        <w:rPr>
          <w:rStyle w:val="CharSectno"/>
        </w:rPr>
        <w:t>124</w:t>
      </w:r>
      <w:r>
        <w:t>.</w:t>
      </w:r>
      <w:r>
        <w:tab/>
        <w:t>Enforcement of public health orders</w:t>
      </w:r>
      <w:bookmarkEnd w:id="131"/>
    </w:p>
    <w:p>
      <w:pPr>
        <w:pStyle w:val="Subsection"/>
      </w:pPr>
      <w:r>
        <w:tab/>
        <w:t>(1)</w:t>
      </w:r>
      <w:r>
        <w:tab/>
        <w:t>An authorised officer may enforce a public health order.</w:t>
      </w:r>
    </w:p>
    <w:p>
      <w:pPr>
        <w:pStyle w:val="Subsection"/>
      </w:pPr>
      <w:r>
        <w:lastRenderedPageBreak/>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 xml:space="preserve">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w:t>
      </w:r>
      <w:r>
        <w:lastRenderedPageBreak/>
        <w:t>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132" w:name="_Toc161843765"/>
      <w:r>
        <w:rPr>
          <w:rStyle w:val="CharSectno"/>
        </w:rPr>
        <w:t>125</w:t>
      </w:r>
      <w:r>
        <w:t>.</w:t>
      </w:r>
      <w:r>
        <w:tab/>
        <w:t>Warrant to apprehend person to whom public health order applies</w:t>
      </w:r>
      <w:bookmarkEnd w:id="132"/>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lastRenderedPageBreak/>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133" w:name="_Toc161843766"/>
      <w:r>
        <w:rPr>
          <w:rStyle w:val="CharSectno"/>
        </w:rPr>
        <w:t>126</w:t>
      </w:r>
      <w:r>
        <w:t>.</w:t>
      </w:r>
      <w:r>
        <w:tab/>
        <w:t>Further provisions relating to warrant</w:t>
      </w:r>
      <w:bookmarkEnd w:id="133"/>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lastRenderedPageBreak/>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34" w:name="_Toc161843767"/>
      <w:r>
        <w:rPr>
          <w:rStyle w:val="CharSectno"/>
        </w:rPr>
        <w:t>127</w:t>
      </w:r>
      <w:r>
        <w:t>.</w:t>
      </w:r>
      <w:r>
        <w:tab/>
        <w:t>Review by State Administrative Tribunal</w:t>
      </w:r>
      <w:bookmarkEnd w:id="134"/>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135" w:name="_Toc161843768"/>
      <w:r>
        <w:rPr>
          <w:rStyle w:val="CharSectno"/>
        </w:rPr>
        <w:lastRenderedPageBreak/>
        <w:t>128</w:t>
      </w:r>
      <w:r>
        <w:t>.</w:t>
      </w:r>
      <w:r>
        <w:tab/>
        <w:t>Restriction on making of further public health order</w:t>
      </w:r>
      <w:bookmarkEnd w:id="135"/>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136" w:name="_Toc161843769"/>
      <w:r>
        <w:rPr>
          <w:rStyle w:val="CharSectno"/>
        </w:rPr>
        <w:t>129</w:t>
      </w:r>
      <w:r>
        <w:t>.</w:t>
      </w:r>
      <w:r>
        <w:tab/>
        <w:t>Recognition of interstate public health orders</w:t>
      </w:r>
      <w:bookmarkEnd w:id="136"/>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lastRenderedPageBreak/>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137" w:name="_Toc161843770"/>
      <w:r>
        <w:rPr>
          <w:rStyle w:val="CharSectno"/>
        </w:rPr>
        <w:t>130</w:t>
      </w:r>
      <w:r>
        <w:t>.</w:t>
      </w:r>
      <w:r>
        <w:tab/>
        <w:t>Further provisions applying to interstate public health orders operating in this State</w:t>
      </w:r>
      <w:bookmarkEnd w:id="137"/>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lastRenderedPageBreak/>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138" w:name="_Toc161839179"/>
      <w:bookmarkStart w:id="139" w:name="_Toc161841442"/>
      <w:bookmarkStart w:id="140" w:name="_Toc161843771"/>
      <w:r>
        <w:rPr>
          <w:rStyle w:val="CharDivNo"/>
        </w:rPr>
        <w:t>Division 6</w:t>
      </w:r>
      <w:r>
        <w:t> — </w:t>
      </w:r>
      <w:r>
        <w:rPr>
          <w:rStyle w:val="CharDivText"/>
        </w:rPr>
        <w:t>Reporting requirements</w:t>
      </w:r>
      <w:bookmarkEnd w:id="138"/>
      <w:bookmarkEnd w:id="139"/>
      <w:bookmarkEnd w:id="140"/>
    </w:p>
    <w:p>
      <w:pPr>
        <w:pStyle w:val="Heading5"/>
      </w:pPr>
      <w:bookmarkStart w:id="141" w:name="_Toc161843772"/>
      <w:r>
        <w:rPr>
          <w:rStyle w:val="CharSectno"/>
        </w:rPr>
        <w:t>131</w:t>
      </w:r>
      <w:r>
        <w:t>.</w:t>
      </w:r>
      <w:r>
        <w:tab/>
        <w:t>Annual report to include information about test orders and public health orders</w:t>
      </w:r>
      <w:bookmarkEnd w:id="141"/>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 xml:space="preserve">The information included in an annual report under subsection (1) must not include any information that identifies, </w:t>
      </w:r>
      <w:r>
        <w:lastRenderedPageBreak/>
        <w:t>or is likely to identify, any person in respect of whom an order referred to in that subsection was made or relates.</w:t>
      </w:r>
    </w:p>
    <w:p>
      <w:pPr>
        <w:pStyle w:val="Heading3"/>
      </w:pPr>
      <w:bookmarkStart w:id="142" w:name="_Toc161839181"/>
      <w:bookmarkStart w:id="143" w:name="_Toc161841444"/>
      <w:bookmarkStart w:id="144" w:name="_Toc161843773"/>
      <w:r>
        <w:rPr>
          <w:rStyle w:val="CharDivNo"/>
        </w:rPr>
        <w:t>Division 7</w:t>
      </w:r>
      <w:r>
        <w:t> — </w:t>
      </w:r>
      <w:r>
        <w:rPr>
          <w:rStyle w:val="CharDivText"/>
        </w:rPr>
        <w:t>Identifying and informing contact persons</w:t>
      </w:r>
      <w:bookmarkEnd w:id="142"/>
      <w:bookmarkEnd w:id="143"/>
      <w:bookmarkEnd w:id="144"/>
    </w:p>
    <w:p>
      <w:pPr>
        <w:pStyle w:val="Heading5"/>
      </w:pPr>
      <w:bookmarkStart w:id="145" w:name="_Toc161843774"/>
      <w:r>
        <w:rPr>
          <w:rStyle w:val="CharSectno"/>
        </w:rPr>
        <w:t>132</w:t>
      </w:r>
      <w:r>
        <w:t>.</w:t>
      </w:r>
      <w:r>
        <w:tab/>
        <w:t>Terms used</w:t>
      </w:r>
      <w:bookmarkEnd w:id="145"/>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lastRenderedPageBreak/>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146" w:name="_Toc161843775"/>
      <w:r>
        <w:rPr>
          <w:rStyle w:val="CharSectno"/>
        </w:rPr>
        <w:t>133</w:t>
      </w:r>
      <w:r>
        <w:t>.</w:t>
      </w:r>
      <w:r>
        <w:tab/>
        <w:t>Requiring information where person believed to have notifiable infectious disease</w:t>
      </w:r>
      <w:bookmarkEnd w:id="146"/>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lastRenderedPageBreak/>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47" w:name="_Toc161843776"/>
      <w:r>
        <w:rPr>
          <w:rStyle w:val="CharSectno"/>
        </w:rPr>
        <w:t>134</w:t>
      </w:r>
      <w:r>
        <w:t>.</w:t>
      </w:r>
      <w:r>
        <w:tab/>
        <w:t>Requiring information where person believed to have been exposed to notifiable infectious disease</w:t>
      </w:r>
      <w:bookmarkEnd w:id="147"/>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lastRenderedPageBreak/>
        <w:tab/>
        <w:t>(2)</w:t>
      </w:r>
      <w:r>
        <w:tab/>
        <w:t>The information prescribed by the regulations for the purposes of subsection (1)(e) may vary in respect of different notifiable infectious diseases.</w:t>
      </w:r>
    </w:p>
    <w:p>
      <w:pPr>
        <w:pStyle w:val="Heading5"/>
      </w:pPr>
      <w:bookmarkStart w:id="148" w:name="_Toc161843777"/>
      <w:r>
        <w:rPr>
          <w:rStyle w:val="CharSectno"/>
        </w:rPr>
        <w:t>135</w:t>
      </w:r>
      <w:r>
        <w:t>.</w:t>
      </w:r>
      <w:r>
        <w:tab/>
        <w:t>Requiring other persons to give required information</w:t>
      </w:r>
      <w:bookmarkEnd w:id="148"/>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lastRenderedPageBreak/>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149" w:name="_Toc161843778"/>
      <w:r>
        <w:rPr>
          <w:rStyle w:val="CharSectno"/>
        </w:rPr>
        <w:t>136</w:t>
      </w:r>
      <w:r>
        <w:t>.</w:t>
      </w:r>
      <w:r>
        <w:tab/>
        <w:t>Authorised officer to produce evidence of authority</w:t>
      </w:r>
      <w:bookmarkEnd w:id="149"/>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150" w:name="_Toc161843779"/>
      <w:r>
        <w:rPr>
          <w:rStyle w:val="CharSectno"/>
        </w:rPr>
        <w:t>137</w:t>
      </w:r>
      <w:r>
        <w:t>.</w:t>
      </w:r>
      <w:r>
        <w:tab/>
        <w:t>Offence to fail to comply with requirement to provide information</w:t>
      </w:r>
      <w:bookmarkEnd w:id="150"/>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51" w:name="_Toc161843780"/>
      <w:r>
        <w:rPr>
          <w:rStyle w:val="CharSectno"/>
        </w:rPr>
        <w:lastRenderedPageBreak/>
        <w:t>138</w:t>
      </w:r>
      <w:r>
        <w:t>.</w:t>
      </w:r>
      <w:r>
        <w:tab/>
        <w:t>Protection from liability</w:t>
      </w:r>
      <w:bookmarkEnd w:id="151"/>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52" w:name="_Toc161843781"/>
      <w:r>
        <w:rPr>
          <w:rStyle w:val="CharSectno"/>
        </w:rPr>
        <w:t>139</w:t>
      </w:r>
      <w:r>
        <w:t>.</w:t>
      </w:r>
      <w:r>
        <w:tab/>
        <w:t>Informing contact persons</w:t>
      </w:r>
      <w:bookmarkEnd w:id="152"/>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lastRenderedPageBreak/>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lastRenderedPageBreak/>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153" w:name="_Toc161843782"/>
      <w:r>
        <w:rPr>
          <w:rStyle w:val="CharSectno"/>
        </w:rPr>
        <w:t>140</w:t>
      </w:r>
      <w:r>
        <w:t>.</w:t>
      </w:r>
      <w:r>
        <w:tab/>
        <w:t>Chief Health Officer may issue guidelines</w:t>
      </w:r>
      <w:bookmarkEnd w:id="153"/>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154" w:name="_Toc161843783"/>
      <w:r>
        <w:rPr>
          <w:rStyle w:val="CharSectno"/>
        </w:rPr>
        <w:t>141</w:t>
      </w:r>
      <w:r>
        <w:t>.</w:t>
      </w:r>
      <w:r>
        <w:tab/>
        <w:t>Protection from liability</w:t>
      </w:r>
      <w:bookmarkEnd w:id="154"/>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w:t>
      </w:r>
      <w:r>
        <w:lastRenderedPageBreak/>
        <w:t xml:space="preserve">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155" w:name="_Toc161839192"/>
      <w:bookmarkStart w:id="156" w:name="_Toc161841455"/>
      <w:bookmarkStart w:id="157" w:name="_Toc161843784"/>
      <w:r>
        <w:rPr>
          <w:rStyle w:val="CharDivNo"/>
        </w:rPr>
        <w:lastRenderedPageBreak/>
        <w:t>Division 8</w:t>
      </w:r>
      <w:r>
        <w:t> — </w:t>
      </w:r>
      <w:r>
        <w:rPr>
          <w:rStyle w:val="CharDivText"/>
        </w:rPr>
        <w:t>Immunisation status of children</w:t>
      </w:r>
      <w:bookmarkEnd w:id="155"/>
      <w:bookmarkEnd w:id="156"/>
      <w:bookmarkEnd w:id="157"/>
    </w:p>
    <w:p>
      <w:pPr>
        <w:pStyle w:val="Footnoteheading"/>
        <w:keepNext/>
        <w:keepLines/>
      </w:pPr>
      <w:r>
        <w:tab/>
        <w:t>[Heading inserted: No. 14 of 2019 s. 8.]</w:t>
      </w:r>
    </w:p>
    <w:p>
      <w:pPr>
        <w:pStyle w:val="Heading4"/>
        <w:keepLines/>
      </w:pPr>
      <w:bookmarkStart w:id="158" w:name="_Toc161839193"/>
      <w:bookmarkStart w:id="159" w:name="_Toc161841456"/>
      <w:bookmarkStart w:id="160" w:name="_Toc161843785"/>
      <w:r>
        <w:t>Subdivision 1 — Preliminary</w:t>
      </w:r>
      <w:bookmarkEnd w:id="158"/>
      <w:bookmarkEnd w:id="159"/>
      <w:bookmarkEnd w:id="160"/>
    </w:p>
    <w:p>
      <w:pPr>
        <w:pStyle w:val="Footnoteheading"/>
        <w:keepNext/>
        <w:keepLines/>
      </w:pPr>
      <w:r>
        <w:tab/>
        <w:t>[Heading inserted: No. 14 of 2019 s. 8.]</w:t>
      </w:r>
    </w:p>
    <w:p>
      <w:pPr>
        <w:pStyle w:val="Heading5"/>
      </w:pPr>
      <w:bookmarkStart w:id="161" w:name="_Toc161843786"/>
      <w:r>
        <w:rPr>
          <w:rStyle w:val="CharSectno"/>
        </w:rPr>
        <w:t>141A</w:t>
      </w:r>
      <w:r>
        <w:t>.</w:t>
      </w:r>
      <w:r>
        <w:tab/>
        <w:t>Terms used</w:t>
      </w:r>
      <w:bookmarkEnd w:id="161"/>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lastRenderedPageBreak/>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162" w:name="_Toc161839195"/>
      <w:bookmarkStart w:id="163" w:name="_Toc161841458"/>
      <w:bookmarkStart w:id="164" w:name="_Toc161843787"/>
      <w:r>
        <w:t>Subdivision 2 — Immunisation requirements for enrolment</w:t>
      </w:r>
      <w:bookmarkEnd w:id="162"/>
      <w:bookmarkEnd w:id="163"/>
      <w:bookmarkEnd w:id="164"/>
    </w:p>
    <w:p>
      <w:pPr>
        <w:pStyle w:val="Footnoteheading"/>
      </w:pPr>
      <w:r>
        <w:tab/>
        <w:t>[Heading inserted: No. 14 of 2019 s. 8.]</w:t>
      </w:r>
    </w:p>
    <w:p>
      <w:pPr>
        <w:pStyle w:val="Heading5"/>
      </w:pPr>
      <w:bookmarkStart w:id="165" w:name="_Toc161843788"/>
      <w:r>
        <w:rPr>
          <w:rStyle w:val="CharSectno"/>
        </w:rPr>
        <w:t>141B</w:t>
      </w:r>
      <w:r>
        <w:t>.</w:t>
      </w:r>
      <w:r>
        <w:tab/>
        <w:t>Responsible person to give immunisation status to person in charge</w:t>
      </w:r>
      <w:bookmarkEnd w:id="165"/>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lastRenderedPageBreak/>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166" w:name="_Toc161843789"/>
      <w:r>
        <w:rPr>
          <w:rStyle w:val="CharSectno"/>
        </w:rPr>
        <w:t>141C</w:t>
      </w:r>
      <w:r>
        <w:t>.</w:t>
      </w:r>
      <w:r>
        <w:tab/>
        <w:t>Immunisation certificates issued or declared by Chief Health Officer</w:t>
      </w:r>
      <w:bookmarkEnd w:id="166"/>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lastRenderedPageBreak/>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167" w:name="_Toc161843790"/>
      <w:r>
        <w:rPr>
          <w:rStyle w:val="CharSectno"/>
        </w:rPr>
        <w:t>141D</w:t>
      </w:r>
      <w:r>
        <w:t>.</w:t>
      </w:r>
      <w:r>
        <w:tab/>
        <w:t>Immunisation or exemption a condition of enrolment</w:t>
      </w:r>
      <w:bookmarkEnd w:id="167"/>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168" w:name="_Toc161839199"/>
      <w:bookmarkStart w:id="169" w:name="_Toc161841462"/>
      <w:bookmarkStart w:id="170" w:name="_Toc161843791"/>
      <w:r>
        <w:lastRenderedPageBreak/>
        <w:t>Subdivision 3 — Regulations relating to immunisation status of children</w:t>
      </w:r>
      <w:bookmarkEnd w:id="168"/>
      <w:bookmarkEnd w:id="169"/>
      <w:bookmarkEnd w:id="170"/>
    </w:p>
    <w:p>
      <w:pPr>
        <w:pStyle w:val="Footnoteheading"/>
      </w:pPr>
      <w:r>
        <w:tab/>
        <w:t>[Heading inserted: No. 14 of 2019 s. 8.]</w:t>
      </w:r>
    </w:p>
    <w:p>
      <w:pPr>
        <w:pStyle w:val="Heading5"/>
      </w:pPr>
      <w:bookmarkStart w:id="171" w:name="_Toc161843792"/>
      <w:r>
        <w:rPr>
          <w:rStyle w:val="CharSectno"/>
        </w:rPr>
        <w:t>142</w:t>
      </w:r>
      <w:r>
        <w:t>.</w:t>
      </w:r>
      <w:r>
        <w:tab/>
        <w:t>Regulations relating to immunisation status of children and control of disease</w:t>
      </w:r>
      <w:bookmarkEnd w:id="171"/>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lastRenderedPageBreak/>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172" w:name="_Toc161839201"/>
      <w:bookmarkStart w:id="173" w:name="_Toc161841464"/>
      <w:bookmarkStart w:id="174" w:name="_Toc161843793"/>
      <w:r>
        <w:lastRenderedPageBreak/>
        <w:t>Subdivision 4 — Reporting requirements</w:t>
      </w:r>
      <w:bookmarkEnd w:id="172"/>
      <w:bookmarkEnd w:id="173"/>
      <w:bookmarkEnd w:id="174"/>
    </w:p>
    <w:p>
      <w:pPr>
        <w:pStyle w:val="Footnoteheading"/>
      </w:pPr>
      <w:r>
        <w:tab/>
        <w:t>[Heading inserted: No. 14 of 2019 s. 8.]</w:t>
      </w:r>
    </w:p>
    <w:p>
      <w:pPr>
        <w:pStyle w:val="Heading5"/>
      </w:pPr>
      <w:bookmarkStart w:id="175" w:name="_Toc161843794"/>
      <w:r>
        <w:rPr>
          <w:rStyle w:val="CharSectno"/>
        </w:rPr>
        <w:t>142A</w:t>
      </w:r>
      <w:r>
        <w:t>.</w:t>
      </w:r>
      <w:r>
        <w:tab/>
        <w:t>Annual report to include information about enrolments</w:t>
      </w:r>
      <w:bookmarkEnd w:id="175"/>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176" w:name="_Toc161839203"/>
      <w:bookmarkStart w:id="177" w:name="_Toc161841466"/>
      <w:bookmarkStart w:id="178" w:name="_Toc161843795"/>
      <w:r>
        <w:rPr>
          <w:rStyle w:val="CharDivNo"/>
        </w:rPr>
        <w:lastRenderedPageBreak/>
        <w:t>Division 9</w:t>
      </w:r>
      <w:r>
        <w:t> — </w:t>
      </w:r>
      <w:r>
        <w:rPr>
          <w:rStyle w:val="CharDivText"/>
        </w:rPr>
        <w:t>Advisory Panels</w:t>
      </w:r>
      <w:bookmarkEnd w:id="176"/>
      <w:bookmarkEnd w:id="177"/>
      <w:bookmarkEnd w:id="178"/>
    </w:p>
    <w:p>
      <w:pPr>
        <w:pStyle w:val="Heading5"/>
      </w:pPr>
      <w:bookmarkStart w:id="179" w:name="_Toc161843796"/>
      <w:r>
        <w:rPr>
          <w:rStyle w:val="CharSectno"/>
        </w:rPr>
        <w:t>143</w:t>
      </w:r>
      <w:r>
        <w:t>.</w:t>
      </w:r>
      <w:r>
        <w:tab/>
        <w:t>Term used: Advisory Panel</w:t>
      </w:r>
      <w:bookmarkEnd w:id="179"/>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180" w:name="_Toc161843797"/>
      <w:r>
        <w:rPr>
          <w:rStyle w:val="CharSectno"/>
        </w:rPr>
        <w:t>144</w:t>
      </w:r>
      <w:r>
        <w:t>.</w:t>
      </w:r>
      <w:r>
        <w:tab/>
        <w:t>Advisory Panels</w:t>
      </w:r>
      <w:bookmarkEnd w:id="180"/>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181" w:name="_Toc161843798"/>
      <w:r>
        <w:rPr>
          <w:rStyle w:val="CharSectno"/>
        </w:rPr>
        <w:lastRenderedPageBreak/>
        <w:t>145</w:t>
      </w:r>
      <w:r>
        <w:t>.</w:t>
      </w:r>
      <w:r>
        <w:tab/>
        <w:t>Performance of functions and procedures</w:t>
      </w:r>
      <w:bookmarkEnd w:id="181"/>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182" w:name="_Toc161843799"/>
      <w:r>
        <w:rPr>
          <w:rStyle w:val="CharSectno"/>
        </w:rPr>
        <w:t>146</w:t>
      </w:r>
      <w:r>
        <w:t>.</w:t>
      </w:r>
      <w:r>
        <w:tab/>
        <w:t>Protocols</w:t>
      </w:r>
      <w:bookmarkEnd w:id="182"/>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183" w:name="_Toc161843800"/>
      <w:r>
        <w:rPr>
          <w:rStyle w:val="CharSectno"/>
        </w:rPr>
        <w:t>147</w:t>
      </w:r>
      <w:r>
        <w:t>.</w:t>
      </w:r>
      <w:r>
        <w:tab/>
        <w:t>Access to information</w:t>
      </w:r>
      <w:bookmarkEnd w:id="183"/>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lastRenderedPageBreak/>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184" w:name="_Toc161839209"/>
      <w:bookmarkStart w:id="185" w:name="_Toc161841472"/>
      <w:bookmarkStart w:id="186" w:name="_Toc161843801"/>
      <w:r>
        <w:rPr>
          <w:rStyle w:val="CharPartNo"/>
        </w:rPr>
        <w:lastRenderedPageBreak/>
        <w:t>Part 11</w:t>
      </w:r>
      <w:r>
        <w:t> — </w:t>
      </w:r>
      <w:r>
        <w:rPr>
          <w:rStyle w:val="CharPartText"/>
        </w:rPr>
        <w:t>Serious public health incident powers</w:t>
      </w:r>
      <w:bookmarkEnd w:id="184"/>
      <w:bookmarkEnd w:id="185"/>
      <w:bookmarkEnd w:id="186"/>
    </w:p>
    <w:p>
      <w:pPr>
        <w:pStyle w:val="Heading3"/>
      </w:pPr>
      <w:bookmarkStart w:id="187" w:name="_Toc161839210"/>
      <w:bookmarkStart w:id="188" w:name="_Toc161841473"/>
      <w:bookmarkStart w:id="189" w:name="_Toc161843802"/>
      <w:r>
        <w:rPr>
          <w:rStyle w:val="CharDivNo"/>
        </w:rPr>
        <w:t>Division 1</w:t>
      </w:r>
      <w:r>
        <w:t> — </w:t>
      </w:r>
      <w:r>
        <w:rPr>
          <w:rStyle w:val="CharDivText"/>
        </w:rPr>
        <w:t>Authorisation to exercise serious public health incident powers</w:t>
      </w:r>
      <w:bookmarkEnd w:id="187"/>
      <w:bookmarkEnd w:id="188"/>
      <w:bookmarkEnd w:id="189"/>
    </w:p>
    <w:p>
      <w:pPr>
        <w:pStyle w:val="Heading5"/>
      </w:pPr>
      <w:bookmarkStart w:id="190" w:name="_Toc161843803"/>
      <w:r>
        <w:rPr>
          <w:rStyle w:val="CharSectno"/>
        </w:rPr>
        <w:t>152</w:t>
      </w:r>
      <w:r>
        <w:t>.</w:t>
      </w:r>
      <w:r>
        <w:tab/>
        <w:t>Authorisation to exercise serious public health incident powers</w:t>
      </w:r>
      <w:bookmarkEnd w:id="190"/>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191" w:name="_Toc161843804"/>
      <w:r>
        <w:rPr>
          <w:rStyle w:val="CharSectno"/>
        </w:rPr>
        <w:t>153</w:t>
      </w:r>
      <w:r>
        <w:t>.</w:t>
      </w:r>
      <w:r>
        <w:tab/>
        <w:t>Authorisation to state certain matters</w:t>
      </w:r>
      <w:bookmarkEnd w:id="191"/>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pPr>
      <w:r>
        <w:lastRenderedPageBreak/>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192" w:name="_Toc161843805"/>
      <w:r>
        <w:rPr>
          <w:rStyle w:val="CharSectno"/>
        </w:rPr>
        <w:t>154</w:t>
      </w:r>
      <w:r>
        <w:t>.</w:t>
      </w:r>
      <w:r>
        <w:tab/>
        <w:t>Authorisation may be given orally or in writing</w:t>
      </w:r>
      <w:bookmarkEnd w:id="192"/>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193" w:name="_Toc161839214"/>
      <w:bookmarkStart w:id="194" w:name="_Toc161841477"/>
      <w:bookmarkStart w:id="195" w:name="_Toc161843806"/>
      <w:r>
        <w:rPr>
          <w:rStyle w:val="CharDivNo"/>
        </w:rPr>
        <w:t>Division 2</w:t>
      </w:r>
      <w:r>
        <w:t> — </w:t>
      </w:r>
      <w:r>
        <w:rPr>
          <w:rStyle w:val="CharDivText"/>
        </w:rPr>
        <w:t>Serious public health incident powers</w:t>
      </w:r>
      <w:bookmarkEnd w:id="193"/>
      <w:bookmarkEnd w:id="194"/>
      <w:bookmarkEnd w:id="195"/>
    </w:p>
    <w:p>
      <w:pPr>
        <w:pStyle w:val="Heading5"/>
      </w:pPr>
      <w:bookmarkStart w:id="196" w:name="_Toc161843807"/>
      <w:r>
        <w:rPr>
          <w:rStyle w:val="CharSectno"/>
        </w:rPr>
        <w:t>155</w:t>
      </w:r>
      <w:r>
        <w:t>.</w:t>
      </w:r>
      <w:r>
        <w:tab/>
        <w:t>Terms used</w:t>
      </w:r>
      <w:bookmarkEnd w:id="19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lastRenderedPageBreak/>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197" w:name="_Toc161843808"/>
      <w:r>
        <w:rPr>
          <w:rStyle w:val="CharSectno"/>
        </w:rPr>
        <w:t>156</w:t>
      </w:r>
      <w:r>
        <w:t>.</w:t>
      </w:r>
      <w:r>
        <w:tab/>
        <w:t>Operation of this Division</w:t>
      </w:r>
      <w:bookmarkEnd w:id="197"/>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198" w:name="_Toc161843809"/>
      <w:r>
        <w:rPr>
          <w:rStyle w:val="CharSectno"/>
        </w:rPr>
        <w:t>157</w:t>
      </w:r>
      <w:r>
        <w:t>.</w:t>
      </w:r>
      <w:r>
        <w:tab/>
        <w:t>Serious public health incident powers</w:t>
      </w:r>
      <w:bookmarkEnd w:id="198"/>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lastRenderedPageBreak/>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lastRenderedPageBreak/>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199" w:name="_Toc161843810"/>
      <w:r>
        <w:rPr>
          <w:rStyle w:val="CharSectno"/>
        </w:rPr>
        <w:t>158</w:t>
      </w:r>
      <w:r>
        <w:t>.</w:t>
      </w:r>
      <w:r>
        <w:tab/>
        <w:t>Enforcement of requirement to undergo medical observation, medical examination</w:t>
      </w:r>
      <w:bookmarkEnd w:id="199"/>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lastRenderedPageBreak/>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lastRenderedPageBreak/>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200" w:name="_Toc161843811"/>
      <w:r>
        <w:rPr>
          <w:rStyle w:val="CharSectno"/>
        </w:rPr>
        <w:t>159</w:t>
      </w:r>
      <w:r>
        <w:t>.</w:t>
      </w:r>
      <w:r>
        <w:tab/>
        <w:t>Provisions relating to requirement to remain at premises or remain quarantined</w:t>
      </w:r>
      <w:bookmarkEnd w:id="200"/>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lastRenderedPageBreak/>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keepNext/>
      </w:pPr>
      <w:r>
        <w:tab/>
        <w:t>(5)</w:t>
      </w:r>
      <w:r>
        <w:tab/>
        <w:t xml:space="preserve">Despite subsection (1), if a direction under section 157(1)(c) or (i) is given to a class of person, the </w:t>
      </w:r>
      <w:r>
        <w:lastRenderedPageBreak/>
        <w:t>explanation required by subsection (1) may be set out in the direction.</w:t>
      </w:r>
    </w:p>
    <w:p>
      <w:pPr>
        <w:pStyle w:val="Footnotesection"/>
      </w:pPr>
      <w:r>
        <w:tab/>
        <w:t>[Section 159 amended: No. 33 of 2020 s. 7.]</w:t>
      </w:r>
    </w:p>
    <w:p>
      <w:pPr>
        <w:pStyle w:val="Heading5"/>
      </w:pPr>
      <w:bookmarkStart w:id="201" w:name="_Toc161843812"/>
      <w:r>
        <w:rPr>
          <w:rStyle w:val="CharSectno"/>
        </w:rPr>
        <w:t>160</w:t>
      </w:r>
      <w:r>
        <w:t>.</w:t>
      </w:r>
      <w:r>
        <w:tab/>
        <w:t>Review of requirement to remain at premises or remain quarantined</w:t>
      </w:r>
      <w:bookmarkEnd w:id="201"/>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keepNext/>
      </w:pPr>
      <w:r>
        <w:tab/>
        <w:t>(2)</w:t>
      </w:r>
      <w:r>
        <w:tab/>
        <w:t xml:space="preserve">A person to whom a direction under section 157(1)(c) or (i) relates or who is detained under section 158 must be </w:t>
      </w:r>
      <w:r>
        <w:lastRenderedPageBreak/>
        <w:t xml:space="preserve">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202" w:name="_Toc161843813"/>
      <w:r>
        <w:rPr>
          <w:rStyle w:val="CharSectno"/>
        </w:rPr>
        <w:t>161</w:t>
      </w:r>
      <w:r>
        <w:t>.</w:t>
      </w:r>
      <w:r>
        <w:tab/>
        <w:t>Authorised officer may be given assistance, and may use force</w:t>
      </w:r>
      <w:bookmarkEnd w:id="202"/>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 xml:space="preserve">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w:t>
      </w:r>
      <w:r>
        <w:lastRenderedPageBreak/>
        <w:t>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203" w:name="_Toc161843814"/>
      <w:r>
        <w:rPr>
          <w:rStyle w:val="CharSectno"/>
        </w:rPr>
        <w:t>162</w:t>
      </w:r>
      <w:r>
        <w:t>.</w:t>
      </w:r>
      <w:r>
        <w:tab/>
        <w:t>Failure to comply with requirements and directions</w:t>
      </w:r>
      <w:bookmarkEnd w:id="20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04" w:name="_Toc161843815"/>
      <w:r>
        <w:rPr>
          <w:rStyle w:val="CharSectno"/>
        </w:rPr>
        <w:t>163</w:t>
      </w:r>
      <w:r>
        <w:t>.</w:t>
      </w:r>
      <w:r>
        <w:tab/>
        <w:t>Review by State Administrative Tribunal</w:t>
      </w:r>
      <w:bookmarkEnd w:id="204"/>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205" w:name="_Toc161839224"/>
      <w:bookmarkStart w:id="206" w:name="_Toc161841487"/>
      <w:bookmarkStart w:id="207" w:name="_Toc161843816"/>
      <w:r>
        <w:rPr>
          <w:rStyle w:val="CharPartNo"/>
        </w:rPr>
        <w:lastRenderedPageBreak/>
        <w:t>Part 12</w:t>
      </w:r>
      <w:r>
        <w:t> — </w:t>
      </w:r>
      <w:r>
        <w:rPr>
          <w:rStyle w:val="CharPartText"/>
        </w:rPr>
        <w:t>Public health emergencies</w:t>
      </w:r>
      <w:bookmarkEnd w:id="205"/>
      <w:bookmarkEnd w:id="206"/>
      <w:bookmarkEnd w:id="207"/>
    </w:p>
    <w:p>
      <w:pPr>
        <w:pStyle w:val="Heading3"/>
      </w:pPr>
      <w:bookmarkStart w:id="208" w:name="_Toc161839225"/>
      <w:bookmarkStart w:id="209" w:name="_Toc161841488"/>
      <w:bookmarkStart w:id="210" w:name="_Toc161843817"/>
      <w:r>
        <w:rPr>
          <w:rStyle w:val="CharDivNo"/>
        </w:rPr>
        <w:t>Division 1</w:t>
      </w:r>
      <w:r>
        <w:t> — </w:t>
      </w:r>
      <w:r>
        <w:rPr>
          <w:rStyle w:val="CharDivText"/>
        </w:rPr>
        <w:t xml:space="preserve">Relationship to </w:t>
      </w:r>
      <w:r>
        <w:rPr>
          <w:rStyle w:val="CharDivText"/>
          <w:i/>
          <w:iCs/>
        </w:rPr>
        <w:t>Emergency Management Act 2005</w:t>
      </w:r>
      <w:bookmarkEnd w:id="208"/>
      <w:bookmarkEnd w:id="209"/>
      <w:bookmarkEnd w:id="210"/>
    </w:p>
    <w:p>
      <w:pPr>
        <w:pStyle w:val="Heading5"/>
      </w:pPr>
      <w:bookmarkStart w:id="211" w:name="_Toc161843818"/>
      <w:r>
        <w:rPr>
          <w:rStyle w:val="CharSectno"/>
        </w:rPr>
        <w:t>164</w:t>
      </w:r>
      <w:r>
        <w:t>.</w:t>
      </w:r>
      <w:r>
        <w:tab/>
        <w:t xml:space="preserve">Relationship to </w:t>
      </w:r>
      <w:r>
        <w:rPr>
          <w:i/>
          <w:iCs/>
        </w:rPr>
        <w:t>Emergency Management Act 2005</w:t>
      </w:r>
      <w:bookmarkEnd w:id="211"/>
    </w:p>
    <w:p>
      <w:pPr>
        <w:pStyle w:val="Subsection"/>
      </w:pPr>
      <w:r>
        <w:tab/>
        <w:t>(1)</w:t>
      </w:r>
      <w:r>
        <w:tab/>
        <w:t>Nothing in this Part prevents the making of an emergency situation declaration, a state of emergency declaration or a COVID</w:t>
      </w:r>
      <w:r>
        <w:noBreakHyphen/>
        <w:t xml:space="preserve">19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Footnotesection"/>
      </w:pPr>
      <w:r>
        <w:tab/>
        <w:t>[Section 164 amended: No. 33 of 2022 s. 20.]</w:t>
      </w:r>
    </w:p>
    <w:p>
      <w:pPr>
        <w:pStyle w:val="Heading3"/>
      </w:pPr>
      <w:bookmarkStart w:id="212" w:name="_Toc161839227"/>
      <w:bookmarkStart w:id="213" w:name="_Toc161841490"/>
      <w:bookmarkStart w:id="214" w:name="_Toc161843819"/>
      <w:r>
        <w:rPr>
          <w:rStyle w:val="CharDivNo"/>
        </w:rPr>
        <w:t>Division 2</w:t>
      </w:r>
      <w:r>
        <w:t> — </w:t>
      </w:r>
      <w:r>
        <w:rPr>
          <w:rStyle w:val="CharDivText"/>
        </w:rPr>
        <w:t>Public health emergency management plans</w:t>
      </w:r>
      <w:bookmarkEnd w:id="212"/>
      <w:bookmarkEnd w:id="213"/>
      <w:bookmarkEnd w:id="214"/>
    </w:p>
    <w:p>
      <w:pPr>
        <w:pStyle w:val="Heading5"/>
      </w:pPr>
      <w:bookmarkStart w:id="215" w:name="_Toc161843820"/>
      <w:r>
        <w:rPr>
          <w:rStyle w:val="CharSectno"/>
        </w:rPr>
        <w:t>165</w:t>
      </w:r>
      <w:r>
        <w:t>.</w:t>
      </w:r>
      <w:r>
        <w:tab/>
        <w:t>Public health emergency management plans</w:t>
      </w:r>
      <w:bookmarkEnd w:id="215"/>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lastRenderedPageBreak/>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216" w:name="_Toc161843821"/>
      <w:r>
        <w:rPr>
          <w:rStyle w:val="CharSectno"/>
        </w:rPr>
        <w:t>166</w:t>
      </w:r>
      <w:r>
        <w:t>.</w:t>
      </w:r>
      <w:r>
        <w:tab/>
        <w:t>Directions to, and duties of, public authorities</w:t>
      </w:r>
      <w:bookmarkEnd w:id="216"/>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lastRenderedPageBreak/>
        <w:tab/>
        <w:t>(4)</w:t>
      </w:r>
      <w:r>
        <w:tab/>
        <w:t>A public authority that is given a role and responsibilities under a public health emergency management plan must comply with the public health emergency management plan.</w:t>
      </w:r>
    </w:p>
    <w:p>
      <w:pPr>
        <w:pStyle w:val="Heading3"/>
      </w:pPr>
      <w:bookmarkStart w:id="217" w:name="_Toc161839230"/>
      <w:bookmarkStart w:id="218" w:name="_Toc161841493"/>
      <w:bookmarkStart w:id="219" w:name="_Toc161843822"/>
      <w:r>
        <w:rPr>
          <w:rStyle w:val="CharDivNo"/>
        </w:rPr>
        <w:t>Division 3</w:t>
      </w:r>
      <w:r>
        <w:t> — </w:t>
      </w:r>
      <w:r>
        <w:rPr>
          <w:rStyle w:val="CharDivText"/>
        </w:rPr>
        <w:t>Public health state of emergency declarations</w:t>
      </w:r>
      <w:bookmarkEnd w:id="217"/>
      <w:bookmarkEnd w:id="218"/>
      <w:bookmarkEnd w:id="219"/>
    </w:p>
    <w:p>
      <w:pPr>
        <w:pStyle w:val="Heading5"/>
      </w:pPr>
      <w:bookmarkStart w:id="220" w:name="_Toc161843823"/>
      <w:r>
        <w:rPr>
          <w:rStyle w:val="CharSectno"/>
        </w:rPr>
        <w:t>167</w:t>
      </w:r>
      <w:r>
        <w:t>.</w:t>
      </w:r>
      <w:r>
        <w:tab/>
        <w:t>Minister may make public health state of emergency declaration</w:t>
      </w:r>
      <w:bookmarkEnd w:id="220"/>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lastRenderedPageBreak/>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221" w:name="_Toc161843824"/>
      <w:r>
        <w:rPr>
          <w:rStyle w:val="CharSectno"/>
        </w:rPr>
        <w:t>168</w:t>
      </w:r>
      <w:r>
        <w:t>.</w:t>
      </w:r>
      <w:r>
        <w:tab/>
        <w:t>Duration of public health state of emergency declaration</w:t>
      </w:r>
      <w:bookmarkEnd w:id="221"/>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222" w:name="_Toc161843825"/>
      <w:r>
        <w:rPr>
          <w:rStyle w:val="CharSectno"/>
        </w:rPr>
        <w:t>169</w:t>
      </w:r>
      <w:r>
        <w:t>.</w:t>
      </w:r>
      <w:r>
        <w:tab/>
        <w:t>Amendment of public health state of emergency declaration</w:t>
      </w:r>
      <w:bookmarkEnd w:id="222"/>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lastRenderedPageBreak/>
        <w:tab/>
        <w:t>(3)</w:t>
      </w:r>
      <w:r>
        <w:tab/>
        <w:t>A declaration amending a public health state of emergency declaration has effect on and from the time it is made.</w:t>
      </w:r>
    </w:p>
    <w:p>
      <w:pPr>
        <w:pStyle w:val="Heading5"/>
      </w:pPr>
      <w:bookmarkStart w:id="223" w:name="_Toc161843826"/>
      <w:r>
        <w:rPr>
          <w:rStyle w:val="CharSectno"/>
        </w:rPr>
        <w:t>170</w:t>
      </w:r>
      <w:r>
        <w:t>.</w:t>
      </w:r>
      <w:r>
        <w:tab/>
        <w:t>Extension of public health state of emergency declaration</w:t>
      </w:r>
      <w:bookmarkEnd w:id="223"/>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lastRenderedPageBreak/>
        <w:tab/>
        <w:t>(6)</w:t>
      </w:r>
      <w:r>
        <w:tab/>
        <w:t>A declaration extending, or further extending, the duration of a public health state of emergency declaration has effect on and from the time it is made.</w:t>
      </w:r>
    </w:p>
    <w:p>
      <w:pPr>
        <w:pStyle w:val="Heading5"/>
      </w:pPr>
      <w:bookmarkStart w:id="224" w:name="_Toc161843827"/>
      <w:r>
        <w:rPr>
          <w:rStyle w:val="CharSectno"/>
        </w:rPr>
        <w:t>171</w:t>
      </w:r>
      <w:r>
        <w:t>.</w:t>
      </w:r>
      <w:r>
        <w:tab/>
        <w:t>Revocation of public health state of emergency declaration</w:t>
      </w:r>
      <w:bookmarkEnd w:id="224"/>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225" w:name="_Toc161843828"/>
      <w:r>
        <w:rPr>
          <w:rStyle w:val="CharSectno"/>
        </w:rPr>
        <w:t>172</w:t>
      </w:r>
      <w:r>
        <w:t>.</w:t>
      </w:r>
      <w:r>
        <w:tab/>
        <w:t>Notice of declaration</w:t>
      </w:r>
      <w:bookmarkEnd w:id="225"/>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226" w:name="_Toc161843829"/>
      <w:r>
        <w:rPr>
          <w:rStyle w:val="CharSectno"/>
        </w:rPr>
        <w:lastRenderedPageBreak/>
        <w:t>173</w:t>
      </w:r>
      <w:r>
        <w:t>.</w:t>
      </w:r>
      <w:r>
        <w:tab/>
        <w:t>Limitation of stay of operation of public health state of emergency declaration</w:t>
      </w:r>
      <w:bookmarkEnd w:id="226"/>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227" w:name="_Toc161839238"/>
      <w:bookmarkStart w:id="228" w:name="_Toc161841501"/>
      <w:bookmarkStart w:id="229" w:name="_Toc161843830"/>
      <w:r>
        <w:rPr>
          <w:rStyle w:val="CharDivNo"/>
        </w:rPr>
        <w:t>Division 4</w:t>
      </w:r>
      <w:r>
        <w:t> — </w:t>
      </w:r>
      <w:r>
        <w:rPr>
          <w:rStyle w:val="CharDivText"/>
        </w:rPr>
        <w:t>Authorisation to exercise emergency powers</w:t>
      </w:r>
      <w:bookmarkEnd w:id="227"/>
      <w:bookmarkEnd w:id="228"/>
      <w:bookmarkEnd w:id="229"/>
    </w:p>
    <w:p>
      <w:pPr>
        <w:pStyle w:val="Heading5"/>
      </w:pPr>
      <w:bookmarkStart w:id="230" w:name="_Toc161843831"/>
      <w:r>
        <w:rPr>
          <w:rStyle w:val="CharSectno"/>
        </w:rPr>
        <w:t>174</w:t>
      </w:r>
      <w:r>
        <w:t>.</w:t>
      </w:r>
      <w:r>
        <w:tab/>
        <w:t>Authorisation to exercise emergency powers during public health state of emergency</w:t>
      </w:r>
      <w:bookmarkEnd w:id="230"/>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keepNext/>
      </w:pPr>
      <w:r>
        <w:lastRenderedPageBreak/>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231" w:name="_Toc161843832"/>
      <w:r>
        <w:rPr>
          <w:rStyle w:val="CharSectno"/>
        </w:rPr>
        <w:t>175</w:t>
      </w:r>
      <w:r>
        <w:t>.</w:t>
      </w:r>
      <w:r>
        <w:tab/>
        <w:t>Authorisation to state certain matters</w:t>
      </w:r>
      <w:bookmarkEnd w:id="231"/>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232" w:name="_Toc161843833"/>
      <w:r>
        <w:rPr>
          <w:rStyle w:val="CharSectno"/>
        </w:rPr>
        <w:lastRenderedPageBreak/>
        <w:t>176</w:t>
      </w:r>
      <w:r>
        <w:t>.</w:t>
      </w:r>
      <w:r>
        <w:tab/>
        <w:t>Authorisation may be given orally or in writing</w:t>
      </w:r>
      <w:bookmarkEnd w:id="232"/>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233" w:name="_Toc161839242"/>
      <w:bookmarkStart w:id="234" w:name="_Toc161841505"/>
      <w:bookmarkStart w:id="235" w:name="_Toc161843834"/>
      <w:r>
        <w:rPr>
          <w:rStyle w:val="CharDivNo"/>
        </w:rPr>
        <w:t>Division 5</w:t>
      </w:r>
      <w:r>
        <w:t> — </w:t>
      </w:r>
      <w:r>
        <w:rPr>
          <w:rStyle w:val="CharDivText"/>
        </w:rPr>
        <w:t>Emergency powers</w:t>
      </w:r>
      <w:bookmarkEnd w:id="233"/>
      <w:bookmarkEnd w:id="234"/>
      <w:bookmarkEnd w:id="235"/>
    </w:p>
    <w:p>
      <w:pPr>
        <w:pStyle w:val="Heading5"/>
      </w:pPr>
      <w:bookmarkStart w:id="236" w:name="_Toc161843835"/>
      <w:r>
        <w:rPr>
          <w:rStyle w:val="CharSectno"/>
        </w:rPr>
        <w:t>177</w:t>
      </w:r>
      <w:r>
        <w:t>.</w:t>
      </w:r>
      <w:r>
        <w:tab/>
        <w:t>Terms used</w:t>
      </w:r>
      <w:bookmarkEnd w:id="23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 xml:space="preserve">Guardianship and Administration </w:t>
      </w:r>
      <w:r>
        <w:rPr>
          <w:i/>
        </w:rPr>
        <w:lastRenderedPageBreak/>
        <w:t>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237" w:name="_Toc161843836"/>
      <w:r>
        <w:rPr>
          <w:rStyle w:val="CharSectno"/>
        </w:rPr>
        <w:t>178</w:t>
      </w:r>
      <w:r>
        <w:t>.</w:t>
      </w:r>
      <w:r>
        <w:tab/>
        <w:t>Operation of this Division</w:t>
      </w:r>
      <w:bookmarkEnd w:id="237"/>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238" w:name="_Toc161843837"/>
      <w:r>
        <w:rPr>
          <w:rStyle w:val="CharSectno"/>
        </w:rPr>
        <w:t>179</w:t>
      </w:r>
      <w:r>
        <w:t>.</w:t>
      </w:r>
      <w:r>
        <w:tab/>
        <w:t>Powers to obtain identifying particulars</w:t>
      </w:r>
      <w:bookmarkEnd w:id="238"/>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239" w:name="_Toc161843838"/>
      <w:r>
        <w:rPr>
          <w:rStyle w:val="CharSectno"/>
        </w:rPr>
        <w:lastRenderedPageBreak/>
        <w:t>180</w:t>
      </w:r>
      <w:r>
        <w:t>.</w:t>
      </w:r>
      <w:r>
        <w:tab/>
        <w:t>Powers relating to movement and evacuation</w:t>
      </w:r>
      <w:bookmarkEnd w:id="239"/>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240" w:name="_Toc161843839"/>
      <w:r>
        <w:rPr>
          <w:rStyle w:val="CharSectno"/>
        </w:rPr>
        <w:t>181</w:t>
      </w:r>
      <w:r>
        <w:t>.</w:t>
      </w:r>
      <w:r>
        <w:tab/>
        <w:t>Powers to use vehicles</w:t>
      </w:r>
      <w:bookmarkEnd w:id="240"/>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241" w:name="_Toc161843840"/>
      <w:r>
        <w:rPr>
          <w:rStyle w:val="CharSectno"/>
        </w:rPr>
        <w:t>182</w:t>
      </w:r>
      <w:r>
        <w:t>.</w:t>
      </w:r>
      <w:r>
        <w:tab/>
        <w:t>Powers to control or use premises or property</w:t>
      </w:r>
      <w:bookmarkEnd w:id="241"/>
    </w:p>
    <w:p>
      <w:pPr>
        <w:pStyle w:val="Subsection"/>
        <w:spacing w:before="100"/>
      </w:pPr>
      <w:r>
        <w:tab/>
        <w:t>(1)</w:t>
      </w:r>
      <w:r>
        <w:tab/>
        <w:t>For emergency management purposes, an emergency officer may take control of, or make use of, any premises or property.</w:t>
      </w:r>
    </w:p>
    <w:p>
      <w:pPr>
        <w:pStyle w:val="Subsection"/>
        <w:spacing w:before="100"/>
      </w:pPr>
      <w:r>
        <w:lastRenderedPageBreak/>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242" w:name="_Toc161843841"/>
      <w:r>
        <w:rPr>
          <w:rStyle w:val="CharSectno"/>
        </w:rPr>
        <w:t>183</w:t>
      </w:r>
      <w:r>
        <w:t>.</w:t>
      </w:r>
      <w:r>
        <w:tab/>
        <w:t>Powers in relation to drugs and vaccines</w:t>
      </w:r>
      <w:bookmarkEnd w:id="242"/>
    </w:p>
    <w:p>
      <w:pPr>
        <w:pStyle w:val="Subsection"/>
      </w:pPr>
      <w:r>
        <w:tab/>
        <w:t>(1)</w:t>
      </w:r>
      <w:r>
        <w:tab/>
        <w:t>For emergency management purposes, an emergency officer may take control of, or make use of, any vaccine or drug.</w:t>
      </w:r>
    </w:p>
    <w:p>
      <w:pPr>
        <w:pStyle w:val="Subsection"/>
      </w:pPr>
      <w:r>
        <w:lastRenderedPageBreak/>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43" w:name="_Toc161843842"/>
      <w:r>
        <w:rPr>
          <w:rStyle w:val="CharSectno"/>
        </w:rPr>
        <w:t>184</w:t>
      </w:r>
      <w:r>
        <w:t>.</w:t>
      </w:r>
      <w:r>
        <w:tab/>
        <w:t>Powers in relation to quarantine and medical or other procedures</w:t>
      </w:r>
      <w:bookmarkEnd w:id="243"/>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lastRenderedPageBreak/>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244" w:name="_Toc161843843"/>
      <w:r>
        <w:rPr>
          <w:rStyle w:val="CharSectno"/>
        </w:rPr>
        <w:t>185</w:t>
      </w:r>
      <w:r>
        <w:t>.</w:t>
      </w:r>
      <w:r>
        <w:tab/>
        <w:t>Enforcement of requirement to undergo medical observation or medical or other procedure</w:t>
      </w:r>
      <w:bookmarkEnd w:id="244"/>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 xml:space="preserve">to detain the relevant person at the place where he or she is required to undergo medical observation, medical </w:t>
      </w:r>
      <w:r>
        <w:lastRenderedPageBreak/>
        <w:t>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lastRenderedPageBreak/>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245" w:name="_Toc161843844"/>
      <w:r>
        <w:rPr>
          <w:rStyle w:val="CharSectno"/>
        </w:rPr>
        <w:t>186</w:t>
      </w:r>
      <w:r>
        <w:t>.</w:t>
      </w:r>
      <w:r>
        <w:tab/>
        <w:t>Further provisions relating to requirement to remain in area or remain quarantined</w:t>
      </w:r>
      <w:bookmarkEnd w:id="245"/>
    </w:p>
    <w:p>
      <w:pPr>
        <w:pStyle w:val="Subsection"/>
      </w:pPr>
      <w:r>
        <w:tab/>
        <w:t>(1)</w:t>
      </w:r>
      <w:r>
        <w:tab/>
        <w:t xml:space="preserve">Before an emergency officer gives a direction under section 184(1)(a) or (b) to a person, the emergency officer must </w:t>
      </w:r>
      <w:r>
        <w:lastRenderedPageBreak/>
        <w:t xml:space="preserve">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keepLines/>
      </w:pPr>
      <w:r>
        <w:lastRenderedPageBreak/>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246" w:name="_Toc161843845"/>
      <w:r>
        <w:rPr>
          <w:rStyle w:val="CharSectno"/>
        </w:rPr>
        <w:t>187</w:t>
      </w:r>
      <w:r>
        <w:t>.</w:t>
      </w:r>
      <w:r>
        <w:tab/>
        <w:t>Review of requirement to remain in area or remain quarantined</w:t>
      </w:r>
      <w:bookmarkEnd w:id="246"/>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w:t>
      </w:r>
      <w:r>
        <w:lastRenderedPageBreak/>
        <w:t xml:space="preserve">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247" w:name="_Toc161843846"/>
      <w:r>
        <w:rPr>
          <w:rStyle w:val="CharSectno"/>
        </w:rPr>
        <w:t>188</w:t>
      </w:r>
      <w:r>
        <w:t>.</w:t>
      </w:r>
      <w:r>
        <w:tab/>
        <w:t>Information sharing</w:t>
      </w:r>
      <w:bookmarkEnd w:id="247"/>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lastRenderedPageBreak/>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lastRenderedPageBreak/>
        <w:tab/>
        <w:t>(6)</w:t>
      </w:r>
      <w:r>
        <w:tab/>
        <w:t>The Chief Health Officer must establish procedures for the disclosure of information under subsection (2)(a).</w:t>
      </w:r>
    </w:p>
    <w:p>
      <w:pPr>
        <w:pStyle w:val="Heading5"/>
      </w:pPr>
      <w:bookmarkStart w:id="248" w:name="_Toc161843847"/>
      <w:r>
        <w:rPr>
          <w:rStyle w:val="CharSectno"/>
        </w:rPr>
        <w:t>189</w:t>
      </w:r>
      <w:r>
        <w:t>.</w:t>
      </w:r>
      <w:r>
        <w:tab/>
        <w:t>Regulations about information sharing for purposes of section 188</w:t>
      </w:r>
      <w:bookmarkEnd w:id="248"/>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249" w:name="_Toc161843848"/>
      <w:r>
        <w:rPr>
          <w:rStyle w:val="CharSectno"/>
        </w:rPr>
        <w:t>190</w:t>
      </w:r>
      <w:r>
        <w:t>.</w:t>
      </w:r>
      <w:r>
        <w:tab/>
        <w:t>Other emergency powers</w:t>
      </w:r>
      <w:bookmarkEnd w:id="249"/>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lastRenderedPageBreak/>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lastRenderedPageBreak/>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250" w:name="_Toc161843849"/>
      <w:r>
        <w:rPr>
          <w:rStyle w:val="CharSectno"/>
        </w:rPr>
        <w:t>191</w:t>
      </w:r>
      <w:r>
        <w:t>.</w:t>
      </w:r>
      <w:r>
        <w:tab/>
        <w:t>Further provisions relating to power to detain under section 185(1) or 190(1)(o)</w:t>
      </w:r>
      <w:bookmarkEnd w:id="250"/>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keepNext/>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keepNext/>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lastRenderedPageBreak/>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251" w:name="_Toc161843850"/>
      <w:r>
        <w:rPr>
          <w:rStyle w:val="CharSectno"/>
        </w:rPr>
        <w:t>192</w:t>
      </w:r>
      <w:r>
        <w:t>.</w:t>
      </w:r>
      <w:r>
        <w:tab/>
        <w:t>Review of detention</w:t>
      </w:r>
      <w:bookmarkEnd w:id="251"/>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lastRenderedPageBreak/>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252" w:name="_Toc161843851"/>
      <w:r>
        <w:rPr>
          <w:rStyle w:val="CharSectno"/>
        </w:rPr>
        <w:t>193</w:t>
      </w:r>
      <w:r>
        <w:t>.</w:t>
      </w:r>
      <w:r>
        <w:tab/>
        <w:t>Minister to be informed of detention or release from detention</w:t>
      </w:r>
      <w:bookmarkEnd w:id="252"/>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53" w:name="_Toc161843852"/>
      <w:r>
        <w:rPr>
          <w:rStyle w:val="CharSectno"/>
        </w:rPr>
        <w:lastRenderedPageBreak/>
        <w:t>194</w:t>
      </w:r>
      <w:r>
        <w:t>.</w:t>
      </w:r>
      <w:r>
        <w:tab/>
        <w:t>Review by State Administrative Tribunal</w:t>
      </w:r>
      <w:bookmarkEnd w:id="253"/>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254" w:name="_Toc161839261"/>
      <w:bookmarkStart w:id="255" w:name="_Toc161841524"/>
      <w:bookmarkStart w:id="256" w:name="_Toc161843853"/>
      <w:r>
        <w:rPr>
          <w:rStyle w:val="CharDivNo"/>
        </w:rPr>
        <w:t>Division 6</w:t>
      </w:r>
      <w:r>
        <w:t> — </w:t>
      </w:r>
      <w:r>
        <w:rPr>
          <w:rStyle w:val="CharDivText"/>
        </w:rPr>
        <w:t>Other powers exercisable during public health state of emergency</w:t>
      </w:r>
      <w:bookmarkEnd w:id="254"/>
      <w:bookmarkEnd w:id="255"/>
      <w:bookmarkEnd w:id="256"/>
    </w:p>
    <w:p>
      <w:pPr>
        <w:pStyle w:val="Heading5"/>
      </w:pPr>
      <w:bookmarkStart w:id="257" w:name="_Toc161843854"/>
      <w:r>
        <w:rPr>
          <w:rStyle w:val="CharSectno"/>
        </w:rPr>
        <w:t>195</w:t>
      </w:r>
      <w:r>
        <w:t>.</w:t>
      </w:r>
      <w:r>
        <w:tab/>
        <w:t>Powers of police relating to closure of places, movement and evacuation</w:t>
      </w:r>
      <w:bookmarkEnd w:id="257"/>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258" w:name="_Toc161843855"/>
      <w:r>
        <w:rPr>
          <w:rStyle w:val="CharSectno"/>
        </w:rPr>
        <w:lastRenderedPageBreak/>
        <w:t>196</w:t>
      </w:r>
      <w:r>
        <w:t>.</w:t>
      </w:r>
      <w:r>
        <w:tab/>
        <w:t>Power of Chief Health Officer to direct public authorities during public health state of emergency</w:t>
      </w:r>
      <w:bookmarkEnd w:id="258"/>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259" w:name="_Toc161843856"/>
      <w:r>
        <w:rPr>
          <w:rStyle w:val="CharSectno"/>
        </w:rPr>
        <w:lastRenderedPageBreak/>
        <w:t>197</w:t>
      </w:r>
      <w:r>
        <w:t>.</w:t>
      </w:r>
      <w:r>
        <w:tab/>
        <w:t>Chief Health Officer may authorise persons to administer, manufacture, supply or prescribe poisons</w:t>
      </w:r>
      <w:bookmarkEnd w:id="259"/>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For the purposes of emergency management during a public health state of emergency, or COVID</w:t>
      </w:r>
      <w:r>
        <w:noBreakHyphen/>
        <w:t>19 management while a COVID</w:t>
      </w:r>
      <w:r>
        <w:noBreakHyphen/>
        <w:t xml:space="preserve">19 declaration is in force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Footnotesection"/>
      </w:pPr>
      <w:r>
        <w:tab/>
        <w:t>[Section 197 amended: No. 33 of 2022 s. 21.]</w:t>
      </w:r>
    </w:p>
    <w:p>
      <w:pPr>
        <w:pStyle w:val="Heading5"/>
      </w:pPr>
      <w:bookmarkStart w:id="260" w:name="_Toc161843857"/>
      <w:r>
        <w:rPr>
          <w:rStyle w:val="CharSectno"/>
        </w:rPr>
        <w:lastRenderedPageBreak/>
        <w:t>198</w:t>
      </w:r>
      <w:r>
        <w:t>.</w:t>
      </w:r>
      <w:r>
        <w:tab/>
        <w:t>Further provisions relating to authority to administer, manufacture, supply or prescribe poisons</w:t>
      </w:r>
      <w:bookmarkEnd w:id="260"/>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or COVID</w:t>
      </w:r>
      <w:r>
        <w:noBreakHyphen/>
        <w:t>19 declaration,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lastRenderedPageBreak/>
        <w:tab/>
        <w:t>(6)</w:t>
      </w:r>
      <w:r>
        <w:tab/>
        <w:t>The powers that an authorisation confers on a person are in addition to, and do not limit, the powers that the person may have under another written law or other law.</w:t>
      </w:r>
    </w:p>
    <w:p>
      <w:pPr>
        <w:pStyle w:val="Footnotesection"/>
      </w:pPr>
      <w:r>
        <w:tab/>
        <w:t>[Section 198 amended: No. 33 of 2022 s. 22.]</w:t>
      </w:r>
    </w:p>
    <w:p>
      <w:pPr>
        <w:pStyle w:val="Heading3"/>
      </w:pPr>
      <w:bookmarkStart w:id="261" w:name="_Toc161839266"/>
      <w:bookmarkStart w:id="262" w:name="_Toc161841529"/>
      <w:bookmarkStart w:id="263" w:name="_Toc161843858"/>
      <w:r>
        <w:rPr>
          <w:rStyle w:val="CharDivNo"/>
        </w:rPr>
        <w:t>Division 7</w:t>
      </w:r>
      <w:r>
        <w:t> — </w:t>
      </w:r>
      <w:r>
        <w:rPr>
          <w:rStyle w:val="CharDivText"/>
        </w:rPr>
        <w:t>General provisions</w:t>
      </w:r>
      <w:bookmarkEnd w:id="261"/>
      <w:bookmarkEnd w:id="262"/>
      <w:bookmarkEnd w:id="263"/>
    </w:p>
    <w:p>
      <w:pPr>
        <w:pStyle w:val="Heading5"/>
        <w:spacing w:before="180"/>
      </w:pPr>
      <w:bookmarkStart w:id="264" w:name="_Toc161843859"/>
      <w:r>
        <w:rPr>
          <w:rStyle w:val="CharSectno"/>
        </w:rPr>
        <w:t>199</w:t>
      </w:r>
      <w:r>
        <w:t>.</w:t>
      </w:r>
      <w:r>
        <w:tab/>
        <w:t>General provisions regarding powers</w:t>
      </w:r>
      <w:bookmarkEnd w:id="264"/>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265" w:name="_Toc161843860"/>
      <w:r>
        <w:rPr>
          <w:rStyle w:val="CharSectno"/>
        </w:rPr>
        <w:t>200</w:t>
      </w:r>
      <w:r>
        <w:t>.</w:t>
      </w:r>
      <w:r>
        <w:tab/>
        <w:t>General provisions regarding directions</w:t>
      </w:r>
      <w:bookmarkEnd w:id="265"/>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lastRenderedPageBreak/>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266" w:name="_Toc161843861"/>
      <w:r>
        <w:rPr>
          <w:rStyle w:val="CharSectno"/>
        </w:rPr>
        <w:t>201</w:t>
      </w:r>
      <w:r>
        <w:t>.</w:t>
      </w:r>
      <w:r>
        <w:tab/>
        <w:t xml:space="preserve">Direction under </w:t>
      </w:r>
      <w:r>
        <w:rPr>
          <w:i/>
        </w:rPr>
        <w:t>Emergency Management Act 2005</w:t>
      </w:r>
      <w:r>
        <w:t xml:space="preserve"> prevails over inconsistent direction under this Part</w:t>
      </w:r>
      <w:bookmarkEnd w:id="266"/>
    </w:p>
    <w:p>
      <w:pPr>
        <w:pStyle w:val="Subsection"/>
      </w:pPr>
      <w:r>
        <w:tab/>
      </w:r>
      <w:r>
        <w:tab/>
        <w:t xml:space="preserve">If a direction given under this Part is in conflict or inconsistent with a direction given under the </w:t>
      </w:r>
      <w:r>
        <w:rPr>
          <w:i/>
        </w:rPr>
        <w:t>Emergency Management Act 2005</w:t>
      </w:r>
      <w:r>
        <w:t xml:space="preserve"> Part 6 or 6A, the direction given under that Part of that Act prevails to the extent to which the directions are in conflict or inconsistent.</w:t>
      </w:r>
    </w:p>
    <w:p>
      <w:pPr>
        <w:pStyle w:val="Footnotesection"/>
      </w:pPr>
      <w:r>
        <w:tab/>
        <w:t>[Section 201 amended: No. 33 of 2022 s. 23.]</w:t>
      </w:r>
    </w:p>
    <w:p>
      <w:pPr>
        <w:pStyle w:val="Heading5"/>
      </w:pPr>
      <w:bookmarkStart w:id="267" w:name="_Toc161843862"/>
      <w:r>
        <w:rPr>
          <w:rStyle w:val="CharSectno"/>
        </w:rPr>
        <w:t>202</w:t>
      </w:r>
      <w:r>
        <w:t>.</w:t>
      </w:r>
      <w:r>
        <w:tab/>
        <w:t>Failure to comply with directions</w:t>
      </w:r>
      <w:bookmarkEnd w:id="267"/>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lastRenderedPageBreak/>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268" w:name="_Toc161839271"/>
      <w:bookmarkStart w:id="269" w:name="_Toc161841534"/>
      <w:bookmarkStart w:id="270" w:name="_Toc161843863"/>
      <w:r>
        <w:rPr>
          <w:rStyle w:val="CharPartNo"/>
        </w:rPr>
        <w:lastRenderedPageBreak/>
        <w:t>Part 12A</w:t>
      </w:r>
      <w:r>
        <w:rPr>
          <w:rStyle w:val="CharDivNo"/>
        </w:rPr>
        <w:t> </w:t>
      </w:r>
      <w:r>
        <w:t>—</w:t>
      </w:r>
      <w:r>
        <w:rPr>
          <w:rStyle w:val="CharDivText"/>
        </w:rPr>
        <w:t> </w:t>
      </w:r>
      <w:r>
        <w:rPr>
          <w:rStyle w:val="CharPartText"/>
        </w:rPr>
        <w:t>Infectious disease extreme circumstance declarations</w:t>
      </w:r>
      <w:bookmarkEnd w:id="268"/>
      <w:bookmarkEnd w:id="269"/>
      <w:bookmarkEnd w:id="270"/>
    </w:p>
    <w:p>
      <w:pPr>
        <w:pStyle w:val="Footnoteheading"/>
      </w:pPr>
      <w:r>
        <w:tab/>
        <w:t>[Heading inserted: No. 33 of 2020 s. 14.]</w:t>
      </w:r>
    </w:p>
    <w:p>
      <w:pPr>
        <w:pStyle w:val="Heading5"/>
      </w:pPr>
      <w:bookmarkStart w:id="271" w:name="_Toc161843864"/>
      <w:r>
        <w:rPr>
          <w:rStyle w:val="CharSectno"/>
        </w:rPr>
        <w:t>202A</w:t>
      </w:r>
      <w:r>
        <w:t>.</w:t>
      </w:r>
      <w:r>
        <w:tab/>
        <w:t>Minister may make IDEC declaration</w:t>
      </w:r>
      <w:bookmarkEnd w:id="271"/>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lastRenderedPageBreak/>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272" w:name="_Toc161843865"/>
      <w:r>
        <w:rPr>
          <w:rStyle w:val="CharSectno"/>
        </w:rPr>
        <w:t>202B</w:t>
      </w:r>
      <w:r>
        <w:t>.</w:t>
      </w:r>
      <w:r>
        <w:tab/>
        <w:t>Duration of IDEC declaration</w:t>
      </w:r>
      <w:bookmarkEnd w:id="272"/>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273" w:name="_Toc161843866"/>
      <w:r>
        <w:rPr>
          <w:rStyle w:val="CharSectno"/>
        </w:rPr>
        <w:t>202C</w:t>
      </w:r>
      <w:r>
        <w:t>.</w:t>
      </w:r>
      <w:r>
        <w:tab/>
        <w:t>Extension of IDEC declaration</w:t>
      </w:r>
      <w:bookmarkEnd w:id="273"/>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lastRenderedPageBreak/>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274" w:name="_Toc161843867"/>
      <w:r>
        <w:rPr>
          <w:rStyle w:val="CharSectno"/>
        </w:rPr>
        <w:t>202D</w:t>
      </w:r>
      <w:r>
        <w:t>.</w:t>
      </w:r>
      <w:r>
        <w:tab/>
        <w:t>Revocation of IDEC declaration</w:t>
      </w:r>
      <w:bookmarkEnd w:id="274"/>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275" w:name="_Toc161843868"/>
      <w:r>
        <w:rPr>
          <w:rStyle w:val="CharSectno"/>
        </w:rPr>
        <w:t>202E</w:t>
      </w:r>
      <w:r>
        <w:t>.</w:t>
      </w:r>
      <w:r>
        <w:tab/>
        <w:t>Notice of declaration</w:t>
      </w:r>
      <w:bookmarkEnd w:id="275"/>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lastRenderedPageBreak/>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276" w:name="_Toc161843869"/>
      <w:r>
        <w:rPr>
          <w:rStyle w:val="CharSectno"/>
        </w:rPr>
        <w:t>202F</w:t>
      </w:r>
      <w:r>
        <w:t>.</w:t>
      </w:r>
      <w:r>
        <w:tab/>
        <w:t>Limitation of stay of operation of IDEC declaration</w:t>
      </w:r>
      <w:bookmarkEnd w:id="276"/>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277" w:name="_Toc161839278"/>
      <w:bookmarkStart w:id="278" w:name="_Toc161841541"/>
      <w:bookmarkStart w:id="279" w:name="_Toc161843870"/>
      <w:r>
        <w:rPr>
          <w:rStyle w:val="CharPartNo"/>
        </w:rPr>
        <w:lastRenderedPageBreak/>
        <w:t>Part 12B</w:t>
      </w:r>
      <w:r>
        <w:t> — </w:t>
      </w:r>
      <w:r>
        <w:rPr>
          <w:rStyle w:val="CharPartText"/>
        </w:rPr>
        <w:t>Recovery of certain costs relating to exercise of powers</w:t>
      </w:r>
      <w:bookmarkEnd w:id="277"/>
      <w:bookmarkEnd w:id="278"/>
      <w:bookmarkEnd w:id="279"/>
    </w:p>
    <w:p>
      <w:pPr>
        <w:pStyle w:val="Footnoteheading"/>
      </w:pPr>
      <w:r>
        <w:tab/>
        <w:t>[Heading inserted: No. 33 of 2020 s. 14.]</w:t>
      </w:r>
    </w:p>
    <w:p>
      <w:pPr>
        <w:pStyle w:val="Heading3"/>
      </w:pPr>
      <w:bookmarkStart w:id="280" w:name="_Toc161839279"/>
      <w:bookmarkStart w:id="281" w:name="_Toc161841542"/>
      <w:bookmarkStart w:id="282" w:name="_Toc161843871"/>
      <w:r>
        <w:rPr>
          <w:rStyle w:val="CharDivNo"/>
        </w:rPr>
        <w:t>Division 1</w:t>
      </w:r>
      <w:r>
        <w:t> — </w:t>
      </w:r>
      <w:r>
        <w:rPr>
          <w:rStyle w:val="CharDivText"/>
        </w:rPr>
        <w:t>Fees payable by hotel</w:t>
      </w:r>
      <w:r>
        <w:rPr>
          <w:rStyle w:val="CharDivText"/>
        </w:rPr>
        <w:noBreakHyphen/>
        <w:t>quarantined persons</w:t>
      </w:r>
      <w:bookmarkEnd w:id="280"/>
      <w:bookmarkEnd w:id="281"/>
      <w:bookmarkEnd w:id="282"/>
    </w:p>
    <w:p>
      <w:pPr>
        <w:pStyle w:val="Footnoteheading"/>
      </w:pPr>
      <w:r>
        <w:tab/>
        <w:t>[Heading inserted: No. 33 of 2020 s. 14.]</w:t>
      </w:r>
    </w:p>
    <w:p>
      <w:pPr>
        <w:pStyle w:val="Heading5"/>
      </w:pPr>
      <w:bookmarkStart w:id="283" w:name="_Toc161843872"/>
      <w:r>
        <w:rPr>
          <w:rStyle w:val="CharSectno"/>
        </w:rPr>
        <w:t>202G</w:t>
      </w:r>
      <w:r>
        <w:t>.</w:t>
      </w:r>
      <w:r>
        <w:tab/>
        <w:t>Terms used</w:t>
      </w:r>
      <w:bookmarkEnd w:id="283"/>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lastRenderedPageBreak/>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284" w:name="_Toc161843873"/>
      <w:r>
        <w:rPr>
          <w:rStyle w:val="CharSectno"/>
        </w:rPr>
        <w:t>202H</w:t>
      </w:r>
      <w:r>
        <w:t>.</w:t>
      </w:r>
      <w:r>
        <w:tab/>
        <w:t>Fee payable by hotel</w:t>
      </w:r>
      <w:r>
        <w:noBreakHyphen/>
        <w:t>quarantined person in relation to cost of quarantine</w:t>
      </w:r>
      <w:bookmarkEnd w:id="284"/>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285" w:name="_Toc161843874"/>
      <w:r>
        <w:rPr>
          <w:rStyle w:val="CharSectno"/>
        </w:rPr>
        <w:lastRenderedPageBreak/>
        <w:t>202I</w:t>
      </w:r>
      <w:r>
        <w:t>.</w:t>
      </w:r>
      <w:r>
        <w:tab/>
        <w:t>Period for payment of fee</w:t>
      </w:r>
      <w:bookmarkEnd w:id="285"/>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286" w:name="_Toc161843875"/>
      <w:r>
        <w:rPr>
          <w:rStyle w:val="CharSectno"/>
        </w:rPr>
        <w:t>202J</w:t>
      </w:r>
      <w:r>
        <w:t>.</w:t>
      </w:r>
      <w:r>
        <w:tab/>
        <w:t>Fee may be waived</w:t>
      </w:r>
      <w:bookmarkEnd w:id="286"/>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287" w:name="_Toc161843876"/>
      <w:r>
        <w:rPr>
          <w:rStyle w:val="CharSectno"/>
        </w:rPr>
        <w:t>202K</w:t>
      </w:r>
      <w:r>
        <w:t>.</w:t>
      </w:r>
      <w:r>
        <w:tab/>
        <w:t>Recovery of fees</w:t>
      </w:r>
      <w:bookmarkEnd w:id="287"/>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288" w:name="_Toc161843877"/>
      <w:r>
        <w:rPr>
          <w:rStyle w:val="CharSectno"/>
        </w:rPr>
        <w:t>202L</w:t>
      </w:r>
      <w:r>
        <w:t>.</w:t>
      </w:r>
      <w:r>
        <w:tab/>
        <w:t>Regulations</w:t>
      </w:r>
      <w:bookmarkEnd w:id="288"/>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lastRenderedPageBreak/>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289" w:name="_Toc161839286"/>
      <w:bookmarkStart w:id="290" w:name="_Toc161841549"/>
      <w:bookmarkStart w:id="291" w:name="_Toc161843878"/>
      <w:r>
        <w:rPr>
          <w:rStyle w:val="CharDivNo"/>
        </w:rPr>
        <w:t>Division 2</w:t>
      </w:r>
      <w:r>
        <w:t> — </w:t>
      </w:r>
      <w:r>
        <w:rPr>
          <w:rStyle w:val="CharDivText"/>
        </w:rPr>
        <w:t>Recovery of certain costs and expenses</w:t>
      </w:r>
      <w:bookmarkEnd w:id="289"/>
      <w:bookmarkEnd w:id="290"/>
      <w:bookmarkEnd w:id="291"/>
    </w:p>
    <w:p>
      <w:pPr>
        <w:pStyle w:val="Footnoteheading"/>
      </w:pPr>
      <w:r>
        <w:tab/>
        <w:t>[Heading inserted: No. 33 of 2020 s. 14.]</w:t>
      </w:r>
    </w:p>
    <w:p>
      <w:pPr>
        <w:pStyle w:val="Heading5"/>
      </w:pPr>
      <w:bookmarkStart w:id="292" w:name="_Toc161843879"/>
      <w:r>
        <w:rPr>
          <w:rStyle w:val="CharSectno"/>
        </w:rPr>
        <w:t>202M</w:t>
      </w:r>
      <w:r>
        <w:t>.</w:t>
      </w:r>
      <w:r>
        <w:tab/>
        <w:t>Recovery of costs and expenses of requiring premises to be cleaned</w:t>
      </w:r>
      <w:bookmarkEnd w:id="292"/>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a direction under the </w:t>
      </w:r>
      <w:r>
        <w:rPr>
          <w:i/>
        </w:rPr>
        <w:t>Emergency Management Act 2005</w:t>
      </w:r>
      <w:r>
        <w:t xml:space="preserve"> Part 6 Division 1 or 1A or Part 6A Division 4.</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 amended: No. 33 of 2022 s. 24.]</w:t>
      </w:r>
    </w:p>
    <w:p>
      <w:pPr>
        <w:pStyle w:val="Heading2"/>
      </w:pPr>
      <w:bookmarkStart w:id="293" w:name="_Toc146788981"/>
      <w:bookmarkStart w:id="294" w:name="_Toc146789107"/>
      <w:bookmarkStart w:id="295" w:name="_Toc161841551"/>
      <w:bookmarkStart w:id="296" w:name="_Toc161843880"/>
      <w:bookmarkStart w:id="297" w:name="_Toc161839288"/>
      <w:r>
        <w:rPr>
          <w:rStyle w:val="CharPartNo"/>
        </w:rPr>
        <w:lastRenderedPageBreak/>
        <w:t>Part 12C</w:t>
      </w:r>
      <w:r>
        <w:t> — </w:t>
      </w:r>
      <w:r>
        <w:rPr>
          <w:rStyle w:val="CharPartText"/>
        </w:rPr>
        <w:t>Abortion</w:t>
      </w:r>
      <w:bookmarkEnd w:id="293"/>
      <w:bookmarkEnd w:id="294"/>
      <w:bookmarkEnd w:id="295"/>
      <w:bookmarkEnd w:id="296"/>
    </w:p>
    <w:p>
      <w:pPr>
        <w:pStyle w:val="Footnoteheading"/>
      </w:pPr>
      <w:r>
        <w:tab/>
        <w:t>[Heading inserted: No. 20 of 2023 s. 7.]</w:t>
      </w:r>
    </w:p>
    <w:p>
      <w:pPr>
        <w:pStyle w:val="Heading3"/>
      </w:pPr>
      <w:bookmarkStart w:id="298" w:name="_Toc146788983"/>
      <w:bookmarkStart w:id="299" w:name="_Toc146789109"/>
      <w:bookmarkStart w:id="300" w:name="_Toc161841552"/>
      <w:bookmarkStart w:id="301" w:name="_Toc161843881"/>
      <w:bookmarkEnd w:id="297"/>
      <w:r>
        <w:rPr>
          <w:rStyle w:val="CharDivNo"/>
        </w:rPr>
        <w:t>Division 1</w:t>
      </w:r>
      <w:r>
        <w:t> — </w:t>
      </w:r>
      <w:r>
        <w:rPr>
          <w:rStyle w:val="CharDivText"/>
        </w:rPr>
        <w:t>Preliminary</w:t>
      </w:r>
      <w:bookmarkEnd w:id="298"/>
      <w:bookmarkEnd w:id="299"/>
      <w:bookmarkEnd w:id="300"/>
      <w:bookmarkEnd w:id="301"/>
    </w:p>
    <w:p>
      <w:pPr>
        <w:pStyle w:val="Footnoteheading"/>
      </w:pPr>
      <w:bookmarkStart w:id="302" w:name="_Toc146789110"/>
      <w:r>
        <w:tab/>
        <w:t>[Heading inserted: No. 20 of 2023 s. 8.]</w:t>
      </w:r>
    </w:p>
    <w:p>
      <w:pPr>
        <w:pStyle w:val="Heading5"/>
      </w:pPr>
      <w:bookmarkStart w:id="303" w:name="_Toc161843882"/>
      <w:r>
        <w:rPr>
          <w:rStyle w:val="CharSectno"/>
        </w:rPr>
        <w:t>202MA</w:t>
      </w:r>
      <w:r>
        <w:t>.</w:t>
      </w:r>
      <w:r>
        <w:tab/>
        <w:t>Terms used</w:t>
      </w:r>
      <w:bookmarkEnd w:id="302"/>
      <w:bookmarkEnd w:id="303"/>
    </w:p>
    <w:p>
      <w:pPr>
        <w:pStyle w:val="Subsection"/>
      </w:pPr>
      <w:r>
        <w:tab/>
      </w:r>
      <w:r>
        <w:tab/>
        <w:t xml:space="preserve">In this Part — </w:t>
      </w:r>
    </w:p>
    <w:p>
      <w:pPr>
        <w:pStyle w:val="Defstart"/>
      </w:pPr>
      <w:r>
        <w:tab/>
      </w:r>
      <w:r>
        <w:rPr>
          <w:rStyle w:val="CharDefText"/>
        </w:rPr>
        <w:t>abortion drug</w:t>
      </w:r>
      <w:r>
        <w:t xml:space="preserve"> means a medicine of a kind used to cause the termination of a pregnancy of a person;</w:t>
      </w:r>
    </w:p>
    <w:p>
      <w:pPr>
        <w:pStyle w:val="Defstart"/>
      </w:pPr>
      <w:r>
        <w:tab/>
      </w:r>
      <w:r>
        <w:rPr>
          <w:rStyle w:val="CharDefText"/>
        </w:rPr>
        <w:t>dispense</w:t>
      </w:r>
      <w:r>
        <w:t xml:space="preserve"> means to supply in accordance with a prescription;</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medicine</w:t>
      </w:r>
      <w:r>
        <w:t xml:space="preserve"> has the meaning given in the </w:t>
      </w:r>
      <w:r>
        <w:rPr>
          <w:i/>
        </w:rPr>
        <w:t xml:space="preserve">Medicines and Poisons Act 2014 </w:t>
      </w:r>
      <w:r>
        <w:t>section 3;</w:t>
      </w:r>
    </w:p>
    <w:p>
      <w:pPr>
        <w:pStyle w:val="Defstart"/>
      </w:pPr>
      <w:r>
        <w:tab/>
      </w:r>
      <w:r>
        <w:rPr>
          <w:rStyle w:val="CharDefText"/>
        </w:rPr>
        <w:t>perform an abortion</w:t>
      </w:r>
      <w:r>
        <w:t xml:space="preserve"> has the meaning given in section 202MB;</w:t>
      </w:r>
    </w:p>
    <w:p>
      <w:pPr>
        <w:pStyle w:val="Defstart"/>
      </w:pPr>
      <w:r>
        <w:tab/>
      </w:r>
      <w:r>
        <w:rPr>
          <w:rStyle w:val="CharDefText"/>
        </w:rPr>
        <w:t>person</w:t>
      </w:r>
      <w:r>
        <w:t>, when used in the context of the person upon whom an abortion is or may be performed, means a person of any age;</w:t>
      </w:r>
    </w:p>
    <w:p>
      <w:pPr>
        <w:pStyle w:val="Defstart"/>
      </w:pPr>
      <w:r>
        <w:tab/>
      </w:r>
      <w:r>
        <w:rPr>
          <w:rStyle w:val="CharDefText"/>
        </w:rPr>
        <w:t>pharmacist</w:t>
      </w:r>
      <w:r>
        <w:t xml:space="preserve"> means a person registered under the </w:t>
      </w:r>
      <w:r>
        <w:rPr>
          <w:i/>
        </w:rPr>
        <w:t>Health Practitioner Regulation National Law (Western Australia)</w:t>
      </w:r>
      <w:r>
        <w:t xml:space="preserve"> in the pharmacy profession (other than as a student);</w:t>
      </w:r>
    </w:p>
    <w:p>
      <w:pPr>
        <w:pStyle w:val="Defstart"/>
      </w:pPr>
      <w:r>
        <w:tab/>
      </w:r>
      <w:r>
        <w:rPr>
          <w:rStyle w:val="CharDefText"/>
        </w:rPr>
        <w:t>prescribe</w:t>
      </w:r>
      <w:r>
        <w:t>, in relation to an abortion drug, means to issue a prescription for the drug;</w:t>
      </w:r>
    </w:p>
    <w:p>
      <w:pPr>
        <w:pStyle w:val="Defstart"/>
      </w:pPr>
      <w:r>
        <w:tab/>
      </w:r>
      <w:r>
        <w:rPr>
          <w:rStyle w:val="CharDefText"/>
        </w:rPr>
        <w:t>prescribing practitioner</w:t>
      </w:r>
      <w:r>
        <w:t xml:space="preserve"> has the meaning given in section 202MD(1);</w:t>
      </w:r>
    </w:p>
    <w:p>
      <w:pPr>
        <w:pStyle w:val="Defstart"/>
      </w:pPr>
      <w:r>
        <w:tab/>
      </w:r>
      <w:r>
        <w:rPr>
          <w:rStyle w:val="CharDefText"/>
        </w:rPr>
        <w:t>prescription</w:t>
      </w:r>
      <w:r>
        <w:t xml:space="preserve">, in relation to an abortion drug, has the same meaning as it has, in relation to a Schedule 4 or 8 poison, in the </w:t>
      </w:r>
      <w:r>
        <w:rPr>
          <w:i/>
        </w:rPr>
        <w:t>Medicines and Poisons Act 2014</w:t>
      </w:r>
      <w:r>
        <w:t xml:space="preserve"> section 7(1);</w:t>
      </w:r>
    </w:p>
    <w:p>
      <w:pPr>
        <w:pStyle w:val="Defstart"/>
        <w:keepLines/>
      </w:pPr>
      <w:r>
        <w:lastRenderedPageBreak/>
        <w:tab/>
      </w:r>
      <w:r>
        <w:rPr>
          <w:rStyle w:val="CharDefText"/>
        </w:rPr>
        <w:t>primary clinical supervisor</w:t>
      </w:r>
      <w:r>
        <w:t xml:space="preserve">, in relation to a student, means a registered health practitioner who has primary responsibility for supervising the clinical work performed by the student in connection with the student’s program of study for, or the student’s clinical training in, the student’s health profession; </w:t>
      </w:r>
    </w:p>
    <w:p>
      <w:pPr>
        <w:pStyle w:val="Defstart"/>
      </w:pPr>
      <w:r>
        <w:tab/>
      </w:r>
      <w:r>
        <w:rPr>
          <w:rStyle w:val="CharDefText"/>
        </w:rPr>
        <w:t>private hospital service provider</w:t>
      </w:r>
      <w:r>
        <w:t xml:space="preserve"> has the meaning given in the </w:t>
      </w:r>
      <w:r>
        <w:rPr>
          <w:i/>
        </w:rPr>
        <w:t>Private Hospitals and Health Services Act 1927</w:t>
      </w:r>
      <w:r>
        <w:t xml:space="preserve"> section 2(1);</w:t>
      </w:r>
    </w:p>
    <w:p>
      <w:pPr>
        <w:pStyle w:val="Defstart"/>
      </w:pPr>
      <w:r>
        <w:tab/>
      </w:r>
      <w:r>
        <w:rPr>
          <w:rStyle w:val="CharDefText"/>
        </w:rPr>
        <w:t>registered health practitioner</w:t>
      </w:r>
      <w:r>
        <w:t xml:space="preserve"> means a person registered under the </w:t>
      </w:r>
      <w:r>
        <w:rPr>
          <w:i/>
        </w:rPr>
        <w:t>Health Practitioner Regulation National Law (Western Australia)</w:t>
      </w:r>
      <w:r>
        <w:t xml:space="preserve"> to practice a health profession (other than as a student);</w:t>
      </w:r>
    </w:p>
    <w:p>
      <w:pPr>
        <w:pStyle w:val="Defstart"/>
      </w:pPr>
      <w:r>
        <w:tab/>
      </w:r>
      <w:r>
        <w:rPr>
          <w:rStyle w:val="CharDefText"/>
        </w:rPr>
        <w:t>relevant health profession</w:t>
      </w:r>
      <w:r>
        <w:t xml:space="preserve"> means any of the following health professions — </w:t>
      </w:r>
    </w:p>
    <w:p>
      <w:pPr>
        <w:pStyle w:val="Defpara"/>
      </w:pPr>
      <w:r>
        <w:tab/>
        <w:t>(a)</w:t>
      </w:r>
      <w:r>
        <w:tab/>
        <w:t>Aboriginal and Torres Strait Islander health practice;</w:t>
      </w:r>
    </w:p>
    <w:p>
      <w:pPr>
        <w:pStyle w:val="Defpara"/>
      </w:pPr>
      <w:r>
        <w:tab/>
        <w:t>(b)</w:t>
      </w:r>
      <w:r>
        <w:tab/>
        <w:t xml:space="preserve">medical; </w:t>
      </w:r>
    </w:p>
    <w:p>
      <w:pPr>
        <w:pStyle w:val="Defpara"/>
      </w:pPr>
      <w:r>
        <w:tab/>
        <w:t>(c)</w:t>
      </w:r>
      <w:r>
        <w:tab/>
        <w:t>midwifery;</w:t>
      </w:r>
    </w:p>
    <w:p>
      <w:pPr>
        <w:pStyle w:val="Defpara"/>
      </w:pPr>
      <w:r>
        <w:tab/>
        <w:t>(d)</w:t>
      </w:r>
      <w:r>
        <w:tab/>
        <w:t xml:space="preserve">nursing; </w:t>
      </w:r>
    </w:p>
    <w:p>
      <w:pPr>
        <w:pStyle w:val="Defpara"/>
      </w:pPr>
      <w:r>
        <w:tab/>
        <w:t>(e)</w:t>
      </w:r>
      <w:r>
        <w:tab/>
        <w:t>pharmacy;</w:t>
      </w:r>
    </w:p>
    <w:p>
      <w:pPr>
        <w:pStyle w:val="Defpara"/>
      </w:pPr>
      <w:r>
        <w:tab/>
        <w:t>(f)</w:t>
      </w:r>
      <w:r>
        <w:tab/>
        <w:t>a health profession that is prescribed by the regulations for the purposes of this definition;</w:t>
      </w:r>
    </w:p>
    <w:p>
      <w:pPr>
        <w:pStyle w:val="Defstart"/>
      </w:pPr>
      <w:r>
        <w:tab/>
      </w:r>
      <w:r>
        <w:rPr>
          <w:rStyle w:val="CharDefText"/>
        </w:rPr>
        <w:t>relevant person</w:t>
      </w:r>
      <w:r>
        <w:t xml:space="preserve"> means — </w:t>
      </w:r>
    </w:p>
    <w:p>
      <w:pPr>
        <w:pStyle w:val="Defpara"/>
      </w:pPr>
      <w:r>
        <w:tab/>
        <w:t>(a)</w:t>
      </w:r>
      <w:r>
        <w:tab/>
        <w:t>a registered health practitioner who is authorised under Division 2 to perform an abortion; or</w:t>
      </w:r>
    </w:p>
    <w:p>
      <w:pPr>
        <w:pStyle w:val="Defpara"/>
      </w:pPr>
      <w:r>
        <w:tab/>
        <w:t>(b)</w:t>
      </w:r>
      <w:r>
        <w:tab/>
        <w:t>the chief executive of a health service provider that provides health services that include, or are related to, the performance of abortions under Division 2; or</w:t>
      </w:r>
    </w:p>
    <w:p>
      <w:pPr>
        <w:pStyle w:val="Defpara"/>
      </w:pPr>
      <w:r>
        <w:tab/>
        <w:t>(c)</w:t>
      </w:r>
      <w:r>
        <w:tab/>
        <w:t>a private hospital service provider that provides health services that include, or are related to, the performance of abortions under Division 2;</w:t>
      </w:r>
    </w:p>
    <w:p>
      <w:pPr>
        <w:pStyle w:val="Defstart"/>
        <w:keepNext/>
        <w:keepLines/>
      </w:pPr>
      <w:r>
        <w:lastRenderedPageBreak/>
        <w:tab/>
      </w:r>
      <w:r>
        <w:rPr>
          <w:rStyle w:val="CharDefText"/>
        </w:rPr>
        <w:t>student</w:t>
      </w:r>
      <w:r>
        <w:t xml:space="preserve">, in relation to a health profession, means a person whose name is entered in a student register for the health profession as being currently registered under the </w:t>
      </w:r>
      <w:r>
        <w:rPr>
          <w:i/>
        </w:rPr>
        <w:t>Health Practitioner Regulation National Law (Western Australia)</w:t>
      </w:r>
      <w:r>
        <w:t>;</w:t>
      </w:r>
    </w:p>
    <w:p>
      <w:pPr>
        <w:pStyle w:val="Defstart"/>
      </w:pPr>
      <w:r>
        <w:tab/>
      </w:r>
      <w:r>
        <w:rPr>
          <w:rStyle w:val="CharDefText"/>
        </w:rPr>
        <w:t>student register</w:t>
      </w:r>
      <w:r>
        <w:t xml:space="preserve">, for a health profession, has the meaning given in the </w:t>
      </w:r>
      <w:r>
        <w:rPr>
          <w:i/>
        </w:rPr>
        <w:t>Health Practitioner Regulation National Law (Western Australia)</w:t>
      </w:r>
      <w:r>
        <w:t xml:space="preserve"> section 5;</w:t>
      </w:r>
    </w:p>
    <w:p>
      <w:pPr>
        <w:pStyle w:val="Defstart"/>
      </w:pPr>
      <w:r>
        <w:tab/>
      </w:r>
      <w:r>
        <w:rPr>
          <w:rStyle w:val="CharDefText"/>
        </w:rPr>
        <w:t>supply</w:t>
      </w:r>
      <w:r>
        <w:t xml:space="preserve">, in relation to an abortion drug, has the same meaning as it has, in relation to a poison, in the </w:t>
      </w:r>
      <w:r>
        <w:rPr>
          <w:i/>
        </w:rPr>
        <w:t>Medicines and Poisons Act 2014</w:t>
      </w:r>
      <w:r>
        <w:t xml:space="preserve"> section 8.</w:t>
      </w:r>
    </w:p>
    <w:p>
      <w:pPr>
        <w:pStyle w:val="Footnotesection"/>
      </w:pPr>
      <w:bookmarkStart w:id="304" w:name="_Toc146789111"/>
      <w:r>
        <w:tab/>
        <w:t>[Section 202MA inserted: No. 20 of 2023 s. 8.]</w:t>
      </w:r>
    </w:p>
    <w:p>
      <w:pPr>
        <w:pStyle w:val="Heading5"/>
      </w:pPr>
      <w:bookmarkStart w:id="305" w:name="_Toc161843883"/>
      <w:r>
        <w:rPr>
          <w:rStyle w:val="CharSectno"/>
        </w:rPr>
        <w:t>202MB</w:t>
      </w:r>
      <w:r>
        <w:t>.</w:t>
      </w:r>
      <w:r>
        <w:tab/>
        <w:t>Performance of abortion</w:t>
      </w:r>
      <w:bookmarkEnd w:id="304"/>
      <w:bookmarkEnd w:id="305"/>
    </w:p>
    <w:p>
      <w:pPr>
        <w:pStyle w:val="Subsection"/>
      </w:pPr>
      <w:r>
        <w:tab/>
        <w:t>(1)</w:t>
      </w:r>
      <w:r>
        <w:tab/>
        <w:t xml:space="preserve">A person </w:t>
      </w:r>
      <w:r>
        <w:rPr>
          <w:rStyle w:val="CharDefText"/>
        </w:rPr>
        <w:t>performs an abortion</w:t>
      </w:r>
      <w:r>
        <w:t xml:space="preserve"> on another person if the person does any act with the intention of causing the termination of the pregnancy of the other person.</w:t>
      </w:r>
    </w:p>
    <w:p>
      <w:pPr>
        <w:pStyle w:val="Subsection"/>
      </w:pPr>
      <w:r>
        <w:tab/>
        <w:t>(2)</w:t>
      </w:r>
      <w:r>
        <w:tab/>
        <w:t xml:space="preserve">Without limiting subsection (1), the acts to which it applies include the following — </w:t>
      </w:r>
    </w:p>
    <w:p>
      <w:pPr>
        <w:pStyle w:val="Indenta"/>
      </w:pPr>
      <w:r>
        <w:tab/>
        <w:t>(a)</w:t>
      </w:r>
      <w:r>
        <w:tab/>
        <w:t xml:space="preserve">prescribing an abortion drug for the other person; </w:t>
      </w:r>
    </w:p>
    <w:p>
      <w:pPr>
        <w:pStyle w:val="Indenta"/>
      </w:pPr>
      <w:r>
        <w:tab/>
        <w:t>(b)</w:t>
      </w:r>
      <w:r>
        <w:tab/>
        <w:t>supplying an abortion drug to the other person;</w:t>
      </w:r>
    </w:p>
    <w:p>
      <w:pPr>
        <w:pStyle w:val="Indenta"/>
      </w:pPr>
      <w:r>
        <w:tab/>
        <w:t>(c)</w:t>
      </w:r>
      <w:r>
        <w:tab/>
        <w:t xml:space="preserve">administering an abortion drug to the other person; </w:t>
      </w:r>
    </w:p>
    <w:p>
      <w:pPr>
        <w:pStyle w:val="Indenta"/>
      </w:pPr>
      <w:r>
        <w:tab/>
        <w:t>(d)</w:t>
      </w:r>
      <w:r>
        <w:tab/>
        <w:t>carrying out a surgical or other procedure on the other person.</w:t>
      </w:r>
    </w:p>
    <w:p>
      <w:pPr>
        <w:pStyle w:val="Subsection"/>
      </w:pPr>
      <w:r>
        <w:tab/>
        <w:t>(3)</w:t>
      </w:r>
      <w:r>
        <w:tab/>
        <w:t>However, assisting a person to do an act done with the intention of causing the termination of a pregnancy of another person is not an act to which subsection (1) applies.</w:t>
      </w:r>
    </w:p>
    <w:p>
      <w:pPr>
        <w:pStyle w:val="Footnotesection"/>
      </w:pPr>
      <w:bookmarkStart w:id="306" w:name="_Toc146788986"/>
      <w:bookmarkStart w:id="307" w:name="_Toc146789112"/>
      <w:r>
        <w:tab/>
        <w:t>[Section 202MB inserted: No. 20 of 2023 s. 8.]</w:t>
      </w:r>
    </w:p>
    <w:p>
      <w:pPr>
        <w:pStyle w:val="Heading3"/>
      </w:pPr>
      <w:bookmarkStart w:id="308" w:name="_Toc161841555"/>
      <w:bookmarkStart w:id="309" w:name="_Toc161843884"/>
      <w:r>
        <w:rPr>
          <w:rStyle w:val="CharDivNo"/>
        </w:rPr>
        <w:lastRenderedPageBreak/>
        <w:t>Division 2</w:t>
      </w:r>
      <w:r>
        <w:t> — </w:t>
      </w:r>
      <w:r>
        <w:rPr>
          <w:rStyle w:val="CharDivText"/>
        </w:rPr>
        <w:t>Performance of abortion by registered health practitioners</w:t>
      </w:r>
      <w:bookmarkEnd w:id="306"/>
      <w:bookmarkEnd w:id="307"/>
      <w:bookmarkEnd w:id="308"/>
      <w:bookmarkEnd w:id="309"/>
    </w:p>
    <w:p>
      <w:pPr>
        <w:pStyle w:val="Footnoteheading"/>
        <w:keepNext/>
      </w:pPr>
      <w:bookmarkStart w:id="310" w:name="_Toc146789113"/>
      <w:r>
        <w:tab/>
        <w:t>[Heading inserted: No. 20 of 2023 s. 8.]</w:t>
      </w:r>
    </w:p>
    <w:p>
      <w:pPr>
        <w:pStyle w:val="Heading5"/>
      </w:pPr>
      <w:bookmarkStart w:id="311" w:name="_Toc161843885"/>
      <w:r>
        <w:rPr>
          <w:rStyle w:val="CharSectno"/>
        </w:rPr>
        <w:t>202MC</w:t>
      </w:r>
      <w:r>
        <w:t>.</w:t>
      </w:r>
      <w:r>
        <w:tab/>
        <w:t>Performance of abortion by medical practitioner at not more than 23 weeks</w:t>
      </w:r>
      <w:bookmarkEnd w:id="310"/>
      <w:bookmarkEnd w:id="311"/>
    </w:p>
    <w:p>
      <w:pPr>
        <w:pStyle w:val="Subsection"/>
        <w:keepNext/>
      </w:pPr>
      <w:r>
        <w:tab/>
      </w:r>
      <w:r>
        <w:tab/>
        <w:t xml:space="preserve">A medical practitioner is authorised to perform an abortion on a person who is not more than 23 weeks pregnant. </w:t>
      </w:r>
    </w:p>
    <w:p>
      <w:pPr>
        <w:pStyle w:val="Footnotesection"/>
      </w:pPr>
      <w:bookmarkStart w:id="312" w:name="_Toc146789114"/>
      <w:r>
        <w:tab/>
        <w:t>[Section 202MC inserted: No. 20 of 2023 s. 8.]</w:t>
      </w:r>
    </w:p>
    <w:p>
      <w:pPr>
        <w:pStyle w:val="Heading5"/>
      </w:pPr>
      <w:bookmarkStart w:id="313" w:name="_Toc161843886"/>
      <w:r>
        <w:rPr>
          <w:rStyle w:val="CharSectno"/>
        </w:rPr>
        <w:t>202MD</w:t>
      </w:r>
      <w:r>
        <w:t>.</w:t>
      </w:r>
      <w:r>
        <w:tab/>
        <w:t>Performance of medical abortion by certain other registered health practitioners at not more than 23 weeks</w:t>
      </w:r>
      <w:bookmarkEnd w:id="312"/>
      <w:bookmarkEnd w:id="313"/>
    </w:p>
    <w:p>
      <w:pPr>
        <w:pStyle w:val="Subsection"/>
      </w:pPr>
      <w:r>
        <w:tab/>
        <w:t>(1)</w:t>
      </w:r>
      <w:r>
        <w:tab/>
        <w:t xml:space="preserve">In this section — </w:t>
      </w:r>
    </w:p>
    <w:p>
      <w:pPr>
        <w:pStyle w:val="Defstart"/>
      </w:pPr>
      <w:r>
        <w:tab/>
      </w:r>
      <w:r>
        <w:rPr>
          <w:rStyle w:val="CharDefText"/>
        </w:rPr>
        <w:t>prescribing practitioner</w:t>
      </w:r>
      <w:r>
        <w:t xml:space="preserve"> means a person who is a member of a class of registered health practitioners that — </w:t>
      </w:r>
    </w:p>
    <w:p>
      <w:pPr>
        <w:pStyle w:val="Defpara"/>
      </w:pPr>
      <w:r>
        <w:tab/>
        <w:t>(a)</w:t>
      </w:r>
      <w:r>
        <w:tab/>
        <w:t xml:space="preserve">is authorised under the </w:t>
      </w:r>
      <w:r>
        <w:rPr>
          <w:i/>
        </w:rPr>
        <w:t>Medicines and Poisons Act 2014</w:t>
      </w:r>
      <w:r>
        <w:t xml:space="preserve"> to prescribe an abortion drug; and</w:t>
      </w:r>
    </w:p>
    <w:p>
      <w:pPr>
        <w:pStyle w:val="Defpara"/>
      </w:pPr>
      <w:r>
        <w:tab/>
        <w:t>(b)</w:t>
      </w:r>
      <w:r>
        <w:tab/>
        <w:t>is prescribed by the regulations for the purposes of this definition.</w:t>
      </w:r>
    </w:p>
    <w:p>
      <w:pPr>
        <w:pStyle w:val="Subsection"/>
      </w:pPr>
      <w:r>
        <w:tab/>
        <w:t>(2)</w:t>
      </w:r>
      <w:r>
        <w:tab/>
        <w:t xml:space="preserve">A prescribing practitioner is authorised to perform an abortion on a person who is not more than 23 weeks pregnant if the prescribing practitioner performs the abortion by — </w:t>
      </w:r>
    </w:p>
    <w:p>
      <w:pPr>
        <w:pStyle w:val="Indenta"/>
      </w:pPr>
      <w:r>
        <w:tab/>
        <w:t>(a)</w:t>
      </w:r>
      <w:r>
        <w:tab/>
        <w:t>prescribing an abortion drug for the person; or</w:t>
      </w:r>
    </w:p>
    <w:p>
      <w:pPr>
        <w:pStyle w:val="Indenta"/>
      </w:pPr>
      <w:r>
        <w:tab/>
        <w:t>(b)</w:t>
      </w:r>
      <w:r>
        <w:tab/>
        <w:t>supplying or administering an abortion drug to the person.</w:t>
      </w:r>
    </w:p>
    <w:p>
      <w:pPr>
        <w:pStyle w:val="Footnotesection"/>
      </w:pPr>
      <w:bookmarkStart w:id="314" w:name="_Toc146789115"/>
      <w:r>
        <w:tab/>
        <w:t>[Section 202MD inserted: No. 20 of 2023 s. 8.]</w:t>
      </w:r>
    </w:p>
    <w:p>
      <w:pPr>
        <w:pStyle w:val="Heading5"/>
      </w:pPr>
      <w:bookmarkStart w:id="315" w:name="_Toc161843887"/>
      <w:r>
        <w:rPr>
          <w:rStyle w:val="CharSectno"/>
        </w:rPr>
        <w:lastRenderedPageBreak/>
        <w:t>202ME</w:t>
      </w:r>
      <w:r>
        <w:t>.</w:t>
      </w:r>
      <w:r>
        <w:tab/>
        <w:t>Performance of abortion by medical practitioner at more than 23 weeks</w:t>
      </w:r>
      <w:bookmarkEnd w:id="314"/>
      <w:bookmarkEnd w:id="315"/>
    </w:p>
    <w:p>
      <w:pPr>
        <w:pStyle w:val="Subsection"/>
        <w:keepNext/>
      </w:pPr>
      <w:r>
        <w:tab/>
        <w:t>(1)</w:t>
      </w:r>
      <w:r>
        <w:tab/>
        <w:t xml:space="preserve">Subject to subsection (5), a medical practitioner (the </w:t>
      </w:r>
      <w:r>
        <w:rPr>
          <w:rStyle w:val="CharDefText"/>
        </w:rPr>
        <w:t>primary practitioner</w:t>
      </w:r>
      <w:r>
        <w:t xml:space="preserve">) is authorised to perform an abortion on a person who is more than 23 weeks pregnant if — </w:t>
      </w:r>
    </w:p>
    <w:p>
      <w:pPr>
        <w:pStyle w:val="Indenta"/>
      </w:pPr>
      <w:r>
        <w:tab/>
        <w:t>(a)</w:t>
      </w:r>
      <w:r>
        <w:tab/>
        <w:t>the primary practitioner, after having regard to the matters referred to in subsection (2), reasonably believes that performing the abortion is appropriate in all the circumstances; and</w:t>
      </w:r>
    </w:p>
    <w:p>
      <w:pPr>
        <w:pStyle w:val="Indenta"/>
      </w:pPr>
      <w:r>
        <w:tab/>
        <w:t>(b)</w:t>
      </w:r>
      <w:r>
        <w:tab/>
        <w:t>the primary practitioner has consulted with at least 1 other medical practitioner who, after having regard to the matters referred to in subsection (2), also reasonably believes that performing the abortion is appropriate in all the circumstances.</w:t>
      </w:r>
    </w:p>
    <w:p>
      <w:pPr>
        <w:pStyle w:val="Subsection"/>
      </w:pPr>
      <w:r>
        <w:tab/>
        <w:t>(2)</w:t>
      </w:r>
      <w:r>
        <w:tab/>
        <w:t xml:space="preserve">In considering whether performing an abortion on a person is appropriate in all the circumstances, a medical practitioner must have regard to — </w:t>
      </w:r>
    </w:p>
    <w:p>
      <w:pPr>
        <w:pStyle w:val="Indenta"/>
      </w:pPr>
      <w:r>
        <w:tab/>
        <w:t>(a)</w:t>
      </w:r>
      <w:r>
        <w:tab/>
        <w:t>all relevant medical circumstances; and</w:t>
      </w:r>
    </w:p>
    <w:p>
      <w:pPr>
        <w:pStyle w:val="Indenta"/>
      </w:pPr>
      <w:r>
        <w:tab/>
        <w:t>(b)</w:t>
      </w:r>
      <w:r>
        <w:tab/>
        <w:t>the person’s current and future physical, psychological and social circumstances; and</w:t>
      </w:r>
    </w:p>
    <w:p>
      <w:pPr>
        <w:pStyle w:val="Indenta"/>
      </w:pPr>
      <w:r>
        <w:tab/>
        <w:t>(c)</w:t>
      </w:r>
      <w:r>
        <w:tab/>
        <w:t>the professional standards and guidelines commonly accepted by members of the medical profession that apply to the medical practitioner in relation to the performance of the abortion.</w:t>
      </w:r>
    </w:p>
    <w:p>
      <w:pPr>
        <w:pStyle w:val="Subsection"/>
      </w:pPr>
      <w:r>
        <w:tab/>
        <w:t>(3)</w:t>
      </w:r>
      <w:r>
        <w:tab/>
        <w:t>Subsection (2) does not limit the matters to which a medical practitioner may have regard in considering whether performing an abortion on a person is appropriate in all the circumstances.</w:t>
      </w:r>
    </w:p>
    <w:p>
      <w:pPr>
        <w:pStyle w:val="Subsection"/>
      </w:pPr>
      <w:r>
        <w:tab/>
        <w:t>(4)</w:t>
      </w:r>
      <w:r>
        <w:tab/>
        <w:t xml:space="preserve">For the purposes of subsection (1)(b) — </w:t>
      </w:r>
    </w:p>
    <w:p>
      <w:pPr>
        <w:pStyle w:val="Indenta"/>
      </w:pPr>
      <w:r>
        <w:tab/>
        <w:t>(a)</w:t>
      </w:r>
      <w:r>
        <w:tab/>
        <w:t xml:space="preserve">the principal place of practice (as defined in the </w:t>
      </w:r>
      <w:r>
        <w:rPr>
          <w:i/>
        </w:rPr>
        <w:t xml:space="preserve">Health Practitioner Regulation National Law (Western Australia) </w:t>
      </w:r>
      <w:r>
        <w:t>section 5) of a medical practitioner with whom the primary practitioner consults need not be in Western Australia; and</w:t>
      </w:r>
    </w:p>
    <w:p>
      <w:pPr>
        <w:pStyle w:val="Indenta"/>
      </w:pPr>
      <w:r>
        <w:lastRenderedPageBreak/>
        <w:tab/>
        <w:t>(b)</w:t>
      </w:r>
      <w:r>
        <w:tab/>
        <w:t>if a medical practitioner with whom the primary practitioner consults does not believe that performing the abortion is appropriate in all the circumstances, this does not prevent the primary practitioner from consulting with another medical practitioner.</w:t>
      </w:r>
    </w:p>
    <w:p>
      <w:pPr>
        <w:pStyle w:val="Subsection"/>
      </w:pPr>
      <w:r>
        <w:tab/>
        <w:t>(5)</w:t>
      </w:r>
      <w:r>
        <w:tab/>
        <w:t>In an emergency, a medical practitioner is authorised to perform an abortion on a person who is more than 23 weeks pregnant without complying with subsection (1) if the medical practitioner considers it necessary to perform the abortion to save the person’s life or save another foetus.</w:t>
      </w:r>
    </w:p>
    <w:p>
      <w:pPr>
        <w:pStyle w:val="Footnotesection"/>
      </w:pPr>
      <w:bookmarkStart w:id="316" w:name="_Toc146789116"/>
      <w:r>
        <w:tab/>
        <w:t>[Section 202ME inserted: No. 20 of 2023 s. 8.]</w:t>
      </w:r>
    </w:p>
    <w:p>
      <w:pPr>
        <w:pStyle w:val="Heading5"/>
      </w:pPr>
      <w:bookmarkStart w:id="317" w:name="_Toc161843888"/>
      <w:r>
        <w:rPr>
          <w:rStyle w:val="CharSectno"/>
        </w:rPr>
        <w:t>202MF</w:t>
      </w:r>
      <w:r>
        <w:t>.</w:t>
      </w:r>
      <w:r>
        <w:tab/>
        <w:t>Performance of medical abortion by certain registered health practitioners on direction of medical practitioner or prescribing practitioner</w:t>
      </w:r>
      <w:bookmarkEnd w:id="316"/>
      <w:bookmarkEnd w:id="317"/>
    </w:p>
    <w:p>
      <w:pPr>
        <w:pStyle w:val="Subsection"/>
      </w:pPr>
      <w:r>
        <w:tab/>
        <w:t>(1)</w:t>
      </w:r>
      <w:r>
        <w:tab/>
        <w:t xml:space="preserve">In this section — </w:t>
      </w:r>
    </w:p>
    <w:p>
      <w:pPr>
        <w:pStyle w:val="Defstart"/>
      </w:pPr>
      <w:r>
        <w:tab/>
      </w:r>
      <w:r>
        <w:rPr>
          <w:rStyle w:val="CharDefText"/>
        </w:rPr>
        <w:t>directing practitioner</w:t>
      </w:r>
      <w:r>
        <w:t xml:space="preserve"> means — </w:t>
      </w:r>
    </w:p>
    <w:p>
      <w:pPr>
        <w:pStyle w:val="Defpara"/>
      </w:pPr>
      <w:r>
        <w:tab/>
        <w:t>(a)</w:t>
      </w:r>
      <w:r>
        <w:tab/>
        <w:t>in relation to the performance of an abortion on a person who is not more than 23 weeks pregnant — a medical practitioner or prescribing practitioner; and</w:t>
      </w:r>
    </w:p>
    <w:p>
      <w:pPr>
        <w:pStyle w:val="Defpara"/>
      </w:pPr>
      <w:r>
        <w:tab/>
        <w:t>(b)</w:t>
      </w:r>
      <w:r>
        <w:tab/>
        <w:t>in relation to the performance of an abortion on a person who is more than 23 weeks pregnant — a medical practitioner.</w:t>
      </w:r>
    </w:p>
    <w:p>
      <w:pPr>
        <w:pStyle w:val="Subsection"/>
      </w:pPr>
      <w:r>
        <w:tab/>
        <w:t>(2)</w:t>
      </w:r>
      <w:r>
        <w:tab/>
        <w:t xml:space="preserve">A pharmacist is authorised to perform an abortion on a person by supplying an abortion drug to the person if the pharmacist, in accordance with the </w:t>
      </w:r>
      <w:r>
        <w:rPr>
          <w:i/>
        </w:rPr>
        <w:t>Medicines and Poisons Act 2014</w:t>
      </w:r>
      <w:r>
        <w:t xml:space="preserve"> — </w:t>
      </w:r>
    </w:p>
    <w:p>
      <w:pPr>
        <w:pStyle w:val="Indenta"/>
      </w:pPr>
      <w:r>
        <w:tab/>
        <w:t>(a)</w:t>
      </w:r>
      <w:r>
        <w:tab/>
        <w:t>dispenses the abortion drug to the person under a prescription issued by a directing practitioner; or</w:t>
      </w:r>
    </w:p>
    <w:p>
      <w:pPr>
        <w:pStyle w:val="Indenta"/>
      </w:pPr>
      <w:r>
        <w:tab/>
        <w:t>(b)</w:t>
      </w:r>
      <w:r>
        <w:tab/>
        <w:t>otherwise supplies the abortion drug to the person on the direction of a directing practitioner.</w:t>
      </w:r>
    </w:p>
    <w:p>
      <w:pPr>
        <w:pStyle w:val="Subsection"/>
      </w:pPr>
      <w:r>
        <w:tab/>
        <w:t>(3)</w:t>
      </w:r>
      <w:r>
        <w:tab/>
        <w:t xml:space="preserve">A registered health practitioner in a relevant health profession (other than pharmacy) is authorised to perform an abortion on a person by supplying or administering an abortion drug to the </w:t>
      </w:r>
      <w:r>
        <w:lastRenderedPageBreak/>
        <w:t xml:space="preserve">person if the registered health practitioner, in accordance with the </w:t>
      </w:r>
      <w:r>
        <w:rPr>
          <w:i/>
        </w:rPr>
        <w:t>Medicines and Poisons Act 2014</w:t>
      </w:r>
      <w:r>
        <w:t>, supplies or administers the abortion drug to the person on the direction of a directing practitioner.</w:t>
      </w:r>
    </w:p>
    <w:p>
      <w:pPr>
        <w:pStyle w:val="Footnotesection"/>
      </w:pPr>
      <w:bookmarkStart w:id="318" w:name="_Toc146789117"/>
      <w:r>
        <w:tab/>
        <w:t>[Section 202MF inserted: No. 20 of 2023 s. 8.]</w:t>
      </w:r>
    </w:p>
    <w:p>
      <w:pPr>
        <w:pStyle w:val="Heading5"/>
      </w:pPr>
      <w:bookmarkStart w:id="319" w:name="_Toc161843889"/>
      <w:r>
        <w:rPr>
          <w:rStyle w:val="CharSectno"/>
        </w:rPr>
        <w:t>202MG</w:t>
      </w:r>
      <w:r>
        <w:t>.</w:t>
      </w:r>
      <w:r>
        <w:tab/>
        <w:t>Assistance by certain registered health practitioners or students in performance of abortion by medical practitioner or prescribing practitioner</w:t>
      </w:r>
      <w:bookmarkEnd w:id="318"/>
      <w:bookmarkEnd w:id="319"/>
    </w:p>
    <w:p>
      <w:pPr>
        <w:pStyle w:val="Subsection"/>
      </w:pPr>
      <w:r>
        <w:tab/>
        <w:t>(1)</w:t>
      </w:r>
      <w:r>
        <w:tab/>
        <w:t xml:space="preserve">A registered health practitioner in a relevant health profession, acting in the course of the practice of that profession, is authorised to assist in the performance of an abortion on a person by — </w:t>
      </w:r>
    </w:p>
    <w:p>
      <w:pPr>
        <w:pStyle w:val="Indenta"/>
      </w:pPr>
      <w:r>
        <w:tab/>
        <w:t>(a)</w:t>
      </w:r>
      <w:r>
        <w:tab/>
        <w:t>a medical practitioner as authorised under section 202MC or 202ME(1); or</w:t>
      </w:r>
    </w:p>
    <w:p>
      <w:pPr>
        <w:pStyle w:val="Indenta"/>
      </w:pPr>
      <w:r>
        <w:tab/>
        <w:t>(b)</w:t>
      </w:r>
      <w:r>
        <w:tab/>
        <w:t>a prescribing practitioner as authorised under section 202MD(2).</w:t>
      </w:r>
    </w:p>
    <w:p>
      <w:pPr>
        <w:pStyle w:val="Subsection"/>
      </w:pPr>
      <w:r>
        <w:tab/>
        <w:t>(2)</w:t>
      </w:r>
      <w:r>
        <w:tab/>
        <w:t xml:space="preserve">Subsection (1) does not apply in relation to the performance of an abortion that the registered health practitioner knows is being performed by — </w:t>
      </w:r>
    </w:p>
    <w:p>
      <w:pPr>
        <w:pStyle w:val="Indenta"/>
      </w:pPr>
      <w:r>
        <w:tab/>
        <w:t>(a)</w:t>
      </w:r>
      <w:r>
        <w:tab/>
        <w:t xml:space="preserve">a medical practitioner other than as authorised under section 202MC or 202ME(1); or </w:t>
      </w:r>
    </w:p>
    <w:p>
      <w:pPr>
        <w:pStyle w:val="Indenta"/>
      </w:pPr>
      <w:r>
        <w:tab/>
        <w:t>(b)</w:t>
      </w:r>
      <w:r>
        <w:tab/>
        <w:t>a prescribing practitioner other than as authorised under section 202MD(2).</w:t>
      </w:r>
    </w:p>
    <w:p>
      <w:pPr>
        <w:pStyle w:val="Subsection"/>
      </w:pPr>
      <w:r>
        <w:tab/>
        <w:t>(3)</w:t>
      </w:r>
      <w:r>
        <w:tab/>
        <w:t xml:space="preserve">A student in a relevant health profession is authorised to assist in the performance of an abortion on a person by — </w:t>
      </w:r>
    </w:p>
    <w:p>
      <w:pPr>
        <w:pStyle w:val="Indenta"/>
      </w:pPr>
      <w:r>
        <w:tab/>
        <w:t>(a)</w:t>
      </w:r>
      <w:r>
        <w:tab/>
        <w:t>a medical practitioner as authorised under section 202MC or 202ME(1); or</w:t>
      </w:r>
    </w:p>
    <w:p>
      <w:pPr>
        <w:pStyle w:val="Indenta"/>
      </w:pPr>
      <w:r>
        <w:tab/>
        <w:t>(b)</w:t>
      </w:r>
      <w:r>
        <w:tab/>
        <w:t>a prescribing practitioner as authorised under section 202MD(2).</w:t>
      </w:r>
    </w:p>
    <w:p>
      <w:pPr>
        <w:pStyle w:val="Subsection"/>
        <w:keepNext/>
      </w:pPr>
      <w:r>
        <w:lastRenderedPageBreak/>
        <w:tab/>
        <w:t>(4)</w:t>
      </w:r>
      <w:r>
        <w:tab/>
        <w:t xml:space="preserve">An act done by a student under subsection (3) must be done — </w:t>
      </w:r>
    </w:p>
    <w:p>
      <w:pPr>
        <w:pStyle w:val="Indenta"/>
      </w:pPr>
      <w:r>
        <w:tab/>
        <w:t>(a)</w:t>
      </w:r>
      <w:r>
        <w:tab/>
        <w:t>in the course of the student’s program of study for, or clinical training in, the relevant health profession; and</w:t>
      </w:r>
    </w:p>
    <w:p>
      <w:pPr>
        <w:pStyle w:val="Indenta"/>
      </w:pPr>
      <w:r>
        <w:tab/>
        <w:t>(b)</w:t>
      </w:r>
      <w:r>
        <w:tab/>
        <w:t xml:space="preserve">under the supervision of — </w:t>
      </w:r>
    </w:p>
    <w:p>
      <w:pPr>
        <w:pStyle w:val="Indenti"/>
      </w:pPr>
      <w:r>
        <w:tab/>
        <w:t>(i)</w:t>
      </w:r>
      <w:r>
        <w:tab/>
        <w:t>the medical practitioner or prescribing practitioner; or</w:t>
      </w:r>
    </w:p>
    <w:p>
      <w:pPr>
        <w:pStyle w:val="Indenti"/>
      </w:pPr>
      <w:r>
        <w:tab/>
        <w:t>(ii)</w:t>
      </w:r>
      <w:r>
        <w:tab/>
        <w:t>a registered health practitioner in the relevant health profession who is assisting in the performance of the abortion under subsection (1); or</w:t>
      </w:r>
    </w:p>
    <w:p>
      <w:pPr>
        <w:pStyle w:val="Indenti"/>
      </w:pPr>
      <w:r>
        <w:tab/>
        <w:t>(iii)</w:t>
      </w:r>
      <w:r>
        <w:tab/>
        <w:t>the student’s primary clinical supervisor.</w:t>
      </w:r>
    </w:p>
    <w:p>
      <w:pPr>
        <w:pStyle w:val="Subsection"/>
      </w:pPr>
      <w:r>
        <w:tab/>
        <w:t>(5)</w:t>
      </w:r>
      <w:r>
        <w:tab/>
        <w:t xml:space="preserve">Subsection (3) does not apply in relation to the performance of an abortion that the student knows is being performed by — </w:t>
      </w:r>
    </w:p>
    <w:p>
      <w:pPr>
        <w:pStyle w:val="Indenta"/>
      </w:pPr>
      <w:r>
        <w:tab/>
        <w:t>(a)</w:t>
      </w:r>
      <w:r>
        <w:tab/>
        <w:t xml:space="preserve">a medical practitioner other than as authorised under section 202MC or 202ME(1); or </w:t>
      </w:r>
    </w:p>
    <w:p>
      <w:pPr>
        <w:pStyle w:val="Indenta"/>
      </w:pPr>
      <w:r>
        <w:tab/>
        <w:t>(b)</w:t>
      </w:r>
      <w:r>
        <w:tab/>
        <w:t>a prescribing practitioner other than as authorised under section 202MD(2).</w:t>
      </w:r>
    </w:p>
    <w:p>
      <w:pPr>
        <w:pStyle w:val="Footnotesection"/>
      </w:pPr>
      <w:bookmarkStart w:id="320" w:name="_Toc146789118"/>
      <w:r>
        <w:tab/>
        <w:t>[Section 202MG inserted: No. 20 of 2023 s. 8.]</w:t>
      </w:r>
    </w:p>
    <w:p>
      <w:pPr>
        <w:pStyle w:val="Heading5"/>
      </w:pPr>
      <w:bookmarkStart w:id="321" w:name="_Toc161843890"/>
      <w:r>
        <w:rPr>
          <w:rStyle w:val="CharSectno"/>
        </w:rPr>
        <w:t>202MH</w:t>
      </w:r>
      <w:r>
        <w:t>.</w:t>
      </w:r>
      <w:r>
        <w:tab/>
        <w:t>Registered health practitioner with conscientious objection to abortion</w:t>
      </w:r>
      <w:bookmarkEnd w:id="320"/>
      <w:bookmarkEnd w:id="321"/>
    </w:p>
    <w:p>
      <w:pPr>
        <w:pStyle w:val="Subsection"/>
      </w:pPr>
      <w:r>
        <w:tab/>
        <w:t>(1)</w:t>
      </w:r>
      <w:r>
        <w:tab/>
        <w:t xml:space="preserve">A registered health practitioner who has a conscientious objection to abortion has the right to refuse to do any of the following — </w:t>
      </w:r>
    </w:p>
    <w:p>
      <w:pPr>
        <w:pStyle w:val="Indenta"/>
      </w:pPr>
      <w:r>
        <w:tab/>
        <w:t>(a)</w:t>
      </w:r>
      <w:r>
        <w:tab/>
        <w:t>perform an abortion on a person;</w:t>
      </w:r>
    </w:p>
    <w:p>
      <w:pPr>
        <w:pStyle w:val="Indenta"/>
      </w:pPr>
      <w:r>
        <w:tab/>
        <w:t>(b)</w:t>
      </w:r>
      <w:r>
        <w:tab/>
        <w:t>assist in the performance of an abortion on a person;</w:t>
      </w:r>
    </w:p>
    <w:p>
      <w:pPr>
        <w:pStyle w:val="Indenta"/>
      </w:pPr>
      <w:r>
        <w:tab/>
        <w:t>(c)</w:t>
      </w:r>
      <w:r>
        <w:tab/>
        <w:t>make a decision under section 202ME(1)(a) or (b) whether performing an abortion on a person is appropriate in all the circumstances;</w:t>
      </w:r>
    </w:p>
    <w:p>
      <w:pPr>
        <w:pStyle w:val="Indenta"/>
      </w:pPr>
      <w:r>
        <w:tab/>
        <w:t>(d)</w:t>
      </w:r>
      <w:r>
        <w:tab/>
        <w:t>advise a person about the performance of an abortion on the person or another person.</w:t>
      </w:r>
    </w:p>
    <w:p>
      <w:pPr>
        <w:pStyle w:val="Subsection"/>
      </w:pPr>
      <w:r>
        <w:lastRenderedPageBreak/>
        <w:tab/>
        <w:t>(2)</w:t>
      </w:r>
      <w:r>
        <w:tab/>
        <w:t xml:space="preserve">If a registered health practitioner who has a conscientious objection to abortion is requested by a person (the </w:t>
      </w:r>
      <w:r>
        <w:rPr>
          <w:rStyle w:val="CharDefText"/>
        </w:rPr>
        <w:t>requesting person</w:t>
      </w:r>
      <w:r>
        <w:t>) to do a thing referred to in subsection (1), the registered health practitioner must disclose the practitioner’s conscientious objection to the requesting person immediately after the requesting person makes the request.</w:t>
      </w:r>
    </w:p>
    <w:p>
      <w:pPr>
        <w:pStyle w:val="Subsection"/>
      </w:pPr>
      <w:r>
        <w:tab/>
        <w:t>(3)</w:t>
      </w:r>
      <w:r>
        <w:tab/>
        <w:t>Subsection (1) does not limit the circumstances in which a registered health practitioner may refuse to do any of the things referred to in that subsection.</w:t>
      </w:r>
    </w:p>
    <w:p>
      <w:pPr>
        <w:pStyle w:val="Subsection"/>
      </w:pPr>
      <w:r>
        <w:tab/>
        <w:t>(4)</w:t>
      </w:r>
      <w:r>
        <w:tab/>
        <w:t>This section does not limit or otherwise affect any duty of a registered health practitioner to do a thing referred to in subsection (1) in an emergency.</w:t>
      </w:r>
    </w:p>
    <w:p>
      <w:pPr>
        <w:pStyle w:val="Footnotesection"/>
      </w:pPr>
      <w:bookmarkStart w:id="322" w:name="_Toc146789119"/>
      <w:r>
        <w:tab/>
        <w:t>[Section 202MH inserted: No. 20 of 2023 s. 8.]</w:t>
      </w:r>
    </w:p>
    <w:p>
      <w:pPr>
        <w:pStyle w:val="Heading5"/>
      </w:pPr>
      <w:bookmarkStart w:id="323" w:name="_Toc161843891"/>
      <w:r>
        <w:rPr>
          <w:rStyle w:val="CharSectno"/>
        </w:rPr>
        <w:t>202MI</w:t>
      </w:r>
      <w:r>
        <w:t>.</w:t>
      </w:r>
      <w:r>
        <w:tab/>
        <w:t>Obligations of medical practitioners and prescribing practitioners who refuse to participate in abortion</w:t>
      </w:r>
      <w:bookmarkEnd w:id="322"/>
      <w:bookmarkEnd w:id="323"/>
    </w:p>
    <w:p>
      <w:pPr>
        <w:pStyle w:val="Subsection"/>
      </w:pPr>
      <w:r>
        <w:tab/>
        <w:t>(1)</w:t>
      </w:r>
      <w:r>
        <w:tab/>
        <w:t xml:space="preserve">This section applies if — </w:t>
      </w:r>
    </w:p>
    <w:p>
      <w:pPr>
        <w:pStyle w:val="Indenta"/>
      </w:pPr>
      <w:r>
        <w:tab/>
        <w:t>(a)</w:t>
      </w:r>
      <w:r>
        <w:tab/>
        <w:t xml:space="preserve">a person (the </w:t>
      </w:r>
      <w:r>
        <w:rPr>
          <w:rStyle w:val="CharDefText"/>
        </w:rPr>
        <w:t>patient</w:t>
      </w:r>
      <w:r>
        <w:t xml:space="preserve">) — </w:t>
      </w:r>
    </w:p>
    <w:p>
      <w:pPr>
        <w:pStyle w:val="Indenti"/>
      </w:pPr>
      <w:r>
        <w:tab/>
        <w:t>(i)</w:t>
      </w:r>
      <w:r>
        <w:tab/>
        <w:t>requests a medical practitioner or prescribing practitioner to perform an abortion on the patient; or</w:t>
      </w:r>
    </w:p>
    <w:p>
      <w:pPr>
        <w:pStyle w:val="Indenti"/>
      </w:pPr>
      <w:r>
        <w:tab/>
        <w:t>(ii)</w:t>
      </w:r>
      <w:r>
        <w:tab/>
        <w:t>makes a request to a medical practitioner that would require the medical practitioner to make a decision under section 202ME(1)(a) whether performing an abortion on the patient is appropriate in all the circumstances; or</w:t>
      </w:r>
    </w:p>
    <w:p>
      <w:pPr>
        <w:pStyle w:val="Indenti"/>
      </w:pPr>
      <w:r>
        <w:tab/>
        <w:t>(iii)</w:t>
      </w:r>
      <w:r>
        <w:tab/>
        <w:t>requests a medical practitioner or prescribing practitioner to advise the patient about the performance of an abortion on the patient;</w:t>
      </w:r>
    </w:p>
    <w:p>
      <w:pPr>
        <w:pStyle w:val="Indenta"/>
      </w:pPr>
      <w:r>
        <w:tab/>
      </w:r>
      <w:r>
        <w:tab/>
        <w:t>and</w:t>
      </w:r>
    </w:p>
    <w:p>
      <w:pPr>
        <w:pStyle w:val="Indenta"/>
      </w:pPr>
      <w:r>
        <w:tab/>
        <w:t>(b)</w:t>
      </w:r>
      <w:r>
        <w:tab/>
        <w:t xml:space="preserve">the medical practitioner or prescribing practitioner (the </w:t>
      </w:r>
      <w:r>
        <w:rPr>
          <w:rStyle w:val="CharDefText"/>
        </w:rPr>
        <w:t>refusing practitioner</w:t>
      </w:r>
      <w:r>
        <w:t xml:space="preserve">) refuses the request, whether for the reason that the refusing practitioner has a </w:t>
      </w:r>
      <w:r>
        <w:lastRenderedPageBreak/>
        <w:t>conscientious objection to abortion or for some other reason.</w:t>
      </w:r>
    </w:p>
    <w:p>
      <w:pPr>
        <w:pStyle w:val="Subsection"/>
      </w:pPr>
      <w:r>
        <w:tab/>
        <w:t>(2)</w:t>
      </w:r>
      <w:r>
        <w:tab/>
        <w:t xml:space="preserve">The refusing practitioner must — </w:t>
      </w:r>
    </w:p>
    <w:p>
      <w:pPr>
        <w:pStyle w:val="Indenta"/>
      </w:pPr>
      <w:r>
        <w:tab/>
        <w:t>(a)</w:t>
      </w:r>
      <w:r>
        <w:tab/>
        <w:t xml:space="preserve">without delay transfer the patient’s care — </w:t>
      </w:r>
    </w:p>
    <w:p>
      <w:pPr>
        <w:pStyle w:val="Indenti"/>
      </w:pPr>
      <w:r>
        <w:tab/>
        <w:t>(i)</w:t>
      </w:r>
      <w:r>
        <w:tab/>
        <w:t>to another registered health practitioner who, in the refusing practitioner’s reasonable belief, can provide the requested service; or</w:t>
      </w:r>
    </w:p>
    <w:p>
      <w:pPr>
        <w:pStyle w:val="Indenti"/>
      </w:pPr>
      <w:r>
        <w:tab/>
        <w:t>(ii)</w:t>
      </w:r>
      <w:r>
        <w:tab/>
        <w:t xml:space="preserve">to a health facility at which, in the refusing practitioner’s reasonable belief, the requested service can be provided by another registered health practitioner; </w:t>
      </w:r>
    </w:p>
    <w:p>
      <w:pPr>
        <w:pStyle w:val="Indenta"/>
      </w:pPr>
      <w:r>
        <w:tab/>
      </w:r>
      <w:r>
        <w:tab/>
        <w:t>or</w:t>
      </w:r>
    </w:p>
    <w:p>
      <w:pPr>
        <w:pStyle w:val="Indenta"/>
      </w:pPr>
      <w:r>
        <w:tab/>
        <w:t>(b)</w:t>
      </w:r>
      <w:r>
        <w:tab/>
        <w:t>immediately give the patient information, approved by the Chief Health Officer for the purposes of this paragraph, about how to locate or contact a registered health practitioner of the kind referred to in paragraph (a)(i) or a facility of the kind referred to in paragraph (a)(ii).</w:t>
      </w:r>
    </w:p>
    <w:p>
      <w:pPr>
        <w:pStyle w:val="Subsection"/>
      </w:pPr>
      <w:r>
        <w:tab/>
        <w:t>(3)</w:t>
      </w:r>
      <w:r>
        <w:tab/>
        <w:t xml:space="preserve">Information approved by the Chief Health Officer for the purposes of subsection (2)(b) — </w:t>
      </w:r>
    </w:p>
    <w:p>
      <w:pPr>
        <w:pStyle w:val="Indenta"/>
      </w:pPr>
      <w:r>
        <w:tab/>
        <w:t>(a)</w:t>
      </w:r>
      <w:r>
        <w:tab/>
        <w:t>must be kept up</w:t>
      </w:r>
      <w:r>
        <w:noBreakHyphen/>
        <w:t>to</w:t>
      </w:r>
      <w:r>
        <w:noBreakHyphen/>
        <w:t>date, and reviewed at least once each year, by the Chief Health Officer; and</w:t>
      </w:r>
    </w:p>
    <w:p>
      <w:pPr>
        <w:pStyle w:val="Indenta"/>
      </w:pPr>
      <w:r>
        <w:tab/>
        <w:t>(b)</w:t>
      </w:r>
      <w:r>
        <w:tab/>
        <w:t xml:space="preserve">must not contain details of — </w:t>
      </w:r>
    </w:p>
    <w:p>
      <w:pPr>
        <w:pStyle w:val="Indenti"/>
      </w:pPr>
      <w:r>
        <w:tab/>
        <w:t>(i)</w:t>
      </w:r>
      <w:r>
        <w:tab/>
        <w:t>a registered health practitioner unless, in the Chief Health Officer’s reasonable belief, the registered health practitioner is of the kind referred to in subsection (2)(a)(i); or</w:t>
      </w:r>
    </w:p>
    <w:p>
      <w:pPr>
        <w:pStyle w:val="Indenti"/>
      </w:pPr>
      <w:r>
        <w:tab/>
        <w:t>(ii)</w:t>
      </w:r>
      <w:r>
        <w:tab/>
        <w:t>a health facility unless, in the Chief Health Officer’s reasonable belief, the facility is of the kind referred to in subsection (2)(a)(ii).</w:t>
      </w:r>
    </w:p>
    <w:p>
      <w:pPr>
        <w:pStyle w:val="Subsection"/>
      </w:pPr>
      <w:r>
        <w:lastRenderedPageBreak/>
        <w:tab/>
        <w:t>(4)</w:t>
      </w:r>
      <w:r>
        <w:tab/>
        <w:t>This section does not limit or otherwise affect any duty of the refusing practitioner to do a thing referred to in subsection (1)(a) in an emergency.</w:t>
      </w:r>
    </w:p>
    <w:p>
      <w:pPr>
        <w:pStyle w:val="Footnotesection"/>
      </w:pPr>
      <w:bookmarkStart w:id="324" w:name="_Toc146789120"/>
      <w:r>
        <w:tab/>
        <w:t>[Section 202MI inserted: No. 20 of 2023 s. 8.]</w:t>
      </w:r>
    </w:p>
    <w:p>
      <w:pPr>
        <w:pStyle w:val="Heading5"/>
      </w:pPr>
      <w:bookmarkStart w:id="325" w:name="_Toc161843892"/>
      <w:r>
        <w:rPr>
          <w:rStyle w:val="CharSectno"/>
        </w:rPr>
        <w:t>202MJ</w:t>
      </w:r>
      <w:r>
        <w:t>.</w:t>
      </w:r>
      <w:r>
        <w:tab/>
        <w:t>Student with conscientious objection to abortion</w:t>
      </w:r>
      <w:bookmarkEnd w:id="324"/>
      <w:bookmarkEnd w:id="325"/>
    </w:p>
    <w:p>
      <w:pPr>
        <w:pStyle w:val="Subsection"/>
      </w:pPr>
      <w:r>
        <w:tab/>
        <w:t>(1)</w:t>
      </w:r>
      <w:r>
        <w:tab/>
        <w:t xml:space="preserve">In this section — </w:t>
      </w:r>
    </w:p>
    <w:p>
      <w:pPr>
        <w:pStyle w:val="Defstart"/>
      </w:pPr>
      <w:r>
        <w:tab/>
      </w:r>
      <w:r>
        <w:rPr>
          <w:rStyle w:val="CharDefText"/>
        </w:rPr>
        <w:t>supervising person</w:t>
      </w:r>
      <w:r>
        <w:t xml:space="preserve">, in relation to a student in a relevant health profession, means — </w:t>
      </w:r>
    </w:p>
    <w:p>
      <w:pPr>
        <w:pStyle w:val="Defpara"/>
      </w:pPr>
      <w:r>
        <w:tab/>
        <w:t>(a)</w:t>
      </w:r>
      <w:r>
        <w:tab/>
        <w:t>a medical practitioner performing an abortion as authorised under section 202MC or 202ME(1); or</w:t>
      </w:r>
    </w:p>
    <w:p>
      <w:pPr>
        <w:pStyle w:val="Defpara"/>
      </w:pPr>
      <w:r>
        <w:tab/>
        <w:t>(b)</w:t>
      </w:r>
      <w:r>
        <w:tab/>
        <w:t>a prescribing practitioner performing an abortion as authorised under section 202MD(2); or</w:t>
      </w:r>
    </w:p>
    <w:p>
      <w:pPr>
        <w:pStyle w:val="Defpara"/>
      </w:pPr>
      <w:r>
        <w:tab/>
        <w:t>(c)</w:t>
      </w:r>
      <w:r>
        <w:tab/>
        <w:t>a registered health practitioner in the relevant health profession who is assisting in the performance of an abortion as authorised under 202MG(1); or</w:t>
      </w:r>
    </w:p>
    <w:p>
      <w:pPr>
        <w:pStyle w:val="Defpara"/>
      </w:pPr>
      <w:r>
        <w:tab/>
        <w:t>(d)</w:t>
      </w:r>
      <w:r>
        <w:tab/>
        <w:t>the student’s primary clinical supervisor.</w:t>
      </w:r>
    </w:p>
    <w:p>
      <w:pPr>
        <w:pStyle w:val="Subsection"/>
      </w:pPr>
      <w:r>
        <w:tab/>
        <w:t>(2)</w:t>
      </w:r>
      <w:r>
        <w:tab/>
        <w:t>A student in a relevant health profession who has a conscientious objection to abortion has the right to refuse to assist in the performance of an abortion on a person.</w:t>
      </w:r>
    </w:p>
    <w:p>
      <w:pPr>
        <w:pStyle w:val="Subsection"/>
      </w:pPr>
      <w:r>
        <w:tab/>
        <w:t>(3)</w:t>
      </w:r>
      <w:r>
        <w:tab/>
        <w:t xml:space="preserve">If a student in a relevant health profession who has a conscientious objection to abortion is requested by a supervising person to assist in the performance of an abortion on a person, the student must disclose the student’s conscientious objection to the supervising person immediately after the supervising person makes the request. </w:t>
      </w:r>
    </w:p>
    <w:p>
      <w:pPr>
        <w:pStyle w:val="Footnotesection"/>
      </w:pPr>
      <w:bookmarkStart w:id="326" w:name="_Toc146789121"/>
      <w:r>
        <w:tab/>
        <w:t>[Section 202MJ inserted: No. 20 of 2023 s. 8.]</w:t>
      </w:r>
    </w:p>
    <w:p>
      <w:pPr>
        <w:pStyle w:val="Heading5"/>
      </w:pPr>
      <w:bookmarkStart w:id="327" w:name="_Toc161843893"/>
      <w:r>
        <w:rPr>
          <w:rStyle w:val="CharSectno"/>
        </w:rPr>
        <w:lastRenderedPageBreak/>
        <w:t>202MK</w:t>
      </w:r>
      <w:r>
        <w:t>.</w:t>
      </w:r>
      <w:r>
        <w:tab/>
        <w:t>Compliance with Division relevant to professional conduct or performance</w:t>
      </w:r>
      <w:bookmarkEnd w:id="326"/>
      <w:bookmarkEnd w:id="327"/>
      <w:r>
        <w:t xml:space="preserve"> </w:t>
      </w:r>
    </w:p>
    <w:p>
      <w:pPr>
        <w:pStyle w:val="Subsection"/>
      </w:pPr>
      <w:r>
        <w:tab/>
        <w:t>(1)</w:t>
      </w:r>
      <w:r>
        <w:tab/>
        <w:t xml:space="preserve">In considering a matter under a written law about a registered health practitioner’s professional conduct or performance, regard may be had to whether the practitioner — </w:t>
      </w:r>
    </w:p>
    <w:p>
      <w:pPr>
        <w:pStyle w:val="Indenta"/>
      </w:pPr>
      <w:r>
        <w:tab/>
        <w:t>(a)</w:t>
      </w:r>
      <w:r>
        <w:tab/>
        <w:t>performs an abortion on a person other than as authorised under section 202MC, 202MD(2), 202ME(1) or 202MF(2) or (3); or</w:t>
      </w:r>
    </w:p>
    <w:p>
      <w:pPr>
        <w:pStyle w:val="Indenta"/>
      </w:pPr>
      <w:r>
        <w:tab/>
        <w:t>(b)</w:t>
      </w:r>
      <w:r>
        <w:tab/>
        <w:t>assists in the performance of an abortion on a person other than as authorised under section 202MG(1); or</w:t>
      </w:r>
    </w:p>
    <w:p>
      <w:pPr>
        <w:pStyle w:val="Indenta"/>
      </w:pPr>
      <w:r>
        <w:tab/>
        <w:t>(c)</w:t>
      </w:r>
      <w:r>
        <w:tab/>
        <w:t>contravenes section 202MH(2) or 202MI(2).</w:t>
      </w:r>
    </w:p>
    <w:p>
      <w:pPr>
        <w:pStyle w:val="Subsection"/>
      </w:pPr>
      <w:r>
        <w:tab/>
        <w:t>(2)</w:t>
      </w:r>
      <w:r>
        <w:tab/>
        <w:t xml:space="preserve">The matters to which subsection (1) applies include — </w:t>
      </w:r>
    </w:p>
    <w:p>
      <w:pPr>
        <w:pStyle w:val="Indenta"/>
      </w:pPr>
      <w:r>
        <w:tab/>
        <w:t>(a)</w:t>
      </w:r>
      <w:r>
        <w:tab/>
        <w:t xml:space="preserve">a notification under the </w:t>
      </w:r>
      <w:r>
        <w:rPr>
          <w:i/>
        </w:rPr>
        <w:t>Health Practitioner Regulation National Law (Western Australia)</w:t>
      </w:r>
      <w:r>
        <w:t>; or</w:t>
      </w:r>
    </w:p>
    <w:p>
      <w:pPr>
        <w:pStyle w:val="Indenta"/>
      </w:pPr>
      <w:r>
        <w:tab/>
        <w:t>(b)</w:t>
      </w:r>
      <w:r>
        <w:tab/>
        <w:t xml:space="preserve">a complaint under the </w:t>
      </w:r>
      <w:r>
        <w:rPr>
          <w:i/>
        </w:rPr>
        <w:t>Health and Disability Services (Complaints) Act 1995</w:t>
      </w:r>
      <w:r>
        <w:t>.</w:t>
      </w:r>
    </w:p>
    <w:p>
      <w:pPr>
        <w:pStyle w:val="Footnotesection"/>
      </w:pPr>
      <w:bookmarkStart w:id="328" w:name="_Toc146789122"/>
      <w:r>
        <w:tab/>
        <w:t>[Section 202MK inserted: No. 20 of 2023 s. 8.]</w:t>
      </w:r>
    </w:p>
    <w:p>
      <w:pPr>
        <w:pStyle w:val="Heading5"/>
      </w:pPr>
      <w:bookmarkStart w:id="329" w:name="_Toc161843894"/>
      <w:r>
        <w:rPr>
          <w:rStyle w:val="CharSectno"/>
        </w:rPr>
        <w:t>202ML</w:t>
      </w:r>
      <w:r>
        <w:t>.</w:t>
      </w:r>
      <w:r>
        <w:tab/>
      </w:r>
      <w:r>
        <w:rPr>
          <w:i/>
        </w:rPr>
        <w:t>The Criminal Code</w:t>
      </w:r>
      <w:r>
        <w:t xml:space="preserve"> s. 177 does not apply</w:t>
      </w:r>
      <w:bookmarkEnd w:id="328"/>
      <w:bookmarkEnd w:id="329"/>
    </w:p>
    <w:p>
      <w:pPr>
        <w:pStyle w:val="Subsection"/>
      </w:pPr>
      <w:r>
        <w:tab/>
      </w:r>
      <w:r>
        <w:tab/>
      </w:r>
      <w:r>
        <w:rPr>
          <w:i/>
        </w:rPr>
        <w:t>The Criminal Code</w:t>
      </w:r>
      <w:r>
        <w:t xml:space="preserve"> section 177 does not apply to a restriction or obligation under this Division.</w:t>
      </w:r>
    </w:p>
    <w:p>
      <w:pPr>
        <w:pStyle w:val="Footnotesection"/>
      </w:pPr>
      <w:bookmarkStart w:id="330" w:name="_Toc146789123"/>
      <w:r>
        <w:tab/>
        <w:t>[Section 202ML inserted: No. 20 of 2023 s. 8.]</w:t>
      </w:r>
    </w:p>
    <w:p>
      <w:pPr>
        <w:pStyle w:val="Heading5"/>
      </w:pPr>
      <w:bookmarkStart w:id="331" w:name="_Toc161843895"/>
      <w:r>
        <w:rPr>
          <w:rStyle w:val="CharSectno"/>
        </w:rPr>
        <w:t>202MM</w:t>
      </w:r>
      <w:r>
        <w:t>.</w:t>
      </w:r>
      <w:r>
        <w:tab/>
        <w:t>Consent to performance of abortion on children who are not mature minors</w:t>
      </w:r>
      <w:bookmarkEnd w:id="330"/>
      <w:bookmarkEnd w:id="331"/>
    </w:p>
    <w:p>
      <w:pPr>
        <w:pStyle w:val="Subsection"/>
      </w:pPr>
      <w:r>
        <w:tab/>
        <w:t>(1)</w:t>
      </w:r>
      <w:r>
        <w:tab/>
        <w:t xml:space="preserve">In this section — </w:t>
      </w:r>
    </w:p>
    <w:p>
      <w:pPr>
        <w:pStyle w:val="Defstart"/>
      </w:pPr>
      <w:r>
        <w:tab/>
      </w:r>
      <w:r>
        <w:rPr>
          <w:rStyle w:val="CharDefText"/>
        </w:rPr>
        <w:t>guardian</w:t>
      </w:r>
      <w:r>
        <w:t xml:space="preserve">, in relation to a person who is under 18 years of age, means a person who at law has parental responsibility, as defined in the </w:t>
      </w:r>
      <w:r>
        <w:rPr>
          <w:i/>
        </w:rPr>
        <w:t>Family Court Act 1997</w:t>
      </w:r>
      <w:r>
        <w:t xml:space="preserve"> section 68, for the person.</w:t>
      </w:r>
    </w:p>
    <w:p>
      <w:pPr>
        <w:pStyle w:val="Subsection"/>
        <w:keepNext/>
      </w:pPr>
      <w:r>
        <w:lastRenderedPageBreak/>
        <w:tab/>
        <w:t>(2)</w:t>
      </w:r>
      <w:r>
        <w:tab/>
        <w:t xml:space="preserve">This section applies if — </w:t>
      </w:r>
    </w:p>
    <w:p>
      <w:pPr>
        <w:pStyle w:val="Indenta"/>
      </w:pPr>
      <w:r>
        <w:tab/>
        <w:t>(a)</w:t>
      </w:r>
      <w:r>
        <w:tab/>
        <w:t xml:space="preserve">a registered health practitioner proposes to perform an abortion under this Division on a person (the </w:t>
      </w:r>
      <w:r>
        <w:rPr>
          <w:rStyle w:val="CharDefText"/>
        </w:rPr>
        <w:t>patient</w:t>
      </w:r>
      <w:r>
        <w:t>) who is under 18 years of age; and</w:t>
      </w:r>
    </w:p>
    <w:p>
      <w:pPr>
        <w:pStyle w:val="Indenta"/>
      </w:pPr>
      <w:r>
        <w:tab/>
        <w:t>(b)</w:t>
      </w:r>
      <w:r>
        <w:tab/>
        <w:t xml:space="preserve">the registered health practitioner considers — </w:t>
      </w:r>
    </w:p>
    <w:p>
      <w:pPr>
        <w:pStyle w:val="Indenti"/>
      </w:pPr>
      <w:r>
        <w:tab/>
        <w:t>(i)</w:t>
      </w:r>
      <w:r>
        <w:tab/>
        <w:t>that the patient does not have the capacity to consent, on their own behalf, to the abortion being performed on them because the patient has not achieved a sufficient understanding and intelligence to enable them to understand fully what is proposed; or</w:t>
      </w:r>
    </w:p>
    <w:p>
      <w:pPr>
        <w:pStyle w:val="Indenti"/>
      </w:pPr>
      <w:r>
        <w:tab/>
        <w:t>(ii)</w:t>
      </w:r>
      <w:r>
        <w:tab/>
        <w:t xml:space="preserve">that it is not possible to ascertain whether the patient has the capacity to consent, on their own behalf, to the abortion being performed on them; </w:t>
      </w:r>
    </w:p>
    <w:p>
      <w:pPr>
        <w:pStyle w:val="Indenta"/>
      </w:pPr>
      <w:r>
        <w:tab/>
      </w:r>
      <w:r>
        <w:tab/>
        <w:t>and</w:t>
      </w:r>
    </w:p>
    <w:p>
      <w:pPr>
        <w:pStyle w:val="Indenta"/>
      </w:pPr>
      <w:r>
        <w:tab/>
        <w:t>(c)</w:t>
      </w:r>
      <w:r>
        <w:tab/>
        <w:t>the patient agrees to a parent or guardian of the patient participating in the decision</w:t>
      </w:r>
      <w:r>
        <w:noBreakHyphen/>
        <w:t>making as to whether the abortion is performed on the patient by the registered health practitioner.</w:t>
      </w:r>
    </w:p>
    <w:p>
      <w:pPr>
        <w:pStyle w:val="Subsection"/>
      </w:pPr>
      <w:r>
        <w:tab/>
        <w:t>(3)</w:t>
      </w:r>
      <w:r>
        <w:tab/>
        <w:t xml:space="preserve">If this section applies — </w:t>
      </w:r>
    </w:p>
    <w:p>
      <w:pPr>
        <w:pStyle w:val="Indenta"/>
      </w:pPr>
      <w:r>
        <w:tab/>
        <w:t>(a)</w:t>
      </w:r>
      <w:r>
        <w:tab/>
        <w:t>the parent or guardian referred to in subsection (2)(c) may consent or refuse consent to the performance of the abortion on the patient by the registered health practitioner; and</w:t>
      </w:r>
    </w:p>
    <w:p>
      <w:pPr>
        <w:pStyle w:val="Indenta"/>
      </w:pPr>
      <w:r>
        <w:tab/>
        <w:t>(b)</w:t>
      </w:r>
      <w:r>
        <w:tab/>
        <w:t>to the extent that the common law would require the performance of the abortion on the patient by the registered health practitioner to be authorised by a court, that requirement does not apply.</w:t>
      </w:r>
    </w:p>
    <w:p>
      <w:pPr>
        <w:pStyle w:val="Subsection"/>
      </w:pPr>
      <w:r>
        <w:tab/>
        <w:t>(4)</w:t>
      </w:r>
      <w:r>
        <w:tab/>
        <w:t>This section does not affect the inherent jurisdiction of the Supreme Court or the jurisdiction of the Family Court of Western Australia.</w:t>
      </w:r>
    </w:p>
    <w:p>
      <w:pPr>
        <w:pStyle w:val="Footnotesection"/>
      </w:pPr>
      <w:bookmarkStart w:id="332" w:name="_Toc146788998"/>
      <w:bookmarkStart w:id="333" w:name="_Toc146789124"/>
      <w:r>
        <w:tab/>
        <w:t>[Section 202MM inserted: No. 20 of 2023 s. 8.]</w:t>
      </w:r>
    </w:p>
    <w:p>
      <w:pPr>
        <w:pStyle w:val="Heading3"/>
      </w:pPr>
      <w:bookmarkStart w:id="334" w:name="_Toc161841567"/>
      <w:bookmarkStart w:id="335" w:name="_Toc161843896"/>
      <w:r>
        <w:rPr>
          <w:rStyle w:val="CharDivNo"/>
        </w:rPr>
        <w:lastRenderedPageBreak/>
        <w:t>Division 3</w:t>
      </w:r>
      <w:r>
        <w:t> — </w:t>
      </w:r>
      <w:r>
        <w:rPr>
          <w:rStyle w:val="CharDivText"/>
        </w:rPr>
        <w:t>Performance of abortion by unqualified persons</w:t>
      </w:r>
      <w:bookmarkEnd w:id="332"/>
      <w:bookmarkEnd w:id="333"/>
      <w:bookmarkEnd w:id="334"/>
      <w:bookmarkEnd w:id="335"/>
    </w:p>
    <w:p>
      <w:pPr>
        <w:pStyle w:val="Footnoteheading"/>
      </w:pPr>
      <w:bookmarkStart w:id="336" w:name="_Toc146789125"/>
      <w:r>
        <w:tab/>
        <w:t>[Heading inserted: No. 20 of 2023 s. 8.]</w:t>
      </w:r>
    </w:p>
    <w:p>
      <w:pPr>
        <w:pStyle w:val="Heading5"/>
      </w:pPr>
      <w:bookmarkStart w:id="337" w:name="_Toc161843897"/>
      <w:r>
        <w:rPr>
          <w:rStyle w:val="CharSectno"/>
        </w:rPr>
        <w:t>202MN</w:t>
      </w:r>
      <w:r>
        <w:t>.</w:t>
      </w:r>
      <w:r>
        <w:tab/>
        <w:t>Unqualified person must not perform abortion</w:t>
      </w:r>
      <w:bookmarkEnd w:id="336"/>
      <w:bookmarkEnd w:id="337"/>
    </w:p>
    <w:p>
      <w:pPr>
        <w:pStyle w:val="Subsection"/>
      </w:pPr>
      <w:r>
        <w:tab/>
        <w:t>(1)</w:t>
      </w:r>
      <w:r>
        <w:tab/>
        <w:t>An unqualified person who performs an abortion on another person commits a crime.</w:t>
      </w:r>
    </w:p>
    <w:p>
      <w:pPr>
        <w:pStyle w:val="Penstart"/>
      </w:pPr>
      <w:r>
        <w:tab/>
        <w:t>Penalty for this subsection: imprisonment for 7 years.</w:t>
      </w:r>
    </w:p>
    <w:p>
      <w:pPr>
        <w:pStyle w:val="Subsection"/>
      </w:pPr>
      <w:r>
        <w:tab/>
        <w:t>(2)</w:t>
      </w:r>
      <w:r>
        <w:tab/>
        <w:t xml:space="preserve">Subsections (3) to (8) set out who is an </w:t>
      </w:r>
      <w:r>
        <w:rPr>
          <w:rStyle w:val="CharDefText"/>
        </w:rPr>
        <w:t>unqualified person</w:t>
      </w:r>
      <w:r>
        <w:t xml:space="preserve"> for the purposes of subsection (1).</w:t>
      </w:r>
    </w:p>
    <w:p>
      <w:pPr>
        <w:pStyle w:val="Subsection"/>
      </w:pPr>
      <w:r>
        <w:tab/>
        <w:t>(3)</w:t>
      </w:r>
      <w:r>
        <w:tab/>
        <w:t xml:space="preserve">In relation to the performance of an abortion on a person who is not more than 23 weeks pregnant by prescribing an abortion drug for the person, an </w:t>
      </w:r>
      <w:r>
        <w:rPr>
          <w:rStyle w:val="CharDefText"/>
        </w:rPr>
        <w:t>unqualified person</w:t>
      </w:r>
      <w:r>
        <w:t xml:space="preserve"> is a person who is not — </w:t>
      </w:r>
    </w:p>
    <w:p>
      <w:pPr>
        <w:pStyle w:val="Indenta"/>
      </w:pPr>
      <w:r>
        <w:tab/>
        <w:t>(a)</w:t>
      </w:r>
      <w:r>
        <w:tab/>
        <w:t>a medical practitioner; or</w:t>
      </w:r>
    </w:p>
    <w:p>
      <w:pPr>
        <w:pStyle w:val="Indenta"/>
      </w:pPr>
      <w:r>
        <w:tab/>
        <w:t>(b)</w:t>
      </w:r>
      <w:r>
        <w:tab/>
        <w:t>a prescribing practitioner.</w:t>
      </w:r>
    </w:p>
    <w:p>
      <w:pPr>
        <w:pStyle w:val="Subsection"/>
      </w:pPr>
      <w:r>
        <w:tab/>
        <w:t>(4)</w:t>
      </w:r>
      <w:r>
        <w:tab/>
        <w:t xml:space="preserve">In relation to the performance of an abortion on a person who is not more than 23 weeks pregnant by supplying an abortion drug to the person, an </w:t>
      </w:r>
      <w:r>
        <w:rPr>
          <w:rStyle w:val="CharDefText"/>
        </w:rPr>
        <w:t>unqualified person</w:t>
      </w:r>
      <w:r>
        <w:t xml:space="preserve"> is a person who is not — </w:t>
      </w:r>
    </w:p>
    <w:p>
      <w:pPr>
        <w:pStyle w:val="Indenta"/>
      </w:pPr>
      <w:r>
        <w:tab/>
        <w:t>(a)</w:t>
      </w:r>
      <w:r>
        <w:tab/>
        <w:t>a medical practitioner; or</w:t>
      </w:r>
    </w:p>
    <w:p>
      <w:pPr>
        <w:pStyle w:val="Indenta"/>
      </w:pPr>
      <w:r>
        <w:tab/>
        <w:t>(b)</w:t>
      </w:r>
      <w:r>
        <w:tab/>
        <w:t>a prescribing practitioner; or</w:t>
      </w:r>
    </w:p>
    <w:p>
      <w:pPr>
        <w:pStyle w:val="Indenta"/>
      </w:pPr>
      <w:r>
        <w:tab/>
        <w:t>(c)</w:t>
      </w:r>
      <w:r>
        <w:tab/>
        <w:t>a pharmacist supplying the abortion drug as referred to in section 202MF(2); or</w:t>
      </w:r>
    </w:p>
    <w:p>
      <w:pPr>
        <w:pStyle w:val="Indenta"/>
      </w:pPr>
      <w:r>
        <w:tab/>
        <w:t>(d)</w:t>
      </w:r>
      <w:r>
        <w:tab/>
        <w:t>a registered health practitioner in a relevant health profession (other than pharmacy) supplying the abortion drug as referred to in section 202MF(3).</w:t>
      </w:r>
    </w:p>
    <w:p>
      <w:pPr>
        <w:pStyle w:val="Subsection"/>
      </w:pPr>
      <w:r>
        <w:tab/>
        <w:t>(5)</w:t>
      </w:r>
      <w:r>
        <w:tab/>
        <w:t xml:space="preserve">In relation to the performance of an abortion on a person who is more than 23 weeks pregnant by supplying an abortion drug to the person, an </w:t>
      </w:r>
      <w:r>
        <w:rPr>
          <w:rStyle w:val="CharDefText"/>
        </w:rPr>
        <w:t>unqualified person</w:t>
      </w:r>
      <w:r>
        <w:t xml:space="preserve"> is a person who is not — </w:t>
      </w:r>
    </w:p>
    <w:p>
      <w:pPr>
        <w:pStyle w:val="Indenta"/>
      </w:pPr>
      <w:r>
        <w:tab/>
        <w:t>(a)</w:t>
      </w:r>
      <w:r>
        <w:tab/>
        <w:t>a medical practitioner; or</w:t>
      </w:r>
    </w:p>
    <w:p>
      <w:pPr>
        <w:pStyle w:val="Indenta"/>
      </w:pPr>
      <w:r>
        <w:tab/>
        <w:t>(b)</w:t>
      </w:r>
      <w:r>
        <w:tab/>
        <w:t>a pharmacist supplying the abortion drug as referred to in section 202MF(2); or</w:t>
      </w:r>
    </w:p>
    <w:p>
      <w:pPr>
        <w:pStyle w:val="Indenta"/>
      </w:pPr>
      <w:r>
        <w:lastRenderedPageBreak/>
        <w:tab/>
        <w:t>(c)</w:t>
      </w:r>
      <w:r>
        <w:tab/>
        <w:t>a registered health practitioner in a relevant health profession (other than pharmacy) supplying the abortion drug as referred to in section 202MF(3).</w:t>
      </w:r>
    </w:p>
    <w:p>
      <w:pPr>
        <w:pStyle w:val="Subsection"/>
      </w:pPr>
      <w:r>
        <w:tab/>
        <w:t>(6)</w:t>
      </w:r>
      <w:r>
        <w:tab/>
        <w:t xml:space="preserve">In relation to the performance of an abortion on a person who is not more than 23 weeks pregnant by administering an abortion drug to the person, an </w:t>
      </w:r>
      <w:r>
        <w:rPr>
          <w:rStyle w:val="CharDefText"/>
        </w:rPr>
        <w:t>unqualified person</w:t>
      </w:r>
      <w:r>
        <w:t xml:space="preserve"> is a person who is not — </w:t>
      </w:r>
    </w:p>
    <w:p>
      <w:pPr>
        <w:pStyle w:val="Indenta"/>
      </w:pPr>
      <w:r>
        <w:tab/>
        <w:t>(a)</w:t>
      </w:r>
      <w:r>
        <w:tab/>
        <w:t>a medical practitioner; or</w:t>
      </w:r>
    </w:p>
    <w:p>
      <w:pPr>
        <w:pStyle w:val="Indenta"/>
      </w:pPr>
      <w:r>
        <w:tab/>
        <w:t>(b)</w:t>
      </w:r>
      <w:r>
        <w:tab/>
        <w:t>a prescribing practitioner; or</w:t>
      </w:r>
    </w:p>
    <w:p>
      <w:pPr>
        <w:pStyle w:val="Indenta"/>
      </w:pPr>
      <w:r>
        <w:tab/>
        <w:t>(c)</w:t>
      </w:r>
      <w:r>
        <w:tab/>
        <w:t>a registered health practitioner in a relevant health profession (other than pharmacy) administering the abortion drug as referred to in section 202MF(3).</w:t>
      </w:r>
    </w:p>
    <w:p>
      <w:pPr>
        <w:pStyle w:val="Subsection"/>
      </w:pPr>
      <w:r>
        <w:tab/>
        <w:t>(7)</w:t>
      </w:r>
      <w:r>
        <w:tab/>
        <w:t xml:space="preserve">In relation to the performance of an abortion on a person who is more than 23 weeks pregnant by administering an abortion drug to the person, an </w:t>
      </w:r>
      <w:r>
        <w:rPr>
          <w:rStyle w:val="CharDefText"/>
        </w:rPr>
        <w:t>unqualified person</w:t>
      </w:r>
      <w:r>
        <w:t xml:space="preserve"> is a person who is not — </w:t>
      </w:r>
    </w:p>
    <w:p>
      <w:pPr>
        <w:pStyle w:val="Indenta"/>
      </w:pPr>
      <w:r>
        <w:tab/>
        <w:t>(a)</w:t>
      </w:r>
      <w:r>
        <w:tab/>
        <w:t>a medical practitioner; or</w:t>
      </w:r>
    </w:p>
    <w:p>
      <w:pPr>
        <w:pStyle w:val="Indenta"/>
      </w:pPr>
      <w:r>
        <w:tab/>
        <w:t>(b)</w:t>
      </w:r>
      <w:r>
        <w:tab/>
        <w:t>a registered health practitioner in a relevant health profession (other than pharmacy) administering the abortion drug as referred to in section 202MF(3).</w:t>
      </w:r>
    </w:p>
    <w:p>
      <w:pPr>
        <w:pStyle w:val="Subsection"/>
      </w:pPr>
      <w:r>
        <w:tab/>
        <w:t>(8)</w:t>
      </w:r>
      <w:r>
        <w:tab/>
        <w:t xml:space="preserve">In relation to the performance of an abortion not referred to in subsections (3) to (7), an </w:t>
      </w:r>
      <w:r>
        <w:rPr>
          <w:rStyle w:val="CharDefText"/>
        </w:rPr>
        <w:t>unqualified person</w:t>
      </w:r>
      <w:r>
        <w:t xml:space="preserve"> is a person who is not a medical practitioner.</w:t>
      </w:r>
    </w:p>
    <w:p>
      <w:pPr>
        <w:pStyle w:val="Footnotesection"/>
      </w:pPr>
      <w:bookmarkStart w:id="338" w:name="_Toc146789000"/>
      <w:bookmarkStart w:id="339" w:name="_Toc146789126"/>
      <w:r>
        <w:tab/>
        <w:t>[Section 202MN inserted: No. 20 of 2023 s. 8.]</w:t>
      </w:r>
    </w:p>
    <w:p>
      <w:pPr>
        <w:pStyle w:val="Heading3"/>
      </w:pPr>
      <w:bookmarkStart w:id="340" w:name="_Toc161841569"/>
      <w:bookmarkStart w:id="341" w:name="_Toc161843898"/>
      <w:r>
        <w:rPr>
          <w:rStyle w:val="CharDivNo"/>
        </w:rPr>
        <w:t>Division 4</w:t>
      </w:r>
      <w:r>
        <w:t> — </w:t>
      </w:r>
      <w:r>
        <w:rPr>
          <w:rStyle w:val="CharDivText"/>
        </w:rPr>
        <w:t>Protection from criminal liability</w:t>
      </w:r>
      <w:bookmarkEnd w:id="338"/>
      <w:bookmarkEnd w:id="339"/>
      <w:bookmarkEnd w:id="340"/>
      <w:bookmarkEnd w:id="341"/>
    </w:p>
    <w:p>
      <w:pPr>
        <w:pStyle w:val="Footnoteheading"/>
      </w:pPr>
      <w:bookmarkStart w:id="342" w:name="_Toc146789127"/>
      <w:r>
        <w:tab/>
        <w:t>[Heading inserted: No. 20 of 2023 s. 8.]</w:t>
      </w:r>
    </w:p>
    <w:p>
      <w:pPr>
        <w:pStyle w:val="Heading5"/>
      </w:pPr>
      <w:bookmarkStart w:id="343" w:name="_Toc161843899"/>
      <w:r>
        <w:rPr>
          <w:rStyle w:val="CharSectno"/>
        </w:rPr>
        <w:t>202MO</w:t>
      </w:r>
      <w:r>
        <w:t>.</w:t>
      </w:r>
      <w:r>
        <w:tab/>
        <w:t>Person does not commit offence of abortion on themselves</w:t>
      </w:r>
      <w:bookmarkEnd w:id="342"/>
      <w:bookmarkEnd w:id="343"/>
    </w:p>
    <w:p>
      <w:pPr>
        <w:pStyle w:val="Subsection"/>
        <w:keepNext/>
      </w:pPr>
      <w:r>
        <w:tab/>
      </w:r>
      <w:r>
        <w:tab/>
        <w:t xml:space="preserve">Despite any other enactment, a person who performs an abortion on themselves, or consents to or does any act to assist </w:t>
      </w:r>
      <w:r>
        <w:lastRenderedPageBreak/>
        <w:t>in the performance of an abortion on themselves, does not commit an offence.</w:t>
      </w:r>
    </w:p>
    <w:p>
      <w:pPr>
        <w:pStyle w:val="Footnotesection"/>
      </w:pPr>
      <w:bookmarkStart w:id="344" w:name="_Toc146789002"/>
      <w:bookmarkStart w:id="345" w:name="_Toc146789128"/>
      <w:r>
        <w:tab/>
        <w:t>[Section 202MO inserted: No. 20 of 2023 s. 8.]</w:t>
      </w:r>
    </w:p>
    <w:p>
      <w:pPr>
        <w:pStyle w:val="Heading3"/>
      </w:pPr>
      <w:bookmarkStart w:id="346" w:name="_Toc161841571"/>
      <w:bookmarkStart w:id="347" w:name="_Toc161843900"/>
      <w:r>
        <w:rPr>
          <w:rStyle w:val="CharDivNo"/>
        </w:rPr>
        <w:t>Division 5</w:t>
      </w:r>
      <w:r>
        <w:t> — </w:t>
      </w:r>
      <w:r>
        <w:rPr>
          <w:rStyle w:val="CharDivText"/>
        </w:rPr>
        <w:t>Information about abortion</w:t>
      </w:r>
      <w:bookmarkEnd w:id="344"/>
      <w:bookmarkEnd w:id="345"/>
      <w:bookmarkEnd w:id="346"/>
      <w:bookmarkEnd w:id="347"/>
    </w:p>
    <w:p>
      <w:pPr>
        <w:pStyle w:val="Footnoteheading"/>
      </w:pPr>
      <w:bookmarkStart w:id="348" w:name="_Toc146789129"/>
      <w:r>
        <w:tab/>
        <w:t>[Heading inserted: No. 20 of 2023 s. 8.]</w:t>
      </w:r>
    </w:p>
    <w:p>
      <w:pPr>
        <w:pStyle w:val="Heading5"/>
      </w:pPr>
      <w:bookmarkStart w:id="349" w:name="_Toc161843901"/>
      <w:r>
        <w:rPr>
          <w:rStyle w:val="CharSectno"/>
        </w:rPr>
        <w:t>202MP</w:t>
      </w:r>
      <w:r>
        <w:t>.</w:t>
      </w:r>
      <w:r>
        <w:tab/>
        <w:t>Chief Health Officer may direct certain persons to give information about abortion</w:t>
      </w:r>
      <w:bookmarkEnd w:id="348"/>
      <w:bookmarkEnd w:id="349"/>
    </w:p>
    <w:p>
      <w:pPr>
        <w:pStyle w:val="Subsection"/>
      </w:pPr>
      <w:r>
        <w:tab/>
        <w:t>(1)</w:t>
      </w:r>
      <w:r>
        <w:tab/>
        <w:t>The Chief Health Officer may, for a purpose referred to in section 202MQ, direct a relevant person to give to the Chief Health Officer such demographic or clinical information about abortions performed under Division 2 as is specified in the direction.</w:t>
      </w:r>
    </w:p>
    <w:p>
      <w:pPr>
        <w:pStyle w:val="Subsection"/>
      </w:pPr>
      <w:r>
        <w:tab/>
        <w:t>(2)</w:t>
      </w:r>
      <w:r>
        <w:tab/>
        <w:t xml:space="preserve">A direction under subsection (1) may — </w:t>
      </w:r>
    </w:p>
    <w:p>
      <w:pPr>
        <w:pStyle w:val="Indenta"/>
      </w:pPr>
      <w:r>
        <w:tab/>
        <w:t>(a)</w:t>
      </w:r>
      <w:r>
        <w:tab/>
        <w:t xml:space="preserve">specify the information by reference to a class of information; and </w:t>
      </w:r>
    </w:p>
    <w:p>
      <w:pPr>
        <w:pStyle w:val="Indenta"/>
      </w:pPr>
      <w:r>
        <w:tab/>
        <w:t>(b)</w:t>
      </w:r>
      <w:r>
        <w:tab/>
        <w:t>specify the manner and form in which the information must be given to the Chief Health Officer.</w:t>
      </w:r>
    </w:p>
    <w:p>
      <w:pPr>
        <w:pStyle w:val="Subsection"/>
      </w:pPr>
      <w:r>
        <w:tab/>
        <w:t>(3)</w:t>
      </w:r>
      <w:r>
        <w:tab/>
        <w:t xml:space="preserve">The information specified in a direction under subsection (1) — </w:t>
      </w:r>
    </w:p>
    <w:p>
      <w:pPr>
        <w:pStyle w:val="Indenta"/>
      </w:pPr>
      <w:r>
        <w:tab/>
        <w:t>(a)</w:t>
      </w:r>
      <w:r>
        <w:tab/>
        <w:t>can only be statistical or summary information; and</w:t>
      </w:r>
    </w:p>
    <w:p>
      <w:pPr>
        <w:pStyle w:val="Indenta"/>
      </w:pPr>
      <w:r>
        <w:tab/>
        <w:t>(b)</w:t>
      </w:r>
      <w:r>
        <w:tab/>
        <w:t xml:space="preserve">cannot include any particulars from which it may be possible to ascertain — </w:t>
      </w:r>
    </w:p>
    <w:p>
      <w:pPr>
        <w:pStyle w:val="Indenti"/>
      </w:pPr>
      <w:r>
        <w:tab/>
        <w:t>(i)</w:t>
      </w:r>
      <w:r>
        <w:tab/>
        <w:t xml:space="preserve">the identity of a person on whom an abortion has been performed; or </w:t>
      </w:r>
    </w:p>
    <w:p>
      <w:pPr>
        <w:pStyle w:val="Indenti"/>
      </w:pPr>
      <w:r>
        <w:tab/>
        <w:t>(ii)</w:t>
      </w:r>
      <w:r>
        <w:tab/>
        <w:t>the identity of a person who has performed, or has assisted in the performance of, an abortion on a person.</w:t>
      </w:r>
    </w:p>
    <w:p>
      <w:pPr>
        <w:pStyle w:val="Subsection"/>
        <w:keepNext/>
      </w:pPr>
      <w:r>
        <w:lastRenderedPageBreak/>
        <w:tab/>
        <w:t>(4)</w:t>
      </w:r>
      <w:r>
        <w:tab/>
        <w:t xml:space="preserve">Without limiting subsection (3), the information specified in a direction under subsection (1) cannot include any of the following — </w:t>
      </w:r>
    </w:p>
    <w:p>
      <w:pPr>
        <w:pStyle w:val="Indenta"/>
      </w:pPr>
      <w:r>
        <w:tab/>
        <w:t>(a)</w:t>
      </w:r>
      <w:r>
        <w:tab/>
        <w:t>the postcode, suburb or address (street or postal) of a person referred to in subsection (3)(b);</w:t>
      </w:r>
    </w:p>
    <w:p>
      <w:pPr>
        <w:pStyle w:val="Indenta"/>
      </w:pPr>
      <w:r>
        <w:tab/>
        <w:t>(b)</w:t>
      </w:r>
      <w:r>
        <w:tab/>
        <w:t>the postcode, suburb or address (street or postal) of the particular hospital or other health facility at which an abortion has been performed;</w:t>
      </w:r>
    </w:p>
    <w:p>
      <w:pPr>
        <w:pStyle w:val="Indenta"/>
      </w:pPr>
      <w:r>
        <w:tab/>
        <w:t>(c)</w:t>
      </w:r>
      <w:r>
        <w:tab/>
        <w:t>the age of a person on whom an abortion has been performed, other than as an age category including a range of not less than 5 years (for example, under 15 years of age, 15 to 19 years of age, and so on);</w:t>
      </w:r>
    </w:p>
    <w:p>
      <w:pPr>
        <w:pStyle w:val="Indenta"/>
      </w:pPr>
      <w:r>
        <w:tab/>
        <w:t>(d)</w:t>
      </w:r>
      <w:r>
        <w:tab/>
        <w:t xml:space="preserve">the particular race or nationality of a person on whom an abortion has been performed; </w:t>
      </w:r>
    </w:p>
    <w:p>
      <w:pPr>
        <w:pStyle w:val="Indenta"/>
      </w:pPr>
      <w:r>
        <w:tab/>
        <w:t>(e)</w:t>
      </w:r>
      <w:r>
        <w:tab/>
        <w:t>the gestational age of the foetus at the date on which an abortion was performed on a person, other than as an age range (for example, 9 weeks or less, 10 to 13 weeks, and so on);</w:t>
      </w:r>
    </w:p>
    <w:p>
      <w:pPr>
        <w:pStyle w:val="Indenta"/>
      </w:pPr>
      <w:r>
        <w:tab/>
        <w:t>(f)</w:t>
      </w:r>
      <w:r>
        <w:tab/>
        <w:t>the particular reason for an abortion having been performed on a person, including any particular clinical reason (for example, the diagnosis of a particular abnormality or condition in the foetus or in the person on whom the abortion was performed);</w:t>
      </w:r>
    </w:p>
    <w:p>
      <w:pPr>
        <w:pStyle w:val="Indenta"/>
      </w:pPr>
      <w:r>
        <w:tab/>
        <w:t>(g)</w:t>
      </w:r>
      <w:r>
        <w:tab/>
        <w:t>the particular clinical method (for example, the particular abortion drug prescribed or the particular surgical procedure carried out) used to perform an abortion on a person;</w:t>
      </w:r>
    </w:p>
    <w:p>
      <w:pPr>
        <w:pStyle w:val="Indenta"/>
      </w:pPr>
      <w:r>
        <w:tab/>
        <w:t>(h)</w:t>
      </w:r>
      <w:r>
        <w:tab/>
        <w:t>the particular clinical details or outcomes associated with the admission to a hospital of a person on whom an abortion has been performed.</w:t>
      </w:r>
    </w:p>
    <w:p>
      <w:pPr>
        <w:pStyle w:val="Subsection"/>
      </w:pPr>
      <w:r>
        <w:tab/>
        <w:t>(5)</w:t>
      </w:r>
      <w:r>
        <w:tab/>
        <w:t>A direction under subsection (1) may be given to 1 or more named relevant persons, 1 or more classes of relevant persons, or to all relevant persons.</w:t>
      </w:r>
    </w:p>
    <w:p>
      <w:pPr>
        <w:pStyle w:val="Subsection"/>
      </w:pPr>
      <w:r>
        <w:lastRenderedPageBreak/>
        <w:tab/>
        <w:t>(6)</w:t>
      </w:r>
      <w:r>
        <w:tab/>
        <w:t>A relevant person who is given a direction under subsection (1) must comply with the direction.</w:t>
      </w:r>
    </w:p>
    <w:p>
      <w:pPr>
        <w:pStyle w:val="Subsection"/>
      </w:pPr>
      <w:r>
        <w:tab/>
        <w:t>(7)</w:t>
      </w:r>
      <w:r>
        <w:tab/>
        <w:t>Information given to the Chief Health Officer by a relevant person under subsection (6) must meet the requirements set out in subsections (3) and (4).</w:t>
      </w:r>
    </w:p>
    <w:p>
      <w:pPr>
        <w:pStyle w:val="Subsection"/>
      </w:pPr>
      <w:r>
        <w:tab/>
        <w:t>(8)</w:t>
      </w:r>
      <w:r>
        <w:tab/>
      </w:r>
      <w:r>
        <w:rPr>
          <w:i/>
        </w:rPr>
        <w:t>The Criminal Code</w:t>
      </w:r>
      <w:r>
        <w:t xml:space="preserve"> sections 177 and 178 do not apply to the obligations of a relevant person under subsections (6) and (7).</w:t>
      </w:r>
    </w:p>
    <w:p>
      <w:pPr>
        <w:pStyle w:val="Footnotesection"/>
      </w:pPr>
      <w:bookmarkStart w:id="350" w:name="_Toc146789130"/>
      <w:r>
        <w:tab/>
        <w:t>[Section 202MP inserted: No. 20 of 2023 s. 8.]</w:t>
      </w:r>
    </w:p>
    <w:p>
      <w:pPr>
        <w:pStyle w:val="Heading5"/>
      </w:pPr>
      <w:bookmarkStart w:id="351" w:name="_Toc161843902"/>
      <w:r>
        <w:rPr>
          <w:rStyle w:val="CharSectno"/>
        </w:rPr>
        <w:t>202MQ</w:t>
      </w:r>
      <w:r>
        <w:t>.</w:t>
      </w:r>
      <w:r>
        <w:tab/>
        <w:t>Purposes for which Chief Health Officer may record, use or disclose information given under s. 202MP</w:t>
      </w:r>
      <w:bookmarkEnd w:id="350"/>
      <w:bookmarkEnd w:id="351"/>
    </w:p>
    <w:p>
      <w:pPr>
        <w:pStyle w:val="Subsection"/>
      </w:pPr>
      <w:r>
        <w:tab/>
      </w:r>
      <w:r>
        <w:tab/>
        <w:t xml:space="preserve">The Chief Health Officer may record, use or disclose information given to the Chief Health Officer under section 202MP(6) for the following purposes — </w:t>
      </w:r>
    </w:p>
    <w:p>
      <w:pPr>
        <w:pStyle w:val="Indenta"/>
      </w:pPr>
      <w:r>
        <w:tab/>
        <w:t>(a)</w:t>
      </w:r>
      <w:r>
        <w:tab/>
        <w:t>enabling the provision, monitoring, planning and evaluation of health services relating to abortion;</w:t>
      </w:r>
    </w:p>
    <w:p>
      <w:pPr>
        <w:pStyle w:val="Indenta"/>
      </w:pPr>
      <w:r>
        <w:tab/>
        <w:t>(b)</w:t>
      </w:r>
      <w:r>
        <w:tab/>
        <w:t>compiling and publishing statistical or summary information relating to abortion;</w:t>
      </w:r>
    </w:p>
    <w:p>
      <w:pPr>
        <w:pStyle w:val="Indenta"/>
      </w:pPr>
      <w:r>
        <w:tab/>
        <w:t>(c)</w:t>
      </w:r>
      <w:r>
        <w:tab/>
        <w:t>enabling research, education and training in respect of abortion, including the use of abortion drugs and health services relating to abortion;</w:t>
      </w:r>
    </w:p>
    <w:p>
      <w:pPr>
        <w:pStyle w:val="Indenta"/>
      </w:pPr>
      <w:r>
        <w:tab/>
        <w:t>(d)</w:t>
      </w:r>
      <w:r>
        <w:tab/>
        <w:t>the performance by the Chief Health Officer of functions under this Act;</w:t>
      </w:r>
    </w:p>
    <w:p>
      <w:pPr>
        <w:pStyle w:val="Indenta"/>
      </w:pPr>
      <w:r>
        <w:tab/>
        <w:t>(e)</w:t>
      </w:r>
      <w:r>
        <w:tab/>
        <w:t>the administration or enforcement of this Act.</w:t>
      </w:r>
    </w:p>
    <w:p>
      <w:pPr>
        <w:pStyle w:val="Footnotesection"/>
      </w:pPr>
      <w:bookmarkStart w:id="352" w:name="_Toc146789131"/>
      <w:r>
        <w:tab/>
        <w:t>[Section 202MQ inserted: No. 20 of 2023 s. 8.]</w:t>
      </w:r>
    </w:p>
    <w:p>
      <w:pPr>
        <w:pStyle w:val="Heading5"/>
      </w:pPr>
      <w:bookmarkStart w:id="353" w:name="_Toc161843903"/>
      <w:r>
        <w:rPr>
          <w:rStyle w:val="CharSectno"/>
        </w:rPr>
        <w:t>202MR</w:t>
      </w:r>
      <w:r>
        <w:t>.</w:t>
      </w:r>
      <w:r>
        <w:tab/>
        <w:t>Protection from liability</w:t>
      </w:r>
      <w:bookmarkEnd w:id="352"/>
      <w:bookmarkEnd w:id="353"/>
    </w:p>
    <w:p>
      <w:pPr>
        <w:pStyle w:val="Subsection"/>
      </w:pPr>
      <w:r>
        <w:tab/>
        <w:t>(1)</w:t>
      </w:r>
      <w:r>
        <w:tab/>
        <w:t xml:space="preserve">This section applies if — </w:t>
      </w:r>
    </w:p>
    <w:p>
      <w:pPr>
        <w:pStyle w:val="Indenta"/>
      </w:pPr>
      <w:r>
        <w:tab/>
        <w:t>(a)</w:t>
      </w:r>
      <w:r>
        <w:tab/>
        <w:t>a relevant person acting in good faith gives information to the Chief Health Officer under section 202MP(6); or</w:t>
      </w:r>
    </w:p>
    <w:p>
      <w:pPr>
        <w:pStyle w:val="Indenta"/>
      </w:pPr>
      <w:r>
        <w:tab/>
        <w:t>(b)</w:t>
      </w:r>
      <w:r>
        <w:tab/>
        <w:t xml:space="preserve">the Chief Health Officer acting in good faith records, uses or discloses information, given to the Chief Health </w:t>
      </w:r>
      <w:r>
        <w:lastRenderedPageBreak/>
        <w:t>Officer under section 202MP(6), in accordance with section 202MQ.</w:t>
      </w:r>
    </w:p>
    <w:p>
      <w:pPr>
        <w:pStyle w:val="Subsection"/>
      </w:pPr>
      <w:r>
        <w:tab/>
        <w:t>(2)</w:t>
      </w:r>
      <w:r>
        <w:tab/>
        <w:t xml:space="preserve">If this section applies — </w:t>
      </w:r>
    </w:p>
    <w:p>
      <w:pPr>
        <w:pStyle w:val="Indenta"/>
      </w:pPr>
      <w:r>
        <w:tab/>
        <w:t>(a)</w:t>
      </w:r>
      <w:r>
        <w:tab/>
        <w:t>no civil or criminal liability is incurred in respect of giving, recording, using or disclosing the information; and</w:t>
      </w:r>
    </w:p>
    <w:p>
      <w:pPr>
        <w:pStyle w:val="Indenta"/>
      </w:pPr>
      <w:r>
        <w:tab/>
        <w:t>(b)</w:t>
      </w:r>
      <w:r>
        <w:tab/>
        <w:t xml:space="preserve">giving, recording, using or 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Footnotesection"/>
      </w:pPr>
      <w:r>
        <w:tab/>
        <w:t>[Section 202MR inserted: No. 20 of 2023 s. 8.]</w:t>
      </w:r>
    </w:p>
    <w:p>
      <w:pPr>
        <w:pStyle w:val="Heading3"/>
      </w:pPr>
      <w:bookmarkStart w:id="354" w:name="_Toc146789007"/>
      <w:bookmarkStart w:id="355" w:name="_Toc146789133"/>
      <w:bookmarkStart w:id="356" w:name="_Toc161841575"/>
      <w:bookmarkStart w:id="357" w:name="_Toc161843904"/>
      <w:r>
        <w:rPr>
          <w:rStyle w:val="CharDivNo"/>
        </w:rPr>
        <w:t>Division 6</w:t>
      </w:r>
      <w:r>
        <w:t> — </w:t>
      </w:r>
      <w:r>
        <w:rPr>
          <w:rStyle w:val="CharDivText"/>
        </w:rPr>
        <w:t>Safe access to premises at which abortions are provided</w:t>
      </w:r>
      <w:bookmarkEnd w:id="354"/>
      <w:bookmarkEnd w:id="355"/>
      <w:bookmarkEnd w:id="356"/>
      <w:bookmarkEnd w:id="357"/>
    </w:p>
    <w:p>
      <w:pPr>
        <w:pStyle w:val="Footnoteheading"/>
      </w:pPr>
      <w:r>
        <w:tab/>
        <w:t>[Heading inserted: No. 20 of 2023 s. 9.]</w:t>
      </w:r>
    </w:p>
    <w:p>
      <w:pPr>
        <w:pStyle w:val="Heading5"/>
      </w:pPr>
      <w:bookmarkStart w:id="358" w:name="_Toc161843905"/>
      <w:r>
        <w:rPr>
          <w:rStyle w:val="CharSectno"/>
        </w:rPr>
        <w:t>202N</w:t>
      </w:r>
      <w:r>
        <w:t>.</w:t>
      </w:r>
      <w:r>
        <w:tab/>
        <w:t>Purpose</w:t>
      </w:r>
      <w:bookmarkEnd w:id="358"/>
    </w:p>
    <w:p>
      <w:pPr>
        <w:pStyle w:val="Subsection"/>
      </w:pPr>
      <w:r>
        <w:tab/>
      </w:r>
      <w:r>
        <w:tab/>
        <w:t xml:space="preserve">The purpose of this Division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lastRenderedPageBreak/>
        <w:tab/>
        <w:t>(b)</w:t>
      </w:r>
      <w:r>
        <w:tab/>
        <w:t>to prohibit publication and distribution of certain recordings.</w:t>
      </w:r>
    </w:p>
    <w:p>
      <w:pPr>
        <w:pStyle w:val="Footnotesection"/>
      </w:pPr>
      <w:r>
        <w:tab/>
        <w:t>[Section 202N inserted: No. 9 of 2021 s. 4; amended: No. 20 of 2023 s. 10.]</w:t>
      </w:r>
    </w:p>
    <w:p>
      <w:pPr>
        <w:pStyle w:val="Heading5"/>
      </w:pPr>
      <w:bookmarkStart w:id="359" w:name="_Toc161843906"/>
      <w:r>
        <w:rPr>
          <w:rStyle w:val="CharSectno"/>
        </w:rPr>
        <w:t>202O</w:t>
      </w:r>
      <w:r>
        <w:t>.</w:t>
      </w:r>
      <w:r>
        <w:tab/>
        <w:t>Terms used</w:t>
      </w:r>
      <w:bookmarkEnd w:id="359"/>
    </w:p>
    <w:p>
      <w:pPr>
        <w:pStyle w:val="Subsection"/>
      </w:pPr>
      <w:r>
        <w:tab/>
      </w:r>
      <w:r>
        <w:tab/>
        <w:t xml:space="preserve">In this Division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4; amended: No. 20 of 2023 s. 11.]</w:t>
      </w:r>
    </w:p>
    <w:p>
      <w:pPr>
        <w:pStyle w:val="Heading5"/>
      </w:pPr>
      <w:bookmarkStart w:id="360" w:name="_Toc161843907"/>
      <w:r>
        <w:rPr>
          <w:rStyle w:val="CharSectno"/>
        </w:rPr>
        <w:lastRenderedPageBreak/>
        <w:t>202P</w:t>
      </w:r>
      <w:r>
        <w:t>.</w:t>
      </w:r>
      <w:r>
        <w:tab/>
        <w:t>Offence to engage in prohibited behaviour within safe access zone</w:t>
      </w:r>
      <w:bookmarkEnd w:id="360"/>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361" w:name="_Toc161843908"/>
      <w:r>
        <w:rPr>
          <w:rStyle w:val="CharSectno"/>
        </w:rPr>
        <w:lastRenderedPageBreak/>
        <w:t>202Q</w:t>
      </w:r>
      <w:r>
        <w:t>.</w:t>
      </w:r>
      <w:r>
        <w:tab/>
        <w:t>Offence to publish or distribute recording</w:t>
      </w:r>
      <w:bookmarkEnd w:id="361"/>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362" w:name="_Toc161839293"/>
      <w:bookmarkStart w:id="363" w:name="_Toc161841580"/>
      <w:bookmarkStart w:id="364" w:name="_Toc161843909"/>
      <w:r>
        <w:rPr>
          <w:rStyle w:val="CharPartNo"/>
        </w:rPr>
        <w:lastRenderedPageBreak/>
        <w:t>Part 13</w:t>
      </w:r>
      <w:r>
        <w:t> — </w:t>
      </w:r>
      <w:r>
        <w:rPr>
          <w:rStyle w:val="CharPartText"/>
        </w:rPr>
        <w:t>Compensation and insurance</w:t>
      </w:r>
      <w:bookmarkEnd w:id="362"/>
      <w:bookmarkEnd w:id="363"/>
      <w:bookmarkEnd w:id="364"/>
    </w:p>
    <w:p>
      <w:pPr>
        <w:pStyle w:val="Heading3"/>
      </w:pPr>
      <w:bookmarkStart w:id="365" w:name="_Toc161839294"/>
      <w:bookmarkStart w:id="366" w:name="_Toc161841581"/>
      <w:bookmarkStart w:id="367" w:name="_Toc161843910"/>
      <w:r>
        <w:rPr>
          <w:rStyle w:val="CharDivNo"/>
        </w:rPr>
        <w:t>Division 1</w:t>
      </w:r>
      <w:r>
        <w:t> — </w:t>
      </w:r>
      <w:r>
        <w:rPr>
          <w:rStyle w:val="CharDivText"/>
        </w:rPr>
        <w:t>Compensation</w:t>
      </w:r>
      <w:bookmarkEnd w:id="365"/>
      <w:bookmarkEnd w:id="366"/>
      <w:bookmarkEnd w:id="367"/>
    </w:p>
    <w:p>
      <w:pPr>
        <w:pStyle w:val="Heading5"/>
      </w:pPr>
      <w:bookmarkStart w:id="368" w:name="_Toc161843911"/>
      <w:r>
        <w:rPr>
          <w:rStyle w:val="CharSectno"/>
        </w:rPr>
        <w:t>203</w:t>
      </w:r>
      <w:r>
        <w:t>.</w:t>
      </w:r>
      <w:r>
        <w:tab/>
        <w:t>Entitlement to compensation</w:t>
      </w:r>
      <w:bookmarkEnd w:id="368"/>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369" w:name="_Toc161843912"/>
      <w:r>
        <w:rPr>
          <w:rStyle w:val="CharSectno"/>
        </w:rPr>
        <w:t>204</w:t>
      </w:r>
      <w:r>
        <w:t>.</w:t>
      </w:r>
      <w:r>
        <w:tab/>
        <w:t>Applying for compensation</w:t>
      </w:r>
      <w:bookmarkEnd w:id="369"/>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lastRenderedPageBreak/>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70" w:name="_Toc161843913"/>
      <w:r>
        <w:rPr>
          <w:rStyle w:val="CharSectno"/>
        </w:rPr>
        <w:t>205</w:t>
      </w:r>
      <w:r>
        <w:t>.</w:t>
      </w:r>
      <w:r>
        <w:tab/>
        <w:t>Lapsing of application</w:t>
      </w:r>
      <w:bookmarkEnd w:id="370"/>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lastRenderedPageBreak/>
        <w:tab/>
        <w:t>(6)</w:t>
      </w:r>
      <w:r>
        <w:tab/>
        <w:t>If the applicant does not provide the information required under subsection (2) within the stated time or any extension of it, the application lapses.</w:t>
      </w:r>
    </w:p>
    <w:p>
      <w:pPr>
        <w:pStyle w:val="Heading5"/>
      </w:pPr>
      <w:bookmarkStart w:id="371" w:name="_Toc161843914"/>
      <w:r>
        <w:rPr>
          <w:rStyle w:val="CharSectno"/>
        </w:rPr>
        <w:t>206</w:t>
      </w:r>
      <w:r>
        <w:t>.</w:t>
      </w:r>
      <w:r>
        <w:tab/>
        <w:t>Notice of decision</w:t>
      </w:r>
      <w:bookmarkEnd w:id="371"/>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372" w:name="_Toc161843915"/>
      <w:r>
        <w:rPr>
          <w:rStyle w:val="CharSectno"/>
        </w:rPr>
        <w:t>207</w:t>
      </w:r>
      <w:r>
        <w:t>.</w:t>
      </w:r>
      <w:r>
        <w:tab/>
        <w:t>Review of decision as to payment of compensation</w:t>
      </w:r>
      <w:bookmarkEnd w:id="372"/>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373" w:name="_Toc161843916"/>
      <w:r>
        <w:rPr>
          <w:rStyle w:val="CharSectno"/>
        </w:rPr>
        <w:t>208</w:t>
      </w:r>
      <w:r>
        <w:t>.</w:t>
      </w:r>
      <w:r>
        <w:tab/>
        <w:t>False compensation claim</w:t>
      </w:r>
      <w:bookmarkEnd w:id="373"/>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374" w:name="_Toc161839301"/>
      <w:bookmarkStart w:id="375" w:name="_Toc161841588"/>
      <w:bookmarkStart w:id="376" w:name="_Toc161843917"/>
      <w:r>
        <w:rPr>
          <w:rStyle w:val="CharDivNo"/>
        </w:rPr>
        <w:lastRenderedPageBreak/>
        <w:t>Division 2</w:t>
      </w:r>
      <w:r>
        <w:t> — </w:t>
      </w:r>
      <w:r>
        <w:rPr>
          <w:rStyle w:val="CharDivText"/>
        </w:rPr>
        <w:t>Insurance</w:t>
      </w:r>
      <w:bookmarkEnd w:id="374"/>
      <w:bookmarkEnd w:id="375"/>
      <w:bookmarkEnd w:id="376"/>
    </w:p>
    <w:p>
      <w:pPr>
        <w:pStyle w:val="Heading5"/>
      </w:pPr>
      <w:bookmarkStart w:id="377" w:name="_Toc161843918"/>
      <w:r>
        <w:rPr>
          <w:rStyle w:val="CharSectno"/>
        </w:rPr>
        <w:t>209</w:t>
      </w:r>
      <w:r>
        <w:t>.</w:t>
      </w:r>
      <w:r>
        <w:tab/>
        <w:t>Extension of policy of insurance</w:t>
      </w:r>
      <w:bookmarkEnd w:id="377"/>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378" w:name="_Toc161839303"/>
      <w:bookmarkStart w:id="379" w:name="_Toc161841590"/>
      <w:bookmarkStart w:id="380" w:name="_Toc161843919"/>
      <w:r>
        <w:rPr>
          <w:rStyle w:val="CharPartNo"/>
        </w:rPr>
        <w:lastRenderedPageBreak/>
        <w:t>Part 15</w:t>
      </w:r>
      <w:r>
        <w:rPr>
          <w:rStyle w:val="CharDivNo"/>
        </w:rPr>
        <w:t> </w:t>
      </w:r>
      <w:r>
        <w:t>—</w:t>
      </w:r>
      <w:r>
        <w:rPr>
          <w:rStyle w:val="CharDivText"/>
        </w:rPr>
        <w:t> </w:t>
      </w:r>
      <w:r>
        <w:rPr>
          <w:rStyle w:val="CharPartText"/>
        </w:rPr>
        <w:t>Inquiries</w:t>
      </w:r>
      <w:bookmarkEnd w:id="378"/>
      <w:bookmarkEnd w:id="379"/>
      <w:bookmarkEnd w:id="380"/>
    </w:p>
    <w:p>
      <w:pPr>
        <w:pStyle w:val="Heading5"/>
      </w:pPr>
      <w:bookmarkStart w:id="381" w:name="_Toc161843920"/>
      <w:r>
        <w:rPr>
          <w:rStyle w:val="CharSectno"/>
        </w:rPr>
        <w:t>227</w:t>
      </w:r>
      <w:r>
        <w:t>.</w:t>
      </w:r>
      <w:r>
        <w:tab/>
        <w:t>Terms used</w:t>
      </w:r>
      <w:bookmarkEnd w:id="381"/>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382" w:name="_Toc161843921"/>
      <w:r>
        <w:rPr>
          <w:rStyle w:val="CharSectno"/>
        </w:rPr>
        <w:t>228</w:t>
      </w:r>
      <w:r>
        <w:t>.</w:t>
      </w:r>
      <w:r>
        <w:tab/>
        <w:t>Chief Health Officer may conduct inquiry</w:t>
      </w:r>
      <w:bookmarkEnd w:id="382"/>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383" w:name="_Toc161843922"/>
      <w:r>
        <w:rPr>
          <w:rStyle w:val="CharSectno"/>
        </w:rPr>
        <w:t>229</w:t>
      </w:r>
      <w:r>
        <w:t>.</w:t>
      </w:r>
      <w:r>
        <w:tab/>
        <w:t>Preliminary matters</w:t>
      </w:r>
      <w:bookmarkEnd w:id="383"/>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lastRenderedPageBreak/>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384" w:name="_Toc161843923"/>
      <w:r>
        <w:rPr>
          <w:rStyle w:val="CharSectno"/>
        </w:rPr>
        <w:t>230</w:t>
      </w:r>
      <w:r>
        <w:t>.</w:t>
      </w:r>
      <w:r>
        <w:tab/>
        <w:t>Procedure</w:t>
      </w:r>
      <w:bookmarkEnd w:id="384"/>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385" w:name="_Toc161843924"/>
      <w:r>
        <w:rPr>
          <w:rStyle w:val="CharSectno"/>
        </w:rPr>
        <w:t>231</w:t>
      </w:r>
      <w:r>
        <w:t>.</w:t>
      </w:r>
      <w:r>
        <w:tab/>
        <w:t>Hearings</w:t>
      </w:r>
      <w:bookmarkEnd w:id="385"/>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386" w:name="_Toc161843925"/>
      <w:r>
        <w:rPr>
          <w:rStyle w:val="CharSectno"/>
        </w:rPr>
        <w:lastRenderedPageBreak/>
        <w:t>232</w:t>
      </w:r>
      <w:r>
        <w:t>.</w:t>
      </w:r>
      <w:r>
        <w:tab/>
        <w:t>Inquirer’s powers in relation to inquiry</w:t>
      </w:r>
      <w:bookmarkEnd w:id="386"/>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387" w:name="_Toc161843926"/>
      <w:r>
        <w:rPr>
          <w:rStyle w:val="CharSectno"/>
        </w:rPr>
        <w:t>233</w:t>
      </w:r>
      <w:r>
        <w:t>.</w:t>
      </w:r>
      <w:r>
        <w:tab/>
        <w:t>Failure to comply with requirements of notice</w:t>
      </w:r>
      <w:bookmarkEnd w:id="387"/>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lastRenderedPageBreak/>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388" w:name="_Toc161843927"/>
      <w:r>
        <w:rPr>
          <w:rStyle w:val="CharSectno"/>
        </w:rPr>
        <w:t>234</w:t>
      </w:r>
      <w:r>
        <w:t>.</w:t>
      </w:r>
      <w:r>
        <w:tab/>
        <w:t>Incriminating answers or documents</w:t>
      </w:r>
      <w:bookmarkEnd w:id="388"/>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389" w:name="_Toc161843928"/>
      <w:r>
        <w:rPr>
          <w:rStyle w:val="CharSectno"/>
        </w:rPr>
        <w:t>235</w:t>
      </w:r>
      <w:r>
        <w:t>.</w:t>
      </w:r>
      <w:r>
        <w:tab/>
        <w:t>Disruption of inquiry</w:t>
      </w:r>
      <w:bookmarkEnd w:id="389"/>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390" w:name="_Toc161843929"/>
      <w:r>
        <w:rPr>
          <w:rStyle w:val="CharSectno"/>
        </w:rPr>
        <w:t>236</w:t>
      </w:r>
      <w:r>
        <w:t>.</w:t>
      </w:r>
      <w:r>
        <w:tab/>
        <w:t>False information</w:t>
      </w:r>
      <w:bookmarkEnd w:id="390"/>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391" w:name="_Toc161843930"/>
      <w:r>
        <w:rPr>
          <w:rStyle w:val="CharSectno"/>
        </w:rPr>
        <w:lastRenderedPageBreak/>
        <w:t>237</w:t>
      </w:r>
      <w:r>
        <w:t>.</w:t>
      </w:r>
      <w:r>
        <w:tab/>
        <w:t>Protection for certain purposes</w:t>
      </w:r>
      <w:bookmarkEnd w:id="39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392" w:name="_Toc161843931"/>
      <w:r>
        <w:rPr>
          <w:rStyle w:val="CharSectno"/>
        </w:rPr>
        <w:t>238</w:t>
      </w:r>
      <w:r>
        <w:t>.</w:t>
      </w:r>
      <w:r>
        <w:tab/>
        <w:t>Reports</w:t>
      </w:r>
      <w:bookmarkEnd w:id="392"/>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393" w:name="_Toc161839316"/>
      <w:bookmarkStart w:id="394" w:name="_Toc161841603"/>
      <w:bookmarkStart w:id="395" w:name="_Toc161843932"/>
      <w:r>
        <w:rPr>
          <w:rStyle w:val="CharPartNo"/>
        </w:rPr>
        <w:lastRenderedPageBreak/>
        <w:t>Part 16</w:t>
      </w:r>
      <w:r>
        <w:t> — </w:t>
      </w:r>
      <w:r>
        <w:rPr>
          <w:rStyle w:val="CharPartText"/>
        </w:rPr>
        <w:t>Powers of entry, inspection and seizure</w:t>
      </w:r>
      <w:bookmarkEnd w:id="393"/>
      <w:bookmarkEnd w:id="394"/>
      <w:bookmarkEnd w:id="395"/>
    </w:p>
    <w:p>
      <w:pPr>
        <w:pStyle w:val="Heading3"/>
      </w:pPr>
      <w:bookmarkStart w:id="396" w:name="_Toc161839317"/>
      <w:bookmarkStart w:id="397" w:name="_Toc161841604"/>
      <w:bookmarkStart w:id="398" w:name="_Toc161843933"/>
      <w:r>
        <w:rPr>
          <w:rStyle w:val="CharDivNo"/>
        </w:rPr>
        <w:t>Division 1</w:t>
      </w:r>
      <w:r>
        <w:t> — </w:t>
      </w:r>
      <w:r>
        <w:rPr>
          <w:rStyle w:val="CharDivText"/>
        </w:rPr>
        <w:t>Entry, inspection and seizure</w:t>
      </w:r>
      <w:bookmarkEnd w:id="396"/>
      <w:bookmarkEnd w:id="397"/>
      <w:bookmarkEnd w:id="398"/>
    </w:p>
    <w:p>
      <w:pPr>
        <w:pStyle w:val="Heading5"/>
      </w:pPr>
      <w:bookmarkStart w:id="399" w:name="_Toc161843934"/>
      <w:r>
        <w:rPr>
          <w:rStyle w:val="CharSectno"/>
        </w:rPr>
        <w:t>239</w:t>
      </w:r>
      <w:r>
        <w:t>.</w:t>
      </w:r>
      <w:r>
        <w:tab/>
        <w:t>Term used: reasonably suspects</w:t>
      </w:r>
      <w:bookmarkEnd w:id="399"/>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400" w:name="_Toc161843935"/>
      <w:r>
        <w:rPr>
          <w:rStyle w:val="CharSectno"/>
        </w:rPr>
        <w:t>240</w:t>
      </w:r>
      <w:r>
        <w:t>.</w:t>
      </w:r>
      <w:r>
        <w:tab/>
        <w:t>Powers of authorised officers</w:t>
      </w:r>
      <w:bookmarkEnd w:id="400"/>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lastRenderedPageBreak/>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 xml:space="preserve">require a person to provide information or answer questions in connection with the authorised officer’s functions under this Act or to produce any document or </w:t>
      </w:r>
      <w:r>
        <w:lastRenderedPageBreak/>
        <w:t>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lastRenderedPageBreak/>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401" w:name="_Toc161843936"/>
      <w:r>
        <w:rPr>
          <w:rStyle w:val="CharSectno"/>
        </w:rPr>
        <w:t>241</w:t>
      </w:r>
      <w:r>
        <w:t>.</w:t>
      </w:r>
      <w:r>
        <w:tab/>
        <w:t>Stopping of vehicles</w:t>
      </w:r>
      <w:bookmarkEnd w:id="401"/>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402" w:name="_Toc161843937"/>
      <w:r>
        <w:rPr>
          <w:rStyle w:val="CharSectno"/>
        </w:rPr>
        <w:t>242</w:t>
      </w:r>
      <w:r>
        <w:t>.</w:t>
      </w:r>
      <w:r>
        <w:tab/>
        <w:t>Incriminating information or answers</w:t>
      </w:r>
      <w:bookmarkEnd w:id="402"/>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403" w:name="_Toc161843938"/>
      <w:r>
        <w:rPr>
          <w:rStyle w:val="CharSectno"/>
        </w:rPr>
        <w:lastRenderedPageBreak/>
        <w:t>243</w:t>
      </w:r>
      <w:r>
        <w:t>.</w:t>
      </w:r>
      <w:r>
        <w:tab/>
        <w:t>Liability for complying with requirement to provide information, answer question or produce document or thing</w:t>
      </w:r>
      <w:bookmarkEnd w:id="403"/>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404" w:name="_Toc161843939"/>
      <w:r>
        <w:rPr>
          <w:rStyle w:val="CharSectno"/>
        </w:rPr>
        <w:t>244</w:t>
      </w:r>
      <w:r>
        <w:t>.</w:t>
      </w:r>
      <w:r>
        <w:tab/>
        <w:t>Power of seizure</w:t>
      </w:r>
      <w:bookmarkEnd w:id="404"/>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lastRenderedPageBreak/>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405" w:name="_Toc161843940"/>
      <w:r>
        <w:rPr>
          <w:rStyle w:val="CharSectno"/>
        </w:rPr>
        <w:t>245</w:t>
      </w:r>
      <w:r>
        <w:t>.</w:t>
      </w:r>
      <w:r>
        <w:tab/>
        <w:t xml:space="preserve">Application of </w:t>
      </w:r>
      <w:r>
        <w:rPr>
          <w:i/>
          <w:iCs/>
        </w:rPr>
        <w:t>Criminal Investigation Act 2006</w:t>
      </w:r>
      <w:bookmarkEnd w:id="405"/>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406" w:name="_Toc161843941"/>
      <w:r>
        <w:rPr>
          <w:rStyle w:val="CharSectno"/>
        </w:rPr>
        <w:lastRenderedPageBreak/>
        <w:t>246</w:t>
      </w:r>
      <w:r>
        <w:t>.</w:t>
      </w:r>
      <w:r>
        <w:tab/>
        <w:t>Application for warrant to enter premises</w:t>
      </w:r>
      <w:bookmarkEnd w:id="406"/>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407" w:name="_Toc161843942"/>
      <w:r>
        <w:rPr>
          <w:rStyle w:val="CharSectno"/>
        </w:rPr>
        <w:t>247</w:t>
      </w:r>
      <w:r>
        <w:t>.</w:t>
      </w:r>
      <w:r>
        <w:tab/>
        <w:t>How application made</w:t>
      </w:r>
      <w:bookmarkEnd w:id="407"/>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lastRenderedPageBreak/>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408" w:name="_Toc161843943"/>
      <w:r>
        <w:rPr>
          <w:rStyle w:val="CharSectno"/>
        </w:rPr>
        <w:t>248</w:t>
      </w:r>
      <w:r>
        <w:t>.</w:t>
      </w:r>
      <w:r>
        <w:tab/>
        <w:t>Further provisions relating to application for warrant</w:t>
      </w:r>
      <w:bookmarkEnd w:id="408"/>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 xml:space="preserve">the judicial officer must attach the copy of the form to the original warrant and any affidavit received from the </w:t>
      </w:r>
      <w:r>
        <w:lastRenderedPageBreak/>
        <w:t>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409" w:name="_Toc161843944"/>
      <w:r>
        <w:rPr>
          <w:rStyle w:val="CharSectno"/>
        </w:rPr>
        <w:t>249</w:t>
      </w:r>
      <w:r>
        <w:t>.</w:t>
      </w:r>
      <w:r>
        <w:tab/>
        <w:t>Issue of warrant</w:t>
      </w:r>
      <w:bookmarkEnd w:id="409"/>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410" w:name="_Toc161843945"/>
      <w:r>
        <w:rPr>
          <w:rStyle w:val="CharSectno"/>
        </w:rPr>
        <w:t>250</w:t>
      </w:r>
      <w:r>
        <w:t>.</w:t>
      </w:r>
      <w:r>
        <w:tab/>
        <w:t>Duration of warrant</w:t>
      </w:r>
      <w:bookmarkEnd w:id="410"/>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411" w:name="_Toc161843946"/>
      <w:r>
        <w:rPr>
          <w:rStyle w:val="CharSectno"/>
        </w:rPr>
        <w:t>251</w:t>
      </w:r>
      <w:r>
        <w:t>.</w:t>
      </w:r>
      <w:r>
        <w:tab/>
        <w:t>Execution of warrant</w:t>
      </w:r>
      <w:bookmarkEnd w:id="411"/>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lastRenderedPageBreak/>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412" w:name="_Toc161843947"/>
      <w:r>
        <w:rPr>
          <w:rStyle w:val="CharSectno"/>
        </w:rPr>
        <w:t>252</w:t>
      </w:r>
      <w:r>
        <w:t>.</w:t>
      </w:r>
      <w:r>
        <w:tab/>
        <w:t>Use of force</w:t>
      </w:r>
      <w:bookmarkEnd w:id="412"/>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413" w:name="_Toc161843948"/>
      <w:r>
        <w:rPr>
          <w:rStyle w:val="CharSectno"/>
        </w:rPr>
        <w:lastRenderedPageBreak/>
        <w:t>253</w:t>
      </w:r>
      <w:r>
        <w:t>.</w:t>
      </w:r>
      <w:r>
        <w:tab/>
        <w:t>Failure to comply with requirements of authorised officers</w:t>
      </w:r>
      <w:bookmarkEnd w:id="413"/>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414" w:name="_Toc161843949"/>
      <w:r>
        <w:rPr>
          <w:rStyle w:val="CharSectno"/>
        </w:rPr>
        <w:t>254</w:t>
      </w:r>
      <w:r>
        <w:t>.</w:t>
      </w:r>
      <w:r>
        <w:tab/>
        <w:t>False or misleading information</w:t>
      </w:r>
      <w:bookmarkEnd w:id="414"/>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lastRenderedPageBreak/>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415" w:name="_Toc161843950"/>
      <w:r>
        <w:rPr>
          <w:rStyle w:val="CharSectno"/>
        </w:rPr>
        <w:t>255</w:t>
      </w:r>
      <w:r>
        <w:t>.</w:t>
      </w:r>
      <w:r>
        <w:tab/>
        <w:t>Obstructing, impersonating or threatening authorised officers</w:t>
      </w:r>
      <w:bookmarkEnd w:id="415"/>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416" w:name="_Toc161839335"/>
      <w:bookmarkStart w:id="417" w:name="_Toc161841622"/>
      <w:bookmarkStart w:id="418" w:name="_Toc161843951"/>
      <w:r>
        <w:rPr>
          <w:rStyle w:val="CharDivNo"/>
        </w:rPr>
        <w:t>Division 2</w:t>
      </w:r>
      <w:r>
        <w:t> — </w:t>
      </w:r>
      <w:r>
        <w:rPr>
          <w:rStyle w:val="CharDivText"/>
        </w:rPr>
        <w:t>Items seized by authorised officers</w:t>
      </w:r>
      <w:bookmarkEnd w:id="416"/>
      <w:bookmarkEnd w:id="417"/>
      <w:bookmarkEnd w:id="418"/>
    </w:p>
    <w:p>
      <w:pPr>
        <w:pStyle w:val="Heading5"/>
      </w:pPr>
      <w:bookmarkStart w:id="419" w:name="_Toc161843952"/>
      <w:r>
        <w:rPr>
          <w:rStyle w:val="CharSectno"/>
        </w:rPr>
        <w:t>256</w:t>
      </w:r>
      <w:r>
        <w:t>.</w:t>
      </w:r>
      <w:r>
        <w:tab/>
        <w:t xml:space="preserve">Application of </w:t>
      </w:r>
      <w:r>
        <w:rPr>
          <w:i/>
        </w:rPr>
        <w:t>Criminal and Found Property Disposal Act 2006</w:t>
      </w:r>
      <w:bookmarkEnd w:id="419"/>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420" w:name="_Toc161843953"/>
      <w:r>
        <w:rPr>
          <w:rStyle w:val="CharSectno"/>
        </w:rPr>
        <w:lastRenderedPageBreak/>
        <w:t>257</w:t>
      </w:r>
      <w:r>
        <w:t>.</w:t>
      </w:r>
      <w:r>
        <w:tab/>
        <w:t>Seized items</w:t>
      </w:r>
      <w:bookmarkEnd w:id="420"/>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421" w:name="_Toc161843954"/>
      <w:r>
        <w:rPr>
          <w:rStyle w:val="CharSectno"/>
        </w:rPr>
        <w:t>258</w:t>
      </w:r>
      <w:r>
        <w:t>.</w:t>
      </w:r>
      <w:r>
        <w:tab/>
        <w:t>Notification of seizure</w:t>
      </w:r>
      <w:bookmarkEnd w:id="421"/>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422" w:name="_Toc161843955"/>
      <w:r>
        <w:rPr>
          <w:rStyle w:val="CharSectno"/>
        </w:rPr>
        <w:lastRenderedPageBreak/>
        <w:t>259</w:t>
      </w:r>
      <w:r>
        <w:t>.</w:t>
      </w:r>
      <w:r>
        <w:tab/>
        <w:t>Immediate destruction or disposal of things seized</w:t>
      </w:r>
      <w:bookmarkEnd w:id="422"/>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423" w:name="_Toc161843956"/>
      <w:r>
        <w:rPr>
          <w:rStyle w:val="CharSectno"/>
        </w:rPr>
        <w:t>260</w:t>
      </w:r>
      <w:r>
        <w:t>.</w:t>
      </w:r>
      <w:r>
        <w:tab/>
        <w:t>Return of seized item</w:t>
      </w:r>
      <w:bookmarkEnd w:id="423"/>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424" w:name="_Toc161843957"/>
      <w:r>
        <w:rPr>
          <w:rStyle w:val="CharSectno"/>
        </w:rPr>
        <w:t>261</w:t>
      </w:r>
      <w:r>
        <w:t>.</w:t>
      </w:r>
      <w:r>
        <w:tab/>
        <w:t>Forfeiture of item</w:t>
      </w:r>
      <w:bookmarkEnd w:id="424"/>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lastRenderedPageBreak/>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425" w:name="_Toc161843958"/>
      <w:r>
        <w:rPr>
          <w:rStyle w:val="CharSectno"/>
        </w:rPr>
        <w:t>262</w:t>
      </w:r>
      <w:r>
        <w:t>.</w:t>
      </w:r>
      <w:r>
        <w:tab/>
        <w:t>Cost of destruction or disposal of forfeited item</w:t>
      </w:r>
      <w:bookmarkEnd w:id="425"/>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426" w:name="_Toc161843959"/>
      <w:r>
        <w:rPr>
          <w:rStyle w:val="CharSectno"/>
        </w:rPr>
        <w:t>263</w:t>
      </w:r>
      <w:r>
        <w:t>.</w:t>
      </w:r>
      <w:r>
        <w:tab/>
        <w:t>Return of forfeited item</w:t>
      </w:r>
      <w:bookmarkEnd w:id="426"/>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lastRenderedPageBreak/>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427" w:name="_Toc161843960"/>
      <w:r>
        <w:rPr>
          <w:rStyle w:val="CharSectno"/>
        </w:rPr>
        <w:t>264</w:t>
      </w:r>
      <w:r>
        <w:t>.</w:t>
      </w:r>
      <w:r>
        <w:tab/>
        <w:t>Compensation</w:t>
      </w:r>
      <w:bookmarkEnd w:id="427"/>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lastRenderedPageBreak/>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428" w:name="_Toc161843961"/>
      <w:r>
        <w:rPr>
          <w:rStyle w:val="CharSectno"/>
        </w:rPr>
        <w:t>265</w:t>
      </w:r>
      <w:r>
        <w:t>.</w:t>
      </w:r>
      <w:r>
        <w:tab/>
        <w:t>Review of decisions relating to compensation</w:t>
      </w:r>
      <w:bookmarkEnd w:id="428"/>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429" w:name="_Toc161839346"/>
      <w:bookmarkStart w:id="430" w:name="_Toc161841633"/>
      <w:bookmarkStart w:id="431" w:name="_Toc161843962"/>
      <w:r>
        <w:rPr>
          <w:rStyle w:val="CharPartNo"/>
        </w:rPr>
        <w:lastRenderedPageBreak/>
        <w:t>Part 17</w:t>
      </w:r>
      <w:r>
        <w:t> — </w:t>
      </w:r>
      <w:r>
        <w:rPr>
          <w:rStyle w:val="CharPartText"/>
        </w:rPr>
        <w:t>Crown exemptions</w:t>
      </w:r>
      <w:bookmarkEnd w:id="429"/>
      <w:bookmarkEnd w:id="430"/>
      <w:bookmarkEnd w:id="431"/>
    </w:p>
    <w:p>
      <w:pPr>
        <w:pStyle w:val="Heading3"/>
      </w:pPr>
      <w:bookmarkStart w:id="432" w:name="_Toc161839347"/>
      <w:bookmarkStart w:id="433" w:name="_Toc161841634"/>
      <w:bookmarkStart w:id="434" w:name="_Toc161843963"/>
      <w:r>
        <w:rPr>
          <w:rStyle w:val="CharDivNo"/>
        </w:rPr>
        <w:t>Division 1</w:t>
      </w:r>
      <w:r>
        <w:t> — </w:t>
      </w:r>
      <w:r>
        <w:rPr>
          <w:rStyle w:val="CharDivText"/>
        </w:rPr>
        <w:t>Preliminary</w:t>
      </w:r>
      <w:bookmarkEnd w:id="432"/>
      <w:bookmarkEnd w:id="433"/>
      <w:bookmarkEnd w:id="434"/>
    </w:p>
    <w:p>
      <w:pPr>
        <w:pStyle w:val="Heading5"/>
      </w:pPr>
      <w:bookmarkStart w:id="435" w:name="_Toc161843964"/>
      <w:r>
        <w:rPr>
          <w:rStyle w:val="CharSectno"/>
        </w:rPr>
        <w:t>266</w:t>
      </w:r>
      <w:r>
        <w:t>.</w:t>
      </w:r>
      <w:r>
        <w:tab/>
        <w:t>Terms used</w:t>
      </w:r>
      <w:bookmarkEnd w:id="435"/>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436" w:name="_Toc161839349"/>
      <w:bookmarkStart w:id="437" w:name="_Toc161841636"/>
      <w:bookmarkStart w:id="438" w:name="_Toc161843965"/>
      <w:r>
        <w:rPr>
          <w:rStyle w:val="CharDivNo"/>
        </w:rPr>
        <w:lastRenderedPageBreak/>
        <w:t>Division 2</w:t>
      </w:r>
      <w:r>
        <w:t> — </w:t>
      </w:r>
      <w:r>
        <w:rPr>
          <w:rStyle w:val="CharDivText"/>
        </w:rPr>
        <w:t>Ministerial exemptions for Crown and Crown authorities</w:t>
      </w:r>
      <w:bookmarkEnd w:id="436"/>
      <w:bookmarkEnd w:id="437"/>
      <w:bookmarkEnd w:id="438"/>
    </w:p>
    <w:p>
      <w:pPr>
        <w:pStyle w:val="Heading5"/>
      </w:pPr>
      <w:bookmarkStart w:id="439" w:name="_Toc161843966"/>
      <w:r>
        <w:rPr>
          <w:rStyle w:val="CharSectno"/>
        </w:rPr>
        <w:t>267</w:t>
      </w:r>
      <w:r>
        <w:t>.</w:t>
      </w:r>
      <w:r>
        <w:tab/>
        <w:t>Minister may exempt Crown or Crown authority from certain provisions</w:t>
      </w:r>
      <w:bookmarkEnd w:id="439"/>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lastRenderedPageBreak/>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440" w:name="_Toc161843967"/>
      <w:r>
        <w:rPr>
          <w:rStyle w:val="CharSectno"/>
        </w:rPr>
        <w:t>268</w:t>
      </w:r>
      <w:r>
        <w:t>.</w:t>
      </w:r>
      <w:r>
        <w:tab/>
        <w:t>Duration of exemption</w:t>
      </w:r>
      <w:bookmarkEnd w:id="440"/>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441" w:name="_Toc161843968"/>
      <w:r>
        <w:rPr>
          <w:rStyle w:val="CharSectno"/>
        </w:rPr>
        <w:t>269</w:t>
      </w:r>
      <w:r>
        <w:t>.</w:t>
      </w:r>
      <w:r>
        <w:tab/>
        <w:t>Content of exemption</w:t>
      </w:r>
      <w:bookmarkEnd w:id="441"/>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pPr>
      <w:r>
        <w:tab/>
        <w:t>(a)</w:t>
      </w:r>
      <w:r>
        <w:tab/>
        <w:t>the exemption</w:t>
      </w:r>
      <w:r>
        <w:noBreakHyphen/>
        <w:t>holder;</w:t>
      </w:r>
    </w:p>
    <w:p>
      <w:pPr>
        <w:pStyle w:val="Indenta"/>
      </w:pPr>
      <w:r>
        <w:lastRenderedPageBreak/>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442" w:name="_Toc161843969"/>
      <w:r>
        <w:rPr>
          <w:rStyle w:val="CharSectno"/>
        </w:rPr>
        <w:t>270</w:t>
      </w:r>
      <w:r>
        <w:t>.</w:t>
      </w:r>
      <w:r>
        <w:tab/>
        <w:t>Effect of exemption</w:t>
      </w:r>
      <w:bookmarkEnd w:id="442"/>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443" w:name="_Toc161843970"/>
      <w:r>
        <w:rPr>
          <w:rStyle w:val="CharSectno"/>
        </w:rPr>
        <w:t>271</w:t>
      </w:r>
      <w:r>
        <w:t>.</w:t>
      </w:r>
      <w:r>
        <w:tab/>
        <w:t>Minister to consult before amending or revoking exemption</w:t>
      </w:r>
      <w:bookmarkEnd w:id="443"/>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444" w:name="_Toc161843971"/>
      <w:r>
        <w:rPr>
          <w:rStyle w:val="CharSectno"/>
        </w:rPr>
        <w:lastRenderedPageBreak/>
        <w:t>272</w:t>
      </w:r>
      <w:r>
        <w:t>.</w:t>
      </w:r>
      <w:r>
        <w:tab/>
        <w:t xml:space="preserve">Application of </w:t>
      </w:r>
      <w:r>
        <w:rPr>
          <w:i/>
        </w:rPr>
        <w:t>Interpretation Act 1984</w:t>
      </w:r>
      <w:r>
        <w:t xml:space="preserve"> to exemptions</w:t>
      </w:r>
      <w:bookmarkEnd w:id="444"/>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445" w:name="_Toc161839356"/>
      <w:bookmarkStart w:id="446" w:name="_Toc161841643"/>
      <w:bookmarkStart w:id="447" w:name="_Toc161843972"/>
      <w:r>
        <w:rPr>
          <w:rStyle w:val="CharDivNo"/>
        </w:rPr>
        <w:t>Division 3</w:t>
      </w:r>
      <w:r>
        <w:t> — </w:t>
      </w:r>
      <w:r>
        <w:rPr>
          <w:rStyle w:val="CharDivText"/>
        </w:rPr>
        <w:t>Compliance plans</w:t>
      </w:r>
      <w:bookmarkEnd w:id="445"/>
      <w:bookmarkEnd w:id="446"/>
      <w:bookmarkEnd w:id="447"/>
    </w:p>
    <w:p>
      <w:pPr>
        <w:pStyle w:val="Heading5"/>
      </w:pPr>
      <w:bookmarkStart w:id="448" w:name="_Toc161843973"/>
      <w:r>
        <w:rPr>
          <w:rStyle w:val="CharSectno"/>
        </w:rPr>
        <w:t>273</w:t>
      </w:r>
      <w:r>
        <w:t>.</w:t>
      </w:r>
      <w:r>
        <w:tab/>
        <w:t>Exemption may require compliance plan</w:t>
      </w:r>
      <w:bookmarkEnd w:id="448"/>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449" w:name="_Toc161843974"/>
      <w:r>
        <w:rPr>
          <w:rStyle w:val="CharSectno"/>
        </w:rPr>
        <w:t>274</w:t>
      </w:r>
      <w:r>
        <w:t>.</w:t>
      </w:r>
      <w:r>
        <w:tab/>
        <w:t>Development and approval of compliance plan</w:t>
      </w:r>
      <w:bookmarkEnd w:id="449"/>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lastRenderedPageBreak/>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450" w:name="_Toc161843975"/>
      <w:r>
        <w:rPr>
          <w:rStyle w:val="CharSectno"/>
        </w:rPr>
        <w:t>275</w:t>
      </w:r>
      <w:r>
        <w:t>.</w:t>
      </w:r>
      <w:r>
        <w:tab/>
        <w:t>Annual review of compliance plan</w:t>
      </w:r>
      <w:bookmarkEnd w:id="450"/>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451" w:name="_Toc161843976"/>
      <w:r>
        <w:rPr>
          <w:rStyle w:val="CharSectno"/>
        </w:rPr>
        <w:t>276</w:t>
      </w:r>
      <w:r>
        <w:t>.</w:t>
      </w:r>
      <w:r>
        <w:tab/>
        <w:t>Amendment or replacement of compliance plan</w:t>
      </w:r>
      <w:bookmarkEnd w:id="451"/>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Pr>
      <w:bookmarkStart w:id="452" w:name="_Toc161839361"/>
      <w:bookmarkStart w:id="453" w:name="_Toc161841648"/>
      <w:bookmarkStart w:id="454" w:name="_Toc161843977"/>
      <w:r>
        <w:rPr>
          <w:rStyle w:val="CharDivNo"/>
        </w:rPr>
        <w:t>Division 4</w:t>
      </w:r>
      <w:r>
        <w:t> — </w:t>
      </w:r>
      <w:r>
        <w:rPr>
          <w:rStyle w:val="CharDivText"/>
        </w:rPr>
        <w:t>Publication and reporting obligations</w:t>
      </w:r>
      <w:bookmarkEnd w:id="452"/>
      <w:bookmarkEnd w:id="453"/>
      <w:bookmarkEnd w:id="454"/>
    </w:p>
    <w:p>
      <w:pPr>
        <w:pStyle w:val="Heading5"/>
      </w:pPr>
      <w:bookmarkStart w:id="455" w:name="_Toc161843978"/>
      <w:r>
        <w:rPr>
          <w:rStyle w:val="CharSectno"/>
        </w:rPr>
        <w:t>277</w:t>
      </w:r>
      <w:r>
        <w:t>.</w:t>
      </w:r>
      <w:r>
        <w:tab/>
        <w:t>Exemption</w:t>
      </w:r>
      <w:r>
        <w:noBreakHyphen/>
        <w:t>holder to make exemption and compliance plan publicly available</w:t>
      </w:r>
      <w:bookmarkEnd w:id="455"/>
    </w:p>
    <w:p>
      <w:pPr>
        <w:pStyle w:val="Subsection"/>
        <w:keepNext/>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lastRenderedPageBreak/>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456" w:name="_Toc161843979"/>
      <w:r>
        <w:rPr>
          <w:rStyle w:val="CharSectno"/>
        </w:rPr>
        <w:t>278</w:t>
      </w:r>
      <w:r>
        <w:t>.</w:t>
      </w:r>
      <w:r>
        <w:tab/>
        <w:t>Annual report to include information about exemption and compliance plan</w:t>
      </w:r>
      <w:bookmarkEnd w:id="456"/>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457" w:name="_Toc161839364"/>
      <w:bookmarkStart w:id="458" w:name="_Toc161841651"/>
      <w:bookmarkStart w:id="459" w:name="_Toc161843980"/>
      <w:r>
        <w:rPr>
          <w:rStyle w:val="CharPartNo"/>
        </w:rPr>
        <w:lastRenderedPageBreak/>
        <w:t>Part 18</w:t>
      </w:r>
      <w:r>
        <w:t> — </w:t>
      </w:r>
      <w:r>
        <w:rPr>
          <w:rStyle w:val="CharPartText"/>
        </w:rPr>
        <w:t>Liability, evidentiary and procedural provisions</w:t>
      </w:r>
      <w:bookmarkEnd w:id="457"/>
      <w:bookmarkEnd w:id="458"/>
      <w:bookmarkEnd w:id="459"/>
    </w:p>
    <w:p>
      <w:pPr>
        <w:pStyle w:val="Heading3"/>
      </w:pPr>
      <w:bookmarkStart w:id="460" w:name="_Toc161839365"/>
      <w:bookmarkStart w:id="461" w:name="_Toc161841652"/>
      <w:bookmarkStart w:id="462" w:name="_Toc161843981"/>
      <w:r>
        <w:rPr>
          <w:rStyle w:val="CharDivNo"/>
        </w:rPr>
        <w:t>Division 1</w:t>
      </w:r>
      <w:r>
        <w:t> — </w:t>
      </w:r>
      <w:r>
        <w:rPr>
          <w:rStyle w:val="CharDivText"/>
        </w:rPr>
        <w:t>Civil liability</w:t>
      </w:r>
      <w:bookmarkEnd w:id="460"/>
      <w:bookmarkEnd w:id="461"/>
      <w:bookmarkEnd w:id="462"/>
    </w:p>
    <w:p>
      <w:pPr>
        <w:pStyle w:val="Heading5"/>
      </w:pPr>
      <w:bookmarkStart w:id="463" w:name="_Toc161843982"/>
      <w:r>
        <w:rPr>
          <w:rStyle w:val="CharSectno"/>
        </w:rPr>
        <w:t>279</w:t>
      </w:r>
      <w:r>
        <w:t>.</w:t>
      </w:r>
      <w:r>
        <w:tab/>
        <w:t>Contraventions not breach of statutory duty</w:t>
      </w:r>
      <w:bookmarkEnd w:id="463"/>
    </w:p>
    <w:p>
      <w:pPr>
        <w:pStyle w:val="Subsection"/>
      </w:pPr>
      <w:r>
        <w:tab/>
      </w:r>
      <w:r>
        <w:tab/>
        <w:t>A contravention of this Act is not actionable as a breach of statutory duty.</w:t>
      </w:r>
    </w:p>
    <w:p>
      <w:pPr>
        <w:pStyle w:val="Heading3"/>
      </w:pPr>
      <w:bookmarkStart w:id="464" w:name="_Toc161839367"/>
      <w:bookmarkStart w:id="465" w:name="_Toc161841654"/>
      <w:bookmarkStart w:id="466" w:name="_Toc161843983"/>
      <w:r>
        <w:rPr>
          <w:rStyle w:val="CharDivNo"/>
        </w:rPr>
        <w:t>Division 2</w:t>
      </w:r>
      <w:r>
        <w:t> — </w:t>
      </w:r>
      <w:r>
        <w:rPr>
          <w:rStyle w:val="CharDivText"/>
        </w:rPr>
        <w:t>Criminal liability</w:t>
      </w:r>
      <w:bookmarkEnd w:id="464"/>
      <w:bookmarkEnd w:id="465"/>
      <w:bookmarkEnd w:id="466"/>
    </w:p>
    <w:p>
      <w:pPr>
        <w:pStyle w:val="Heading5"/>
      </w:pPr>
      <w:bookmarkStart w:id="467" w:name="_Toc161843984"/>
      <w:r>
        <w:rPr>
          <w:rStyle w:val="CharSectno"/>
        </w:rPr>
        <w:t>280</w:t>
      </w:r>
      <w:r>
        <w:t>.</w:t>
      </w:r>
      <w:r>
        <w:tab/>
        <w:t>Commencing proceedings</w:t>
      </w:r>
      <w:bookmarkEnd w:id="467"/>
    </w:p>
    <w:p>
      <w:pPr>
        <w:pStyle w:val="Subsection"/>
      </w:pPr>
      <w:r>
        <w:tab/>
        <w:t>(1)</w:t>
      </w:r>
      <w:r>
        <w:tab/>
        <w:t xml:space="preserve">Proceedings for an offence under this Act (other than an offence under section 202MN(1))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Subsection"/>
      </w:pPr>
      <w:bookmarkStart w:id="468" w:name="_Hlk161840571"/>
      <w:r>
        <w:tab/>
        <w:t>(2)</w:t>
      </w:r>
      <w:r>
        <w:tab/>
        <w:t>Subsection (1) does not limit the ability of a person to commence or conduct the prosecution of an offence if the person has authority at law to do so.</w:t>
      </w:r>
    </w:p>
    <w:p>
      <w:pPr>
        <w:pStyle w:val="Subsection"/>
      </w:pPr>
      <w:r>
        <w:tab/>
        <w:t>(3)</w:t>
      </w:r>
      <w:r>
        <w:tab/>
        <w:t xml:space="preserve">Proceedings for an offence under section 202MN(1) may only be commenced by a person referred to in the </w:t>
      </w:r>
      <w:r>
        <w:rPr>
          <w:i/>
        </w:rPr>
        <w:t>Criminal Procedure Act 2004</w:t>
      </w:r>
      <w:r>
        <w:t xml:space="preserve"> section 20(3)(a)(ii) or (iii) or (b).</w:t>
      </w:r>
    </w:p>
    <w:bookmarkEnd w:id="468"/>
    <w:p>
      <w:pPr>
        <w:pStyle w:val="Footnotesection"/>
      </w:pPr>
      <w:r>
        <w:tab/>
        <w:t>[Section 280 amended: No. 14 of 2019 s. 11; No. 20 of 2023 s. 12.]</w:t>
      </w:r>
    </w:p>
    <w:p>
      <w:pPr>
        <w:pStyle w:val="Heading5"/>
      </w:pPr>
      <w:bookmarkStart w:id="469" w:name="_Toc161843985"/>
      <w:r>
        <w:rPr>
          <w:rStyle w:val="CharSectno"/>
        </w:rPr>
        <w:lastRenderedPageBreak/>
        <w:t>281</w:t>
      </w:r>
      <w:r>
        <w:t>.</w:t>
      </w:r>
      <w:r>
        <w:tab/>
        <w:t>Offences by employees — liability of employer</w:t>
      </w:r>
      <w:bookmarkEnd w:id="469"/>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470" w:name="_Toc161843986"/>
      <w:r>
        <w:rPr>
          <w:rStyle w:val="CharSectno"/>
        </w:rPr>
        <w:t>282</w:t>
      </w:r>
      <w:r>
        <w:t>.</w:t>
      </w:r>
      <w:r>
        <w:tab/>
        <w:t>Liability of officers for offence by body corporate</w:t>
      </w:r>
      <w:bookmarkEnd w:id="470"/>
    </w:p>
    <w:p>
      <w:pPr>
        <w:pStyle w:val="Subsection"/>
      </w:pPr>
      <w:r>
        <w:rPr>
          <w:i/>
        </w:rPr>
        <w:tab/>
      </w:r>
      <w:r>
        <w:rPr>
          <w:i/>
        </w:rPr>
        <w:tab/>
        <w:t>The Criminal Code</w:t>
      </w:r>
      <w:r>
        <w:t xml:space="preserve"> section 41 (which provides for the criminal liability of officers of a body corporate) applies to an offence under section 37(1), (2) or (3) or 38(1), (2) or (3) of this Act.</w:t>
      </w:r>
    </w:p>
    <w:p>
      <w:pPr>
        <w:pStyle w:val="Footnotesection"/>
      </w:pPr>
      <w:r>
        <w:tab/>
        <w:t>[Section 282 inserted: No. 9 of 2023 s. 127.]</w:t>
      </w:r>
    </w:p>
    <w:p>
      <w:pPr>
        <w:pStyle w:val="Ednotesection"/>
      </w:pPr>
      <w:r>
        <w:t>[</w:t>
      </w:r>
      <w:r>
        <w:rPr>
          <w:b/>
        </w:rPr>
        <w:t>283.</w:t>
      </w:r>
      <w:r>
        <w:tab/>
        <w:t>Deleted: No. 9 of 2023 s. 127.]</w:t>
      </w:r>
    </w:p>
    <w:p>
      <w:pPr>
        <w:pStyle w:val="Heading5"/>
      </w:pPr>
      <w:bookmarkStart w:id="471" w:name="_Toc161843987"/>
      <w:r>
        <w:rPr>
          <w:rStyle w:val="CharSectno"/>
        </w:rPr>
        <w:t>284</w:t>
      </w:r>
      <w:r>
        <w:t>.</w:t>
      </w:r>
      <w:r>
        <w:tab/>
        <w:t>Liability of employees and agents</w:t>
      </w:r>
      <w:bookmarkEnd w:id="471"/>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472" w:name="_Toc161843988"/>
      <w:r>
        <w:rPr>
          <w:rStyle w:val="CharSectno"/>
        </w:rPr>
        <w:t>285</w:t>
      </w:r>
      <w:r>
        <w:t>.</w:t>
      </w:r>
      <w:r>
        <w:tab/>
        <w:t>Disclosure by witnesses</w:t>
      </w:r>
      <w:bookmarkEnd w:id="472"/>
    </w:p>
    <w:p>
      <w:pPr>
        <w:pStyle w:val="Subsection"/>
      </w:pPr>
      <w:r>
        <w:tab/>
        <w:t>(1)</w:t>
      </w:r>
      <w:r>
        <w:tab/>
        <w:t xml:space="preserve">In any proceedings for an offence under this Act, a witness for the prosecution is not compelled to disclose the fact that the </w:t>
      </w:r>
      <w:r>
        <w:lastRenderedPageBreak/>
        <w:t>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473" w:name="_Toc161843989"/>
      <w:r>
        <w:rPr>
          <w:rStyle w:val="CharSectno"/>
        </w:rPr>
        <w:t>286</w:t>
      </w:r>
      <w:r>
        <w:t>.</w:t>
      </w:r>
      <w:r>
        <w:tab/>
        <w:t>Documentary evidence of certain matters</w:t>
      </w:r>
      <w:bookmarkEnd w:id="473"/>
    </w:p>
    <w:p>
      <w:pPr>
        <w:pStyle w:val="Subsection"/>
        <w:keepNext/>
      </w:pPr>
      <w:r>
        <w:tab/>
        <w:t>(1)</w:t>
      </w:r>
      <w:r>
        <w:tab/>
        <w:t xml:space="preserve">In this section — </w:t>
      </w:r>
    </w:p>
    <w:p>
      <w:pPr>
        <w:pStyle w:val="Defstart"/>
        <w:keepNex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 xml:space="preserve">a document purporting to be a copy of any licence, registration, approval, order, direction, notice or authority under this Act is evidence of that licence, </w:t>
      </w:r>
      <w:r>
        <w:lastRenderedPageBreak/>
        <w:t>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474" w:name="_Toc161843990"/>
      <w:r>
        <w:rPr>
          <w:rStyle w:val="CharSectno"/>
        </w:rPr>
        <w:t>287</w:t>
      </w:r>
      <w:r>
        <w:t>.</w:t>
      </w:r>
      <w:r>
        <w:tab/>
        <w:t>Court may order costs and expenses</w:t>
      </w:r>
      <w:bookmarkEnd w:id="474"/>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475" w:name="_Toc161843991"/>
      <w:r>
        <w:rPr>
          <w:rStyle w:val="CharSectno"/>
        </w:rPr>
        <w:t>288</w:t>
      </w:r>
      <w:r>
        <w:t>.</w:t>
      </w:r>
      <w:r>
        <w:tab/>
        <w:t>Court may order forfeiture</w:t>
      </w:r>
      <w:bookmarkEnd w:id="475"/>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476" w:name="_Toc161843992"/>
      <w:r>
        <w:rPr>
          <w:rStyle w:val="CharSectno"/>
        </w:rPr>
        <w:lastRenderedPageBreak/>
        <w:t>289</w:t>
      </w:r>
      <w:r>
        <w:t>.</w:t>
      </w:r>
      <w:r>
        <w:tab/>
        <w:t>Court’s powers in relation to registration and licences</w:t>
      </w:r>
      <w:bookmarkEnd w:id="476"/>
    </w:p>
    <w:p>
      <w:pPr>
        <w:pStyle w:val="Subsection"/>
        <w:keepNext/>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keepNext/>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477" w:name="_Toc161843993"/>
      <w:r>
        <w:rPr>
          <w:rStyle w:val="CharSectno"/>
        </w:rPr>
        <w:lastRenderedPageBreak/>
        <w:t>290</w:t>
      </w:r>
      <w:r>
        <w:t>.</w:t>
      </w:r>
      <w:r>
        <w:tab/>
        <w:t>Further provisions relating to orders under section 289</w:t>
      </w:r>
      <w:bookmarkEnd w:id="477"/>
    </w:p>
    <w:p>
      <w:pPr>
        <w:pStyle w:val="Subsection"/>
        <w:keepNext/>
        <w:keepLines/>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478" w:name="_Toc161839378"/>
      <w:bookmarkStart w:id="479" w:name="_Toc161841665"/>
      <w:bookmarkStart w:id="480" w:name="_Toc161843994"/>
      <w:r>
        <w:rPr>
          <w:rStyle w:val="CharPartNo"/>
        </w:rPr>
        <w:lastRenderedPageBreak/>
        <w:t>Part 19</w:t>
      </w:r>
      <w:r>
        <w:t> — </w:t>
      </w:r>
      <w:r>
        <w:rPr>
          <w:rStyle w:val="CharPartText"/>
        </w:rPr>
        <w:t>Miscellaneous</w:t>
      </w:r>
      <w:bookmarkEnd w:id="478"/>
      <w:bookmarkEnd w:id="479"/>
      <w:bookmarkEnd w:id="480"/>
    </w:p>
    <w:p>
      <w:pPr>
        <w:pStyle w:val="Ednotedivision"/>
      </w:pPr>
      <w:r>
        <w:t>[Division 1 (s. 294-296) has not come into operation.]</w:t>
      </w:r>
    </w:p>
    <w:p>
      <w:pPr>
        <w:pStyle w:val="Heading3"/>
      </w:pPr>
      <w:bookmarkStart w:id="481" w:name="_Toc161839379"/>
      <w:bookmarkStart w:id="482" w:name="_Toc161841666"/>
      <w:bookmarkStart w:id="483" w:name="_Toc161843995"/>
      <w:r>
        <w:rPr>
          <w:rStyle w:val="CharDivNo"/>
        </w:rPr>
        <w:t>Division 2</w:t>
      </w:r>
      <w:r>
        <w:t> — </w:t>
      </w:r>
      <w:r>
        <w:rPr>
          <w:rStyle w:val="CharDivText"/>
        </w:rPr>
        <w:t>General</w:t>
      </w:r>
      <w:bookmarkEnd w:id="481"/>
      <w:bookmarkEnd w:id="482"/>
      <w:bookmarkEnd w:id="483"/>
    </w:p>
    <w:p>
      <w:pPr>
        <w:pStyle w:val="Heading5"/>
      </w:pPr>
      <w:bookmarkStart w:id="484" w:name="_Toc161843996"/>
      <w:r>
        <w:rPr>
          <w:rStyle w:val="CharSectno"/>
        </w:rPr>
        <w:t>297</w:t>
      </w:r>
      <w:r>
        <w:t>.</w:t>
      </w:r>
      <w:r>
        <w:tab/>
        <w:t>Protection from liability for wrongdoing</w:t>
      </w:r>
      <w:bookmarkEnd w:id="48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Subsection"/>
      </w:pPr>
      <w:bookmarkStart w:id="485" w:name="_Toc161839381"/>
      <w:r>
        <w:tab/>
        <w:t>(6)</w:t>
      </w:r>
      <w:r>
        <w:tab/>
        <w:t xml:space="preserve">This section is in addition to and does not affect the operation of section 141(2), 188(5), 202MR(1)(b) or (2), 298(3) or 299(6). </w:t>
      </w:r>
    </w:p>
    <w:p>
      <w:pPr>
        <w:pStyle w:val="Footnotesection"/>
      </w:pPr>
      <w:r>
        <w:tab/>
        <w:t>[Section 297 amended: No. 20 of 2023 s. 13.]</w:t>
      </w:r>
    </w:p>
    <w:p>
      <w:pPr>
        <w:pStyle w:val="Heading3"/>
        <w:keepLines/>
      </w:pPr>
      <w:bookmarkStart w:id="486" w:name="_Toc161841668"/>
      <w:bookmarkStart w:id="487" w:name="_Toc161843997"/>
      <w:r>
        <w:rPr>
          <w:rStyle w:val="CharDivNo"/>
        </w:rPr>
        <w:lastRenderedPageBreak/>
        <w:t>Division 3</w:t>
      </w:r>
      <w:r>
        <w:t> — </w:t>
      </w:r>
      <w:r>
        <w:rPr>
          <w:rStyle w:val="CharDivText"/>
        </w:rPr>
        <w:t>Provisions relating to information</w:t>
      </w:r>
      <w:bookmarkEnd w:id="485"/>
      <w:bookmarkEnd w:id="486"/>
      <w:bookmarkEnd w:id="487"/>
    </w:p>
    <w:p>
      <w:pPr>
        <w:pStyle w:val="Heading5"/>
      </w:pPr>
      <w:bookmarkStart w:id="488" w:name="_Toc161843998"/>
      <w:r>
        <w:rPr>
          <w:rStyle w:val="CharSectno"/>
        </w:rPr>
        <w:t>297A</w:t>
      </w:r>
      <w:r>
        <w:t>.</w:t>
      </w:r>
      <w:r>
        <w:tab/>
        <w:t>Offence of giving false or misleading information</w:t>
      </w:r>
      <w:bookmarkEnd w:id="488"/>
    </w:p>
    <w:p>
      <w:pPr>
        <w:pStyle w:val="Subsection"/>
        <w:keepNext/>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489" w:name="_Toc161843999"/>
      <w:r>
        <w:rPr>
          <w:rStyle w:val="CharSectno"/>
        </w:rPr>
        <w:t>298</w:t>
      </w:r>
      <w:r>
        <w:t>.</w:t>
      </w:r>
      <w:r>
        <w:tab/>
        <w:t>Disclosure and use of information provided under Part 9 or 10</w:t>
      </w:r>
      <w:bookmarkEnd w:id="489"/>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lastRenderedPageBreak/>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490" w:name="_Toc161844000"/>
      <w:r>
        <w:rPr>
          <w:rStyle w:val="CharSectno"/>
        </w:rPr>
        <w:t>299</w:t>
      </w:r>
      <w:r>
        <w:t>.</w:t>
      </w:r>
      <w:r>
        <w:tab/>
        <w:t>Information sharing</w:t>
      </w:r>
      <w:bookmarkEnd w:id="490"/>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lastRenderedPageBreak/>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Subject to subsection (5A), 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lastRenderedPageBreak/>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tab/>
        <w:t>(5)</w:t>
      </w:r>
      <w:r>
        <w:tab/>
        <w:t xml:space="preserve">Subject to subsection (5A), 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(5A)</w:t>
      </w:r>
      <w:r>
        <w:tab/>
        <w:t xml:space="preserve">Information about abortion can only be disclosed under subsection (3), or requested under subsection (5), if the information — </w:t>
      </w:r>
    </w:p>
    <w:p>
      <w:pPr>
        <w:pStyle w:val="Indenta"/>
      </w:pPr>
      <w:r>
        <w:tab/>
        <w:t>(a)</w:t>
      </w:r>
      <w:r>
        <w:tab/>
        <w:t xml:space="preserve">meets the requirements set out in section 202MP(3) and (4); and </w:t>
      </w:r>
    </w:p>
    <w:p>
      <w:pPr>
        <w:pStyle w:val="Indenta"/>
      </w:pPr>
      <w:r>
        <w:tab/>
        <w:t>(b)</w:t>
      </w:r>
      <w:r>
        <w:tab/>
        <w:t>is disclosed or requested for a purpose referred to in section 202MQ.</w:t>
      </w:r>
    </w:p>
    <w:p>
      <w:pPr>
        <w:pStyle w:val="Subsection"/>
      </w:pPr>
      <w:r>
        <w:tab/>
        <w:t>(5B)</w:t>
      </w:r>
      <w:r>
        <w:tab/>
        <w:t>Subsection (5A) does not prevent the disclosure under subsection (3) of information about a suspected offence under section 202MN(1) to a person referred to in section 280(3).</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lastRenderedPageBreak/>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299 amended: No. 20 of 2023 s. 14.]</w:t>
      </w:r>
    </w:p>
    <w:p>
      <w:pPr>
        <w:pStyle w:val="Heading5"/>
      </w:pPr>
      <w:bookmarkStart w:id="491" w:name="_Toc161844001"/>
      <w:r>
        <w:rPr>
          <w:rStyle w:val="CharSectno"/>
        </w:rPr>
        <w:t>300</w:t>
      </w:r>
      <w:r>
        <w:t>.</w:t>
      </w:r>
      <w:r>
        <w:tab/>
        <w:t>Guidelines relating to information sharing</w:t>
      </w:r>
      <w:bookmarkEnd w:id="491"/>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492" w:name="_Toc161844002"/>
      <w:r>
        <w:rPr>
          <w:rStyle w:val="CharSectno"/>
        </w:rPr>
        <w:t>301</w:t>
      </w:r>
      <w:r>
        <w:t>.</w:t>
      </w:r>
      <w:r>
        <w:tab/>
        <w:t>Regulations relating to information sharing</w:t>
      </w:r>
      <w:bookmarkEnd w:id="492"/>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493" w:name="_Toc161844003"/>
      <w:r>
        <w:rPr>
          <w:rStyle w:val="CharSectno"/>
        </w:rPr>
        <w:lastRenderedPageBreak/>
        <w:t>302</w:t>
      </w:r>
      <w:r>
        <w:t>.</w:t>
      </w:r>
      <w:r>
        <w:tab/>
        <w:t>Confidential information officially obtained</w:t>
      </w:r>
      <w:bookmarkEnd w:id="493"/>
    </w:p>
    <w:p>
      <w:pPr>
        <w:pStyle w:val="Subsection"/>
        <w:keepNext/>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494" w:name="_Toc161839388"/>
      <w:bookmarkStart w:id="495" w:name="_Toc161841675"/>
      <w:bookmarkStart w:id="496" w:name="_Toc161844004"/>
      <w:r>
        <w:rPr>
          <w:rStyle w:val="CharDivNo"/>
        </w:rPr>
        <w:t>Division 4</w:t>
      </w:r>
      <w:r>
        <w:t> — </w:t>
      </w:r>
      <w:r>
        <w:rPr>
          <w:rStyle w:val="CharDivText"/>
        </w:rPr>
        <w:t>Guidelines</w:t>
      </w:r>
      <w:bookmarkEnd w:id="494"/>
      <w:bookmarkEnd w:id="495"/>
      <w:bookmarkEnd w:id="496"/>
    </w:p>
    <w:p>
      <w:pPr>
        <w:pStyle w:val="Heading5"/>
      </w:pPr>
      <w:bookmarkStart w:id="497" w:name="_Toc161844005"/>
      <w:r>
        <w:rPr>
          <w:rStyle w:val="CharSectno"/>
        </w:rPr>
        <w:t>303</w:t>
      </w:r>
      <w:r>
        <w:t>.</w:t>
      </w:r>
      <w:r>
        <w:tab/>
        <w:t>Guidelines</w:t>
      </w:r>
      <w:bookmarkEnd w:id="497"/>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498" w:name="_Toc161839390"/>
      <w:bookmarkStart w:id="499" w:name="_Toc161841677"/>
      <w:bookmarkStart w:id="500" w:name="_Toc161844006"/>
      <w:r>
        <w:rPr>
          <w:rStyle w:val="CharDivNo"/>
        </w:rPr>
        <w:t>Division 5</w:t>
      </w:r>
      <w:r>
        <w:t> — </w:t>
      </w:r>
      <w:r>
        <w:rPr>
          <w:rStyle w:val="CharDivText"/>
        </w:rPr>
        <w:t>Regulations</w:t>
      </w:r>
      <w:bookmarkEnd w:id="498"/>
      <w:bookmarkEnd w:id="499"/>
      <w:bookmarkEnd w:id="500"/>
    </w:p>
    <w:p>
      <w:pPr>
        <w:pStyle w:val="Heading5"/>
      </w:pPr>
      <w:bookmarkStart w:id="501" w:name="_Toc161844007"/>
      <w:r>
        <w:rPr>
          <w:rStyle w:val="CharSectno"/>
        </w:rPr>
        <w:t>304</w:t>
      </w:r>
      <w:r>
        <w:t>.</w:t>
      </w:r>
      <w:r>
        <w:tab/>
        <w:t>Regulations — general power</w:t>
      </w:r>
      <w:bookmarkEnd w:id="501"/>
    </w:p>
    <w:p>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lastRenderedPageBreak/>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lastRenderedPageBreak/>
        <w:tab/>
        <w:t>(i)</w:t>
      </w:r>
      <w:r>
        <w:tab/>
        <w:t xml:space="preserve">regulate or prohibit the advertising of — </w:t>
      </w:r>
    </w:p>
    <w:p>
      <w:pPr>
        <w:pStyle w:val="Indenti"/>
        <w:keepNext/>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502" w:name="_Toc161844008"/>
      <w:r>
        <w:rPr>
          <w:rStyle w:val="CharSectno"/>
        </w:rPr>
        <w:lastRenderedPageBreak/>
        <w:t>305</w:t>
      </w:r>
      <w:r>
        <w:t>.</w:t>
      </w:r>
      <w:r>
        <w:tab/>
        <w:t>Regulations may adopt codes or legislation</w:t>
      </w:r>
      <w:bookmarkEnd w:id="502"/>
    </w:p>
    <w:p>
      <w:pPr>
        <w:pStyle w:val="Subsection"/>
        <w:keepNext/>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w:t>
      </w:r>
      <w:r>
        <w:lastRenderedPageBreak/>
        <w:t>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503" w:name="_Toc161839393"/>
      <w:bookmarkStart w:id="504" w:name="_Toc161841680"/>
      <w:bookmarkStart w:id="505" w:name="_Toc161844009"/>
      <w:r>
        <w:rPr>
          <w:rStyle w:val="CharDivNo"/>
        </w:rPr>
        <w:t>Division 6</w:t>
      </w:r>
      <w:r>
        <w:t> — </w:t>
      </w:r>
      <w:r>
        <w:rPr>
          <w:rStyle w:val="CharDivText"/>
        </w:rPr>
        <w:t>Review of Act</w:t>
      </w:r>
      <w:bookmarkEnd w:id="503"/>
      <w:bookmarkEnd w:id="504"/>
      <w:bookmarkEnd w:id="505"/>
    </w:p>
    <w:p>
      <w:pPr>
        <w:pStyle w:val="Heading5"/>
      </w:pPr>
      <w:bookmarkStart w:id="506" w:name="_Toc161844010"/>
      <w:r>
        <w:rPr>
          <w:rStyle w:val="CharSectno"/>
        </w:rPr>
        <w:t>306</w:t>
      </w:r>
      <w:r>
        <w:t>.</w:t>
      </w:r>
      <w:r>
        <w:tab/>
        <w:t>Review of Act</w:t>
      </w:r>
      <w:bookmarkEnd w:id="506"/>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507" w:name="_Toc161844011"/>
      <w:r>
        <w:rPr>
          <w:rStyle w:val="CharSectno"/>
        </w:rPr>
        <w:lastRenderedPageBreak/>
        <w:t>306A</w:t>
      </w:r>
      <w:r>
        <w:rPr>
          <w:bCs/>
        </w:rPr>
        <w:t>.</w:t>
      </w:r>
      <w:r>
        <w:rPr>
          <w:bCs/>
        </w:rPr>
        <w:tab/>
        <w:t xml:space="preserve">Review of amendments made by </w:t>
      </w:r>
      <w:r>
        <w:rPr>
          <w:bCs/>
          <w:i/>
        </w:rPr>
        <w:t>Public Health Amendment (Immunisation Requirements for Enrolment) Act 2019</w:t>
      </w:r>
      <w:bookmarkEnd w:id="507"/>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508" w:name="_Toc161844012"/>
      <w:r>
        <w:rPr>
          <w:rStyle w:val="CharSectno"/>
        </w:rPr>
        <w:t>306B</w:t>
      </w:r>
      <w:r>
        <w:t>.</w:t>
      </w:r>
      <w:r>
        <w:tab/>
        <w:t xml:space="preserve">Review of amendments made by </w:t>
      </w:r>
      <w:r>
        <w:rPr>
          <w:i/>
        </w:rPr>
        <w:t>Public Health Amendment (Safe Access Zones) Act 2021</w:t>
      </w:r>
      <w:bookmarkEnd w:id="508"/>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keepNext/>
        <w:rPr>
          <w:snapToGrid w:val="0"/>
        </w:rPr>
      </w:pPr>
      <w:r>
        <w:lastRenderedPageBreak/>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5"/>
      </w:pPr>
      <w:bookmarkStart w:id="509" w:name="_Toc146789140"/>
      <w:bookmarkStart w:id="510" w:name="_Toc161844013"/>
      <w:bookmarkStart w:id="511" w:name="_Toc161839397"/>
      <w:r>
        <w:rPr>
          <w:rStyle w:val="CharSectno"/>
        </w:rPr>
        <w:t>306C</w:t>
      </w:r>
      <w:r>
        <w:t>.</w:t>
      </w:r>
      <w:r>
        <w:tab/>
        <w:t xml:space="preserve">Review of amendments made by </w:t>
      </w:r>
      <w:r>
        <w:rPr>
          <w:i/>
        </w:rPr>
        <w:t>Abortion Legislation Reform Act 2023</w:t>
      </w:r>
      <w:bookmarkEnd w:id="509"/>
      <w:bookmarkEnd w:id="510"/>
    </w:p>
    <w:p>
      <w:pPr>
        <w:pStyle w:val="Subsection"/>
      </w:pPr>
      <w:r>
        <w:tab/>
        <w:t>(1)</w:t>
      </w:r>
      <w:r>
        <w:tab/>
        <w:t xml:space="preserve">The Minister must review the operation and effectiveness of the amendments made to this Act by the </w:t>
      </w:r>
      <w:r>
        <w:rPr>
          <w:i/>
        </w:rPr>
        <w:t>Abortion Legislation Reform Act 2023</w:t>
      </w:r>
      <w:r>
        <w:t>, and prepare a report based on the review, as soon as practicable after the 5</w:t>
      </w:r>
      <w:r>
        <w:rPr>
          <w:vertAlign w:val="superscript"/>
        </w:rPr>
        <w:t>th</w:t>
      </w:r>
      <w:r>
        <w:t xml:space="preserve"> anniversary of the day on which the </w:t>
      </w:r>
      <w:r>
        <w:rPr>
          <w:i/>
        </w:rPr>
        <w:t xml:space="preserve">Abortion Legislation Reform Act 2023 </w:t>
      </w:r>
      <w:r>
        <w:t>section 15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Footnotesection"/>
      </w:pPr>
      <w:r>
        <w:tab/>
        <w:t>[Section 306C inserted: No. 20 of 2023 s. 15.]</w:t>
      </w:r>
    </w:p>
    <w:p>
      <w:pPr>
        <w:pStyle w:val="Heading2"/>
      </w:pPr>
      <w:bookmarkStart w:id="512" w:name="_Toc161841685"/>
      <w:bookmarkStart w:id="513" w:name="_Toc161844014"/>
      <w:r>
        <w:rPr>
          <w:rStyle w:val="CharPartNo"/>
        </w:rPr>
        <w:lastRenderedPageBreak/>
        <w:t>Part 20</w:t>
      </w:r>
      <w:r>
        <w:rPr>
          <w:rStyle w:val="CharDivNo"/>
        </w:rPr>
        <w:t> </w:t>
      </w:r>
      <w:r>
        <w:t>—</w:t>
      </w:r>
      <w:r>
        <w:rPr>
          <w:rStyle w:val="CharDivText"/>
        </w:rPr>
        <w:t> </w:t>
      </w:r>
      <w:r>
        <w:rPr>
          <w:rStyle w:val="CharPartText"/>
        </w:rPr>
        <w:t>Transitional and savings provisions</w:t>
      </w:r>
      <w:bookmarkEnd w:id="511"/>
      <w:bookmarkEnd w:id="512"/>
      <w:bookmarkEnd w:id="513"/>
    </w:p>
    <w:p>
      <w:pPr>
        <w:pStyle w:val="Heading5"/>
      </w:pPr>
      <w:bookmarkStart w:id="514" w:name="_Toc161844015"/>
      <w:r>
        <w:rPr>
          <w:rStyle w:val="CharSectno"/>
        </w:rPr>
        <w:t>307</w:t>
      </w:r>
      <w:r>
        <w:t>.</w:t>
      </w:r>
      <w:r>
        <w:tab/>
        <w:t>Terms used</w:t>
      </w:r>
      <w:bookmarkEnd w:id="514"/>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515" w:name="_Toc161844016"/>
      <w:r>
        <w:rPr>
          <w:rStyle w:val="CharSectno"/>
        </w:rPr>
        <w:t>308</w:t>
      </w:r>
      <w:r>
        <w:t>.</w:t>
      </w:r>
      <w:r>
        <w:tab/>
        <w:t xml:space="preserve">Application of </w:t>
      </w:r>
      <w:r>
        <w:rPr>
          <w:i/>
          <w:iCs/>
        </w:rPr>
        <w:t>Interpretation Act 1984</w:t>
      </w:r>
      <w:bookmarkEnd w:id="515"/>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516" w:name="_Toc161844017"/>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516"/>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bookmarkStart w:id="517" w:name="_Toc161844018"/>
      <w:r>
        <w:rPr>
          <w:rStyle w:val="CharSectno"/>
        </w:rPr>
        <w:t>310</w:t>
      </w:r>
      <w:r>
        <w:t>.</w:t>
      </w:r>
      <w:r>
        <w:tab/>
        <w:t>Reference to Chief Health Officer to be temporarily read as Executive Director, Public Health for purposes of Part 17</w:t>
      </w:r>
      <w:bookmarkEnd w:id="517"/>
    </w:p>
    <w:p>
      <w:pPr>
        <w:pStyle w:val="Subsection"/>
      </w:pPr>
      <w:r>
        <w:tab/>
      </w:r>
      <w:r>
        <w:tab/>
        <w:t xml:space="preserve">Until section 311 comes into operation, the reference to the Chief Health Officer in section 267(4)(a) is to be taken to be a </w:t>
      </w:r>
      <w:r>
        <w:lastRenderedPageBreak/>
        <w:t>reference to the Executive Director, Public Health in the Department.</w:t>
      </w:r>
    </w:p>
    <w:p>
      <w:pPr>
        <w:pStyle w:val="Heading5"/>
      </w:pPr>
      <w:bookmarkStart w:id="518" w:name="_Toc161844019"/>
      <w:r>
        <w:rPr>
          <w:rStyle w:val="CharSectno"/>
        </w:rPr>
        <w:t>311</w:t>
      </w:r>
      <w:r>
        <w:t>.</w:t>
      </w:r>
      <w:r>
        <w:tab/>
        <w:t>Executive Director, Public Health to hold office as Chief Health Officer</w:t>
      </w:r>
      <w:bookmarkEnd w:id="518"/>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519" w:name="_Toc161844020"/>
      <w:r>
        <w:rPr>
          <w:rStyle w:val="CharSectno"/>
        </w:rPr>
        <w:t>312</w:t>
      </w:r>
      <w:r>
        <w:t>.</w:t>
      </w:r>
      <w:r>
        <w:tab/>
        <w:t>Environmental health officers to be authorised officers for certain purposes</w:t>
      </w:r>
      <w:bookmarkEnd w:id="519"/>
    </w:p>
    <w:p>
      <w:pPr>
        <w:pStyle w:val="Subsection"/>
        <w:keepNext/>
      </w:pPr>
      <w:r>
        <w:tab/>
        <w:t>(1)</w:t>
      </w:r>
      <w:r>
        <w:tab/>
        <w:t xml:space="preserve">If, immediately before this section comes into operation, a person holds an appointment as an environmental health officer </w:t>
      </w:r>
      <w:r>
        <w:lastRenderedPageBreak/>
        <w:t xml:space="preserve">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p>
    <w:p>
      <w:pPr>
        <w:pStyle w:val="Heading5"/>
      </w:pPr>
      <w:bookmarkStart w:id="520" w:name="_Toc161844021"/>
      <w:r>
        <w:rPr>
          <w:rStyle w:val="CharSectno"/>
        </w:rPr>
        <w:lastRenderedPageBreak/>
        <w:t>321</w:t>
      </w:r>
      <w:r>
        <w:t>.</w:t>
      </w:r>
      <w:r>
        <w:tab/>
        <w:t xml:space="preserve">Transitional provisions for </w:t>
      </w:r>
      <w:r>
        <w:rPr>
          <w:i/>
        </w:rPr>
        <w:t>Blood and Tissue (Transmissible Diseases) Regulations 1985</w:t>
      </w:r>
      <w:bookmarkEnd w:id="520"/>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521" w:name="_Toc161844022"/>
      <w:r>
        <w:rPr>
          <w:rStyle w:val="CharSectno"/>
        </w:rPr>
        <w:t>322</w:t>
      </w:r>
      <w:r>
        <w:t>.</w:t>
      </w:r>
      <w:r>
        <w:tab/>
        <w:t>Transitional regulations</w:t>
      </w:r>
      <w:bookmarkEnd w:id="52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lastRenderedPageBreak/>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Heading2"/>
      </w:pPr>
      <w:bookmarkStart w:id="522" w:name="_Toc146789016"/>
      <w:bookmarkStart w:id="523" w:name="_Toc146789142"/>
      <w:bookmarkStart w:id="524" w:name="_Toc161841694"/>
      <w:bookmarkStart w:id="525" w:name="_Toc161844023"/>
      <w:r>
        <w:rPr>
          <w:rStyle w:val="CharPartNo"/>
        </w:rPr>
        <w:lastRenderedPageBreak/>
        <w:t>Part 21</w:t>
      </w:r>
      <w:r>
        <w:t> — </w:t>
      </w:r>
      <w:r>
        <w:rPr>
          <w:rStyle w:val="CharPartText"/>
        </w:rPr>
        <w:t xml:space="preserve">Transitional provisions for </w:t>
      </w:r>
      <w:r>
        <w:rPr>
          <w:rStyle w:val="CharPartText"/>
          <w:i/>
        </w:rPr>
        <w:t>Abortion Legislation Reform Act 2023</w:t>
      </w:r>
      <w:bookmarkEnd w:id="522"/>
      <w:bookmarkEnd w:id="523"/>
      <w:bookmarkEnd w:id="524"/>
      <w:bookmarkEnd w:id="525"/>
    </w:p>
    <w:p>
      <w:pPr>
        <w:pStyle w:val="Footnoteheading"/>
      </w:pPr>
      <w:bookmarkStart w:id="526" w:name="_Toc146789143"/>
      <w:r>
        <w:tab/>
        <w:t>[Heading inserted: No. 20 of 2023 s. 16.]</w:t>
      </w:r>
    </w:p>
    <w:p>
      <w:pPr>
        <w:pStyle w:val="Heading5"/>
      </w:pPr>
      <w:bookmarkStart w:id="527" w:name="_Toc161844024"/>
      <w:r>
        <w:rPr>
          <w:rStyle w:val="CharSectno"/>
        </w:rPr>
        <w:t>323</w:t>
      </w:r>
      <w:r>
        <w:t>.</w:t>
      </w:r>
      <w:r>
        <w:tab/>
        <w:t>Term used: commencement day</w:t>
      </w:r>
      <w:bookmarkEnd w:id="526"/>
      <w:bookmarkEnd w:id="527"/>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Abortion Legislation Reform Act 2023</w:t>
      </w:r>
      <w:r>
        <w:t xml:space="preserve"> section 16 comes into operation.</w:t>
      </w:r>
    </w:p>
    <w:p>
      <w:pPr>
        <w:pStyle w:val="Footnotesection"/>
      </w:pPr>
      <w:bookmarkStart w:id="528" w:name="_Toc146789144"/>
      <w:r>
        <w:tab/>
        <w:t>[Section 323 inserted: No. 20 of 2023 s. 16.]</w:t>
      </w:r>
    </w:p>
    <w:p>
      <w:pPr>
        <w:pStyle w:val="Heading5"/>
      </w:pPr>
      <w:bookmarkStart w:id="529" w:name="_Toc161844025"/>
      <w:r>
        <w:rPr>
          <w:rStyle w:val="CharSectno"/>
        </w:rPr>
        <w:t>324</w:t>
      </w:r>
      <w:r>
        <w:t>.</w:t>
      </w:r>
      <w:r>
        <w:tab/>
        <w:t xml:space="preserve">Decisions made under </w:t>
      </w:r>
      <w:r>
        <w:rPr>
          <w:i/>
        </w:rPr>
        <w:t>Health (Miscellaneous Provisions) Act 1911</w:t>
      </w:r>
      <w:r>
        <w:t xml:space="preserve"> s. 334(7)(a) before commencement day</w:t>
      </w:r>
      <w:bookmarkEnd w:id="528"/>
      <w:bookmarkEnd w:id="529"/>
    </w:p>
    <w:p>
      <w:pPr>
        <w:pStyle w:val="Subsection"/>
      </w:pPr>
      <w:r>
        <w:tab/>
        <w:t>(1)</w:t>
      </w:r>
      <w:r>
        <w:tab/>
        <w:t xml:space="preserve">This section applies if — </w:t>
      </w:r>
    </w:p>
    <w:p>
      <w:pPr>
        <w:pStyle w:val="Indenta"/>
      </w:pPr>
      <w:r>
        <w:tab/>
        <w:t>(a)</w:t>
      </w:r>
      <w:r>
        <w:tab/>
        <w:t xml:space="preserve">before commencement day under the </w:t>
      </w:r>
      <w:r>
        <w:rPr>
          <w:i/>
        </w:rPr>
        <w:t>Health (Miscellaneous Provisions) Act 1911</w:t>
      </w:r>
      <w:r>
        <w:t xml:space="preserve"> section 334(7)(a) 2 medical practitioners agree that the performance of an abortion on a person is justified; and</w:t>
      </w:r>
    </w:p>
    <w:p>
      <w:pPr>
        <w:pStyle w:val="Indenta"/>
      </w:pPr>
      <w:r>
        <w:tab/>
        <w:t>(b)</w:t>
      </w:r>
      <w:r>
        <w:tab/>
        <w:t>immediately before commencement day the abortion has not yet been performed on the person.</w:t>
      </w:r>
    </w:p>
    <w:p>
      <w:pPr>
        <w:pStyle w:val="Subsection"/>
      </w:pPr>
      <w:r>
        <w:tab/>
        <w:t>(2)</w:t>
      </w:r>
      <w:r>
        <w:tab/>
        <w:t xml:space="preserve">On and after commencement day, to the extent that section 202ME(1) applies to the performance of the abortion — </w:t>
      </w:r>
    </w:p>
    <w:p>
      <w:pPr>
        <w:pStyle w:val="Indenta"/>
      </w:pPr>
      <w:r>
        <w:tab/>
        <w:t>(a)</w:t>
      </w:r>
      <w:r>
        <w:tab/>
        <w:t>the requirements referred to in section 202ME(1)(a) and (b) are taken to have been complied with; and</w:t>
      </w:r>
    </w:p>
    <w:p>
      <w:pPr>
        <w:pStyle w:val="Indenta"/>
      </w:pPr>
      <w:r>
        <w:tab/>
        <w:t>(b)</w:t>
      </w:r>
      <w:r>
        <w:tab/>
        <w:t>a medical practitioner is authorised under that section to perform the abortion.</w:t>
      </w:r>
    </w:p>
    <w:p>
      <w:pPr>
        <w:pStyle w:val="Footnotesection"/>
      </w:pPr>
      <w:bookmarkStart w:id="530" w:name="_Toc146789145"/>
      <w:r>
        <w:tab/>
        <w:t>[Section 324 inserted: No. 20 of 2023 s. 16.]</w:t>
      </w:r>
    </w:p>
    <w:p>
      <w:pPr>
        <w:pStyle w:val="Heading5"/>
      </w:pPr>
      <w:bookmarkStart w:id="531" w:name="_Toc161844026"/>
      <w:r>
        <w:rPr>
          <w:rStyle w:val="CharSectno"/>
        </w:rPr>
        <w:lastRenderedPageBreak/>
        <w:t>325</w:t>
      </w:r>
      <w:r>
        <w:t>.</w:t>
      </w:r>
      <w:r>
        <w:tab/>
        <w:t xml:space="preserve">Applications made under </w:t>
      </w:r>
      <w:r>
        <w:rPr>
          <w:i/>
        </w:rPr>
        <w:t>Health (Miscellaneous Provisions) Act 1911</w:t>
      </w:r>
      <w:r>
        <w:t xml:space="preserve"> s. 334(9) before commencement day</w:t>
      </w:r>
      <w:bookmarkEnd w:id="530"/>
      <w:bookmarkEnd w:id="531"/>
    </w:p>
    <w:p>
      <w:pPr>
        <w:pStyle w:val="Subsection"/>
        <w:keepLines/>
      </w:pPr>
      <w:r>
        <w:tab/>
      </w:r>
      <w:r>
        <w:tab/>
        <w:t xml:space="preserve">If, immediately before commencement day, an application made to the Children’s Court under the </w:t>
      </w:r>
      <w:r>
        <w:rPr>
          <w:i/>
        </w:rPr>
        <w:t>Health (Miscellaneous Provisions) Act 1911</w:t>
      </w:r>
      <w:r>
        <w:t xml:space="preserve"> section 334(9) has not been determined by the Children’s Court, the application is taken to have been discontinued on commencement day.</w:t>
      </w:r>
    </w:p>
    <w:p>
      <w:pPr>
        <w:pStyle w:val="Footnotesection"/>
      </w:pPr>
      <w:r>
        <w:tab/>
        <w:t>[Section 325 inserted: No. 20 of 2023 s. 16.]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532" w:name="_Toc161839406"/>
      <w:bookmarkStart w:id="533" w:name="_Toc161841698"/>
      <w:bookmarkStart w:id="534" w:name="_Toc161844027"/>
      <w:r>
        <w:lastRenderedPageBreak/>
        <w:t>Notes</w:t>
      </w:r>
      <w:bookmarkEnd w:id="532"/>
      <w:bookmarkEnd w:id="533"/>
      <w:bookmarkEnd w:id="534"/>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35" w:name="_Toc161844028"/>
      <w:r>
        <w:t>Compilation table</w:t>
      </w:r>
      <w:bookmarkEnd w:id="53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lastRenderedPageBreak/>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nil"/>
              <w:right w:val="nil"/>
            </w:tcBorders>
          </w:tcPr>
          <w:p>
            <w:pPr>
              <w:pStyle w:val="nTable"/>
              <w:spacing w:after="40"/>
              <w:rPr>
                <w:i/>
                <w:noProof/>
              </w:rPr>
            </w:pPr>
            <w:r>
              <w:rPr>
                <w:i/>
              </w:rPr>
              <w:t>Public Health Amendment (Safe Access Zones) Act 2021</w:t>
            </w:r>
          </w:p>
        </w:tc>
        <w:tc>
          <w:tcPr>
            <w:tcW w:w="1134" w:type="dxa"/>
            <w:tcBorders>
              <w:top w:val="nil"/>
              <w:left w:val="nil"/>
              <w:bottom w:val="nil"/>
              <w:right w:val="nil"/>
            </w:tcBorders>
          </w:tcPr>
          <w:p>
            <w:pPr>
              <w:pStyle w:val="nTable"/>
              <w:keepNext/>
              <w:spacing w:after="40"/>
            </w:pPr>
            <w:r>
              <w:t>9 of 2021</w:t>
            </w:r>
          </w:p>
        </w:tc>
        <w:tc>
          <w:tcPr>
            <w:tcW w:w="1134" w:type="dxa"/>
            <w:tcBorders>
              <w:top w:val="nil"/>
              <w:left w:val="nil"/>
              <w:bottom w:val="nil"/>
              <w:right w:val="nil"/>
            </w:tcBorders>
          </w:tcPr>
          <w:p>
            <w:pPr>
              <w:pStyle w:val="nTable"/>
              <w:keepNext/>
              <w:spacing w:after="40"/>
            </w:pPr>
            <w:r>
              <w:t>17 Aug 2021</w:t>
            </w:r>
          </w:p>
        </w:tc>
        <w:tc>
          <w:tcPr>
            <w:tcW w:w="2552" w:type="dxa"/>
            <w:tcBorders>
              <w:top w:val="nil"/>
              <w:left w:val="nil"/>
              <w:bottom w:val="nil"/>
            </w:tcBorders>
          </w:tcPr>
          <w:p>
            <w:pPr>
              <w:pStyle w:val="nTable"/>
              <w:keepNext/>
            </w:pPr>
            <w:r>
              <w:t>s. 1 and 2: 17 Aug 2021 (see s. 2(a));</w:t>
            </w:r>
            <w:r>
              <w:br/>
              <w:t>Act other tha s. 1 and 2: 18 Aug 2021 (see s. 2(b))</w:t>
            </w:r>
          </w:p>
        </w:tc>
      </w:tr>
      <w:tr>
        <w:trPr>
          <w:cantSplit/>
        </w:trPr>
        <w:tc>
          <w:tcPr>
            <w:tcW w:w="2268" w:type="dxa"/>
            <w:tcBorders>
              <w:top w:val="nil"/>
              <w:bottom w:val="nil"/>
              <w:right w:val="nil"/>
            </w:tcBorders>
          </w:tcPr>
          <w:p>
            <w:pPr>
              <w:pStyle w:val="nTable"/>
              <w:spacing w:after="40"/>
              <w:rPr>
                <w:i/>
              </w:rPr>
            </w:pPr>
            <w:r>
              <w:rPr>
                <w:i/>
              </w:rPr>
              <w:t>Emergency Management Amendment (Temporary COVID</w:t>
            </w:r>
            <w:r>
              <w:rPr>
                <w:i/>
              </w:rPr>
              <w:noBreakHyphen/>
              <w:t>19 Provisions) Act 2022</w:t>
            </w:r>
            <w:r>
              <w:t xml:space="preserve"> Pt. 2 Div. 2 Subdiv. 5</w:t>
            </w:r>
          </w:p>
        </w:tc>
        <w:tc>
          <w:tcPr>
            <w:tcW w:w="1134" w:type="dxa"/>
            <w:tcBorders>
              <w:top w:val="nil"/>
              <w:left w:val="nil"/>
              <w:bottom w:val="nil"/>
              <w:right w:val="nil"/>
            </w:tcBorders>
          </w:tcPr>
          <w:p>
            <w:pPr>
              <w:pStyle w:val="nTable"/>
              <w:keepNext/>
              <w:spacing w:after="40"/>
            </w:pPr>
            <w:r>
              <w:t>33 of 2022</w:t>
            </w:r>
          </w:p>
        </w:tc>
        <w:tc>
          <w:tcPr>
            <w:tcW w:w="1134" w:type="dxa"/>
            <w:tcBorders>
              <w:top w:val="nil"/>
              <w:left w:val="nil"/>
              <w:bottom w:val="nil"/>
              <w:right w:val="nil"/>
            </w:tcBorders>
          </w:tcPr>
          <w:p>
            <w:pPr>
              <w:pStyle w:val="nTable"/>
              <w:keepNext/>
              <w:spacing w:after="40"/>
            </w:pPr>
            <w:r>
              <w:t>21 Oct 2022</w:t>
            </w:r>
          </w:p>
        </w:tc>
        <w:tc>
          <w:tcPr>
            <w:tcW w:w="2552" w:type="dxa"/>
            <w:tcBorders>
              <w:top w:val="nil"/>
              <w:left w:val="nil"/>
              <w:bottom w:val="nil"/>
            </w:tcBorders>
          </w:tcPr>
          <w:p>
            <w:pPr>
              <w:pStyle w:val="nTable"/>
              <w:keepNext/>
            </w:pPr>
            <w:r>
              <w:t>3 Nov 2022 (see s. 2(b) and SL 2022/175 cl. 2)</w:t>
            </w:r>
          </w:p>
        </w:tc>
      </w:tr>
      <w:tr>
        <w:trPr>
          <w:cantSplit/>
        </w:trPr>
        <w:tc>
          <w:tcPr>
            <w:tcW w:w="2268" w:type="dxa"/>
            <w:tcBorders>
              <w:top w:val="nil"/>
              <w:bottom w:val="nil"/>
              <w:right w:val="nil"/>
            </w:tcBorders>
          </w:tcPr>
          <w:p>
            <w:pPr>
              <w:pStyle w:val="nTable"/>
              <w:spacing w:after="40"/>
            </w:pPr>
            <w:r>
              <w:rPr>
                <w:i/>
              </w:rPr>
              <w:t>Directors’ Liability Reform Act 2023</w:t>
            </w:r>
            <w:r>
              <w:t xml:space="preserve"> Pt. 3 Div. 51</w:t>
            </w:r>
          </w:p>
        </w:tc>
        <w:tc>
          <w:tcPr>
            <w:tcW w:w="1134" w:type="dxa"/>
            <w:tcBorders>
              <w:top w:val="nil"/>
              <w:left w:val="nil"/>
              <w:bottom w:val="nil"/>
              <w:right w:val="nil"/>
            </w:tcBorders>
          </w:tcPr>
          <w:p>
            <w:pPr>
              <w:pStyle w:val="nTable"/>
              <w:keepNext/>
              <w:spacing w:after="40"/>
            </w:pPr>
            <w:r>
              <w:t>9 of 2023</w:t>
            </w:r>
          </w:p>
        </w:tc>
        <w:tc>
          <w:tcPr>
            <w:tcW w:w="1134" w:type="dxa"/>
            <w:tcBorders>
              <w:top w:val="nil"/>
              <w:left w:val="nil"/>
              <w:bottom w:val="nil"/>
              <w:right w:val="nil"/>
            </w:tcBorders>
          </w:tcPr>
          <w:p>
            <w:pPr>
              <w:pStyle w:val="nTable"/>
              <w:keepNext/>
              <w:spacing w:after="40"/>
            </w:pPr>
            <w:r>
              <w:t>4 Apr 2023</w:t>
            </w:r>
          </w:p>
        </w:tc>
        <w:tc>
          <w:tcPr>
            <w:tcW w:w="2552" w:type="dxa"/>
            <w:tcBorders>
              <w:top w:val="nil"/>
              <w:left w:val="nil"/>
              <w:bottom w:val="nil"/>
            </w:tcBorders>
          </w:tcPr>
          <w:p>
            <w:pPr>
              <w:pStyle w:val="nTable"/>
              <w:keepNext/>
            </w:pPr>
            <w:r>
              <w:t>5 Apr 2023 (see s. 2(j))</w:t>
            </w:r>
          </w:p>
        </w:tc>
      </w:tr>
      <w:tr>
        <w:trPr>
          <w:cantSplit/>
        </w:trPr>
        <w:tc>
          <w:tcPr>
            <w:tcW w:w="2268" w:type="dxa"/>
            <w:tcBorders>
              <w:top w:val="nil"/>
              <w:bottom w:val="single" w:sz="4" w:space="0" w:color="auto"/>
              <w:right w:val="nil"/>
            </w:tcBorders>
          </w:tcPr>
          <w:p>
            <w:pPr>
              <w:pStyle w:val="nTable"/>
              <w:spacing w:after="40"/>
              <w:rPr>
                <w:i/>
              </w:rPr>
            </w:pPr>
            <w:r>
              <w:rPr>
                <w:i/>
              </w:rPr>
              <w:t>Abortion Legislation Reform Act 2023</w:t>
            </w:r>
            <w:r>
              <w:t xml:space="preserve"> Pt. 3</w:t>
            </w:r>
          </w:p>
        </w:tc>
        <w:tc>
          <w:tcPr>
            <w:tcW w:w="1134" w:type="dxa"/>
            <w:tcBorders>
              <w:top w:val="nil"/>
              <w:left w:val="nil"/>
              <w:bottom w:val="single" w:sz="4" w:space="0" w:color="auto"/>
              <w:right w:val="nil"/>
            </w:tcBorders>
          </w:tcPr>
          <w:p>
            <w:pPr>
              <w:pStyle w:val="nTable"/>
              <w:keepNext/>
              <w:spacing w:after="40"/>
            </w:pPr>
            <w:r>
              <w:t>20 of 2023</w:t>
            </w:r>
          </w:p>
        </w:tc>
        <w:tc>
          <w:tcPr>
            <w:tcW w:w="1134" w:type="dxa"/>
            <w:tcBorders>
              <w:top w:val="nil"/>
              <w:left w:val="nil"/>
              <w:bottom w:val="single" w:sz="4" w:space="0" w:color="auto"/>
              <w:right w:val="nil"/>
            </w:tcBorders>
          </w:tcPr>
          <w:p>
            <w:pPr>
              <w:pStyle w:val="nTable"/>
              <w:keepNext/>
              <w:spacing w:after="40"/>
            </w:pPr>
            <w:r>
              <w:t>27 Sep 2023</w:t>
            </w:r>
          </w:p>
        </w:tc>
        <w:tc>
          <w:tcPr>
            <w:tcW w:w="2552" w:type="dxa"/>
            <w:tcBorders>
              <w:top w:val="nil"/>
              <w:left w:val="nil"/>
              <w:bottom w:val="single" w:sz="4" w:space="0" w:color="auto"/>
            </w:tcBorders>
          </w:tcPr>
          <w:p>
            <w:pPr>
              <w:pStyle w:val="nTable"/>
              <w:keepNext/>
            </w:pPr>
            <w:r>
              <w:t>27 Mar 2024 (see s. 2(b) and SL 2024/21 cl. 2)</w:t>
            </w:r>
          </w:p>
        </w:tc>
      </w:tr>
    </w:tbl>
    <w:p>
      <w:pPr>
        <w:pStyle w:val="nHeading3"/>
      </w:pPr>
      <w:bookmarkStart w:id="536" w:name="_Toc161844029"/>
      <w:r>
        <w:t>Uncommenced provisions table</w:t>
      </w:r>
      <w:bookmarkEnd w:id="536"/>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spacing w:after="40"/>
            </w:pPr>
            <w:r>
              <w:t>18 of 2016</w:t>
            </w:r>
          </w:p>
        </w:tc>
        <w:tc>
          <w:tcPr>
            <w:tcW w:w="1134" w:type="dxa"/>
            <w:tcBorders>
              <w:top w:val="single" w:sz="8" w:space="0" w:color="auto"/>
              <w:bottom w:val="nil"/>
            </w:tcBorders>
          </w:tcPr>
          <w:p>
            <w:pPr>
              <w:pStyle w:val="nTable"/>
              <w:spacing w:after="40"/>
            </w:pPr>
            <w:r>
              <w:t>25 Jul 2016</w:t>
            </w:r>
          </w:p>
        </w:tc>
        <w:tc>
          <w:tcPr>
            <w:tcW w:w="2552" w:type="dxa"/>
            <w:tcBorders>
              <w:top w:val="single" w:sz="8" w:space="0" w:color="auto"/>
              <w:bottom w:val="nil"/>
            </w:tcBorders>
          </w:tcPr>
          <w:p>
            <w:pPr>
              <w:pStyle w:val="nTable"/>
              <w:spacing w:after="40"/>
            </w:pPr>
            <w:r>
              <w:t>To be proclaimed (see s. 2(c))</w:t>
            </w:r>
          </w:p>
        </w:tc>
      </w:tr>
      <w:tr>
        <w:trPr>
          <w:cantSplit/>
        </w:trPr>
        <w:tc>
          <w:tcPr>
            <w:tcW w:w="2273" w:type="dxa"/>
            <w:tcBorders>
              <w:top w:val="nil"/>
              <w:bottom w:val="single" w:sz="4" w:space="0" w:color="auto"/>
            </w:tcBorders>
          </w:tcPr>
          <w:p>
            <w:pPr>
              <w:pStyle w:val="nTable"/>
              <w:spacing w:after="40"/>
              <w:rPr>
                <w:i/>
                <w:noProof/>
              </w:rPr>
            </w:pPr>
            <w:r>
              <w:rPr>
                <w:i/>
              </w:rPr>
              <w:t>Emergency Management Amendment (Temporary COVID</w:t>
            </w:r>
            <w:r>
              <w:rPr>
                <w:i/>
              </w:rPr>
              <w:noBreakHyphen/>
              <w:t>19 Provisions) Act 2022</w:t>
            </w:r>
            <w:r>
              <w:t xml:space="preserve"> Pt. 3 Div. 3</w:t>
            </w:r>
          </w:p>
        </w:tc>
        <w:tc>
          <w:tcPr>
            <w:tcW w:w="1134" w:type="dxa"/>
            <w:tcBorders>
              <w:top w:val="nil"/>
              <w:bottom w:val="single" w:sz="4" w:space="0" w:color="auto"/>
            </w:tcBorders>
          </w:tcPr>
          <w:p>
            <w:pPr>
              <w:pStyle w:val="nTable"/>
              <w:spacing w:after="40"/>
            </w:pPr>
            <w:r>
              <w:t>33 of 2022</w:t>
            </w:r>
          </w:p>
        </w:tc>
        <w:tc>
          <w:tcPr>
            <w:tcW w:w="1134" w:type="dxa"/>
            <w:tcBorders>
              <w:top w:val="nil"/>
              <w:bottom w:val="single" w:sz="4" w:space="0" w:color="auto"/>
            </w:tcBorders>
          </w:tcPr>
          <w:p>
            <w:pPr>
              <w:pStyle w:val="nTable"/>
              <w:spacing w:after="40"/>
            </w:pPr>
            <w:r>
              <w:t>21 Oct 2022</w:t>
            </w:r>
          </w:p>
        </w:tc>
        <w:tc>
          <w:tcPr>
            <w:tcW w:w="2552" w:type="dxa"/>
            <w:tcBorders>
              <w:top w:val="nil"/>
              <w:bottom w:val="single" w:sz="4" w:space="0" w:color="auto"/>
            </w:tcBorders>
          </w:tcPr>
          <w:p>
            <w:pPr>
              <w:pStyle w:val="nTable"/>
              <w:spacing w:after="40"/>
            </w:pPr>
            <w:r>
              <w:t>3 Nov 2024 (see s. 2(c) and SL 2022/175 cl. 2)</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538" w:name="_Toc161844030"/>
      <w:r>
        <w:rPr>
          <w:sz w:val="28"/>
        </w:rPr>
        <w:lastRenderedPageBreak/>
        <w:t>Defined terms</w:t>
      </w:r>
      <w:bookmarkEnd w:id="5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abortion drug</w:t>
      </w:r>
      <w:r>
        <w:tab/>
        <w:t>202MA</w:t>
      </w:r>
    </w:p>
    <w:p>
      <w:pPr>
        <w:pStyle w:val="DefinedTerms"/>
      </w:pPr>
      <w:r>
        <w:t>activity licence</w:t>
      </w:r>
      <w:r>
        <w:tab/>
        <w:t>4(1)</w:t>
      </w:r>
    </w:p>
    <w:p>
      <w:pPr>
        <w:pStyle w:val="DefinedTerms"/>
      </w:pPr>
      <w:r>
        <w:t>acute rheumatic fever</w:t>
      </w:r>
      <w:r>
        <w:tab/>
        <w:t>91(1)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Australian Immunisation Register</w:t>
      </w:r>
      <w:r>
        <w:tab/>
        <w:t>141A</w:t>
      </w:r>
    </w:p>
    <w:p>
      <w:pPr>
        <w:pStyle w:val="DefinedTerms"/>
      </w:pPr>
      <w:r>
        <w:t>authorisation</w:t>
      </w:r>
      <w:r>
        <w:tab/>
        <w:t>154(1), 176(1), 181(1), 198(1)</w:t>
      </w:r>
    </w:p>
    <w:p>
      <w:pPr>
        <w:pStyle w:val="DefinedTerms"/>
      </w:pPr>
      <w:r>
        <w:t>authorised officer</w:t>
      </w:r>
      <w:r>
        <w:tab/>
        <w:t>4(1), 4(2)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141A, 155, 177, 202G</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 323</w:t>
      </w:r>
    </w:p>
    <w:p>
      <w:pPr>
        <w:pStyle w:val="DefinedTerms"/>
      </w:pPr>
      <w:r>
        <w:t>Commissioner of Police</w:t>
      </w:r>
      <w:r>
        <w:tab/>
        <w:t>4(1)</w:t>
      </w:r>
    </w:p>
    <w:p>
      <w:pPr>
        <w:pStyle w:val="DefinedTerms"/>
      </w:pPr>
      <w:r>
        <w:t>community kindergarten</w:t>
      </w:r>
      <w:r>
        <w:tab/>
        <w:t>4(1)</w:t>
      </w:r>
    </w:p>
    <w:p>
      <w:pPr>
        <w:pStyle w:val="DefinedTerms"/>
      </w:pPr>
      <w:r>
        <w:t>compliance plan</w:t>
      </w:r>
      <w:r>
        <w:tab/>
        <w:t>266</w:t>
      </w:r>
    </w:p>
    <w:p>
      <w:pPr>
        <w:pStyle w:val="DefinedTerms"/>
      </w:pPr>
      <w:r>
        <w:t>compulsory education period</w:t>
      </w:r>
      <w:r>
        <w:tab/>
        <w:t>4(1)</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COVID-19 declaration</w:t>
      </w:r>
      <w:r>
        <w:tab/>
        <w:t>4(1)</w:t>
      </w:r>
    </w:p>
    <w:p>
      <w:pPr>
        <w:pStyle w:val="DefinedTerms"/>
      </w:pPr>
      <w:r>
        <w:t>COVID-19 management</w:t>
      </w:r>
      <w:r>
        <w:tab/>
        <w:t>4(1)</w:t>
      </w:r>
    </w:p>
    <w:p>
      <w:pPr>
        <w:pStyle w:val="DefinedTerms"/>
      </w:pPr>
      <w:r>
        <w:t>Crown</w:t>
      </w:r>
      <w:r>
        <w:tab/>
        <w:t>266</w:t>
      </w:r>
    </w:p>
    <w:p>
      <w:pPr>
        <w:pStyle w:val="DefinedTerms"/>
      </w:pPr>
      <w:r>
        <w:t>Crown authority</w:t>
      </w:r>
      <w:r>
        <w:tab/>
        <w:t>266</w:t>
      </w:r>
    </w:p>
    <w:p>
      <w:pPr>
        <w:pStyle w:val="DefinedTerms"/>
      </w:pPr>
      <w:r>
        <w:t>current</w:t>
      </w:r>
      <w:r>
        <w:tab/>
        <w:t>141A</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lastRenderedPageBreak/>
        <w:t>directing practitioner</w:t>
      </w:r>
      <w:r>
        <w:tab/>
        <w:t>202MF</w:t>
      </w:r>
    </w:p>
    <w:p>
      <w:pPr>
        <w:pStyle w:val="DefinedTerms"/>
      </w:pPr>
      <w:r>
        <w:t>direction</w:t>
      </w:r>
      <w:r>
        <w:tab/>
        <w:t>198(1)</w:t>
      </w:r>
    </w:p>
    <w:p>
      <w:pPr>
        <w:pStyle w:val="DefinedTerms"/>
      </w:pPr>
      <w:r>
        <w:t>disability</w:t>
      </w:r>
      <w:r>
        <w:tab/>
        <w:t>115, 155, 177</w:t>
      </w:r>
    </w:p>
    <w:p>
      <w:pPr>
        <w:pStyle w:val="DefinedTerms"/>
      </w:pPr>
      <w:r>
        <w:t>dispense</w:t>
      </w:r>
      <w:r>
        <w:tab/>
        <w:t>202MA</w:t>
      </w:r>
    </w:p>
    <w:p>
      <w:pPr>
        <w:pStyle w:val="DefinedTerms"/>
      </w:pPr>
      <w:r>
        <w:t>distribute</w:t>
      </w:r>
      <w:r>
        <w:tab/>
        <w:t>202O</w:t>
      </w:r>
    </w:p>
    <w:p>
      <w:pPr>
        <w:pStyle w:val="DefinedTerms"/>
      </w:pPr>
      <w:r>
        <w:t>emergency area</w:t>
      </w:r>
      <w:r>
        <w:tab/>
        <w:t>4(1)</w:t>
      </w:r>
    </w:p>
    <w:p>
      <w:pPr>
        <w:pStyle w:val="DefinedTerms"/>
      </w:pPr>
      <w:r>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enrolment</w:t>
      </w:r>
      <w:r>
        <w:tab/>
        <w:t>142A(1)</w:t>
      </w:r>
    </w:p>
    <w:p>
      <w:pPr>
        <w:pStyle w:val="DefinedTerms"/>
      </w:pPr>
      <w:r>
        <w:t>environmental health officer</w:t>
      </w:r>
      <w:r>
        <w:tab/>
        <w:t>4(1)</w:t>
      </w:r>
    </w:p>
    <w:p>
      <w:pPr>
        <w:pStyle w:val="DefinedTerms"/>
      </w:pPr>
      <w:r>
        <w:t>exempt child</w:t>
      </w:r>
      <w:r>
        <w:tab/>
        <w:t>141A</w:t>
      </w:r>
    </w:p>
    <w:p>
      <w:pPr>
        <w:pStyle w:val="DefinedTerms"/>
      </w:pPr>
      <w:r>
        <w:t>exemption</w:t>
      </w:r>
      <w:r>
        <w:tab/>
        <w:t>266</w:t>
      </w:r>
    </w:p>
    <w:p>
      <w:pPr>
        <w:pStyle w:val="DefinedTerms"/>
      </w:pPr>
      <w:r>
        <w:t>exemption-holder</w:t>
      </w:r>
      <w:r>
        <w:tab/>
        <w:t>266</w:t>
      </w:r>
    </w:p>
    <w:p>
      <w:pPr>
        <w:pStyle w:val="DefinedTerms"/>
      </w:pPr>
      <w:r>
        <w:t>exposed person</w:t>
      </w:r>
      <w:r>
        <w:tab/>
        <w:t>132</w:t>
      </w:r>
    </w:p>
    <w:p>
      <w:pPr>
        <w:pStyle w:val="DefinedTerms"/>
      </w:pPr>
      <w:r>
        <w:t>general public health duty</w:t>
      </w:r>
      <w:r>
        <w:tab/>
        <w:t>4(1)</w:t>
      </w:r>
    </w:p>
    <w:p>
      <w:pPr>
        <w:pStyle w:val="DefinedTerms"/>
      </w:pPr>
      <w:r>
        <w:t>guardian</w:t>
      </w:r>
      <w:r>
        <w:tab/>
        <w:t>202G, 202MM(1)</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w:t>
      </w:r>
      <w:r>
        <w:tab/>
        <w:t>4(1)</w:t>
      </w:r>
    </w:p>
    <w:p>
      <w:pPr>
        <w:pStyle w:val="DefinedTerms"/>
      </w:pPr>
      <w:r>
        <w:t>health professional</w:t>
      </w:r>
      <w:r>
        <w:tab/>
        <w:t>174(1)</w:t>
      </w:r>
    </w:p>
    <w:p>
      <w:pPr>
        <w:pStyle w:val="DefinedTerms"/>
      </w:pPr>
      <w:r>
        <w:t>health service</w:t>
      </w:r>
      <w:r>
        <w:tab/>
        <w:t>202MA</w:t>
      </w:r>
    </w:p>
    <w:p>
      <w:pPr>
        <w:pStyle w:val="DefinedTerms"/>
      </w:pPr>
      <w:r>
        <w:t>health service provider</w:t>
      </w:r>
      <w:r>
        <w:tab/>
        <w:t>202MA</w:t>
      </w:r>
    </w:p>
    <w:p>
      <w:pPr>
        <w:pStyle w:val="DefinedTerms"/>
      </w:pPr>
      <w:r>
        <w:t xml:space="preserve">hotel </w:t>
      </w:r>
      <w:r>
        <w:tab/>
        <w:t>202G</w:t>
      </w:r>
    </w:p>
    <w:p>
      <w:pPr>
        <w:pStyle w:val="DefinedTerms"/>
      </w:pPr>
      <w:r>
        <w:t>hotel-quarantined person</w:t>
      </w:r>
      <w:r>
        <w:tab/>
        <w:t>202G</w:t>
      </w:r>
    </w:p>
    <w:p>
      <w:pPr>
        <w:pStyle w:val="DefinedTerms"/>
      </w:pPr>
      <w:r>
        <w:t>IDEC declaration</w:t>
      </w:r>
      <w:r>
        <w:tab/>
        <w:t>4(1), 202A(1)</w:t>
      </w:r>
    </w:p>
    <w:p>
      <w:pPr>
        <w:pStyle w:val="DefinedTerms"/>
      </w:pPr>
      <w:r>
        <w:t>IDEC-directed person</w:t>
      </w:r>
      <w:r>
        <w:tab/>
        <w:t>160(4), 187(4)</w:t>
      </w:r>
    </w:p>
    <w:p>
      <w:pPr>
        <w:pStyle w:val="DefinedTerms"/>
      </w:pPr>
      <w:r>
        <w:t>identity card</w:t>
      </w:r>
      <w:r>
        <w:tab/>
        <w:t>31(1)</w:t>
      </w:r>
    </w:p>
    <w:p>
      <w:pPr>
        <w:pStyle w:val="DefinedTerms"/>
      </w:pPr>
      <w:r>
        <w:t>immunisation certificate</w:t>
      </w:r>
      <w:r>
        <w:tab/>
        <w:t>141A</w:t>
      </w:r>
    </w:p>
    <w:p>
      <w:pPr>
        <w:pStyle w:val="DefinedTerms"/>
      </w:pPr>
      <w:r>
        <w:t>immunisation status</w:t>
      </w:r>
      <w:r>
        <w:tab/>
        <w:t>141A</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lastRenderedPageBreak/>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medicine</w:t>
      </w:r>
      <w:r>
        <w:tab/>
        <w:t>202MA</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non-SES organisation</w:t>
      </w:r>
      <w:r>
        <w:tab/>
        <w:t>266</w:t>
      </w:r>
    </w:p>
    <w:p>
      <w:pPr>
        <w:pStyle w:val="DefinedTerms"/>
      </w:pPr>
      <w:r>
        <w:t>notifiable infectious disease</w:t>
      </w:r>
      <w:r>
        <w:tab/>
        <w:t>4(1)</w:t>
      </w:r>
    </w:p>
    <w:p>
      <w:pPr>
        <w:pStyle w:val="DefinedTerms"/>
      </w:pPr>
      <w:r>
        <w:t>notifiable infectious disease-related condition</w:t>
      </w:r>
      <w:r>
        <w:tab/>
        <w:t>4(1)</w:t>
      </w:r>
    </w:p>
    <w:p>
      <w:pPr>
        <w:pStyle w:val="DefinedTerms"/>
      </w:pPr>
      <w:r>
        <w:t>nurse</w:t>
      </w:r>
      <w:r>
        <w:tab/>
        <w:t>4(1)</w:t>
      </w:r>
    </w:p>
    <w:p>
      <w:pPr>
        <w:pStyle w:val="DefinedTerms"/>
      </w:pPr>
      <w:r>
        <w:t>nurse practitioner</w:t>
      </w:r>
      <w:r>
        <w:tab/>
        <w:t>4(1)</w:t>
      </w:r>
    </w:p>
    <w:p>
      <w:pPr>
        <w:pStyle w:val="DefinedTerms"/>
      </w:pPr>
      <w:r>
        <w:t>officer</w:t>
      </w:r>
      <w:r>
        <w:tab/>
        <w:t>299(1)</w:t>
      </w:r>
    </w:p>
    <w:p>
      <w:pPr>
        <w:pStyle w:val="DefinedTerms"/>
      </w:pPr>
      <w:r>
        <w:t>order</w:t>
      </w:r>
      <w:r>
        <w:tab/>
        <w:t>92(1), 129(1)</w:t>
      </w:r>
    </w:p>
    <w:p>
      <w:pPr>
        <w:pStyle w:val="DefinedTerms"/>
      </w:pPr>
      <w:r>
        <w:t>parent</w:t>
      </w:r>
      <w:r>
        <w:tab/>
        <w:t>202G</w:t>
      </w:r>
    </w:p>
    <w:p>
      <w:pPr>
        <w:pStyle w:val="DefinedTerms"/>
      </w:pPr>
      <w:r>
        <w:t>patient</w:t>
      </w:r>
      <w:r>
        <w:tab/>
        <w:t>202MI(1), 202MM(2)</w:t>
      </w:r>
    </w:p>
    <w:p>
      <w:pPr>
        <w:pStyle w:val="DefinedTerms"/>
      </w:pPr>
      <w:r>
        <w:t>perform an abortion</w:t>
      </w:r>
      <w:r>
        <w:tab/>
        <w:t>202MA</w:t>
      </w:r>
    </w:p>
    <w:p>
      <w:pPr>
        <w:pStyle w:val="DefinedTerms"/>
      </w:pPr>
      <w:r>
        <w:t>performs an abortion</w:t>
      </w:r>
      <w:r>
        <w:tab/>
        <w:t>202MB(1)</w:t>
      </w:r>
    </w:p>
    <w:p>
      <w:pPr>
        <w:pStyle w:val="DefinedTerms"/>
      </w:pPr>
      <w:r>
        <w:t>person</w:t>
      </w:r>
      <w:r>
        <w:tab/>
        <w:t>202MA</w:t>
      </w:r>
    </w:p>
    <w:p>
      <w:pPr>
        <w:pStyle w:val="DefinedTerms"/>
      </w:pPr>
      <w:r>
        <w:t>person A</w:t>
      </w:r>
      <w:r>
        <w:tab/>
        <w:t>26(1)</w:t>
      </w:r>
    </w:p>
    <w:p>
      <w:pPr>
        <w:pStyle w:val="DefinedTerms"/>
      </w:pPr>
      <w:r>
        <w:t>personal details</w:t>
      </w:r>
      <w:r>
        <w:tab/>
        <w:t>4(1)</w:t>
      </w:r>
    </w:p>
    <w:p>
      <w:pPr>
        <w:pStyle w:val="DefinedTerms"/>
      </w:pPr>
      <w:r>
        <w:t>person in charge</w:t>
      </w:r>
      <w:r>
        <w:tab/>
        <w:t>141A</w:t>
      </w:r>
    </w:p>
    <w:p>
      <w:pPr>
        <w:pStyle w:val="DefinedTerms"/>
      </w:pPr>
      <w:r>
        <w:t>pharmacist</w:t>
      </w:r>
      <w:r>
        <w:tab/>
        <w:t>202MA</w:t>
      </w:r>
    </w:p>
    <w:p>
      <w:pPr>
        <w:pStyle w:val="DefinedTerms"/>
      </w:pPr>
      <w:r>
        <w:t>poison</w:t>
      </w:r>
      <w:r>
        <w:tab/>
        <w:t>197(1)</w:t>
      </w:r>
    </w:p>
    <w:p>
      <w:pPr>
        <w:pStyle w:val="DefinedTerms"/>
      </w:pPr>
      <w:r>
        <w:t>premises</w:t>
      </w:r>
      <w:r>
        <w:tab/>
        <w:t>4(1)</w:t>
      </w:r>
    </w:p>
    <w:p>
      <w:pPr>
        <w:pStyle w:val="DefinedTerms"/>
      </w:pPr>
      <w:r>
        <w:t>premises at which abortions are provided</w:t>
      </w:r>
      <w:r>
        <w:tab/>
        <w:t>202O</w:t>
      </w:r>
    </w:p>
    <w:p>
      <w:pPr>
        <w:pStyle w:val="DefinedTerms"/>
      </w:pPr>
      <w:r>
        <w:t>prescribe</w:t>
      </w:r>
      <w:r>
        <w:tab/>
        <w:t>202MA</w:t>
      </w:r>
    </w:p>
    <w:p>
      <w:pPr>
        <w:pStyle w:val="DefinedTerms"/>
      </w:pPr>
      <w:r>
        <w:t>prescribed condition of health</w:t>
      </w:r>
      <w:r>
        <w:tab/>
        <w:t>4(1)</w:t>
      </w:r>
    </w:p>
    <w:p>
      <w:pPr>
        <w:pStyle w:val="DefinedTerms"/>
      </w:pPr>
      <w:r>
        <w:t>prescribing practitioner</w:t>
      </w:r>
      <w:r>
        <w:tab/>
        <w:t>202MA, 202MD(1)</w:t>
      </w:r>
    </w:p>
    <w:p>
      <w:pPr>
        <w:pStyle w:val="DefinedTerms"/>
      </w:pPr>
      <w:r>
        <w:t>prescription</w:t>
      </w:r>
      <w:r>
        <w:tab/>
        <w:t>202MA</w:t>
      </w:r>
    </w:p>
    <w:p>
      <w:pPr>
        <w:pStyle w:val="DefinedTerms"/>
      </w:pPr>
      <w:r>
        <w:t>primary clinical supervisor</w:t>
      </w:r>
      <w:r>
        <w:tab/>
        <w:t>202MA</w:t>
      </w:r>
    </w:p>
    <w:p>
      <w:pPr>
        <w:pStyle w:val="DefinedTerms"/>
      </w:pPr>
      <w:r>
        <w:t>primary practitioner</w:t>
      </w:r>
      <w:r>
        <w:tab/>
        <w:t>202ME(1)</w:t>
      </w:r>
    </w:p>
    <w:p>
      <w:pPr>
        <w:pStyle w:val="DefinedTerms"/>
      </w:pPr>
      <w:r>
        <w:t>private hospital service provider</w:t>
      </w:r>
      <w:r>
        <w:tab/>
        <w:t>202MA</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lastRenderedPageBreak/>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publish</w:t>
      </w:r>
      <w:r>
        <w:tab/>
        <w:t>202O</w:t>
      </w:r>
    </w:p>
    <w:p>
      <w:pPr>
        <w:pStyle w:val="DefinedTerms"/>
      </w:pPr>
      <w:r>
        <w:t>quarantine direction</w:t>
      </w:r>
      <w:r>
        <w:tab/>
        <w:t>4(1)</w:t>
      </w:r>
    </w:p>
    <w:p>
      <w:pPr>
        <w:pStyle w:val="DefinedTerms"/>
      </w:pPr>
      <w:r>
        <w:t>reasonably suspects</w:t>
      </w:r>
      <w:r>
        <w:tab/>
        <w:t>239</w:t>
      </w:r>
    </w:p>
    <w:p>
      <w:pPr>
        <w:pStyle w:val="DefinedTerms"/>
      </w:pPr>
      <w:r>
        <w:t>record</w:t>
      </w:r>
      <w:r>
        <w:tab/>
        <w:t>244(1)</w:t>
      </w:r>
    </w:p>
    <w:p>
      <w:pPr>
        <w:pStyle w:val="DefinedTerms"/>
      </w:pPr>
      <w:r>
        <w:t>recording</w:t>
      </w:r>
      <w:r>
        <w:tab/>
        <w:t>202O</w:t>
      </w:r>
    </w:p>
    <w:p>
      <w:pPr>
        <w:pStyle w:val="DefinedTerms"/>
      </w:pPr>
      <w:r>
        <w:t>refusing practitioner</w:t>
      </w:r>
      <w:r>
        <w:tab/>
        <w:t>202MI(1)</w:t>
      </w:r>
    </w:p>
    <w:p>
      <w:pPr>
        <w:pStyle w:val="DefinedTerms"/>
      </w:pPr>
      <w:r>
        <w:t>registered health practitioner</w:t>
      </w:r>
      <w:r>
        <w:tab/>
        <w:t>202MA</w:t>
      </w:r>
    </w:p>
    <w:p>
      <w:pPr>
        <w:pStyle w:val="DefinedTerms"/>
      </w:pPr>
      <w:r>
        <w:t>relative</w:t>
      </w:r>
      <w:r>
        <w:tab/>
        <w:t>99, 115, 132, 155, 177</w:t>
      </w:r>
    </w:p>
    <w:p>
      <w:pPr>
        <w:pStyle w:val="DefinedTerms"/>
      </w:pPr>
      <w:r>
        <w:t>relevant amendments</w:t>
      </w:r>
      <w:r>
        <w:tab/>
        <w:t>306A(1)</w:t>
      </w:r>
    </w:p>
    <w:p>
      <w:pPr>
        <w:pStyle w:val="DefinedTerms"/>
      </w:pPr>
      <w:r>
        <w:t>relevant counselling</w:t>
      </w:r>
      <w:r>
        <w:tab/>
        <w:t>99</w:t>
      </w:r>
    </w:p>
    <w:p>
      <w:pPr>
        <w:pStyle w:val="DefinedTerms"/>
      </w:pPr>
      <w:r>
        <w:t>relevant health profession</w:t>
      </w:r>
      <w:r>
        <w:tab/>
        <w:t>202MA</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 202MA</w:t>
      </w:r>
    </w:p>
    <w:p>
      <w:pPr>
        <w:pStyle w:val="DefinedTerms"/>
      </w:pPr>
      <w:r>
        <w:t>relevant to an offence</w:t>
      </w:r>
      <w:r>
        <w:tab/>
        <w:t>244(1)</w:t>
      </w:r>
    </w:p>
    <w:p>
      <w:pPr>
        <w:pStyle w:val="DefinedTerms"/>
      </w:pPr>
      <w:r>
        <w:t>remote communication</w:t>
      </w:r>
      <w:r>
        <w:tab/>
        <w:t>4(1)</w:t>
      </w:r>
    </w:p>
    <w:p>
      <w:pPr>
        <w:pStyle w:val="DefinedTerms"/>
      </w:pPr>
      <w:r>
        <w:t>requesting person</w:t>
      </w:r>
      <w:r>
        <w:tab/>
        <w:t>202MH(2)</w:t>
      </w:r>
    </w:p>
    <w:p>
      <w:pPr>
        <w:pStyle w:val="DefinedTerms"/>
      </w:pPr>
      <w:r>
        <w:t>required information</w:t>
      </w:r>
      <w:r>
        <w:tab/>
        <w:t>132</w:t>
      </w:r>
    </w:p>
    <w:p>
      <w:pPr>
        <w:pStyle w:val="DefinedTerms"/>
      </w:pPr>
      <w:r>
        <w:t>residual term</w:t>
      </w:r>
      <w:r>
        <w:tab/>
        <w:t>311(1)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141A, 155, 177</w:t>
      </w:r>
    </w:p>
    <w:p>
      <w:pPr>
        <w:pStyle w:val="DefinedTerms"/>
      </w:pPr>
      <w:r>
        <w:t>reviewable decisions</w:t>
      </w:r>
      <w:r>
        <w:tab/>
        <w:t>163(1), 194(1)</w:t>
      </w:r>
    </w:p>
    <w:p>
      <w:pPr>
        <w:pStyle w:val="DefinedTerms"/>
      </w:pPr>
      <w:r>
        <w:t>rheumatic heart disease</w:t>
      </w:r>
      <w:r>
        <w:tab/>
        <w:t>91(1)</w:t>
      </w:r>
    </w:p>
    <w:p>
      <w:pPr>
        <w:pStyle w:val="DefinedTerms"/>
      </w:pPr>
      <w:r>
        <w:t>safe access zone</w:t>
      </w:r>
      <w:r>
        <w:tab/>
        <w:t>202O</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297A(1)</w:t>
      </w:r>
    </w:p>
    <w:p>
      <w:pPr>
        <w:pStyle w:val="DefinedTerms"/>
      </w:pPr>
      <w:r>
        <w:t>student</w:t>
      </w:r>
      <w:r>
        <w:tab/>
        <w:t>4(1), 202MA</w:t>
      </w:r>
    </w:p>
    <w:p>
      <w:pPr>
        <w:pStyle w:val="DefinedTerms"/>
      </w:pPr>
      <w:r>
        <w:t>student register</w:t>
      </w:r>
      <w:r>
        <w:tab/>
        <w:t>202MA</w:t>
      </w:r>
    </w:p>
    <w:p>
      <w:pPr>
        <w:pStyle w:val="DefinedTerms"/>
      </w:pPr>
      <w:r>
        <w:t>subsidiary legislation</w:t>
      </w:r>
      <w:r>
        <w:tab/>
        <w:t>305(1)</w:t>
      </w:r>
    </w:p>
    <w:p>
      <w:pPr>
        <w:pStyle w:val="DefinedTerms"/>
      </w:pPr>
      <w:r>
        <w:t>supervising person</w:t>
      </w:r>
      <w:r>
        <w:tab/>
        <w:t>202MJ(1)</w:t>
      </w:r>
    </w:p>
    <w:p>
      <w:pPr>
        <w:pStyle w:val="DefinedTerms"/>
      </w:pPr>
      <w:r>
        <w:t>supply</w:t>
      </w:r>
      <w:r>
        <w:tab/>
        <w:t>202MA</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lastRenderedPageBreak/>
        <w:t>unqualified person</w:t>
      </w:r>
      <w:r>
        <w:tab/>
        <w:t>202MN(2), (3), (4), (5), (6), (7), (8)</w:t>
      </w:r>
    </w:p>
    <w:p>
      <w:pPr>
        <w:pStyle w:val="DefinedTerms"/>
      </w:pPr>
      <w:r>
        <w:t>urgently notifiable infectious disease</w:t>
      </w:r>
      <w:r>
        <w:tab/>
        <w:t>4(1)</w:t>
      </w:r>
    </w:p>
    <w:p>
      <w:pPr>
        <w:pStyle w:val="DefinedTerms"/>
      </w:pPr>
      <w:r>
        <w:t>urgently notifiable infectious disease-related condition</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C494406"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E9EAD0B" w14:textId="325B4692" w:rsidR="00D93839" w:rsidRDefault="00DE201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C70838">
                        <w:rPr>
                          <w:sz w:val="16"/>
                        </w:rPr>
                        <w:t>2024</w:t>
                      </w:r>
                      <w:r>
                        <w:rPr>
                          <w:sz w:val="16"/>
                        </w:rPr>
                        <w:fldChar w:fldCharType="end"/>
                      </w:r>
                      <w:r>
                        <w:rPr>
                          <w:sz w:val="16"/>
                        </w:rPr>
                        <w:t>.</w:t>
                      </w:r>
                    </w:p>
                    <w:p w14:paraId="18614C7A" w14:textId="77777777" w:rsidR="00D93839" w:rsidRDefault="00DE201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7BF90C0" w14:textId="76B72D9E" w:rsidR="00D93839" w:rsidRDefault="00DE201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C70838">
                        <w:rPr>
                          <w:sz w:val="16"/>
                        </w:rPr>
                        <w:t>2024</w:t>
                      </w:r>
                      <w:r>
                        <w:rPr>
                          <w:sz w:val="16"/>
                        </w:rPr>
                        <w:fldChar w:fldCharType="end"/>
                      </w:r>
                      <w:r>
                        <w:rPr>
                          <w:sz w:val="16"/>
                        </w:rPr>
                        <w:t>.</w:t>
                      </w:r>
                    </w:p>
                    <w:p w14:paraId="3B210AF0" w14:textId="77777777" w:rsidR="00D93839" w:rsidRDefault="00DE201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00-q0-00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00-q0-00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00-q0-00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00-q0-00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00-q0-00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00-q0-00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7" w:name="Compilation"/>
    <w:bookmarkEnd w:id="5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39" w:name="DefinedTerms"/>
    <w:bookmarkEnd w:id="53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40" w:name="Coversheet"/>
    <w:bookmarkEnd w:id="5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45413"/>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 w:name="WAFER_20221027162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040_GUID" w:val="d23e2dc3-2eba-42ce-b660-ab2fcb6eab39"/>
    <w:docVar w:name="WAFER_20230922122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22122908_GUID" w:val="9cab60b8-8c5e-426c-b15a-0d88e8036e25"/>
    <w:docVar w:name="WAFER_20231227135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54_GUID" w:val="5cef750d-b1d6-4fdd-8d09-646be8e2e6b1"/>
    <w:docVar w:name="WAFER_20240216111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1007_GUID" w:val="6b4a83c7-c273-48a0-b842-b1f10313494a"/>
    <w:docVar w:name="WAFER_20240320145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5413_GUID" w:val="0fb01813-cc63-4188-9055-732004e796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F09E-E5BD-44A8-AEF0-D2CFB05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57846</Words>
  <Characters>289809</Characters>
  <Application>Microsoft Office Word</Application>
  <DocSecurity>0</DocSecurity>
  <Lines>7832</Lines>
  <Paragraphs>4514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343141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2016 - 00-q0-00</dc:title>
  <dc:subject/>
  <dc:creator/>
  <cp:keywords/>
  <dc:description/>
  <cp:lastModifiedBy>Master Repository Process</cp:lastModifiedBy>
  <cp:revision>4</cp:revision>
  <cp:lastPrinted>2017-09-19T09:06:00Z</cp:lastPrinted>
  <dcterms:created xsi:type="dcterms:W3CDTF">2024-03-26T04:25:00Z</dcterms:created>
  <dcterms:modified xsi:type="dcterms:W3CDTF">2024-03-26T04:25:00Z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27 Mar 2024</vt:lpwstr>
  </property>
  <property fmtid="{D5CDD505-2E9C-101B-9397-08002B2CF9AE}" pid="6" name="Suffix">
    <vt:lpwstr>00-q0-00</vt:lpwstr>
  </property>
  <property fmtid="{D5CDD505-2E9C-101B-9397-08002B2CF9AE}" pid="7" name="Official">
    <vt:lpwstr/>
  </property>
  <property fmtid="{D5CDD505-2E9C-101B-9397-08002B2CF9AE}" pid="8" name="CommencementDate">
    <vt:lpwstr>20240327</vt:lpwstr>
  </property>
  <property fmtid="{D5CDD505-2E9C-101B-9397-08002B2CF9AE}" pid="9" name="CommencementAsAt">
    <vt:filetime>2024-03-26T16:00:00Z</vt:filetime>
  </property>
  <property fmtid="{D5CDD505-2E9C-101B-9397-08002B2CF9AE}" pid="10" name="CommencementYear">
    <vt:lpwstr>2024</vt:lpwstr>
  </property>
</Properties>
</file>