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Amendment (Monitoring Equipment) Act 2024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Sentence Administration Amendment (Monitoring Equipment) Act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_Toc162429751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_Toc162429752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_Toc162429753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118 amended</w:t>
      </w:r>
      <w:r>
        <w:tab/>
      </w:r>
      <w:r>
        <w:fldChar w:fldCharType="begin"/>
      </w:r>
      <w:r>
        <w:instrText xml:space="preserve"> PAGEREF _Toc162429754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after="480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-467995</wp:posOffset>
            </wp:positionV>
            <wp:extent cx="471600" cy="417600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</w:pPr>
      <w:r>
        <w:t>Sentence Administration Amendment (Monitoring Equipment) Act 2024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2" w:name="BillCited"/>
      <w:bookmarkEnd w:id="2"/>
      <w:r>
        <w:t>No. 6 of 2024</w:t>
      </w:r>
    </w:p>
    <w:p>
      <w:pPr>
        <w:pStyle w:val="LongTitle"/>
      </w:pPr>
      <w:r>
        <w:t xml:space="preserve">An Act to amend the </w:t>
      </w:r>
      <w:r>
        <w:rPr>
          <w:i/>
        </w:rPr>
        <w:t>Sentence Administration Act 2003</w:t>
      </w:r>
      <w:r>
        <w:t>.</w:t>
      </w:r>
    </w:p>
    <w:p>
      <w:pPr>
        <w:pStyle w:val="AssentDate"/>
        <w:spacing w:before="240" w:after="480"/>
      </w:pPr>
      <w:r>
        <w:t>[</w:t>
      </w:r>
      <w:r>
        <w:rPr>
          <w:i/>
        </w:rPr>
        <w:t>Assented to 26 March 2024</w:t>
      </w:r>
      <w:r>
        <w:t>]</w:t>
      </w:r>
    </w:p>
    <w:p>
      <w:pPr>
        <w:pStyle w:val="Enactment"/>
        <w:spacing w:before="0"/>
      </w:pPr>
      <w:r>
        <w:t>The Parliament of Western Australia enacts as follows: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3" w:name="_Toc162429751"/>
      <w:r>
        <w:rPr>
          <w:rStyle w:val="CharSectno"/>
        </w:rPr>
        <w:lastRenderedPageBreak/>
        <w:t>1</w:t>
      </w:r>
      <w:r>
        <w:t>.</w:t>
      </w:r>
      <w:r>
        <w:tab/>
        <w:t>Short title</w:t>
      </w:r>
      <w:bookmarkEnd w:id="3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Sentence Administration Amendment (Monitoring Equipment) Act 2024</w:t>
      </w:r>
      <w:r>
        <w:t>.</w:t>
      </w:r>
    </w:p>
    <w:p>
      <w:pPr>
        <w:pStyle w:val="Heading5"/>
      </w:pPr>
      <w:bookmarkStart w:id="4" w:name="_Toc162429752"/>
      <w:r>
        <w:rPr>
          <w:rStyle w:val="CharSectno"/>
        </w:rPr>
        <w:t>2</w:t>
      </w:r>
      <w:r>
        <w:t>.</w:t>
      </w:r>
      <w:r>
        <w:tab/>
        <w:t>Commencement</w:t>
      </w:r>
      <w:bookmarkEnd w:id="4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5" w:name="_Toc16242975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5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Sentence Administration Act 2003</w:t>
      </w:r>
      <w:r>
        <w:t>.</w:t>
      </w:r>
    </w:p>
    <w:p>
      <w:pPr>
        <w:pStyle w:val="Heading5"/>
      </w:pPr>
      <w:bookmarkStart w:id="6" w:name="_Toc162429754"/>
      <w:r>
        <w:rPr>
          <w:rStyle w:val="CharSectno"/>
        </w:rPr>
        <w:t>4</w:t>
      </w:r>
      <w:r>
        <w:t>.</w:t>
      </w:r>
      <w:r>
        <w:tab/>
        <w:t>Section 118 amended</w:t>
      </w:r>
      <w:bookmarkEnd w:id="6"/>
    </w:p>
    <w:p>
      <w:pPr>
        <w:pStyle w:val="Subsection"/>
      </w:pPr>
      <w:r>
        <w:tab/>
        <w:t>(1)</w:t>
      </w:r>
      <w:r>
        <w:tab/>
        <w:t>In section 118(6) after “excuse,”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damages,</w:t>
      </w:r>
    </w:p>
    <w:p>
      <w:pPr>
        <w:pStyle w:val="BlankClose"/>
      </w:pPr>
    </w:p>
    <w:p>
      <w:pPr>
        <w:pStyle w:val="Subsection"/>
      </w:pPr>
      <w:r>
        <w:tab/>
        <w:t>(2)</w:t>
      </w:r>
      <w:r>
        <w:tab/>
        <w:t>In section 118(6) delete the Penalty and insert:</w:t>
      </w:r>
    </w:p>
    <w:p>
      <w:pPr>
        <w:pStyle w:val="BlankOpen"/>
      </w:pPr>
    </w:p>
    <w:p>
      <w:pPr>
        <w:pStyle w:val="zPenstart"/>
      </w:pPr>
      <w:r>
        <w:tab/>
        <w:t>Penalty for this subsection: imprisonment for 3 years and a fine of $36 000.</w:t>
      </w:r>
    </w:p>
    <w:p>
      <w:pPr>
        <w:pStyle w:val="BlankClose"/>
      </w:pPr>
    </w:p>
    <w:p>
      <w:pPr>
        <w:pStyle w:val="Subsection"/>
        <w:keepNext/>
      </w:pPr>
      <w:r>
        <w:tab/>
        <w:t>(3)</w:t>
      </w:r>
      <w:r>
        <w:tab/>
        <w:t>Delete section 118(7) and insert:</w:t>
      </w:r>
    </w:p>
    <w:p>
      <w:pPr>
        <w:pStyle w:val="BlankOpen"/>
      </w:pPr>
    </w:p>
    <w:p>
      <w:pPr>
        <w:pStyle w:val="zSubsection"/>
        <w:keepNext/>
      </w:pPr>
      <w:r>
        <w:tab/>
        <w:t>(7)</w:t>
      </w:r>
      <w:r>
        <w:tab/>
        <w:t xml:space="preserve">A court sentencing a person convicted of an offence under subsection (6), committed at a time when the person had reached 18 years of age, must, unless it </w:t>
      </w:r>
      <w:r>
        <w:lastRenderedPageBreak/>
        <w:t xml:space="preserve">would be clearly unjust given the circumstances of the offence and the person — </w:t>
      </w:r>
    </w:p>
    <w:p>
      <w:pPr>
        <w:pStyle w:val="zIndenta"/>
      </w:pPr>
      <w:r>
        <w:tab/>
        <w:t>(a)</w:t>
      </w:r>
      <w:r>
        <w:tab/>
        <w:t>sentence the person to a term of imprisonment of at least 6 months; and</w:t>
      </w:r>
    </w:p>
    <w:p>
      <w:pPr>
        <w:pStyle w:val="zIndenta"/>
      </w:pPr>
      <w:r>
        <w:tab/>
        <w:t>(b)</w:t>
      </w:r>
      <w:r>
        <w:tab/>
        <w:t>not suspend the term of imprisonment.</w:t>
      </w:r>
    </w:p>
    <w:p>
      <w:pPr>
        <w:pStyle w:val="zSubsection"/>
      </w:pPr>
      <w:r>
        <w:tab/>
        <w:t>(8)</w:t>
      </w:r>
      <w:r>
        <w:tab/>
        <w:t xml:space="preserve">Subsection (7) applies despite the </w:t>
      </w:r>
      <w:r>
        <w:rPr>
          <w:i/>
          <w:iCs/>
        </w:rPr>
        <w:t>Sentencing Act 1995</w:t>
      </w:r>
      <w:r>
        <w:t xml:space="preserve"> section 86.</w:t>
      </w:r>
    </w:p>
    <w:p>
      <w:pPr>
        <w:pStyle w:val="BlankClose"/>
      </w:pPr>
    </w:p>
    <w:p>
      <w:pPr>
        <w:pStyle w:val="SectAltNote"/>
      </w:pPr>
      <w:r>
        <w:tab/>
        <w:t>Note: The heading to amended section 118 is to read:</w:t>
      </w:r>
    </w:p>
    <w:p>
      <w:pPr>
        <w:pStyle w:val="SectAltHeading"/>
        <w:rPr>
          <w:sz w:val="20"/>
        </w:rPr>
      </w:pPr>
      <w:r>
        <w:tab/>
      </w:r>
      <w:r>
        <w:tab/>
        <w:t>Offences relating to monitoring equipment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5"/>
          <w:headerReference w:type="default" r:id="rId26"/>
          <w:footerReference w:type="first" r:id="rId27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1700"/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center" w:pos="538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26 Mar 2024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5669"/>
        <w:tab w:val="right" w:pos="7088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ActNoFooter</w:instrText>
    </w:r>
    <w:r>
      <w:rPr>
        <w:sz w:val="20"/>
      </w:rPr>
      <w:fldChar w:fldCharType="separate"/>
    </w:r>
    <w:r>
      <w:rPr>
        <w:sz w:val="20"/>
      </w:rPr>
      <w:t>No. 6 of 2024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rPr>
        <w:sz w:val="16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Amendment (Monitoring Equipment)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Amendment (Monitoring Equipment)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Amendment (Monitoring Equipment)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Amendment (Monitoring Equipment)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Amendment (Monitoring Equipment)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Sentence Administration Amendment (Monitoring Equipment) Act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32710515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304031033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Footer.ResetPageFooter"/>
    <w:docVar w:name="WAFER_20230403103322_GUID" w:val="c6be0b40-711c-4ff6-b353-501793f44ed0"/>
    <w:docVar w:name="WAFER_202311071628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1107162842_GUID" w:val="d699e888-7ff6-487a-b2ea-1ca625ef4151"/>
    <w:docVar w:name="WAFER_2023112716324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1127163242_GUID" w:val="8f06a1af-9c2b-4182-af23-2a776bc26e41"/>
    <w:docVar w:name="WAFER_2024032710515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327105150_GUID" w:val="c0bc092a-e433-4516-8697-060d049f048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7321A7-14A9-4039-A1DD-DF89BFFF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jpeg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8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B3AA-B440-4A41-9C79-F69560DA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1806</Characters>
  <Application>Microsoft Office Word</Application>
  <DocSecurity>0</DocSecurity>
  <Lines>82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2103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Amendment (Monitoring Equipment) Act 2024 - 00-00-00</dc:title>
  <dc:subject/>
  <dc:creator/>
  <cp:keywords/>
  <dc:description/>
  <cp:lastModifiedBy>Master Repository Process</cp:lastModifiedBy>
  <cp:revision>4</cp:revision>
  <cp:lastPrinted>2024-03-27T02:31:00Z</cp:lastPrinted>
  <dcterms:created xsi:type="dcterms:W3CDTF">2024-03-27T03:55:00Z</dcterms:created>
  <dcterms:modified xsi:type="dcterms:W3CDTF">2024-03-27T03:55:00Z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 of 2024</vt:lpwstr>
  </property>
  <property fmtid="{D5CDD505-2E9C-101B-9397-08002B2CF9AE}" pid="3" name="DocumentType">
    <vt:lpwstr>Act</vt:lpwstr>
  </property>
  <property fmtid="{D5CDD505-2E9C-101B-9397-08002B2CF9AE}" pid="4" name="AsAtDate">
    <vt:lpwstr>26 Mar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ActNoFooter">
    <vt:lpwstr>No. 6 of 2024</vt:lpwstr>
  </property>
  <property fmtid="{D5CDD505-2E9C-101B-9397-08002B2CF9AE}" pid="8" name="CommencementDate">
    <vt:lpwstr>20240326</vt:lpwstr>
  </property>
  <property fmtid="{D5CDD505-2E9C-101B-9397-08002B2CF9AE}" pid="9" name="CommencementAsAt">
    <vt:filetime>2024-03-25T16:00:00Z</vt:filetime>
  </property>
  <property fmtid="{D5CDD505-2E9C-101B-9397-08002B2CF9AE}" pid="10" name="CommencementYear">
    <vt:lpwstr>2024</vt:lpwstr>
  </property>
</Properties>
</file>