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Railways (Access)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_Toc162425576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_Toc162425577 \h </w:instrText>
      </w:r>
      <w:r>
        <w:fldChar w:fldCharType="separate"/>
      </w:r>
      <w:r>
        <w:t>1</w:t>
      </w:r>
      <w:r>
        <w:fldChar w:fldCharType="end"/>
      </w:r>
    </w:p>
    <w:p>
      <w:pPr>
        <w:pStyle w:val="TOC8"/>
        <w:rPr>
          <w:rFonts w:asciiTheme="minorHAnsi" w:eastAsiaTheme="minorEastAsia" w:hAnsiTheme="minorHAnsi" w:cstheme="minorBidi"/>
          <w:szCs w:val="22"/>
        </w:rPr>
      </w:pPr>
      <w:r>
        <w:t>2A.</w:t>
      </w:r>
      <w:r>
        <w:tab/>
        <w:t>Object of the Act</w:t>
      </w:r>
      <w:r>
        <w:tab/>
      </w:r>
      <w:r>
        <w:fldChar w:fldCharType="begin"/>
      </w:r>
      <w:r>
        <w:instrText xml:space="preserve"> PAGEREF _Toc162425578 \h </w:instrText>
      </w:r>
      <w:r>
        <w:fldChar w:fldCharType="separate"/>
      </w:r>
      <w:r>
        <w:t>1</w:t>
      </w:r>
      <w:r>
        <w:fldChar w:fldCharType="end"/>
      </w:r>
    </w:p>
    <w:p>
      <w:pPr>
        <w:pStyle w:val="TOC8"/>
        <w:rPr>
          <w:rFonts w:asciiTheme="minorHAnsi" w:eastAsiaTheme="minorEastAsia" w:hAnsiTheme="minorHAnsi" w:cstheme="minorBidi"/>
          <w:szCs w:val="22"/>
        </w:rPr>
      </w:pPr>
      <w:r>
        <w:t>3</w:t>
      </w:r>
      <w:r>
        <w:rPr>
          <w:vertAlign w:val="superscript"/>
        </w:rPr>
        <w:t> M</w:t>
      </w:r>
      <w:r>
        <w:t>.</w:t>
      </w:r>
      <w:r>
        <w:tab/>
        <w:t>Terms used in this Act</w:t>
      </w:r>
      <w:r>
        <w:tab/>
      </w:r>
      <w:r>
        <w:fldChar w:fldCharType="begin"/>
      </w:r>
      <w:r>
        <w:instrText xml:space="preserve"> PAGEREF _Toc162425579 \h </w:instrText>
      </w:r>
      <w:r>
        <w:fldChar w:fldCharType="separate"/>
      </w:r>
      <w:r>
        <w:t>1</w:t>
      </w:r>
      <w:r>
        <w:fldChar w:fldCharType="end"/>
      </w:r>
    </w:p>
    <w:p>
      <w:pPr>
        <w:pStyle w:val="TOC8"/>
        <w:rPr>
          <w:rFonts w:asciiTheme="minorHAnsi" w:eastAsiaTheme="minorEastAsia" w:hAnsiTheme="minorHAnsi" w:cstheme="minorBidi"/>
          <w:szCs w:val="22"/>
        </w:rPr>
      </w:pPr>
      <w:r>
        <w:t>3A.</w:t>
      </w:r>
      <w:r>
        <w:tab/>
        <w:t>Scope of access rights clarified</w:t>
      </w:r>
      <w:r>
        <w:tab/>
      </w:r>
      <w:r>
        <w:fldChar w:fldCharType="begin"/>
      </w:r>
      <w:r>
        <w:instrText xml:space="preserve"> PAGEREF _Toc162425580 \h </w:instrText>
      </w:r>
      <w:r>
        <w:fldChar w:fldCharType="separate"/>
      </w:r>
      <w:r>
        <w:t>1</w:t>
      </w:r>
      <w:r>
        <w:fldChar w:fldCharType="end"/>
      </w:r>
    </w:p>
    <w:p>
      <w:pPr>
        <w:pStyle w:val="TOC8"/>
        <w:rPr>
          <w:rFonts w:asciiTheme="minorHAnsi" w:eastAsiaTheme="minorEastAsia" w:hAnsiTheme="minorHAnsi" w:cstheme="minorBidi"/>
          <w:szCs w:val="22"/>
        </w:rPr>
      </w:pPr>
      <w:r>
        <w:t>3B.</w:t>
      </w:r>
      <w:r>
        <w:tab/>
        <w:t>Access rights may bind person through whom title derives in certain cases</w:t>
      </w:r>
      <w:r>
        <w:tab/>
      </w:r>
      <w:r>
        <w:fldChar w:fldCharType="begin"/>
      </w:r>
      <w:r>
        <w:instrText xml:space="preserve"> PAGEREF _Toc162425581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Establishment of Code</w:t>
      </w:r>
    </w:p>
    <w:p>
      <w:pPr>
        <w:pStyle w:val="TOC8"/>
        <w:rPr>
          <w:rFonts w:asciiTheme="minorHAnsi" w:eastAsiaTheme="minorEastAsia" w:hAnsiTheme="minorHAnsi" w:cstheme="minorBidi"/>
          <w:szCs w:val="22"/>
        </w:rPr>
      </w:pPr>
      <w:r>
        <w:t>4.</w:t>
      </w:r>
      <w:r>
        <w:tab/>
        <w:t>Minister to establish Code</w:t>
      </w:r>
      <w:r>
        <w:tab/>
      </w:r>
      <w:r>
        <w:fldChar w:fldCharType="begin"/>
      </w:r>
      <w:r>
        <w:instrText xml:space="preserve"> PAGEREF _Toc162425583 \h </w:instrText>
      </w:r>
      <w:r>
        <w:fldChar w:fldCharType="separate"/>
      </w:r>
      <w:r>
        <w:t>1</w:t>
      </w:r>
      <w:r>
        <w:fldChar w:fldCharType="end"/>
      </w:r>
    </w:p>
    <w:p>
      <w:pPr>
        <w:pStyle w:val="TOC8"/>
        <w:rPr>
          <w:rFonts w:asciiTheme="minorHAnsi" w:eastAsiaTheme="minorEastAsia" w:hAnsiTheme="minorHAnsi" w:cstheme="minorBidi"/>
          <w:szCs w:val="22"/>
        </w:rPr>
      </w:pPr>
      <w:r>
        <w:t>5.</w:t>
      </w:r>
      <w:r>
        <w:tab/>
        <w:t>Criteria to be considered in applying Code to particular routes</w:t>
      </w:r>
      <w:r>
        <w:tab/>
      </w:r>
      <w:r>
        <w:fldChar w:fldCharType="begin"/>
      </w:r>
      <w:r>
        <w:instrText xml:space="preserve"> PAGEREF _Toc162425584 \h </w:instrText>
      </w:r>
      <w:r>
        <w:fldChar w:fldCharType="separate"/>
      </w:r>
      <w:r>
        <w:t>1</w:t>
      </w:r>
      <w:r>
        <w:fldChar w:fldCharType="end"/>
      </w:r>
    </w:p>
    <w:p>
      <w:pPr>
        <w:pStyle w:val="TOC8"/>
        <w:rPr>
          <w:rFonts w:asciiTheme="minorHAnsi" w:eastAsiaTheme="minorEastAsia" w:hAnsiTheme="minorHAnsi" w:cstheme="minorBidi"/>
          <w:szCs w:val="22"/>
        </w:rPr>
      </w:pPr>
      <w:r>
        <w:t>6.</w:t>
      </w:r>
      <w:r>
        <w:tab/>
        <w:t>Other matters for which Code may make provision</w:t>
      </w:r>
      <w:r>
        <w:tab/>
      </w:r>
      <w:r>
        <w:fldChar w:fldCharType="begin"/>
      </w:r>
      <w:r>
        <w:instrText xml:space="preserve"> PAGEREF _Toc162425585 \h </w:instrText>
      </w:r>
      <w:r>
        <w:fldChar w:fldCharType="separate"/>
      </w:r>
      <w:r>
        <w:t>1</w:t>
      </w:r>
      <w:r>
        <w:fldChar w:fldCharType="end"/>
      </w:r>
    </w:p>
    <w:p>
      <w:pPr>
        <w:pStyle w:val="TOC8"/>
        <w:rPr>
          <w:rFonts w:asciiTheme="minorHAnsi" w:eastAsiaTheme="minorEastAsia" w:hAnsiTheme="minorHAnsi" w:cstheme="minorBidi"/>
          <w:szCs w:val="22"/>
        </w:rPr>
      </w:pPr>
      <w:r>
        <w:t>7.</w:t>
      </w:r>
      <w:r>
        <w:tab/>
        <w:t>Code does not affect existing agreements</w:t>
      </w:r>
      <w:r>
        <w:tab/>
      </w:r>
      <w:r>
        <w:fldChar w:fldCharType="begin"/>
      </w:r>
      <w:r>
        <w:instrText xml:space="preserve"> PAGEREF _Toc162425586 \h </w:instrText>
      </w:r>
      <w:r>
        <w:fldChar w:fldCharType="separate"/>
      </w:r>
      <w:r>
        <w:t>1</w:t>
      </w:r>
      <w:r>
        <w:fldChar w:fldCharType="end"/>
      </w:r>
    </w:p>
    <w:p>
      <w:pPr>
        <w:pStyle w:val="TOC8"/>
        <w:rPr>
          <w:rFonts w:asciiTheme="minorHAnsi" w:eastAsiaTheme="minorEastAsia" w:hAnsiTheme="minorHAnsi" w:cstheme="minorBidi"/>
          <w:szCs w:val="22"/>
        </w:rPr>
      </w:pPr>
      <w:r>
        <w:t>8.</w:t>
      </w:r>
      <w:r>
        <w:tab/>
      </w:r>
      <w:r>
        <w:rPr>
          <w:iCs/>
        </w:rPr>
        <w:t xml:space="preserve">Code is subject to </w:t>
      </w:r>
      <w:r>
        <w:rPr>
          <w:i/>
          <w:iCs/>
        </w:rPr>
        <w:t>Rail Safety National Law (WA) Act 2015</w:t>
      </w:r>
      <w:r>
        <w:tab/>
      </w:r>
      <w:r>
        <w:fldChar w:fldCharType="begin"/>
      </w:r>
      <w:r>
        <w:instrText xml:space="preserve"> PAGEREF _Toc162425587 \h </w:instrText>
      </w:r>
      <w:r>
        <w:fldChar w:fldCharType="separate"/>
      </w:r>
      <w:r>
        <w:t>1</w:t>
      </w:r>
      <w:r>
        <w:fldChar w:fldCharType="end"/>
      </w:r>
    </w:p>
    <w:p>
      <w:pPr>
        <w:pStyle w:val="TOC8"/>
        <w:rPr>
          <w:rFonts w:asciiTheme="minorHAnsi" w:eastAsiaTheme="minorEastAsia" w:hAnsiTheme="minorHAnsi" w:cstheme="minorBidi"/>
          <w:szCs w:val="22"/>
        </w:rPr>
      </w:pPr>
      <w:r>
        <w:t>9.</w:t>
      </w:r>
      <w:r>
        <w:tab/>
        <w:t>Code is subsidiary legislation</w:t>
      </w:r>
      <w:r>
        <w:tab/>
      </w:r>
      <w:r>
        <w:fldChar w:fldCharType="begin"/>
      </w:r>
      <w:r>
        <w:instrText xml:space="preserve"> PAGEREF _Toc162425588 \h </w:instrText>
      </w:r>
      <w:r>
        <w:fldChar w:fldCharType="separate"/>
      </w:r>
      <w:r>
        <w:t>1</w:t>
      </w:r>
      <w:r>
        <w:fldChar w:fldCharType="end"/>
      </w:r>
    </w:p>
    <w:p>
      <w:pPr>
        <w:pStyle w:val="TOC8"/>
        <w:rPr>
          <w:rFonts w:asciiTheme="minorHAnsi" w:eastAsiaTheme="minorEastAsia" w:hAnsiTheme="minorHAnsi" w:cstheme="minorBidi"/>
          <w:szCs w:val="22"/>
        </w:rPr>
      </w:pPr>
      <w:r>
        <w:t>10.</w:t>
      </w:r>
      <w:r>
        <w:tab/>
        <w:t>Public comment on amendment or replacement of Code</w:t>
      </w:r>
      <w:r>
        <w:tab/>
      </w:r>
      <w:r>
        <w:fldChar w:fldCharType="begin"/>
      </w:r>
      <w:r>
        <w:instrText xml:space="preserve"> PAGEREF _Toc162425589 \h </w:instrText>
      </w:r>
      <w:r>
        <w:fldChar w:fldCharType="separate"/>
      </w:r>
      <w:r>
        <w:t>1</w:t>
      </w:r>
      <w:r>
        <w:fldChar w:fldCharType="end"/>
      </w:r>
    </w:p>
    <w:p>
      <w:pPr>
        <w:pStyle w:val="TOC8"/>
        <w:rPr>
          <w:rFonts w:asciiTheme="minorHAnsi" w:eastAsiaTheme="minorEastAsia" w:hAnsiTheme="minorHAnsi" w:cstheme="minorBidi"/>
          <w:szCs w:val="22"/>
        </w:rPr>
      </w:pPr>
      <w:r>
        <w:t>11.</w:t>
      </w:r>
      <w:r>
        <w:tab/>
        <w:t>Exception to section 10</w:t>
      </w:r>
      <w:r>
        <w:tab/>
      </w:r>
      <w:r>
        <w:fldChar w:fldCharType="begin"/>
      </w:r>
      <w:r>
        <w:instrText xml:space="preserve"> PAGEREF _Toc162425590 \h </w:instrText>
      </w:r>
      <w:r>
        <w:fldChar w:fldCharType="separate"/>
      </w:r>
      <w:r>
        <w:t>1</w:t>
      </w:r>
      <w:r>
        <w:fldChar w:fldCharType="end"/>
      </w:r>
    </w:p>
    <w:p>
      <w:pPr>
        <w:pStyle w:val="TOC8"/>
        <w:rPr>
          <w:rFonts w:asciiTheme="minorHAnsi" w:eastAsiaTheme="minorEastAsia" w:hAnsiTheme="minorHAnsi" w:cstheme="minorBidi"/>
          <w:szCs w:val="22"/>
        </w:rPr>
      </w:pPr>
      <w:r>
        <w:t>11A.</w:t>
      </w:r>
      <w:r>
        <w:tab/>
        <w:t>Consultation with railway owners on amendment or replacement of Code</w:t>
      </w:r>
      <w:r>
        <w:tab/>
      </w:r>
      <w:r>
        <w:fldChar w:fldCharType="begin"/>
      </w:r>
      <w:r>
        <w:instrText xml:space="preserve"> PAGEREF _Toc162425591 \h </w:instrText>
      </w:r>
      <w:r>
        <w:fldChar w:fldCharType="separate"/>
      </w:r>
      <w:r>
        <w:t>1</w:t>
      </w:r>
      <w:r>
        <w:fldChar w:fldCharType="end"/>
      </w:r>
    </w:p>
    <w:p>
      <w:pPr>
        <w:pStyle w:val="TOC8"/>
        <w:rPr>
          <w:rFonts w:asciiTheme="minorHAnsi" w:eastAsiaTheme="minorEastAsia" w:hAnsiTheme="minorHAnsi" w:cstheme="minorBidi"/>
          <w:szCs w:val="22"/>
        </w:rPr>
      </w:pPr>
      <w:r>
        <w:t>11B.</w:t>
      </w:r>
      <w:r>
        <w:tab/>
        <w:t>Amending Code for purposes of TPI Railway and Port Agreement</w:t>
      </w:r>
      <w:r>
        <w:tab/>
      </w:r>
      <w:r>
        <w:fldChar w:fldCharType="begin"/>
      </w:r>
      <w:r>
        <w:instrText xml:space="preserve"> PAGEREF _Toc162425592 \h </w:instrText>
      </w:r>
      <w:r>
        <w:fldChar w:fldCharType="separate"/>
      </w:r>
      <w:r>
        <w:t>1</w:t>
      </w:r>
      <w:r>
        <w:fldChar w:fldCharType="end"/>
      </w:r>
    </w:p>
    <w:p>
      <w:pPr>
        <w:pStyle w:val="TOC8"/>
        <w:rPr>
          <w:rFonts w:asciiTheme="minorHAnsi" w:eastAsiaTheme="minorEastAsia" w:hAnsiTheme="minorHAnsi" w:cstheme="minorBidi"/>
          <w:szCs w:val="22"/>
        </w:rPr>
      </w:pPr>
      <w:r>
        <w:t>12.</w:t>
      </w:r>
      <w:r>
        <w:tab/>
        <w:t>Review of Code</w:t>
      </w:r>
      <w:r>
        <w:tab/>
      </w:r>
      <w:r>
        <w:fldChar w:fldCharType="begin"/>
      </w:r>
      <w:r>
        <w:instrText xml:space="preserve"> PAGEREF _Toc162425593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The Regulator</w:t>
      </w:r>
    </w:p>
    <w:p>
      <w:pPr>
        <w:pStyle w:val="TOC8"/>
        <w:rPr>
          <w:rFonts w:asciiTheme="minorHAnsi" w:eastAsiaTheme="minorEastAsia" w:hAnsiTheme="minorHAnsi" w:cstheme="minorBidi"/>
          <w:szCs w:val="22"/>
        </w:rPr>
      </w:pPr>
      <w:r>
        <w:t>20.</w:t>
      </w:r>
      <w:r>
        <w:tab/>
        <w:t>Functions of Regulator</w:t>
      </w:r>
      <w:r>
        <w:tab/>
      </w:r>
      <w:r>
        <w:fldChar w:fldCharType="begin"/>
      </w:r>
      <w:r>
        <w:instrText xml:space="preserve"> PAGEREF _Toc162425595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to obtain information</w:t>
      </w:r>
      <w:r>
        <w:tab/>
      </w:r>
      <w:r>
        <w:fldChar w:fldCharType="begin"/>
      </w:r>
      <w:r>
        <w:instrText xml:space="preserve"> PAGEREF _Toc162425596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respect of documents etc.</w:t>
      </w:r>
      <w:r>
        <w:tab/>
      </w:r>
      <w:r>
        <w:fldChar w:fldCharType="begin"/>
      </w:r>
      <w:r>
        <w:instrText xml:space="preserve"> PAGEREF _Toc162425597 \h </w:instrText>
      </w:r>
      <w:r>
        <w:fldChar w:fldCharType="separate"/>
      </w:r>
      <w:r>
        <w:t>1</w:t>
      </w:r>
      <w:r>
        <w:fldChar w:fldCharType="end"/>
      </w:r>
    </w:p>
    <w:p>
      <w:pPr>
        <w:pStyle w:val="TOC8"/>
        <w:rPr>
          <w:rFonts w:asciiTheme="minorHAnsi" w:eastAsiaTheme="minorEastAsia" w:hAnsiTheme="minorHAnsi" w:cstheme="minorBidi"/>
          <w:szCs w:val="22"/>
        </w:rPr>
      </w:pPr>
      <w:r>
        <w:t>22A.</w:t>
      </w:r>
      <w:r>
        <w:tab/>
        <w:t>Power of entry</w:t>
      </w:r>
      <w:r>
        <w:tab/>
      </w:r>
      <w:r>
        <w:fldChar w:fldCharType="begin"/>
      </w:r>
      <w:r>
        <w:instrText xml:space="preserve"> PAGEREF _Toc162425598 \h </w:instrText>
      </w:r>
      <w:r>
        <w:fldChar w:fldCharType="separate"/>
      </w:r>
      <w:r>
        <w:t>1</w:t>
      </w:r>
      <w:r>
        <w:fldChar w:fldCharType="end"/>
      </w:r>
    </w:p>
    <w:p>
      <w:pPr>
        <w:pStyle w:val="TOC8"/>
        <w:rPr>
          <w:rFonts w:asciiTheme="minorHAnsi" w:eastAsiaTheme="minorEastAsia" w:hAnsiTheme="minorHAnsi" w:cstheme="minorBidi"/>
          <w:szCs w:val="22"/>
        </w:rPr>
      </w:pPr>
      <w:r>
        <w:t>22B.</w:t>
      </w:r>
      <w:r>
        <w:tab/>
        <w:t>Obstruction and deception</w:t>
      </w:r>
      <w:r>
        <w:tab/>
      </w:r>
      <w:r>
        <w:fldChar w:fldCharType="begin"/>
      </w:r>
      <w:r>
        <w:instrText xml:space="preserve"> PAGEREF _Toc162425599 \h </w:instrText>
      </w:r>
      <w:r>
        <w:fldChar w:fldCharType="separate"/>
      </w:r>
      <w:r>
        <w:t>1</w:t>
      </w:r>
      <w:r>
        <w:fldChar w:fldCharType="end"/>
      </w:r>
    </w:p>
    <w:p>
      <w:pPr>
        <w:pStyle w:val="TOC8"/>
        <w:rPr>
          <w:rFonts w:asciiTheme="minorHAnsi" w:eastAsiaTheme="minorEastAsia" w:hAnsiTheme="minorHAnsi" w:cstheme="minorBidi"/>
          <w:szCs w:val="22"/>
        </w:rPr>
      </w:pPr>
      <w:r>
        <w:t>22C.</w:t>
      </w:r>
      <w:r>
        <w:tab/>
        <w:t>Legal professional privilege</w:t>
      </w:r>
      <w:r>
        <w:tab/>
      </w:r>
      <w:r>
        <w:fldChar w:fldCharType="begin"/>
      </w:r>
      <w:r>
        <w:instrText xml:space="preserve"> PAGEREF _Toc162425600 \h </w:instrText>
      </w:r>
      <w:r>
        <w:fldChar w:fldCharType="separate"/>
      </w:r>
      <w:r>
        <w:t>1</w:t>
      </w:r>
      <w:r>
        <w:fldChar w:fldCharType="end"/>
      </w:r>
    </w:p>
    <w:p>
      <w:pPr>
        <w:pStyle w:val="TOC8"/>
        <w:rPr>
          <w:rFonts w:asciiTheme="minorHAnsi" w:eastAsiaTheme="minorEastAsia" w:hAnsiTheme="minorHAnsi" w:cstheme="minorBidi"/>
          <w:szCs w:val="22"/>
        </w:rPr>
      </w:pPr>
      <w:r>
        <w:t>22D.</w:t>
      </w:r>
      <w:r>
        <w:tab/>
        <w:t>Self</w:t>
      </w:r>
      <w:r>
        <w:noBreakHyphen/>
        <w:t>incrimination</w:t>
      </w:r>
      <w:r>
        <w:tab/>
      </w:r>
      <w:r>
        <w:fldChar w:fldCharType="begin"/>
      </w:r>
      <w:r>
        <w:instrText xml:space="preserve"> PAGEREF _Toc162425601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Confidentiality</w:t>
      </w:r>
      <w:r>
        <w:tab/>
      </w:r>
      <w:r>
        <w:fldChar w:fldCharType="begin"/>
      </w:r>
      <w:r>
        <w:instrText xml:space="preserve"> PAGEREF _Toc162425602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Administrative and accounting arrangements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w:t>
      </w:r>
      <w:r>
        <w:rPr>
          <w:snapToGrid w:val="0"/>
        </w:rPr>
        <w:t>.</w:t>
      </w:r>
      <w:r>
        <w:rPr>
          <w:snapToGrid w:val="0"/>
        </w:rPr>
        <w:tab/>
        <w:t>Terms used in this Part</w:t>
      </w:r>
      <w:r>
        <w:tab/>
      </w:r>
      <w:r>
        <w:fldChar w:fldCharType="begin"/>
      </w:r>
      <w:r>
        <w:instrText xml:space="preserve"> PAGEREF _Toc162425605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This Part prevails over the </w:t>
      </w:r>
      <w:r>
        <w:rPr>
          <w:i/>
          <w:snapToGrid w:val="0"/>
        </w:rPr>
        <w:t>Government Railways Act 1904</w:t>
      </w:r>
      <w:r>
        <w:tab/>
      </w:r>
      <w:r>
        <w:fldChar w:fldCharType="begin"/>
      </w:r>
      <w:r>
        <w:instrText xml:space="preserve"> PAGEREF _Toc162425606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arrangements</w:t>
      </w:r>
    </w:p>
    <w:p>
      <w:pPr>
        <w:pStyle w:val="TOC8"/>
        <w:rPr>
          <w:rFonts w:asciiTheme="minorHAnsi" w:eastAsiaTheme="minorEastAsia" w:hAnsiTheme="minorHAnsi" w:cstheme="minorBidi"/>
          <w:szCs w:val="22"/>
        </w:rPr>
      </w:pPr>
      <w:r>
        <w:t>26</w:t>
      </w:r>
      <w:r>
        <w:rPr>
          <w:snapToGrid w:val="0"/>
        </w:rPr>
        <w:t>.</w:t>
      </w:r>
      <w:r>
        <w:rPr>
          <w:snapToGrid w:val="0"/>
        </w:rPr>
        <w:tab/>
        <w:t>Authority to make administrative arrangements</w:t>
      </w:r>
      <w:r>
        <w:tab/>
      </w:r>
      <w:r>
        <w:fldChar w:fldCharType="begin"/>
      </w:r>
      <w:r>
        <w:instrText xml:space="preserve"> PAGEREF _Toc162425608 \h </w:instrText>
      </w:r>
      <w:r>
        <w:fldChar w:fldCharType="separate"/>
      </w:r>
      <w:r>
        <w:t>1</w:t>
      </w:r>
      <w:r>
        <w:fldChar w:fldCharType="end"/>
      </w:r>
    </w:p>
    <w:p>
      <w:pPr>
        <w:pStyle w:val="TOC8"/>
        <w:rPr>
          <w:rFonts w:asciiTheme="minorHAnsi" w:eastAsiaTheme="minorEastAsia" w:hAnsiTheme="minorHAnsi" w:cstheme="minorBidi"/>
          <w:szCs w:val="22"/>
        </w:rPr>
      </w:pPr>
      <w:r>
        <w:t>27.</w:t>
      </w:r>
      <w:r>
        <w:tab/>
        <w:t>Delegation</w:t>
      </w:r>
      <w:r>
        <w:tab/>
      </w:r>
      <w:r>
        <w:fldChar w:fldCharType="begin"/>
      </w:r>
      <w:r>
        <w:instrText xml:space="preserve"> PAGEREF _Toc162425609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Segregation of access</w:t>
      </w:r>
      <w:r>
        <w:noBreakHyphen/>
        <w:t>related functions</w:t>
      </w:r>
    </w:p>
    <w:p>
      <w:pPr>
        <w:pStyle w:val="TOC8"/>
        <w:rPr>
          <w:rFonts w:asciiTheme="minorHAnsi" w:eastAsiaTheme="minorEastAsia" w:hAnsiTheme="minorHAnsi" w:cstheme="minorBidi"/>
          <w:szCs w:val="22"/>
        </w:rPr>
      </w:pPr>
      <w:r>
        <w:t>28</w:t>
      </w:r>
      <w:r>
        <w:rPr>
          <w:snapToGrid w:val="0"/>
        </w:rPr>
        <w:t>.</w:t>
      </w:r>
      <w:r>
        <w:rPr>
          <w:snapToGrid w:val="0"/>
        </w:rPr>
        <w:tab/>
        <w:t>Duty to segregate</w:t>
      </w:r>
      <w:r>
        <w:tab/>
      </w:r>
      <w:r>
        <w:fldChar w:fldCharType="begin"/>
      </w:r>
      <w:r>
        <w:instrText xml:space="preserve"> PAGEREF _Toc162425611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Regulator in relation to segregation</w:t>
      </w:r>
      <w:r>
        <w:tab/>
      </w:r>
      <w:r>
        <w:fldChar w:fldCharType="begin"/>
      </w:r>
      <w:r>
        <w:instrText xml:space="preserve"> PAGEREF _Toc162425612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Matters to be covered under section 28</w:t>
      </w:r>
      <w:r>
        <w:tab/>
      </w:r>
      <w:r>
        <w:fldChar w:fldCharType="begin"/>
      </w:r>
      <w:r>
        <w:instrText xml:space="preserve"> PAGEREF _Toc162425613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confidential information</w:t>
      </w:r>
      <w:r>
        <w:tab/>
      </w:r>
      <w:r>
        <w:fldChar w:fldCharType="begin"/>
      </w:r>
      <w:r>
        <w:instrText xml:space="preserve"> PAGEREF _Toc162425614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Avoidance of conflict of interest</w:t>
      </w:r>
      <w:r>
        <w:tab/>
      </w:r>
      <w:r>
        <w:fldChar w:fldCharType="begin"/>
      </w:r>
      <w:r>
        <w:instrText xml:space="preserve"> PAGEREF _Toc162425615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of fairness</w:t>
      </w:r>
      <w:r>
        <w:tab/>
      </w:r>
      <w:r>
        <w:fldChar w:fldCharType="begin"/>
      </w:r>
      <w:r>
        <w:instrText xml:space="preserve"> PAGEREF _Toc162425616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Maintenance of separate accounts and records</w:t>
      </w:r>
      <w:r>
        <w:tab/>
      </w:r>
      <w:r>
        <w:fldChar w:fldCharType="begin"/>
      </w:r>
      <w:r>
        <w:instrText xml:space="preserve"> PAGEREF _Toc162425617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8"/>
        <w:rPr>
          <w:rFonts w:asciiTheme="minorHAnsi" w:eastAsiaTheme="minorEastAsia" w:hAnsiTheme="minorHAnsi" w:cstheme="minorBidi"/>
          <w:szCs w:val="22"/>
        </w:rPr>
      </w:pPr>
      <w:r>
        <w:t>34A</w:t>
      </w:r>
      <w:r>
        <w:rPr>
          <w:snapToGrid w:val="0"/>
        </w:rPr>
        <w:t>.</w:t>
      </w:r>
      <w:r>
        <w:rPr>
          <w:snapToGrid w:val="0"/>
        </w:rPr>
        <w:tab/>
      </w:r>
      <w:r>
        <w:t>Prohibitions on hindering or preventing access</w:t>
      </w:r>
      <w:r>
        <w:tab/>
      </w:r>
      <w:r>
        <w:fldChar w:fldCharType="begin"/>
      </w:r>
      <w:r>
        <w:instrText xml:space="preserve"> PAGEREF _Toc162425619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Contract enforcement not affected</w:t>
      </w:r>
      <w:r>
        <w:tab/>
      </w:r>
      <w:r>
        <w:fldChar w:fldCharType="begin"/>
      </w:r>
      <w:r>
        <w:instrText xml:space="preserve"> PAGEREF _Toc162425620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Remedies</w:t>
      </w:r>
      <w:r>
        <w:tab/>
      </w:r>
      <w:r>
        <w:fldChar w:fldCharType="begin"/>
      </w:r>
      <w:r>
        <w:instrText xml:space="preserve"> PAGEREF _Toc162425621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Injunctions</w:t>
      </w:r>
      <w:r>
        <w:tab/>
      </w:r>
      <w:r>
        <w:fldChar w:fldCharType="begin"/>
      </w:r>
      <w:r>
        <w:instrText xml:space="preserve"> PAGEREF _Toc162425622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_Toc162425624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_Toc162425625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_Toc162425626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 xml:space="preserve">An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[Long title amended: No. 13 of 2000 s. 61; No. 55 of 2000 s. 4; No. 67 of 2003 Sch. 2 cl. 54.]</w:t>
      </w:r>
    </w:p>
    <w:p>
      <w:pPr>
        <w:pStyle w:val="Heading2"/>
      </w:pPr>
      <w:bookmarkStart w:id="2" w:name="_Toc161914331"/>
      <w:bookmarkStart w:id="3" w:name="_Toc161914382"/>
      <w:bookmarkStart w:id="4" w:name="_Toc161922487"/>
      <w:bookmarkStart w:id="5" w:name="_Toc16242557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62425576"/>
      <w:r>
        <w:rPr>
          <w:rStyle w:val="CharSectno"/>
        </w:rPr>
        <w:t>1</w:t>
      </w:r>
      <w:r>
        <w:t>.</w:t>
      </w:r>
      <w:r>
        <w:tab/>
        <w:t>Short title</w:t>
      </w:r>
      <w:bookmarkEnd w:id="6"/>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No. 13 of 2000 s. 62.]</w:t>
      </w:r>
    </w:p>
    <w:p>
      <w:pPr>
        <w:pStyle w:val="Heading5"/>
      </w:pPr>
      <w:bookmarkStart w:id="7" w:name="_Toc162425577"/>
      <w:r>
        <w:rPr>
          <w:rStyle w:val="CharSectno"/>
        </w:rPr>
        <w:t>2</w:t>
      </w:r>
      <w:r>
        <w:t>.</w:t>
      </w:r>
      <w:r>
        <w:tab/>
        <w:t>Commencement</w:t>
      </w:r>
      <w:bookmarkEnd w:id="7"/>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8" w:name="_Toc162425578"/>
      <w:r>
        <w:rPr>
          <w:rStyle w:val="CharSectno"/>
        </w:rPr>
        <w:t>2A</w:t>
      </w:r>
      <w:r>
        <w:t>.</w:t>
      </w:r>
      <w:r>
        <w:tab/>
        <w:t>Object of the Act</w:t>
      </w:r>
      <w:bookmarkEnd w:id="8"/>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No. 13 of 2000 s. 63.]</w:t>
      </w:r>
    </w:p>
    <w:p>
      <w:pPr>
        <w:pStyle w:val="Heading5"/>
      </w:pPr>
      <w:bookmarkStart w:id="9" w:name="_Toc162425579"/>
      <w:r>
        <w:rPr>
          <w:rStyle w:val="CharSectno"/>
        </w:rPr>
        <w:t>3</w:t>
      </w:r>
      <w:r>
        <w:rPr>
          <w:vertAlign w:val="superscript"/>
        </w:rPr>
        <w:t> 1M</w:t>
      </w:r>
      <w:r>
        <w:t>.</w:t>
      </w:r>
      <w:r>
        <w:tab/>
        <w:t>Terms used in this Act</w:t>
      </w:r>
      <w:bookmarkEnd w:id="9"/>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lastRenderedPageBreak/>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w:t>
      </w:r>
    </w:p>
    <w:p>
      <w:pPr>
        <w:pStyle w:val="Defpara"/>
        <w:keepNext/>
      </w:pPr>
      <w:r>
        <w:lastRenderedPageBreak/>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keepNext/>
      </w:pPr>
      <w:r>
        <w:lastRenderedPageBreak/>
        <w:tab/>
        <w:t>(7)</w:t>
      </w:r>
      <w:r>
        <w:tab/>
        <w:t>Subsections (3) and (4) do not apply to a siding or spur line associated with the railway constructed pursuant to the TPI Railway and Port Agreement.</w:t>
      </w:r>
    </w:p>
    <w:p>
      <w:pPr>
        <w:pStyle w:val="Footnotesection"/>
      </w:pPr>
      <w:r>
        <w:tab/>
        <w:t>[Section 3 amended: No. 13 of 2000 s. 64; No. 55 of 2000 s. 5; No. 31 of 2003 s. 152(2); No. 67 of 2003 Sch. 2 cl. 55; No. 77 of 2004 s. 8; No. 60 of 2010 s. 10.]</w:t>
      </w:r>
    </w:p>
    <w:p>
      <w:pPr>
        <w:pStyle w:val="Footnotesection"/>
      </w:pPr>
      <w:r>
        <w:tab/>
        <w:t>[Section 3, modifications have effect under the Railway (Roy Hill Infrastructure Pty Ltd) Agreement Act 2010 s. 8.  See note 1M.]</w:t>
      </w:r>
    </w:p>
    <w:p>
      <w:pPr>
        <w:pStyle w:val="Heading5"/>
        <w:spacing w:before="180"/>
      </w:pPr>
      <w:bookmarkStart w:id="10" w:name="_Toc162425580"/>
      <w:r>
        <w:rPr>
          <w:rStyle w:val="CharSectno"/>
        </w:rPr>
        <w:t>3A</w:t>
      </w:r>
      <w:r>
        <w:t>.</w:t>
      </w:r>
      <w:r>
        <w:tab/>
        <w:t>Scope of access rights clarified</w:t>
      </w:r>
      <w:bookmarkEnd w:id="10"/>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No. 13 of 2000 s. 65.]</w:t>
      </w:r>
    </w:p>
    <w:p>
      <w:pPr>
        <w:pStyle w:val="Heading5"/>
        <w:spacing w:before="180"/>
      </w:pPr>
      <w:bookmarkStart w:id="11" w:name="_Toc162425581"/>
      <w:r>
        <w:rPr>
          <w:rStyle w:val="CharSectno"/>
        </w:rPr>
        <w:t>3B</w:t>
      </w:r>
      <w:r>
        <w:t>.</w:t>
      </w:r>
      <w:r>
        <w:tab/>
        <w:t>Access rights may bind person through whom title derives in certain cases</w:t>
      </w:r>
      <w:bookmarkEnd w:id="11"/>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keepNext/>
        <w:spacing w:before="120"/>
      </w:pPr>
      <w:r>
        <w:lastRenderedPageBreak/>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No. 13 of 2000 s. 65.]</w:t>
      </w:r>
    </w:p>
    <w:p>
      <w:pPr>
        <w:pStyle w:val="Heading2"/>
      </w:pPr>
      <w:bookmarkStart w:id="12" w:name="_Toc161914338"/>
      <w:bookmarkStart w:id="13" w:name="_Toc161914389"/>
      <w:bookmarkStart w:id="14" w:name="_Toc161922494"/>
      <w:bookmarkStart w:id="15" w:name="_Toc162425582"/>
      <w:r>
        <w:rPr>
          <w:rStyle w:val="CharPartNo"/>
        </w:rPr>
        <w:lastRenderedPageBreak/>
        <w:t>Part 2</w:t>
      </w:r>
      <w:r>
        <w:t> — </w:t>
      </w:r>
      <w:r>
        <w:rPr>
          <w:rStyle w:val="CharPartText"/>
        </w:rPr>
        <w:t>Establishment of Code</w:t>
      </w:r>
      <w:bookmarkEnd w:id="12"/>
      <w:bookmarkEnd w:id="13"/>
      <w:bookmarkEnd w:id="14"/>
      <w:bookmarkEnd w:id="15"/>
      <w:r>
        <w:rPr>
          <w:rStyle w:val="CharPartText"/>
        </w:rPr>
        <w:t xml:space="preserve"> </w:t>
      </w:r>
    </w:p>
    <w:p>
      <w:pPr>
        <w:pStyle w:val="Heading5"/>
      </w:pPr>
      <w:bookmarkStart w:id="16" w:name="_Toc162425583"/>
      <w:r>
        <w:rPr>
          <w:rStyle w:val="CharSectno"/>
        </w:rPr>
        <w:t>4</w:t>
      </w:r>
      <w:r>
        <w:t>.</w:t>
      </w:r>
      <w:r>
        <w:tab/>
        <w:t>Minister to establish Code</w:t>
      </w:r>
      <w:bookmarkEnd w:id="16"/>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 xml:space="preserve">for the Regulator to have supervisory and other functions for the purposes of the Code, including a function of determining certain requirements in relation to access that are to be binding on the railway owner, a </w:t>
      </w:r>
      <w:r>
        <w:lastRenderedPageBreak/>
        <w:t>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No. 13 of 2000 s. 66.]</w:t>
      </w:r>
    </w:p>
    <w:p>
      <w:pPr>
        <w:pStyle w:val="Heading5"/>
      </w:pPr>
      <w:bookmarkStart w:id="17" w:name="_Toc162425584"/>
      <w:r>
        <w:rPr>
          <w:rStyle w:val="CharSectno"/>
        </w:rPr>
        <w:t>5</w:t>
      </w:r>
      <w:r>
        <w:t>.</w:t>
      </w:r>
      <w:r>
        <w:tab/>
        <w:t>Criteria to be considered in applying Code to particular routes</w:t>
      </w:r>
      <w:bookmarkEnd w:id="17"/>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lastRenderedPageBreak/>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18" w:name="_Toc162425585"/>
      <w:r>
        <w:rPr>
          <w:rStyle w:val="CharSectno"/>
        </w:rPr>
        <w:t>6</w:t>
      </w:r>
      <w:r>
        <w:t>.</w:t>
      </w:r>
      <w:r>
        <w:tab/>
        <w:t>Other matters for which Code may make provision</w:t>
      </w:r>
      <w:bookmarkEnd w:id="18"/>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No. 13 of 2000 s. 67.]</w:t>
      </w:r>
    </w:p>
    <w:p>
      <w:pPr>
        <w:pStyle w:val="Heading5"/>
        <w:spacing w:before="180"/>
      </w:pPr>
      <w:bookmarkStart w:id="19" w:name="_Toc162425586"/>
      <w:r>
        <w:rPr>
          <w:rStyle w:val="CharSectno"/>
        </w:rPr>
        <w:lastRenderedPageBreak/>
        <w:t>7</w:t>
      </w:r>
      <w:r>
        <w:t>.</w:t>
      </w:r>
      <w:r>
        <w:tab/>
        <w:t>Code does not affect existing agreements</w:t>
      </w:r>
      <w:bookmarkEnd w:id="19"/>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No. 13 of 2000 s. 68.]</w:t>
      </w:r>
    </w:p>
    <w:p>
      <w:pPr>
        <w:pStyle w:val="Heading5"/>
      </w:pPr>
      <w:bookmarkStart w:id="20" w:name="_Toc162425587"/>
      <w:r>
        <w:rPr>
          <w:rStyle w:val="CharSectno"/>
        </w:rPr>
        <w:t>8</w:t>
      </w:r>
      <w:r>
        <w:t>.</w:t>
      </w:r>
      <w:r>
        <w:tab/>
      </w:r>
      <w:r>
        <w:rPr>
          <w:iCs/>
        </w:rPr>
        <w:t xml:space="preserve">Code is subject to </w:t>
      </w:r>
      <w:r>
        <w:rPr>
          <w:i/>
          <w:iCs/>
        </w:rPr>
        <w:t>Rail Safety National Law (WA) Act 2015</w:t>
      </w:r>
      <w:bookmarkEnd w:id="20"/>
    </w:p>
    <w:p>
      <w:pPr>
        <w:pStyle w:val="Subsection"/>
        <w:rPr>
          <w:iCs/>
        </w:rPr>
      </w:pPr>
      <w:r>
        <w:tab/>
      </w:r>
      <w:r>
        <w:tab/>
        <w:t xml:space="preserve">The Code is not to contain any provision that is contrary to or inconsistent with the </w:t>
      </w:r>
      <w:r>
        <w:rPr>
          <w:i/>
        </w:rPr>
        <w:t>Rail Safety National Law (WA) Act 2015</w:t>
      </w:r>
      <w:r>
        <w:rPr>
          <w:iCs/>
        </w:rPr>
        <w:t>.</w:t>
      </w:r>
    </w:p>
    <w:p>
      <w:pPr>
        <w:pStyle w:val="Footnotesection"/>
      </w:pPr>
      <w:r>
        <w:tab/>
        <w:t>[Section 8 amended: No. 18 of 2010 s. 271; No. 21 of 2015 s. 50.]</w:t>
      </w:r>
    </w:p>
    <w:p>
      <w:pPr>
        <w:pStyle w:val="Heading5"/>
      </w:pPr>
      <w:bookmarkStart w:id="21" w:name="_Toc162425588"/>
      <w:r>
        <w:rPr>
          <w:rStyle w:val="CharSectno"/>
        </w:rPr>
        <w:t>9</w:t>
      </w:r>
      <w:r>
        <w:t>.</w:t>
      </w:r>
      <w:r>
        <w:tab/>
        <w:t>Code is subsidiary legislation</w:t>
      </w:r>
      <w:bookmarkEnd w:id="21"/>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lastRenderedPageBreak/>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22" w:name="_Toc162425589"/>
      <w:r>
        <w:rPr>
          <w:rStyle w:val="CharSectno"/>
        </w:rPr>
        <w:t>10</w:t>
      </w:r>
      <w:r>
        <w:t>.</w:t>
      </w:r>
      <w:r>
        <w:tab/>
        <w:t>Public comment on amendment or replacement of Code</w:t>
      </w:r>
      <w:bookmarkEnd w:id="22"/>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lastRenderedPageBreak/>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3" w:name="_Toc162425590"/>
      <w:r>
        <w:rPr>
          <w:rStyle w:val="CharSectno"/>
        </w:rPr>
        <w:t>11</w:t>
      </w:r>
      <w:r>
        <w:t>.</w:t>
      </w:r>
      <w:r>
        <w:tab/>
        <w:t>Exception to section 10</w:t>
      </w:r>
      <w:bookmarkEnd w:id="23"/>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4" w:name="_Toc162425591"/>
      <w:r>
        <w:rPr>
          <w:rStyle w:val="CharSectno"/>
        </w:rPr>
        <w:lastRenderedPageBreak/>
        <w:t>11A</w:t>
      </w:r>
      <w:r>
        <w:t>.</w:t>
      </w:r>
      <w:r>
        <w:rPr>
          <w:rStyle w:val="CharSectno"/>
        </w:rPr>
        <w:tab/>
      </w:r>
      <w:r>
        <w:t>Consultation with railway owners on amendment or replacement of Code</w:t>
      </w:r>
      <w:bookmarkEnd w:id="24"/>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No. 13 of 2000 s. 69.]</w:t>
      </w:r>
    </w:p>
    <w:p>
      <w:pPr>
        <w:pStyle w:val="Heading5"/>
      </w:pPr>
      <w:bookmarkStart w:id="25" w:name="_Toc162425592"/>
      <w:r>
        <w:rPr>
          <w:rStyle w:val="CharSectno"/>
        </w:rPr>
        <w:t>11B</w:t>
      </w:r>
      <w:r>
        <w:t>.</w:t>
      </w:r>
      <w:r>
        <w:tab/>
        <w:t>Amending Code for purposes of TPI Railway and Port Agreement</w:t>
      </w:r>
      <w:bookmarkEnd w:id="25"/>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lastRenderedPageBreak/>
        <w:tab/>
        <w:t>(4)</w:t>
      </w:r>
      <w:r>
        <w:tab/>
        <w:t>An amendment made under subsection (2) is not an amendment of the Code for the purposes of section 9(2) to (6) of this Act.</w:t>
      </w:r>
    </w:p>
    <w:p>
      <w:pPr>
        <w:pStyle w:val="Footnotesection"/>
      </w:pPr>
      <w:r>
        <w:tab/>
        <w:t xml:space="preserve">[Section 11B inserted: No. 60 of 2010 s. 11.] </w:t>
      </w:r>
    </w:p>
    <w:p>
      <w:pPr>
        <w:pStyle w:val="Ednotesection"/>
      </w:pPr>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p>
    <w:p>
      <w:pPr>
        <w:pStyle w:val="Heading5"/>
      </w:pPr>
      <w:bookmarkStart w:id="26" w:name="_Toc162425593"/>
      <w:r>
        <w:rPr>
          <w:rStyle w:val="CharSectno"/>
        </w:rPr>
        <w:t>12</w:t>
      </w:r>
      <w:r>
        <w:t>.</w:t>
      </w:r>
      <w:r>
        <w:tab/>
        <w:t>Review of Code</w:t>
      </w:r>
      <w:bookmarkEnd w:id="26"/>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lastRenderedPageBreak/>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No. 13 of 2000 s. 70.]</w:t>
      </w:r>
    </w:p>
    <w:p>
      <w:pPr>
        <w:pStyle w:val="Heading2"/>
      </w:pPr>
      <w:bookmarkStart w:id="27" w:name="_Toc161914350"/>
      <w:bookmarkStart w:id="28" w:name="_Toc161914401"/>
      <w:bookmarkStart w:id="29" w:name="_Toc161922506"/>
      <w:bookmarkStart w:id="30" w:name="_Toc162425594"/>
      <w:r>
        <w:rPr>
          <w:rStyle w:val="CharPartNo"/>
        </w:rPr>
        <w:lastRenderedPageBreak/>
        <w:t>Part 3</w:t>
      </w:r>
      <w:r>
        <w:t xml:space="preserve"> — </w:t>
      </w:r>
      <w:r>
        <w:rPr>
          <w:rStyle w:val="CharPartText"/>
        </w:rPr>
        <w:t>The Regulator</w:t>
      </w:r>
      <w:bookmarkEnd w:id="27"/>
      <w:bookmarkEnd w:id="28"/>
      <w:bookmarkEnd w:id="29"/>
      <w:bookmarkEnd w:id="30"/>
    </w:p>
    <w:p>
      <w:pPr>
        <w:pStyle w:val="Ednotedivision"/>
        <w:spacing w:before="180"/>
      </w:pPr>
      <w:r>
        <w:t>[Division 1 (s. 13</w:t>
      </w:r>
      <w:r>
        <w:noBreakHyphen/>
        <w:t>19B) deleted: No. 67 of 2003 Sch. 2 cl. 56.]</w:t>
      </w:r>
    </w:p>
    <w:p>
      <w:pPr>
        <w:pStyle w:val="Ednotedivision"/>
        <w:spacing w:before="180"/>
      </w:pPr>
      <w:r>
        <w:t>[Division 2 heading deleted: No. 67 of 2003 Sch. 2 cl. 57.]</w:t>
      </w:r>
    </w:p>
    <w:p>
      <w:pPr>
        <w:pStyle w:val="Heading5"/>
        <w:spacing w:before="180"/>
      </w:pPr>
      <w:bookmarkStart w:id="31" w:name="_Toc162425595"/>
      <w:r>
        <w:rPr>
          <w:rStyle w:val="CharSectno"/>
        </w:rPr>
        <w:t>20</w:t>
      </w:r>
      <w:r>
        <w:t>.</w:t>
      </w:r>
      <w:r>
        <w:tab/>
        <w:t>Functions of Regulator</w:t>
      </w:r>
      <w:bookmarkEnd w:id="31"/>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lastRenderedPageBreak/>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No. 55 of 2000 s. 8; amended: No. 67 of 2003 Sch. 2 cl. 58.]</w:t>
      </w:r>
    </w:p>
    <w:p>
      <w:pPr>
        <w:pStyle w:val="Ednotesection"/>
      </w:pPr>
      <w:r>
        <w:t>[</w:t>
      </w:r>
      <w:r>
        <w:rPr>
          <w:b/>
        </w:rPr>
        <w:t>20A</w:t>
      </w:r>
      <w:r>
        <w:rPr>
          <w:b/>
        </w:rPr>
        <w:noBreakHyphen/>
        <w:t>20C.</w:t>
      </w:r>
      <w:r>
        <w:tab/>
        <w:t>Deleted: No. 67 of 2003 Sch. 2 cl. 59.]</w:t>
      </w:r>
    </w:p>
    <w:p>
      <w:pPr>
        <w:pStyle w:val="Heading5"/>
        <w:rPr>
          <w:snapToGrid w:val="0"/>
        </w:rPr>
      </w:pPr>
      <w:bookmarkStart w:id="32" w:name="_Toc162425596"/>
      <w:r>
        <w:rPr>
          <w:rStyle w:val="CharSectno"/>
        </w:rPr>
        <w:t>21</w:t>
      </w:r>
      <w:r>
        <w:rPr>
          <w:snapToGrid w:val="0"/>
        </w:rPr>
        <w:t>.</w:t>
      </w:r>
      <w:r>
        <w:rPr>
          <w:snapToGrid w:val="0"/>
        </w:rPr>
        <w:tab/>
        <w:t>Powers to obtain information</w:t>
      </w:r>
      <w:bookmarkEnd w:id="32"/>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No. 13 of 2000 s. 73.]</w:t>
      </w:r>
    </w:p>
    <w:p>
      <w:pPr>
        <w:pStyle w:val="Heading5"/>
        <w:keepLines w:val="0"/>
        <w:rPr>
          <w:snapToGrid w:val="0"/>
        </w:rPr>
      </w:pPr>
      <w:bookmarkStart w:id="33" w:name="_Toc162425597"/>
      <w:r>
        <w:rPr>
          <w:rStyle w:val="CharSectno"/>
        </w:rPr>
        <w:lastRenderedPageBreak/>
        <w:t>22</w:t>
      </w:r>
      <w:r>
        <w:rPr>
          <w:snapToGrid w:val="0"/>
        </w:rPr>
        <w:t>.</w:t>
      </w:r>
      <w:r>
        <w:rPr>
          <w:snapToGrid w:val="0"/>
        </w:rPr>
        <w:tab/>
        <w:t>Powers in respect of documents etc.</w:t>
      </w:r>
      <w:bookmarkEnd w:id="33"/>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[Section 22 amended: No. 67 of 2003 Sch. 2 cl. 60.]</w:t>
      </w:r>
    </w:p>
    <w:p>
      <w:pPr>
        <w:pStyle w:val="Heading5"/>
        <w:spacing w:before="240"/>
      </w:pPr>
      <w:bookmarkStart w:id="34" w:name="_Toc162425598"/>
      <w:r>
        <w:rPr>
          <w:rStyle w:val="CharSectno"/>
        </w:rPr>
        <w:t>22A</w:t>
      </w:r>
      <w:r>
        <w:t>.</w:t>
      </w:r>
      <w:r>
        <w:tab/>
        <w:t>Power of entry</w:t>
      </w:r>
      <w:bookmarkEnd w:id="34"/>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No. 13 of 2000 s. 74.]</w:t>
      </w:r>
    </w:p>
    <w:p>
      <w:pPr>
        <w:pStyle w:val="Heading5"/>
        <w:spacing w:before="240"/>
      </w:pPr>
      <w:bookmarkStart w:id="35" w:name="_Toc162425599"/>
      <w:r>
        <w:rPr>
          <w:rStyle w:val="CharSectno"/>
        </w:rPr>
        <w:t>22B</w:t>
      </w:r>
      <w:r>
        <w:t>.</w:t>
      </w:r>
      <w:r>
        <w:tab/>
        <w:t>Obstruction and deception</w:t>
      </w:r>
      <w:bookmarkEnd w:id="35"/>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No. 13 of 2000 s. 74; amended: No. 67 of 2003 Sch. 2 cl. 61.]</w:t>
      </w:r>
    </w:p>
    <w:p>
      <w:pPr>
        <w:pStyle w:val="Heading5"/>
        <w:spacing w:before="240"/>
      </w:pPr>
      <w:bookmarkStart w:id="36" w:name="_Toc162425600"/>
      <w:r>
        <w:rPr>
          <w:rStyle w:val="CharSectno"/>
        </w:rPr>
        <w:lastRenderedPageBreak/>
        <w:t>22C</w:t>
      </w:r>
      <w:r>
        <w:t>.</w:t>
      </w:r>
      <w:r>
        <w:tab/>
        <w:t>Legal professional privilege</w:t>
      </w:r>
      <w:bookmarkEnd w:id="36"/>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[Section 22C inserted: No. 13 of 2000 s. 74; amended: No. 67 of 2003 Sch. 2 cl. 62.]</w:t>
      </w:r>
    </w:p>
    <w:p>
      <w:pPr>
        <w:pStyle w:val="Heading5"/>
      </w:pPr>
      <w:bookmarkStart w:id="37" w:name="_Toc162425601"/>
      <w:r>
        <w:rPr>
          <w:rStyle w:val="CharSectno"/>
        </w:rPr>
        <w:t>22D</w:t>
      </w:r>
      <w:r>
        <w:t>.</w:t>
      </w:r>
      <w:r>
        <w:tab/>
        <w:t>Self</w:t>
      </w:r>
      <w:r>
        <w:noBreakHyphen/>
        <w:t>incrimination</w:t>
      </w:r>
      <w:bookmarkEnd w:id="37"/>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No. 13 of 2000 s. 74.]</w:t>
      </w:r>
    </w:p>
    <w:p>
      <w:pPr>
        <w:pStyle w:val="Heading5"/>
        <w:rPr>
          <w:snapToGrid w:val="0"/>
        </w:rPr>
      </w:pPr>
      <w:bookmarkStart w:id="38" w:name="_Toc162425602"/>
      <w:r>
        <w:rPr>
          <w:rStyle w:val="CharSectno"/>
        </w:rPr>
        <w:lastRenderedPageBreak/>
        <w:t>23</w:t>
      </w:r>
      <w:r>
        <w:rPr>
          <w:snapToGrid w:val="0"/>
        </w:rPr>
        <w:t>.</w:t>
      </w:r>
      <w:r>
        <w:rPr>
          <w:snapToGrid w:val="0"/>
        </w:rPr>
        <w:tab/>
        <w:t>Confidentiality</w:t>
      </w:r>
      <w:bookmarkEnd w:id="38"/>
      <w:r>
        <w:rPr>
          <w:snapToGrid w:val="0"/>
        </w:rPr>
        <w:t xml:space="preserve"> </w:t>
      </w:r>
    </w:p>
    <w:p>
      <w:pPr>
        <w:pStyle w:val="Subsection"/>
        <w:keepNext/>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No. 13 of 2000 s. 75; No. 67 of 2003 Sch. 2 cl. 63.]</w:t>
      </w:r>
    </w:p>
    <w:p>
      <w:pPr>
        <w:pStyle w:val="Ednotedivision"/>
      </w:pPr>
      <w:r>
        <w:t>[Division 3, 4 and 5 (s. 23A</w:t>
      </w:r>
      <w:r>
        <w:noBreakHyphen/>
        <w:t>23G) deleted: No. 67 of 2003 Sch. 2 cl. 64.]</w:t>
      </w:r>
    </w:p>
    <w:p>
      <w:pPr>
        <w:pStyle w:val="Heading2"/>
      </w:pPr>
      <w:bookmarkStart w:id="39" w:name="_Toc161914359"/>
      <w:bookmarkStart w:id="40" w:name="_Toc161914410"/>
      <w:bookmarkStart w:id="41" w:name="_Toc161922515"/>
      <w:bookmarkStart w:id="42" w:name="_Toc162425603"/>
      <w:r>
        <w:rPr>
          <w:rStyle w:val="CharPartNo"/>
        </w:rPr>
        <w:lastRenderedPageBreak/>
        <w:t>Part 4</w:t>
      </w:r>
      <w:r>
        <w:t xml:space="preserve"> — </w:t>
      </w:r>
      <w:r>
        <w:rPr>
          <w:rStyle w:val="CharPartText"/>
        </w:rPr>
        <w:t>Administrative and accounting arrangements</w:t>
      </w:r>
      <w:bookmarkEnd w:id="39"/>
      <w:bookmarkEnd w:id="40"/>
      <w:bookmarkEnd w:id="41"/>
      <w:bookmarkEnd w:id="42"/>
      <w:r>
        <w:rPr>
          <w:rStyle w:val="CharPartText"/>
        </w:rPr>
        <w:t xml:space="preserve"> </w:t>
      </w:r>
    </w:p>
    <w:p>
      <w:pPr>
        <w:pStyle w:val="Footnoteheading"/>
      </w:pPr>
      <w:r>
        <w:tab/>
        <w:t>[Heading amended: No. 13 of 2000 s. 76.]</w:t>
      </w:r>
    </w:p>
    <w:p>
      <w:pPr>
        <w:pStyle w:val="Heading3"/>
      </w:pPr>
      <w:bookmarkStart w:id="43" w:name="_Toc161914360"/>
      <w:bookmarkStart w:id="44" w:name="_Toc161914411"/>
      <w:bookmarkStart w:id="45" w:name="_Toc161922516"/>
      <w:bookmarkStart w:id="46" w:name="_Toc162425604"/>
      <w:r>
        <w:rPr>
          <w:rStyle w:val="CharDivNo"/>
        </w:rPr>
        <w:t>Division 1</w:t>
      </w:r>
      <w:r>
        <w:t xml:space="preserve"> — </w:t>
      </w:r>
      <w:r>
        <w:rPr>
          <w:rStyle w:val="CharDivText"/>
        </w:rPr>
        <w:t>Preliminary</w:t>
      </w:r>
      <w:bookmarkEnd w:id="43"/>
      <w:bookmarkEnd w:id="44"/>
      <w:bookmarkEnd w:id="45"/>
      <w:bookmarkEnd w:id="46"/>
      <w:r>
        <w:rPr>
          <w:rStyle w:val="CharDivText"/>
        </w:rPr>
        <w:t xml:space="preserve"> </w:t>
      </w:r>
    </w:p>
    <w:p>
      <w:pPr>
        <w:pStyle w:val="Heading5"/>
        <w:rPr>
          <w:snapToGrid w:val="0"/>
        </w:rPr>
      </w:pPr>
      <w:bookmarkStart w:id="47" w:name="_Toc162425605"/>
      <w:r>
        <w:rPr>
          <w:rStyle w:val="CharSectno"/>
        </w:rPr>
        <w:t>24</w:t>
      </w:r>
      <w:r>
        <w:rPr>
          <w:snapToGrid w:val="0"/>
        </w:rPr>
        <w:t>.</w:t>
      </w:r>
      <w:r>
        <w:rPr>
          <w:snapToGrid w:val="0"/>
        </w:rPr>
        <w:tab/>
        <w:t>Terms used in this Part</w:t>
      </w:r>
      <w:bookmarkEnd w:id="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No. 13 of 2000 s. 77; No. 31 of 2003 s. 152(3).]</w:t>
      </w:r>
    </w:p>
    <w:p>
      <w:pPr>
        <w:pStyle w:val="Heading5"/>
        <w:rPr>
          <w:snapToGrid w:val="0"/>
        </w:rPr>
      </w:pPr>
      <w:bookmarkStart w:id="48" w:name="_Toc162425606"/>
      <w:r>
        <w:rPr>
          <w:rStyle w:val="CharSectno"/>
        </w:rPr>
        <w:t>25</w:t>
      </w:r>
      <w:r>
        <w:rPr>
          <w:snapToGrid w:val="0"/>
        </w:rPr>
        <w:t>.</w:t>
      </w:r>
      <w:r>
        <w:rPr>
          <w:snapToGrid w:val="0"/>
        </w:rPr>
        <w:tab/>
        <w:t>This Part prevails over the </w:t>
      </w:r>
      <w:r>
        <w:rPr>
          <w:i/>
          <w:snapToGrid w:val="0"/>
        </w:rPr>
        <w:t>Government Railways Act 1904</w:t>
      </w:r>
      <w:bookmarkEnd w:id="48"/>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No. 13 of 2000 s. 78.]</w:t>
      </w:r>
    </w:p>
    <w:p>
      <w:pPr>
        <w:pStyle w:val="Heading3"/>
      </w:pPr>
      <w:bookmarkStart w:id="49" w:name="_Toc161914363"/>
      <w:bookmarkStart w:id="50" w:name="_Toc161914414"/>
      <w:bookmarkStart w:id="51" w:name="_Toc161922519"/>
      <w:bookmarkStart w:id="52" w:name="_Toc162425607"/>
      <w:r>
        <w:rPr>
          <w:rStyle w:val="CharDivNo"/>
        </w:rPr>
        <w:t>Division 2</w:t>
      </w:r>
      <w:r>
        <w:rPr>
          <w:snapToGrid w:val="0"/>
        </w:rPr>
        <w:t> — </w:t>
      </w:r>
      <w:r>
        <w:rPr>
          <w:rStyle w:val="CharDivText"/>
        </w:rPr>
        <w:t>Administrative arrangements</w:t>
      </w:r>
      <w:bookmarkEnd w:id="49"/>
      <w:bookmarkEnd w:id="50"/>
      <w:bookmarkEnd w:id="51"/>
      <w:bookmarkEnd w:id="52"/>
      <w:r>
        <w:rPr>
          <w:rStyle w:val="CharDivText"/>
        </w:rPr>
        <w:t xml:space="preserve"> </w:t>
      </w:r>
    </w:p>
    <w:p>
      <w:pPr>
        <w:pStyle w:val="Heading5"/>
        <w:rPr>
          <w:snapToGrid w:val="0"/>
        </w:rPr>
      </w:pPr>
      <w:bookmarkStart w:id="53" w:name="_Toc162425608"/>
      <w:r>
        <w:rPr>
          <w:rStyle w:val="CharSectno"/>
        </w:rPr>
        <w:t>26</w:t>
      </w:r>
      <w:r>
        <w:rPr>
          <w:snapToGrid w:val="0"/>
        </w:rPr>
        <w:t>.</w:t>
      </w:r>
      <w:r>
        <w:rPr>
          <w:snapToGrid w:val="0"/>
        </w:rPr>
        <w:tab/>
        <w:t>Authority to make administrative arrangements</w:t>
      </w:r>
      <w:bookmarkEnd w:id="53"/>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No. 31 of 2003 s. 152(4).]</w:t>
      </w:r>
    </w:p>
    <w:p>
      <w:pPr>
        <w:pStyle w:val="Heading5"/>
      </w:pPr>
      <w:bookmarkStart w:id="54" w:name="_Toc162425609"/>
      <w:r>
        <w:rPr>
          <w:rStyle w:val="CharSectno"/>
        </w:rPr>
        <w:lastRenderedPageBreak/>
        <w:t>27</w:t>
      </w:r>
      <w:r>
        <w:t>.</w:t>
      </w:r>
      <w:r>
        <w:tab/>
        <w:t>Delegation</w:t>
      </w:r>
      <w:bookmarkEnd w:id="54"/>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No. 31 of 2003 s. 152(5).]</w:t>
      </w:r>
    </w:p>
    <w:p>
      <w:pPr>
        <w:pStyle w:val="Heading3"/>
      </w:pPr>
      <w:bookmarkStart w:id="55" w:name="_Toc161914366"/>
      <w:bookmarkStart w:id="56" w:name="_Toc161914417"/>
      <w:bookmarkStart w:id="57" w:name="_Toc161922522"/>
      <w:bookmarkStart w:id="58" w:name="_Toc162425610"/>
      <w:r>
        <w:rPr>
          <w:rStyle w:val="CharDivNo"/>
        </w:rPr>
        <w:t>Division 3</w:t>
      </w:r>
      <w:r>
        <w:rPr>
          <w:snapToGrid w:val="0"/>
        </w:rPr>
        <w:t> — </w:t>
      </w:r>
      <w:r>
        <w:rPr>
          <w:rStyle w:val="CharDivText"/>
        </w:rPr>
        <w:t>Segregation of access</w:t>
      </w:r>
      <w:r>
        <w:rPr>
          <w:rStyle w:val="CharDivText"/>
        </w:rPr>
        <w:noBreakHyphen/>
        <w:t>related functions</w:t>
      </w:r>
      <w:bookmarkEnd w:id="55"/>
      <w:bookmarkEnd w:id="56"/>
      <w:bookmarkEnd w:id="57"/>
      <w:bookmarkEnd w:id="58"/>
      <w:r>
        <w:rPr>
          <w:rStyle w:val="CharDivText"/>
        </w:rPr>
        <w:t xml:space="preserve"> </w:t>
      </w:r>
    </w:p>
    <w:p>
      <w:pPr>
        <w:pStyle w:val="Heading5"/>
        <w:rPr>
          <w:snapToGrid w:val="0"/>
        </w:rPr>
      </w:pPr>
      <w:bookmarkStart w:id="59" w:name="_Toc162425611"/>
      <w:r>
        <w:rPr>
          <w:rStyle w:val="CharSectno"/>
        </w:rPr>
        <w:t>28</w:t>
      </w:r>
      <w:r>
        <w:rPr>
          <w:snapToGrid w:val="0"/>
        </w:rPr>
        <w:t>.</w:t>
      </w:r>
      <w:r>
        <w:rPr>
          <w:snapToGrid w:val="0"/>
        </w:rPr>
        <w:tab/>
        <w:t>Duty to segregate</w:t>
      </w:r>
      <w:bookmarkEnd w:id="59"/>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No. 13 of 2000 s. 79.]</w:t>
      </w:r>
    </w:p>
    <w:p>
      <w:pPr>
        <w:pStyle w:val="Heading5"/>
        <w:rPr>
          <w:snapToGrid w:val="0"/>
        </w:rPr>
      </w:pPr>
      <w:bookmarkStart w:id="60" w:name="_Toc162425612"/>
      <w:r>
        <w:rPr>
          <w:rStyle w:val="CharSectno"/>
        </w:rPr>
        <w:t>29</w:t>
      </w:r>
      <w:r>
        <w:rPr>
          <w:snapToGrid w:val="0"/>
        </w:rPr>
        <w:t>.</w:t>
      </w:r>
      <w:r>
        <w:rPr>
          <w:snapToGrid w:val="0"/>
        </w:rPr>
        <w:tab/>
        <w:t>Powers of Regulator in relation to segregation</w:t>
      </w:r>
      <w:bookmarkEnd w:id="60"/>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w:t>
      </w:r>
      <w:r>
        <w:rPr>
          <w:snapToGrid w:val="0"/>
        </w:rPr>
        <w:lastRenderedPageBreak/>
        <w:t xml:space="preserve">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No. 13 of 2000 s. 80.]</w:t>
      </w:r>
    </w:p>
    <w:p>
      <w:pPr>
        <w:pStyle w:val="Heading5"/>
        <w:rPr>
          <w:snapToGrid w:val="0"/>
        </w:rPr>
      </w:pPr>
      <w:bookmarkStart w:id="61" w:name="_Toc162425613"/>
      <w:r>
        <w:rPr>
          <w:rStyle w:val="CharSectno"/>
        </w:rPr>
        <w:t>30</w:t>
      </w:r>
      <w:r>
        <w:rPr>
          <w:snapToGrid w:val="0"/>
        </w:rPr>
        <w:t>.</w:t>
      </w:r>
      <w:r>
        <w:rPr>
          <w:snapToGrid w:val="0"/>
        </w:rPr>
        <w:tab/>
        <w:t>Matters to be covered under section 28</w:t>
      </w:r>
      <w:bookmarkEnd w:id="61"/>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No. 13 of 2000 s. 81.]</w:t>
      </w:r>
    </w:p>
    <w:p>
      <w:pPr>
        <w:pStyle w:val="Heading5"/>
        <w:rPr>
          <w:snapToGrid w:val="0"/>
        </w:rPr>
      </w:pPr>
      <w:bookmarkStart w:id="62" w:name="_Toc162425614"/>
      <w:r>
        <w:rPr>
          <w:rStyle w:val="CharSectno"/>
        </w:rPr>
        <w:t>31</w:t>
      </w:r>
      <w:r>
        <w:rPr>
          <w:snapToGrid w:val="0"/>
        </w:rPr>
        <w:t>.</w:t>
      </w:r>
      <w:r>
        <w:rPr>
          <w:snapToGrid w:val="0"/>
        </w:rPr>
        <w:tab/>
        <w:t>Protection of confidential information</w:t>
      </w:r>
      <w:bookmarkEnd w:id="62"/>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lastRenderedPageBreak/>
        <w:tab/>
        <w:t>(c)</w:t>
      </w:r>
      <w:r>
        <w:tab/>
        <w:t>is known by a person using or disclosing it to be confidential.</w:t>
      </w:r>
    </w:p>
    <w:p>
      <w:pPr>
        <w:pStyle w:val="Footnotesection"/>
      </w:pPr>
      <w:r>
        <w:tab/>
      </w:r>
      <w:r>
        <w:tab/>
        <w:t>[Section 31 amended: No. 13 of 2000 s. 82.]</w:t>
      </w:r>
    </w:p>
    <w:p>
      <w:pPr>
        <w:pStyle w:val="Heading5"/>
        <w:rPr>
          <w:snapToGrid w:val="0"/>
        </w:rPr>
      </w:pPr>
      <w:bookmarkStart w:id="63" w:name="_Toc162425615"/>
      <w:r>
        <w:rPr>
          <w:rStyle w:val="CharSectno"/>
        </w:rPr>
        <w:t>32</w:t>
      </w:r>
      <w:r>
        <w:rPr>
          <w:snapToGrid w:val="0"/>
        </w:rPr>
        <w:t>.</w:t>
      </w:r>
      <w:r>
        <w:rPr>
          <w:snapToGrid w:val="0"/>
        </w:rPr>
        <w:tab/>
        <w:t>Avoidance of conflict of interest</w:t>
      </w:r>
      <w:bookmarkEnd w:id="63"/>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No. 13 of 2000 s. 83.]</w:t>
      </w:r>
    </w:p>
    <w:p>
      <w:pPr>
        <w:pStyle w:val="Heading5"/>
        <w:rPr>
          <w:snapToGrid w:val="0"/>
        </w:rPr>
      </w:pPr>
      <w:bookmarkStart w:id="64" w:name="_Toc162425616"/>
      <w:r>
        <w:rPr>
          <w:rStyle w:val="CharSectno"/>
        </w:rPr>
        <w:t>33</w:t>
      </w:r>
      <w:r>
        <w:rPr>
          <w:snapToGrid w:val="0"/>
        </w:rPr>
        <w:t>.</w:t>
      </w:r>
      <w:r>
        <w:rPr>
          <w:snapToGrid w:val="0"/>
        </w:rPr>
        <w:tab/>
        <w:t>Duty of fairness</w:t>
      </w:r>
      <w:bookmarkEnd w:id="64"/>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No. 13 of 2000 s. 84.]</w:t>
      </w:r>
    </w:p>
    <w:p>
      <w:pPr>
        <w:pStyle w:val="Heading5"/>
        <w:rPr>
          <w:snapToGrid w:val="0"/>
        </w:rPr>
      </w:pPr>
      <w:bookmarkStart w:id="65" w:name="_Toc162425617"/>
      <w:r>
        <w:rPr>
          <w:rStyle w:val="CharSectno"/>
        </w:rPr>
        <w:t>34</w:t>
      </w:r>
      <w:r>
        <w:rPr>
          <w:snapToGrid w:val="0"/>
        </w:rPr>
        <w:t>.</w:t>
      </w:r>
      <w:r>
        <w:rPr>
          <w:snapToGrid w:val="0"/>
        </w:rPr>
        <w:tab/>
        <w:t>Maintenance of separate accounts and records</w:t>
      </w:r>
      <w:bookmarkEnd w:id="65"/>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No. 13 of 2000 s. 85.]</w:t>
      </w:r>
    </w:p>
    <w:p>
      <w:pPr>
        <w:pStyle w:val="Heading2"/>
      </w:pPr>
      <w:bookmarkStart w:id="66" w:name="_Toc161914374"/>
      <w:bookmarkStart w:id="67" w:name="_Toc161914425"/>
      <w:bookmarkStart w:id="68" w:name="_Toc161922530"/>
      <w:bookmarkStart w:id="69" w:name="_Toc162425618"/>
      <w:r>
        <w:rPr>
          <w:rStyle w:val="CharPartNo"/>
        </w:rPr>
        <w:lastRenderedPageBreak/>
        <w:t>Part 5</w:t>
      </w:r>
      <w:r>
        <w:rPr>
          <w:rStyle w:val="CharDivNo"/>
        </w:rPr>
        <w:t> </w:t>
      </w:r>
      <w:r>
        <w:t>—</w:t>
      </w:r>
      <w:r>
        <w:rPr>
          <w:rStyle w:val="CharDivText"/>
        </w:rPr>
        <w:t> </w:t>
      </w:r>
      <w:r>
        <w:rPr>
          <w:rStyle w:val="CharPartText"/>
        </w:rPr>
        <w:t>Enforcement</w:t>
      </w:r>
      <w:bookmarkEnd w:id="66"/>
      <w:bookmarkEnd w:id="67"/>
      <w:bookmarkEnd w:id="68"/>
      <w:bookmarkEnd w:id="69"/>
      <w:r>
        <w:rPr>
          <w:rStyle w:val="CharPartText"/>
        </w:rPr>
        <w:t xml:space="preserve"> </w:t>
      </w:r>
    </w:p>
    <w:p>
      <w:pPr>
        <w:pStyle w:val="Heading5"/>
      </w:pPr>
      <w:bookmarkStart w:id="70" w:name="_Toc162425619"/>
      <w:r>
        <w:rPr>
          <w:rStyle w:val="CharSectno"/>
        </w:rPr>
        <w:t>34A</w:t>
      </w:r>
      <w:r>
        <w:rPr>
          <w:snapToGrid w:val="0"/>
        </w:rPr>
        <w:t>.</w:t>
      </w:r>
      <w:r>
        <w:rPr>
          <w:snapToGrid w:val="0"/>
        </w:rPr>
        <w:tab/>
      </w:r>
      <w:r>
        <w:t>Prohibitions on hindering or preventing access</w:t>
      </w:r>
      <w:bookmarkEnd w:id="70"/>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No. 13 of 2000 s. 86.]</w:t>
      </w:r>
    </w:p>
    <w:p>
      <w:pPr>
        <w:pStyle w:val="Heading5"/>
        <w:rPr>
          <w:snapToGrid w:val="0"/>
        </w:rPr>
      </w:pPr>
      <w:bookmarkStart w:id="71" w:name="_Toc162425620"/>
      <w:r>
        <w:rPr>
          <w:rStyle w:val="CharSectno"/>
        </w:rPr>
        <w:t>35</w:t>
      </w:r>
      <w:r>
        <w:rPr>
          <w:snapToGrid w:val="0"/>
        </w:rPr>
        <w:t>.</w:t>
      </w:r>
      <w:r>
        <w:rPr>
          <w:snapToGrid w:val="0"/>
        </w:rPr>
        <w:tab/>
        <w:t>Contract enforcement not affected</w:t>
      </w:r>
      <w:bookmarkEnd w:id="71"/>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72" w:name="_Toc162425621"/>
      <w:r>
        <w:rPr>
          <w:rStyle w:val="CharSectno"/>
        </w:rPr>
        <w:lastRenderedPageBreak/>
        <w:t>36</w:t>
      </w:r>
      <w:r>
        <w:rPr>
          <w:snapToGrid w:val="0"/>
        </w:rPr>
        <w:t>.</w:t>
      </w:r>
      <w:r>
        <w:rPr>
          <w:snapToGrid w:val="0"/>
        </w:rPr>
        <w:tab/>
        <w:t>Remedies</w:t>
      </w:r>
      <w:bookmarkEnd w:id="72"/>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No. 13 of 2000 s. 87.]</w:t>
      </w:r>
    </w:p>
    <w:p>
      <w:pPr>
        <w:pStyle w:val="Heading5"/>
        <w:rPr>
          <w:snapToGrid w:val="0"/>
        </w:rPr>
      </w:pPr>
      <w:bookmarkStart w:id="73" w:name="_Toc162425622"/>
      <w:r>
        <w:rPr>
          <w:rStyle w:val="CharSectno"/>
        </w:rPr>
        <w:t>37</w:t>
      </w:r>
      <w:r>
        <w:rPr>
          <w:snapToGrid w:val="0"/>
        </w:rPr>
        <w:t>.</w:t>
      </w:r>
      <w:r>
        <w:rPr>
          <w:snapToGrid w:val="0"/>
        </w:rPr>
        <w:tab/>
        <w:t>Injunctions</w:t>
      </w:r>
      <w:bookmarkEnd w:id="73"/>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No. 13 of 2000 s. 88.]</w:t>
      </w:r>
    </w:p>
    <w:p>
      <w:pPr>
        <w:pStyle w:val="Ednotepart"/>
      </w:pPr>
      <w:r>
        <w:t>[Parts 6 and 7 omitted under the Reprints Act 1984 s. 7(4)(e).]</w:t>
      </w:r>
    </w:p>
    <w:p>
      <w:p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nHeading2"/>
      </w:pPr>
      <w:bookmarkStart w:id="74" w:name="_Toc161914430"/>
      <w:bookmarkStart w:id="75" w:name="_Toc161922535"/>
      <w:bookmarkStart w:id="76" w:name="_Toc162425623"/>
      <w:bookmarkStart w:id="77" w:name="_Toc161914381"/>
      <w:r>
        <w:lastRenderedPageBreak/>
        <w:t>Notes</w:t>
      </w:r>
      <w:bookmarkEnd w:id="74"/>
      <w:bookmarkEnd w:id="75"/>
      <w:bookmarkEnd w:id="76"/>
    </w:p>
    <w:p>
      <w:pPr>
        <w:pStyle w:val="nStatement"/>
      </w:pPr>
      <w:r>
        <w:t xml:space="preserve">This is a compilation of the </w:t>
      </w:r>
      <w:r>
        <w:rPr>
          <w:i/>
          <w:noProof/>
        </w:rPr>
        <w:t>Railways (Access) Act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8" w:name="_Toc162425624"/>
      <w:r>
        <w:t>Compilation table</w:t>
      </w:r>
      <w:bookmarkEnd w:id="7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Sch. 2 Div. 12</w:t>
            </w:r>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left w:val="nil"/>
              <w:bottom w:val="nil"/>
              <w:right w:val="nil"/>
            </w:tcBorders>
          </w:tcPr>
          <w:p>
            <w:pPr>
              <w:pStyle w:val="nTable"/>
              <w:spacing w:after="40"/>
            </w:pPr>
            <w:r>
              <w:rPr>
                <w:b/>
              </w:rPr>
              <w:lastRenderedPageBreak/>
              <w:t xml:space="preserve">Reprint 3:  The </w:t>
            </w:r>
            <w:r>
              <w:rPr>
                <w:b/>
                <w:i/>
              </w:rPr>
              <w:t xml:space="preserve">Railways (Access) Act 1998 </w:t>
            </w:r>
            <w:r>
              <w:rPr>
                <w:b/>
              </w:rPr>
              <w:t xml:space="preserve">as at 8 Aug 2008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top w:val="nil"/>
              <w:bottom w:val="nil"/>
            </w:tcBorders>
          </w:tcPr>
          <w:p>
            <w:pPr>
              <w:pStyle w:val="nTable"/>
              <w:spacing w:after="40"/>
            </w:pPr>
            <w:r>
              <w:t>60 of 2010</w:t>
            </w:r>
          </w:p>
        </w:tc>
        <w:tc>
          <w:tcPr>
            <w:tcW w:w="1134" w:type="dxa"/>
            <w:tcBorders>
              <w:top w:val="nil"/>
              <w:bottom w:val="nil"/>
            </w:tcBorders>
          </w:tcPr>
          <w:p>
            <w:pPr>
              <w:pStyle w:val="nTable"/>
              <w:spacing w:after="40"/>
            </w:pPr>
            <w:r>
              <w:t>10 Dec 2010</w:t>
            </w:r>
          </w:p>
        </w:tc>
        <w:tc>
          <w:tcPr>
            <w:tcW w:w="2552" w:type="dxa"/>
            <w:tcBorders>
              <w:top w:val="nil"/>
              <w:bottom w:val="nil"/>
            </w:tcBorders>
          </w:tcPr>
          <w:p>
            <w:pPr>
              <w:pStyle w:val="nTable"/>
              <w:spacing w:after="40"/>
              <w:rPr>
                <w:iCs/>
                <w:spacing w:val="-2"/>
              </w:rPr>
            </w:pPr>
            <w:r>
              <w:rPr>
                <w:iCs/>
                <w:spacing w:val="-2"/>
              </w:rPr>
              <w:t>11 Dec 2010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rPr>
            </w:pPr>
            <w:r>
              <w:rPr>
                <w:i/>
              </w:rPr>
              <w:t>Rail Safety National Law (WA) Act 2015</w:t>
            </w:r>
            <w:r>
              <w:t xml:space="preserve"> Pt. 5 </w:t>
            </w:r>
          </w:p>
        </w:tc>
        <w:tc>
          <w:tcPr>
            <w:tcW w:w="1134" w:type="dxa"/>
            <w:tcBorders>
              <w:bottom w:val="single" w:sz="4" w:space="0" w:color="auto"/>
            </w:tcBorders>
          </w:tcPr>
          <w:p>
            <w:pPr>
              <w:pStyle w:val="nTable"/>
              <w:spacing w:after="40"/>
            </w:pPr>
            <w:r>
              <w:t>21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rPr>
                <w:iCs/>
                <w:spacing w:val="-2"/>
              </w:rPr>
            </w:pPr>
            <w:r>
              <w:t xml:space="preserve">2 Nov 2015 (see s. 2(b) and </w:t>
            </w:r>
            <w:r>
              <w:rPr>
                <w:i/>
              </w:rPr>
              <w:t xml:space="preserve">Gazette </w:t>
            </w:r>
            <w:r>
              <w:t>16 Oct 2015 p. 4149)</w:t>
            </w:r>
          </w:p>
        </w:tc>
      </w:tr>
    </w:tbl>
    <w:p>
      <w:pPr>
        <w:pStyle w:val="nHeading3"/>
      </w:pPr>
      <w:bookmarkStart w:id="79" w:name="_Toc162425625"/>
      <w:r>
        <w:t>Uncommenced provisions table</w:t>
      </w:r>
      <w:bookmarkEnd w:id="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 xml:space="preserve">Rail Safety National Law Application Act 2024 </w:t>
            </w:r>
            <w:r>
              <w:rPr>
                <w:iCs/>
              </w:rPr>
              <w:t>s. 58</w:t>
            </w:r>
          </w:p>
        </w:tc>
        <w:tc>
          <w:tcPr>
            <w:tcW w:w="1134" w:type="dxa"/>
          </w:tcPr>
          <w:p>
            <w:pPr>
              <w:pStyle w:val="nTable"/>
              <w:spacing w:after="40"/>
            </w:pPr>
            <w:r>
              <w:t>7 of 2024</w:t>
            </w:r>
          </w:p>
        </w:tc>
        <w:tc>
          <w:tcPr>
            <w:tcW w:w="1134" w:type="dxa"/>
          </w:tcPr>
          <w:p>
            <w:pPr>
              <w:pStyle w:val="nTable"/>
              <w:spacing w:after="40"/>
            </w:pPr>
            <w:r>
              <w:t>26 Mar 2024</w:t>
            </w:r>
          </w:p>
        </w:tc>
        <w:tc>
          <w:tcPr>
            <w:tcW w:w="2552" w:type="dxa"/>
          </w:tcPr>
          <w:p>
            <w:pPr>
              <w:pStyle w:val="nTable"/>
              <w:spacing w:after="40"/>
            </w:pPr>
            <w:r>
              <w:t>To be proclaimed (see s. 2(b))</w:t>
            </w:r>
          </w:p>
        </w:tc>
      </w:tr>
    </w:tbl>
    <w:p>
      <w:pPr>
        <w:pStyle w:val="nHeading3"/>
      </w:pPr>
      <w:bookmarkStart w:id="80" w:name="_Toc162425626"/>
      <w:r>
        <w:t>Other notes</w:t>
      </w:r>
      <w:bookmarkEnd w:id="80"/>
    </w:p>
    <w:p>
      <w:pPr>
        <w:pStyle w:val="nNote"/>
        <w:spacing w:before="160"/>
        <w:rPr>
          <w:snapToGrid w:val="0"/>
        </w:rPr>
      </w:pPr>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p>
    <w:p>
      <w:pPr>
        <w:pStyle w:val="nNote"/>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Note"/>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Note"/>
      </w:pPr>
      <w:r>
        <w:rPr>
          <w:vertAlign w:val="superscript"/>
        </w:rPr>
        <w:t>4</w:t>
      </w:r>
      <w:r>
        <w:rPr>
          <w:vertAlign w:val="superscript"/>
        </w:rPr>
        <w:tab/>
      </w:r>
      <w:r>
        <w:t xml:space="preserve">Now known as the </w:t>
      </w:r>
      <w:r>
        <w:rPr>
          <w:i/>
        </w:rPr>
        <w:t>Railways (Access) Act 1998</w:t>
      </w:r>
      <w:r>
        <w:t>; short title changed (see note under s. 1).</w:t>
      </w:r>
    </w:p>
    <w:p>
      <w:pPr>
        <w:pStyle w:val="nNote"/>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Note"/>
      </w:pPr>
      <w:r>
        <w:rPr>
          <w:vertAlign w:val="superscript"/>
        </w:rPr>
        <w:t>6</w:t>
      </w:r>
      <w:r>
        <w:tab/>
        <w:t xml:space="preserve">The </w:t>
      </w:r>
      <w:r>
        <w:rPr>
          <w:i/>
        </w:rPr>
        <w:t xml:space="preserve">Economic Regulation Authority Act 2003 </w:t>
      </w:r>
      <w:r>
        <w:t>s. 63(1), which gives effect to Sch. 3, reads as follows:</w:t>
      </w:r>
    </w:p>
    <w:p>
      <w:pPr>
        <w:pStyle w:val="MiscOpen"/>
      </w:pPr>
      <w:r>
        <w:lastRenderedPageBreak/>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Note"/>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 xml:space="preserve">Without limiting the operation of clause 6, a decision made by the Gas Pipelines Access Regulator as the local Regulator for the purposes of the Gas Pipelines Access (Western Australia) Law that was in effect immediately before the commencement day </w:t>
      </w:r>
      <w:r>
        <w:lastRenderedPageBreak/>
        <w:t>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lastRenderedPageBreak/>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lastRenderedPageBreak/>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nHeading2"/>
        <w:rPr>
          <w:sz w:val="28"/>
        </w:rPr>
      </w:pPr>
      <w:bookmarkStart w:id="82" w:name="_Toc161914434"/>
      <w:bookmarkStart w:id="83" w:name="_Toc161922539"/>
      <w:bookmarkStart w:id="84" w:name="_Toc162425627"/>
      <w:r>
        <w:rPr>
          <w:sz w:val="28"/>
        </w:rPr>
        <w:lastRenderedPageBreak/>
        <w:t>Defined terms</w:t>
      </w:r>
      <w:bookmarkEnd w:id="77"/>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3(1)</w:t>
      </w:r>
    </w:p>
    <w:p>
      <w:pPr>
        <w:pStyle w:val="DefinedTerms"/>
      </w:pPr>
      <w:r>
        <w:t>access agreement</w:t>
      </w:r>
      <w:r>
        <w:tab/>
        <w:t>3(1)</w:t>
      </w:r>
    </w:p>
    <w:p>
      <w:pPr>
        <w:pStyle w:val="DefinedTerms"/>
      </w:pPr>
      <w:r>
        <w:t>access</w:t>
      </w:r>
      <w:r>
        <w:noBreakHyphen/>
        <w:t>related functions</w:t>
      </w:r>
      <w:r>
        <w:tab/>
        <w:t>24</w:t>
      </w:r>
    </w:p>
    <w:p>
      <w:pPr>
        <w:pStyle w:val="DefinedTerms"/>
      </w:pPr>
      <w:r>
        <w:t>Authority</w:t>
      </w:r>
      <w:r>
        <w:tab/>
        <w:t>3(1)</w:t>
      </w:r>
    </w:p>
    <w:p>
      <w:pPr>
        <w:pStyle w:val="DefinedTerms"/>
      </w:pPr>
      <w:r>
        <w:t>Code</w:t>
      </w:r>
      <w:r>
        <w:tab/>
        <w:t>3(1)</w:t>
      </w:r>
    </w:p>
    <w:p>
      <w:pPr>
        <w:pStyle w:val="DefinedTerms"/>
      </w:pPr>
      <w:r>
        <w:t>Competition Principles Agreement</w:t>
      </w:r>
      <w:r>
        <w:tab/>
        <w:t>3(1)</w:t>
      </w:r>
    </w:p>
    <w:p>
      <w:pPr>
        <w:pStyle w:val="DefinedTerms"/>
      </w:pPr>
      <w:r>
        <w:t>confidential information</w:t>
      </w:r>
      <w:r>
        <w:tab/>
        <w:t>31(2)</w:t>
      </w:r>
    </w:p>
    <w:p>
      <w:pPr>
        <w:pStyle w:val="DefinedTerms"/>
      </w:pPr>
      <w:r>
        <w:t>Government railway</w:t>
      </w:r>
      <w:r>
        <w:tab/>
        <w:t>3(1)</w:t>
      </w:r>
    </w:p>
    <w:p>
      <w:pPr>
        <w:pStyle w:val="DefinedTerms"/>
      </w:pPr>
      <w:r>
        <w:t>new railway</w:t>
      </w:r>
      <w:r>
        <w:tab/>
        <w:t>3(2)</w:t>
      </w:r>
    </w:p>
    <w:p>
      <w:pPr>
        <w:pStyle w:val="DefinedTerms"/>
      </w:pPr>
      <w:r>
        <w:t>officer of the Authority</w:t>
      </w:r>
      <w:r>
        <w:tab/>
        <w:t>24</w:t>
      </w:r>
    </w:p>
    <w:p>
      <w:pPr>
        <w:pStyle w:val="DefinedTerms"/>
      </w:pPr>
      <w:r>
        <w:t>railway infrastructure</w:t>
      </w:r>
      <w:r>
        <w:tab/>
        <w:t>3(1)</w:t>
      </w:r>
    </w:p>
    <w:p>
      <w:pPr>
        <w:pStyle w:val="DefinedTerms"/>
      </w:pPr>
      <w:r>
        <w:t>railway owner</w:t>
      </w:r>
      <w:r>
        <w:tab/>
        <w:t>3(1)</w:t>
      </w:r>
    </w:p>
    <w:p>
      <w:pPr>
        <w:pStyle w:val="DefinedTerms"/>
      </w:pPr>
      <w:r>
        <w:t>railways network</w:t>
      </w:r>
      <w:r>
        <w:tab/>
        <w:t>3(1)</w:t>
      </w:r>
    </w:p>
    <w:p>
      <w:pPr>
        <w:pStyle w:val="DefinedTerms"/>
      </w:pPr>
      <w:r>
        <w:t>Regulator</w:t>
      </w:r>
      <w:r>
        <w:tab/>
        <w:t>3(1)</w:t>
      </w:r>
    </w:p>
    <w:p>
      <w:pPr>
        <w:pStyle w:val="DefinedTerms"/>
      </w:pPr>
      <w:r>
        <w:t>relevant officer</w:t>
      </w:r>
      <w:r>
        <w:tab/>
        <w:t>24</w:t>
      </w:r>
    </w:p>
    <w:p>
      <w:pPr>
        <w:pStyle w:val="DefinedTerms"/>
      </w:pPr>
      <w:r>
        <w:t>route</w:t>
      </w:r>
      <w:r>
        <w:tab/>
        <w:t>5(5)</w:t>
      </w:r>
    </w:p>
    <w:p>
      <w:pPr>
        <w:pStyle w:val="DefinedTerms"/>
      </w:pPr>
      <w:r>
        <w:t>the Code</w:t>
      </w:r>
      <w:r>
        <w:tab/>
        <w:t>9(7)</w:t>
      </w:r>
    </w:p>
    <w:p>
      <w:pPr>
        <w:pStyle w:val="DefinedTerms"/>
      </w:pPr>
      <w:r>
        <w:t>the current railway owner</w:t>
      </w:r>
      <w:r>
        <w:tab/>
        <w:t>3B(2)</w:t>
      </w:r>
    </w:p>
    <w:p>
      <w:pPr>
        <w:pStyle w:val="DefinedTerms"/>
      </w:pPr>
      <w:r>
        <w:t>TPI Railway and Port Agreement</w:t>
      </w:r>
      <w:r>
        <w:tab/>
        <w:t>3(1)</w:t>
      </w:r>
    </w:p>
    <w:p/>
    <w:p>
      <w:pPr>
        <w:sectPr>
          <w:headerReference w:type="even" r:id="rId25"/>
          <w:headerReference w:type="default" r:id="rId2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5DD638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7E6879D" w14:textId="11AC7480" w:rsidR="00A85483" w:rsidRDefault="00A8548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75F7D">
                        <w:rPr>
                          <w:sz w:val="16"/>
                        </w:rPr>
                        <w:t>2024</w:t>
                      </w:r>
                      <w:r>
                        <w:rPr>
                          <w:sz w:val="16"/>
                        </w:rPr>
                        <w:fldChar w:fldCharType="end"/>
                      </w:r>
                      <w:r>
                        <w:rPr>
                          <w:sz w:val="16"/>
                        </w:rPr>
                        <w:t>.</w:t>
                      </w:r>
                    </w:p>
                    <w:p w14:paraId="11ED929E" w14:textId="77777777" w:rsidR="00A85483" w:rsidRDefault="00A8548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1E5F2F" w14:textId="70298EA0" w:rsidR="00A85483" w:rsidRDefault="00A8548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75F7D">
                        <w:rPr>
                          <w:sz w:val="16"/>
                        </w:rPr>
                        <w:t>2024</w:t>
                      </w:r>
                      <w:r>
                        <w:rPr>
                          <w:sz w:val="16"/>
                        </w:rPr>
                        <w:fldChar w:fldCharType="end"/>
                      </w:r>
                      <w:r>
                        <w:rPr>
                          <w:sz w:val="16"/>
                        </w:rPr>
                        <w:t>.</w:t>
                      </w:r>
                    </w:p>
                    <w:p w14:paraId="42367939" w14:textId="77777777" w:rsidR="00A85483" w:rsidRDefault="00A8548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0D0EC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14128"/>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111162648" w:val="UpdateStyles,UsedStyles"/>
    <w:docVar w:name="WAFER_20151111162648_GUID" w:val="600f0009-bf20-482e-b82c-8afcbe22f6ff"/>
    <w:docVar w:name="WAFER_20240321114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14128_GUID" w:val="d28bc740-7bf1-436c-8ca8-69c522a00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7845</Words>
  <Characters>37658</Characters>
  <Application>Microsoft Office Word</Application>
  <DocSecurity>0</DocSecurity>
  <Lines>1107</Lines>
  <Paragraphs>700</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44803</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1998 - 03-h0-00</dc:title>
  <dc:subject/>
  <dc:creator/>
  <cp:keywords/>
  <dc:description/>
  <cp:lastModifiedBy>Master Repository Process</cp:lastModifiedBy>
  <cp:revision>4</cp:revision>
  <cp:lastPrinted>2008-08-11T01:57:00Z</cp:lastPrinted>
  <dcterms:created xsi:type="dcterms:W3CDTF">2024-03-27T05:14:00Z</dcterms:created>
  <dcterms:modified xsi:type="dcterms:W3CDTF">2024-03-27T05:14:00Z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DocumentType">
    <vt:lpwstr>Act</vt:lpwstr>
  </property>
  <property fmtid="{D5CDD505-2E9C-101B-9397-08002B2CF9AE}" pid="4" name="OwlsUID">
    <vt:i4>1907</vt:i4>
  </property>
  <property fmtid="{D5CDD505-2E9C-101B-9397-08002B2CF9AE}" pid="5" name="ReprintNo">
    <vt:lpwstr>3</vt:lpwstr>
  </property>
  <property fmtid="{D5CDD505-2E9C-101B-9397-08002B2CF9AE}" pid="6" name="AsAtDate">
    <vt:lpwstr>26 Mar 2024</vt:lpwstr>
  </property>
  <property fmtid="{D5CDD505-2E9C-101B-9397-08002B2CF9AE}" pid="7" name="Suffix">
    <vt:lpwstr>03-h0-00</vt:lpwstr>
  </property>
  <property fmtid="{D5CDD505-2E9C-101B-9397-08002B2CF9AE}" pid="8" name="Official">
    <vt:lpwstr/>
  </property>
  <property fmtid="{D5CDD505-2E9C-101B-9397-08002B2CF9AE}" pid="9" name="CommencementDate">
    <vt:lpwstr>20240326</vt:lpwstr>
  </property>
  <property fmtid="{D5CDD505-2E9C-101B-9397-08002B2CF9AE}" pid="10" name="CommencementAsAt">
    <vt:filetime>2024-03-25T16:00:00Z</vt:filetime>
  </property>
  <property fmtid="{D5CDD505-2E9C-101B-9397-08002B2CF9AE}" pid="11" name="CommencementYear">
    <vt:lpwstr>2024</vt:lpwstr>
  </property>
</Properties>
</file>