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(No. 2)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(No. 2)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_Toc163743507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_Toc163743508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</w:t>
      </w:r>
      <w:r>
        <w:rPr>
          <w:i/>
          <w:iCs/>
        </w:rPr>
        <w:t>— Liquor Control (Jigalong Restricted Area) Regulations 2009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_Toc163743510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9 amended</w:t>
      </w:r>
      <w:r>
        <w:tab/>
      </w:r>
      <w:r>
        <w:fldChar w:fldCharType="begin"/>
      </w:r>
      <w:r>
        <w:instrText xml:space="preserve"> PAGEREF _Toc163743511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  <w:iCs/>
        </w:rPr>
        <w:t>Liquor Control (Kunawarritji Restricted Area) Regulations 2011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_Toc163743513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10 amended</w:t>
      </w:r>
      <w:r>
        <w:tab/>
      </w:r>
      <w:r>
        <w:fldChar w:fldCharType="begin"/>
      </w:r>
      <w:r>
        <w:instrText xml:space="preserve"> PAGEREF _Toc163743514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  <w:iCs/>
        </w:rPr>
        <w:t>Liquor Control (Looma Restricted Area) Regulations 2011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_Toc163743516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9 amended</w:t>
      </w:r>
      <w:r>
        <w:tab/>
      </w:r>
      <w:r>
        <w:fldChar w:fldCharType="begin"/>
      </w:r>
      <w:r>
        <w:instrText xml:space="preserve"> PAGEREF _Toc163743517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Part 5 — </w:t>
      </w:r>
      <w:r>
        <w:rPr>
          <w:i/>
          <w:iCs/>
        </w:rPr>
        <w:t>Liquor Control (Pandanus Park Restricted Area) Regulations 2011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_Toc163743519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Regulation 9 amended</w:t>
      </w:r>
      <w:r>
        <w:tab/>
      </w:r>
      <w:r>
        <w:fldChar w:fldCharType="begin"/>
      </w:r>
      <w:r>
        <w:instrText xml:space="preserve"> PAGEREF _Toc163743520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Racing and Gaming Regulations Amendment (Liquor Control) Regulations (No. 2)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2" w:name="_Toc163743392"/>
      <w:bookmarkStart w:id="3" w:name="_Toc163743442"/>
      <w:bookmarkStart w:id="4" w:name="_Toc16374350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</w:p>
    <w:p>
      <w:pPr>
        <w:pStyle w:val="Heading5"/>
      </w:pPr>
      <w:bookmarkStart w:id="5" w:name="_Toc163743393"/>
      <w:bookmarkStart w:id="6" w:name="_Toc163743507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Racing and Gaming Regulations Amendment (Liquor Control) Regulations (No. 2) 2024</w:t>
      </w:r>
      <w:r>
        <w:t>.</w:t>
      </w:r>
    </w:p>
    <w:p>
      <w:pPr>
        <w:pStyle w:val="Heading5"/>
        <w:rPr>
          <w:spacing w:val="-2"/>
        </w:rPr>
      </w:pPr>
      <w:bookmarkStart w:id="8" w:name="_Toc163743394"/>
      <w:bookmarkStart w:id="9" w:name="_Toc1637435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10" w:name="_Toc163743395"/>
      <w:bookmarkStart w:id="11" w:name="_Toc163743445"/>
      <w:bookmarkStart w:id="12" w:name="_Toc163743509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rPr>
          <w:i/>
          <w:iCs/>
        </w:rPr>
        <w:t>—</w:t>
      </w:r>
      <w:r>
        <w:rPr>
          <w:rStyle w:val="CharDivText"/>
          <w:i/>
          <w:iCs/>
        </w:rPr>
        <w:t> </w:t>
      </w:r>
      <w:r>
        <w:rPr>
          <w:rStyle w:val="CharPartText"/>
          <w:i/>
          <w:iCs/>
        </w:rPr>
        <w:t>Liquor Control (Jigalong Restricted Area) Regulations 2009</w:t>
      </w:r>
      <w:r>
        <w:rPr>
          <w:rStyle w:val="CharPartText"/>
        </w:rPr>
        <w:t xml:space="preserve"> amended</w:t>
      </w:r>
      <w:bookmarkEnd w:id="10"/>
      <w:bookmarkEnd w:id="11"/>
      <w:bookmarkEnd w:id="12"/>
    </w:p>
    <w:p>
      <w:pPr>
        <w:pStyle w:val="Heading5"/>
        <w:rPr>
          <w:snapToGrid w:val="0"/>
        </w:rPr>
      </w:pPr>
      <w:bookmarkStart w:id="13" w:name="_Toc163743396"/>
      <w:bookmarkStart w:id="14" w:name="_Toc16374351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3"/>
      <w:bookmarkEnd w:id="14"/>
    </w:p>
    <w:p>
      <w:pPr>
        <w:pStyle w:val="Subsection"/>
        <w:rPr>
          <w:i/>
          <w:iCs/>
        </w:rPr>
      </w:pPr>
      <w:r>
        <w:tab/>
      </w:r>
      <w:r>
        <w:tab/>
        <w:t xml:space="preserve">This Part amends the </w:t>
      </w:r>
      <w:r>
        <w:rPr>
          <w:i/>
        </w:rPr>
        <w:t>Liquor Control (Jigalong Restricted Area) Regulations 2009</w:t>
      </w:r>
      <w:r>
        <w:rPr>
          <w:i/>
          <w:iCs/>
        </w:rPr>
        <w:t xml:space="preserve">. </w:t>
      </w:r>
    </w:p>
    <w:p>
      <w:pPr>
        <w:pStyle w:val="Heading5"/>
      </w:pPr>
      <w:bookmarkStart w:id="15" w:name="_Toc163743397"/>
      <w:bookmarkStart w:id="16" w:name="_Toc163743511"/>
      <w:r>
        <w:rPr>
          <w:rStyle w:val="CharSectno"/>
        </w:rPr>
        <w:t>4</w:t>
      </w:r>
      <w:r>
        <w:t>.</w:t>
      </w:r>
      <w:r>
        <w:tab/>
        <w:t>Regulation 9 amended</w:t>
      </w:r>
      <w:bookmarkEnd w:id="15"/>
      <w:bookmarkEnd w:id="16"/>
    </w:p>
    <w:p>
      <w:pPr>
        <w:pStyle w:val="Subsection"/>
      </w:pPr>
      <w:r>
        <w:tab/>
      </w:r>
      <w:r>
        <w:tab/>
        <w:t>In regulation 9 delete “1 May 2024.”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1 May 2034. </w:t>
      </w:r>
    </w:p>
    <w:p>
      <w:pPr>
        <w:pStyle w:val="BlankClose"/>
        <w:rPr>
          <w:rStyle w:val="DraftersNotes"/>
        </w:rPr>
      </w:pPr>
    </w:p>
    <w:p>
      <w:pPr>
        <w:pStyle w:val="Heading2"/>
      </w:pPr>
      <w:bookmarkStart w:id="17" w:name="_Toc163743398"/>
      <w:bookmarkStart w:id="18" w:name="_Toc163743448"/>
      <w:bookmarkStart w:id="19" w:name="_Toc163743512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Liquor Control (Kunawarritji Restricted Area) Regulations 2011</w:t>
      </w:r>
      <w:r>
        <w:rPr>
          <w:rStyle w:val="CharPartText"/>
        </w:rPr>
        <w:t xml:space="preserve"> amended</w:t>
      </w:r>
      <w:bookmarkEnd w:id="17"/>
      <w:bookmarkEnd w:id="18"/>
      <w:bookmarkEnd w:id="19"/>
    </w:p>
    <w:p>
      <w:pPr>
        <w:pStyle w:val="Heading5"/>
      </w:pPr>
      <w:bookmarkStart w:id="20" w:name="_Toc163743399"/>
      <w:bookmarkStart w:id="21" w:name="_Toc163743513"/>
      <w:r>
        <w:rPr>
          <w:rStyle w:val="CharSectno"/>
        </w:rPr>
        <w:t>5</w:t>
      </w:r>
      <w:r>
        <w:t>.</w:t>
      </w:r>
      <w:r>
        <w:tab/>
        <w:t>Regulations amended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  <w:iCs/>
        </w:rPr>
        <w:t>Liquor Control (Kunawarritji Restricted Area) Regulations 2011</w:t>
      </w:r>
      <w:r>
        <w:t xml:space="preserve">. </w:t>
      </w:r>
    </w:p>
    <w:p>
      <w:pPr>
        <w:pStyle w:val="Heading5"/>
      </w:pPr>
      <w:bookmarkStart w:id="22" w:name="_Toc163743400"/>
      <w:bookmarkStart w:id="23" w:name="_Toc163743514"/>
      <w:r>
        <w:rPr>
          <w:rStyle w:val="CharSectno"/>
        </w:rPr>
        <w:t>6</w:t>
      </w:r>
      <w:r>
        <w:t>.</w:t>
      </w:r>
      <w:r>
        <w:tab/>
        <w:t>Regulation 10 amended</w:t>
      </w:r>
      <w:bookmarkEnd w:id="22"/>
      <w:bookmarkEnd w:id="23"/>
    </w:p>
    <w:p>
      <w:pPr>
        <w:pStyle w:val="Subsection"/>
      </w:pPr>
      <w:r>
        <w:tab/>
      </w:r>
      <w:r>
        <w:tab/>
        <w:t>In regulation 10 delete “3 May 2024.”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 May 2025.</w:t>
      </w:r>
    </w:p>
    <w:p>
      <w:pPr>
        <w:pStyle w:val="BlankClose"/>
      </w:pPr>
    </w:p>
    <w:p>
      <w:pPr>
        <w:pStyle w:val="Heading2"/>
      </w:pPr>
      <w:bookmarkStart w:id="24" w:name="_Toc163743401"/>
      <w:bookmarkStart w:id="25" w:name="_Toc163743451"/>
      <w:bookmarkStart w:id="26" w:name="_Toc163743515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Liquor Control (Looma Restricted Area) Regulations 2011</w:t>
      </w:r>
      <w:r>
        <w:rPr>
          <w:rStyle w:val="CharPartText"/>
        </w:rPr>
        <w:t xml:space="preserve"> amended</w:t>
      </w:r>
      <w:bookmarkEnd w:id="24"/>
      <w:bookmarkEnd w:id="25"/>
      <w:bookmarkEnd w:id="26"/>
    </w:p>
    <w:p>
      <w:pPr>
        <w:pStyle w:val="Heading5"/>
      </w:pPr>
      <w:bookmarkStart w:id="27" w:name="_Toc163743402"/>
      <w:bookmarkStart w:id="28" w:name="_Toc163743516"/>
      <w:r>
        <w:rPr>
          <w:rStyle w:val="CharSectno"/>
        </w:rPr>
        <w:t>7</w:t>
      </w:r>
      <w:r>
        <w:t>.</w:t>
      </w:r>
      <w:r>
        <w:tab/>
        <w:t>Regulations amended</w:t>
      </w:r>
      <w:bookmarkEnd w:id="27"/>
      <w:bookmarkEnd w:id="28"/>
    </w:p>
    <w:p>
      <w:pPr>
        <w:pStyle w:val="Subsection"/>
        <w:rPr>
          <w:iCs/>
        </w:rPr>
      </w:pPr>
      <w:r>
        <w:tab/>
      </w:r>
      <w:r>
        <w:tab/>
        <w:t xml:space="preserve">This Part amends the </w:t>
      </w:r>
      <w:r>
        <w:rPr>
          <w:i/>
        </w:rPr>
        <w:t>Liquor Control (Looma Restricted Area) Regulations 2011</w:t>
      </w:r>
      <w:r>
        <w:rPr>
          <w:iCs/>
        </w:rPr>
        <w:t xml:space="preserve">. </w:t>
      </w:r>
    </w:p>
    <w:p>
      <w:pPr>
        <w:pStyle w:val="Heading5"/>
      </w:pPr>
      <w:bookmarkStart w:id="29" w:name="_Toc163743403"/>
      <w:bookmarkStart w:id="30" w:name="_Toc163743517"/>
      <w:r>
        <w:rPr>
          <w:rStyle w:val="CharSectno"/>
        </w:rPr>
        <w:t>8</w:t>
      </w:r>
      <w:r>
        <w:t>.</w:t>
      </w:r>
      <w:r>
        <w:tab/>
        <w:t>Regulation 9 amended</w:t>
      </w:r>
      <w:bookmarkEnd w:id="29"/>
      <w:bookmarkEnd w:id="30"/>
    </w:p>
    <w:p>
      <w:pPr>
        <w:pStyle w:val="Subsection"/>
      </w:pPr>
      <w:r>
        <w:tab/>
      </w:r>
      <w:r>
        <w:tab/>
        <w:t xml:space="preserve">In regulation 9 delete “28 May 2024.” and insert: 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28 May 2029. </w:t>
      </w:r>
    </w:p>
    <w:p>
      <w:pPr>
        <w:pStyle w:val="BlankClose"/>
      </w:pPr>
    </w:p>
    <w:p>
      <w:pPr>
        <w:pStyle w:val="Heading2"/>
      </w:pPr>
      <w:bookmarkStart w:id="31" w:name="_Toc163743404"/>
      <w:bookmarkStart w:id="32" w:name="_Toc163743454"/>
      <w:bookmarkStart w:id="33" w:name="_Toc163743518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Liquor Control (Pandanus Park Restricted Area) Regulations 2011</w:t>
      </w:r>
      <w:r>
        <w:rPr>
          <w:rStyle w:val="CharPartText"/>
        </w:rPr>
        <w:t xml:space="preserve"> amended</w:t>
      </w:r>
      <w:bookmarkEnd w:id="31"/>
      <w:bookmarkEnd w:id="32"/>
      <w:bookmarkEnd w:id="33"/>
    </w:p>
    <w:p>
      <w:pPr>
        <w:pStyle w:val="Heading5"/>
      </w:pPr>
      <w:bookmarkStart w:id="34" w:name="_Toc163743405"/>
      <w:bookmarkStart w:id="35" w:name="_Toc163743519"/>
      <w:r>
        <w:rPr>
          <w:rStyle w:val="CharSectno"/>
        </w:rPr>
        <w:t>9</w:t>
      </w:r>
      <w:r>
        <w:t>.</w:t>
      </w:r>
      <w:r>
        <w:tab/>
        <w:t>Regulations amended</w:t>
      </w:r>
      <w:bookmarkEnd w:id="34"/>
      <w:bookmarkEnd w:id="35"/>
    </w:p>
    <w:p>
      <w:pPr>
        <w:pStyle w:val="Subsection"/>
        <w:rPr>
          <w:i/>
          <w:iCs/>
        </w:rPr>
      </w:pPr>
      <w:r>
        <w:tab/>
      </w:r>
      <w:r>
        <w:tab/>
        <w:t xml:space="preserve">This Part amends the </w:t>
      </w:r>
      <w:r>
        <w:rPr>
          <w:i/>
        </w:rPr>
        <w:t>Liquor Control (Pandanus Park Restricted Area) Regulations 2011</w:t>
      </w:r>
      <w:r>
        <w:rPr>
          <w:i/>
          <w:iCs/>
        </w:rPr>
        <w:t xml:space="preserve">. </w:t>
      </w:r>
    </w:p>
    <w:p>
      <w:pPr>
        <w:pStyle w:val="Heading5"/>
      </w:pPr>
      <w:bookmarkStart w:id="36" w:name="_Toc163743406"/>
      <w:bookmarkStart w:id="37" w:name="_Toc163743520"/>
      <w:r>
        <w:rPr>
          <w:rStyle w:val="CharSectno"/>
        </w:rPr>
        <w:t>10</w:t>
      </w:r>
      <w:r>
        <w:t>.</w:t>
      </w:r>
      <w:r>
        <w:tab/>
        <w:t>Regulation 9 amended</w:t>
      </w:r>
      <w:bookmarkEnd w:id="36"/>
      <w:bookmarkEnd w:id="37"/>
    </w:p>
    <w:p>
      <w:pPr>
        <w:pStyle w:val="Subsection"/>
      </w:pPr>
      <w:r>
        <w:tab/>
      </w:r>
      <w:r>
        <w:tab/>
        <w:t xml:space="preserve">In regulation 9 delete “28 May 2024.” and insert: 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28 May 2025. 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9427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0FCE787" w14:textId="1008FD0F" w:rsidR="003F092E" w:rsidRDefault="003F092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14AC3DE" w14:textId="77777777" w:rsidR="003F092E" w:rsidRDefault="003F092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C48DA5E" w14:textId="22A178F2" w:rsidR="003F092E" w:rsidRDefault="003F092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1EE0867" w14:textId="77777777" w:rsidR="003F092E" w:rsidRDefault="003F092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67"/>
      <w:gridCol w:w="5148"/>
      <w:gridCol w:w="1548"/>
    </w:tblGrid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gridBefore w:val="1"/>
        <w:wBefore w:w="567" w:type="dxa"/>
        <w:jc w:val="center"/>
      </w:trPr>
      <w:tc>
        <w:tcPr>
          <w:tcW w:w="5148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11124429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4031124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03112418_GUID" w:val="9a8100e2-12b5-4d90-8d3f-093eafd1f034"/>
    <w:docVar w:name="WAFER_202404041123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04112341_GUID" w:val="7b472944-8ac1-4f8f-b742-73d1319c0ac0"/>
    <w:docVar w:name="WAFER_202404111244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11124429_GUID" w:val="cab17639-87c6-48f0-869b-fc37feaa16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ED6EB8D-4AF4-4249-9EAD-0BC32AF1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2725</Characters>
  <Application>Microsoft Office Word</Application>
  <DocSecurity>0</DocSecurity>
  <Lines>123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Gaming Regulations Amendment (Liquor Control) Regulations (No. 2)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2024-04-16T04:19:00Z</dcterms:created>
  <dcterms:modified xsi:type="dcterms:W3CDTF">2024-04-16T04:19:00Z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54804</vt:lpwstr>
  </property>
  <property fmtid="{D5CDD505-2E9C-101B-9397-08002B2CF9AE}" pid="3" name="DocumentType">
    <vt:lpwstr>Reg</vt:lpwstr>
  </property>
  <property fmtid="{D5CDD505-2E9C-101B-9397-08002B2CF9AE}" pid="4" name="AsAtDate">
    <vt:lpwstr>17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2024/46</vt:lpwstr>
  </property>
  <property fmtid="{D5CDD505-2E9C-101B-9397-08002B2CF9AE}" pid="8" name="PublishDate">
    <vt:lpwstr>17 Apr 2024</vt:lpwstr>
  </property>
  <property fmtid="{D5CDD505-2E9C-101B-9397-08002B2CF9AE}" pid="9" name="CommencementDate">
    <vt:lpwstr>20240417</vt:lpwstr>
  </property>
  <property fmtid="{D5CDD505-2E9C-101B-9397-08002B2CF9AE}" pid="10" name="CommencementAsAt">
    <vt:filetime>2024-04-16T16:00:00Z</vt:filetime>
  </property>
  <property fmtid="{D5CDD505-2E9C-101B-9397-08002B2CF9AE}" pid="11" name="CommencementYear">
    <vt:lpwstr>2024</vt:lpwstr>
  </property>
</Properties>
</file>