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Building Act 2011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_Toc163732336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_Toc163732337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_Toc163732338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_Toc163732339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18 amended</w:t>
      </w:r>
      <w:r>
        <w:tab/>
      </w:r>
      <w:r>
        <w:fldChar w:fldCharType="begin"/>
      </w:r>
      <w:r>
        <w:instrText xml:space="preserve"> PAGEREF _Toc163732340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19 amended</w:t>
      </w:r>
      <w:r>
        <w:tab/>
      </w:r>
      <w:r>
        <w:fldChar w:fldCharType="begin"/>
      </w:r>
      <w:r>
        <w:instrText xml:space="preserve"> PAGEREF _Toc163732341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42 amended</w:t>
      </w:r>
      <w:r>
        <w:tab/>
      </w:r>
      <w:r>
        <w:fldChar w:fldCharType="begin"/>
      </w:r>
      <w:r>
        <w:instrText xml:space="preserve"> PAGEREF _Toc163732342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Schedule 4 amended</w:t>
      </w:r>
      <w:r>
        <w:tab/>
      </w:r>
      <w:r>
        <w:fldChar w:fldCharType="begin"/>
      </w:r>
      <w:r>
        <w:instrText xml:space="preserve"> PAGEREF _Toc163732343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Building Act 2011</w:t>
      </w:r>
    </w:p>
    <w:p>
      <w:pPr>
        <w:pStyle w:val="NameofActReg"/>
      </w:pPr>
      <w:r>
        <w:t>Building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0615196"/>
      <w:bookmarkStart w:id="3" w:name="_Toc163732144"/>
      <w:bookmarkStart w:id="4" w:name="_Toc163732336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Building Amendment Regulations 2024</w:t>
      </w:r>
      <w:r>
        <w:t>.</w:t>
      </w:r>
    </w:p>
    <w:p>
      <w:pPr>
        <w:pStyle w:val="Heading5"/>
        <w:rPr>
          <w:spacing w:val="-2"/>
        </w:rPr>
      </w:pPr>
      <w:bookmarkStart w:id="6" w:name="_Toc160615197"/>
      <w:bookmarkStart w:id="7" w:name="_Toc163732145"/>
      <w:bookmarkStart w:id="8" w:name="_Toc1637323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  <w:rPr>
          <w:snapToGrid w:val="0"/>
        </w:rPr>
      </w:pPr>
      <w:bookmarkStart w:id="9" w:name="_Toc160615198"/>
      <w:bookmarkStart w:id="10" w:name="_Toc163732146"/>
      <w:bookmarkStart w:id="11" w:name="_Toc1637323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Building Regulations 2012</w:t>
      </w:r>
      <w:r>
        <w:t>.</w:t>
      </w:r>
    </w:p>
    <w:p>
      <w:pPr>
        <w:pStyle w:val="Heading5"/>
      </w:pPr>
      <w:bookmarkStart w:id="12" w:name="_Toc160615199"/>
      <w:bookmarkStart w:id="13" w:name="_Toc163732147"/>
      <w:bookmarkStart w:id="14" w:name="_Toc163732339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In regulation 3 delete the definition of </w:t>
      </w:r>
      <w:r>
        <w:rPr>
          <w:b/>
          <w:bCs/>
          <w:i/>
          <w:iCs/>
        </w:rPr>
        <w:t>Heritage Act</w:t>
      </w:r>
      <w:r>
        <w:t>.</w:t>
      </w:r>
    </w:p>
    <w:p>
      <w:pPr>
        <w:pStyle w:val="Subsection"/>
      </w:pPr>
      <w:r>
        <w:tab/>
        <w:t>(2)</w:t>
      </w:r>
      <w:r>
        <w:tab/>
        <w:t>In regulation 3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heritage works permit</w:t>
      </w:r>
      <w:r>
        <w:t xml:space="preserve"> means a works permit under the </w:t>
      </w:r>
      <w:r>
        <w:rPr>
          <w:i/>
          <w:iCs/>
        </w:rPr>
        <w:t>Heritage Act 2018</w:t>
      </w:r>
      <w:r>
        <w:t xml:space="preserve"> section 79;</w:t>
      </w:r>
    </w:p>
    <w:p>
      <w:pPr>
        <w:pStyle w:val="zDefstart"/>
      </w:pPr>
      <w:r>
        <w:tab/>
      </w:r>
      <w:r>
        <w:rPr>
          <w:rStyle w:val="CharDefText"/>
        </w:rPr>
        <w:t>protection order</w:t>
      </w:r>
      <w:r>
        <w:t xml:space="preserve"> has the meaning given in the </w:t>
      </w:r>
      <w:r>
        <w:rPr>
          <w:i/>
          <w:iCs/>
        </w:rPr>
        <w:t>Heritage Act 2018</w:t>
      </w:r>
      <w:r>
        <w:t xml:space="preserve"> section 4;</w:t>
      </w:r>
    </w:p>
    <w:p>
      <w:pPr>
        <w:pStyle w:val="zDefstart"/>
      </w:pPr>
      <w:r>
        <w:rPr>
          <w:b/>
          <w:i/>
        </w:rPr>
        <w:tab/>
      </w:r>
      <w:r>
        <w:rPr>
          <w:rStyle w:val="CharDefText"/>
        </w:rPr>
        <w:t>repair notice</w:t>
      </w:r>
      <w:r>
        <w:t xml:space="preserve"> has the meaning given in the </w:t>
      </w:r>
      <w:r>
        <w:rPr>
          <w:i/>
          <w:iCs/>
        </w:rPr>
        <w:t>Heritage Act 2018</w:t>
      </w:r>
      <w:r>
        <w:t xml:space="preserve"> section 63;</w:t>
      </w:r>
    </w:p>
    <w:p>
      <w:pPr>
        <w:pStyle w:val="zDefstart"/>
        <w:rPr>
          <w:rStyle w:val="DraftersNotes"/>
          <w:b w:val="0"/>
          <w:i w:val="0"/>
          <w:sz w:val="24"/>
        </w:rPr>
      </w:pPr>
      <w:r>
        <w:rPr>
          <w:b/>
          <w:i/>
        </w:rPr>
        <w:lastRenderedPageBreak/>
        <w:tab/>
      </w:r>
      <w:r>
        <w:rPr>
          <w:rStyle w:val="CharDefText"/>
        </w:rPr>
        <w:t>repair order</w:t>
      </w:r>
      <w:r>
        <w:t xml:space="preserve"> has the meaning given in the </w:t>
      </w:r>
      <w:r>
        <w:rPr>
          <w:i/>
          <w:iCs/>
        </w:rPr>
        <w:t>Heritage Act 2018</w:t>
      </w:r>
      <w:r>
        <w:t xml:space="preserve"> section 65(1);</w:t>
      </w:r>
    </w:p>
    <w:p>
      <w:pPr>
        <w:pStyle w:val="BlankClose"/>
      </w:pPr>
    </w:p>
    <w:p>
      <w:pPr>
        <w:pStyle w:val="Heading5"/>
      </w:pPr>
      <w:bookmarkStart w:id="15" w:name="_Toc160615200"/>
      <w:bookmarkStart w:id="16" w:name="_Toc163732148"/>
      <w:bookmarkStart w:id="17" w:name="_Toc163732340"/>
      <w:r>
        <w:rPr>
          <w:rStyle w:val="CharSectno"/>
        </w:rPr>
        <w:t>5</w:t>
      </w:r>
      <w:r>
        <w:t>.</w:t>
      </w:r>
      <w:r>
        <w:tab/>
        <w:t>Regulation 18 amended</w:t>
      </w:r>
      <w:bookmarkEnd w:id="15"/>
      <w:bookmarkEnd w:id="16"/>
      <w:bookmarkEnd w:id="17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>Delete regulation 18(3).</w:t>
      </w:r>
    </w:p>
    <w:p>
      <w:pPr>
        <w:pStyle w:val="Heading5"/>
      </w:pPr>
      <w:bookmarkStart w:id="18" w:name="_Toc160615201"/>
      <w:bookmarkStart w:id="19" w:name="_Toc163732149"/>
      <w:bookmarkStart w:id="20" w:name="_Toc163732341"/>
      <w:r>
        <w:rPr>
          <w:rStyle w:val="CharSectno"/>
        </w:rPr>
        <w:t>6</w:t>
      </w:r>
      <w:r>
        <w:t>.</w:t>
      </w:r>
      <w:r>
        <w:tab/>
        <w:t>Regulation 19 amended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>Delete regulation 19(2)(a).</w:t>
      </w:r>
    </w:p>
    <w:p>
      <w:pPr>
        <w:pStyle w:val="Heading5"/>
      </w:pPr>
      <w:bookmarkStart w:id="21" w:name="_Toc160615202"/>
      <w:bookmarkStart w:id="22" w:name="_Toc163732150"/>
      <w:bookmarkStart w:id="23" w:name="_Toc163732342"/>
      <w:r>
        <w:rPr>
          <w:rStyle w:val="CharSectno"/>
        </w:rPr>
        <w:t>7</w:t>
      </w:r>
      <w:r>
        <w:t>.</w:t>
      </w:r>
      <w:r>
        <w:tab/>
        <w:t>Regulation 42 amended</w:t>
      </w:r>
      <w:bookmarkEnd w:id="21"/>
      <w:bookmarkEnd w:id="22"/>
      <w:bookmarkEnd w:id="23"/>
    </w:p>
    <w:p>
      <w:pPr>
        <w:pStyle w:val="Subsection"/>
      </w:pPr>
      <w:r>
        <w:tab/>
      </w:r>
      <w:r>
        <w:tab/>
        <w:t>Delete regulation 42(a)(iii) and insert:</w:t>
      </w:r>
    </w:p>
    <w:p>
      <w:pPr>
        <w:pStyle w:val="BlankOpen"/>
      </w:pPr>
    </w:p>
    <w:p>
      <w:pPr>
        <w:pStyle w:val="zIndenti"/>
      </w:pPr>
      <w:r>
        <w:tab/>
        <w:t>(iii)</w:t>
      </w:r>
      <w:r>
        <w:tab/>
        <w:t>the building or incidental structure is not the subject of a protection order, heritage works permit, repair notice or repair order;</w:t>
      </w:r>
    </w:p>
    <w:p>
      <w:pPr>
        <w:pStyle w:val="BlankClose"/>
      </w:pPr>
    </w:p>
    <w:p>
      <w:pPr>
        <w:pStyle w:val="Heading5"/>
      </w:pPr>
      <w:bookmarkStart w:id="24" w:name="_Toc160615203"/>
      <w:bookmarkStart w:id="25" w:name="_Toc163732151"/>
      <w:bookmarkStart w:id="26" w:name="_Toc163732343"/>
      <w:r>
        <w:rPr>
          <w:rStyle w:val="CharSectno"/>
        </w:rPr>
        <w:t>8</w:t>
      </w:r>
      <w:r>
        <w:t>.</w:t>
      </w:r>
      <w:r>
        <w:tab/>
        <w:t>Schedule 4 amended</w:t>
      </w:r>
      <w:bookmarkEnd w:id="24"/>
      <w:bookmarkEnd w:id="25"/>
      <w:bookmarkEnd w:id="26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In Schedule 4 clause 2 in the Table item 2(g) delete “an </w:t>
      </w:r>
      <w:r>
        <w:rPr>
          <w:sz w:val="22"/>
          <w:szCs w:val="18"/>
        </w:rPr>
        <w:t>order, agreement or permit under the Heritage Act.</w:t>
      </w:r>
      <w:r>
        <w:t>” and insert:</w:t>
      </w:r>
    </w:p>
    <w:p>
      <w:pPr>
        <w:pStyle w:val="BlankOpen"/>
      </w:pPr>
    </w:p>
    <w:p>
      <w:pPr>
        <w:pStyle w:val="Subsection"/>
        <w:rPr>
          <w:rStyle w:val="DraftersNotes"/>
          <w:b w:val="0"/>
          <w:i w:val="0"/>
          <w:sz w:val="22"/>
          <w:szCs w:val="22"/>
        </w:rPr>
      </w:pPr>
      <w:r>
        <w:tab/>
      </w:r>
      <w:r>
        <w:tab/>
        <w:t xml:space="preserve">a </w:t>
      </w:r>
      <w:r>
        <w:rPr>
          <w:sz w:val="22"/>
          <w:szCs w:val="22"/>
        </w:rPr>
        <w:t xml:space="preserve">protection order, heritage works permit, repair notice or repair order. </w:t>
      </w:r>
    </w:p>
    <w:p>
      <w:pPr>
        <w:pStyle w:val="BlankClose"/>
        <w:rPr>
          <w:rStyle w:val="DraftersNotes"/>
        </w:rPr>
      </w:pPr>
    </w:p>
    <w:p>
      <w:pPr>
        <w:pStyle w:val="ByCommand"/>
      </w:pPr>
      <w:r>
        <w:t>V. MOLAN, Clerk of the Executive Council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EF3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5EF0302" w14:textId="1AFE2494" w:rsidR="00F868C6" w:rsidRDefault="00F868C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D5323B7" w14:textId="77777777" w:rsidR="00F868C6" w:rsidRDefault="00F868C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98E01F7" w14:textId="166BAF2F" w:rsidR="00F868C6" w:rsidRDefault="00F868C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7EE3C72" w14:textId="77777777" w:rsidR="00F868C6" w:rsidRDefault="00F868C6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330050B3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2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6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7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24"/>
  </w:num>
  <w:num w:numId="18">
    <w:abstractNumId w:val="27"/>
  </w:num>
  <w:num w:numId="19">
    <w:abstractNumId w:val="14"/>
  </w:num>
  <w:num w:numId="20">
    <w:abstractNumId w:val="25"/>
  </w:num>
  <w:num w:numId="21">
    <w:abstractNumId w:val="12"/>
  </w:num>
  <w:num w:numId="22">
    <w:abstractNumId w:val="18"/>
  </w:num>
  <w:num w:numId="23">
    <w:abstractNumId w:val="10"/>
  </w:num>
  <w:num w:numId="24">
    <w:abstractNumId w:val="1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0610442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2050846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05084653_GUID" w:val="375f6058-ef19-41a4-8604-e3c4fc2f78c5"/>
    <w:docVar w:name="WAFER_202402281600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8160031_GUID" w:val="fb907d5c-5c0d-4f6b-b98d-ca0d979bf75f"/>
    <w:docVar w:name="WAFER_202403061044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06104428_GUID" w:val="bc21396f-e604-41b4-99bb-2adeba8565a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8455EA90-8D86-4319-9171-3A2E8A47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E3A4-7764-4C0C-B043-AAF0243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2112</Characters>
  <Application>Microsoft Office Word</Application>
  <DocSecurity>0</DocSecurity>
  <Lines>91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Amendment Regulations 2024 - 00-00-00</dc:title>
  <dc:subject/>
  <dc:creator/>
  <cp:keywords/>
  <dc:description/>
  <cp:lastModifiedBy>Master Repository Process</cp:lastModifiedBy>
  <cp:revision>4</cp:revision>
  <cp:lastPrinted>2024-02-28T06:37:00Z</cp:lastPrinted>
  <dcterms:created xsi:type="dcterms:W3CDTF">2024-04-16T04:20:00Z</dcterms:created>
  <dcterms:modified xsi:type="dcterms:W3CDTF">2024-04-16T04:20:00Z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54462</vt:lpwstr>
  </property>
  <property fmtid="{D5CDD505-2E9C-101B-9397-08002B2CF9AE}" pid="3" name="DocumentType">
    <vt:lpwstr>Reg</vt:lpwstr>
  </property>
  <property fmtid="{D5CDD505-2E9C-101B-9397-08002B2CF9AE}" pid="4" name="AsAtDate">
    <vt:lpwstr>17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2024/49</vt:lpwstr>
  </property>
  <property fmtid="{D5CDD505-2E9C-101B-9397-08002B2CF9AE}" pid="8" name="PublishDate">
    <vt:lpwstr>17 Apr 2024</vt:lpwstr>
  </property>
  <property fmtid="{D5CDD505-2E9C-101B-9397-08002B2CF9AE}" pid="9" name="CommencementDate">
    <vt:lpwstr>20240417</vt:lpwstr>
  </property>
  <property fmtid="{D5CDD505-2E9C-101B-9397-08002B2CF9AE}" pid="10" name="CommencementAsAt">
    <vt:filetime>2024-04-16T16:00:00Z</vt:filetime>
  </property>
  <property fmtid="{D5CDD505-2E9C-101B-9397-08002B2CF9AE}" pid="11" name="CommencementYear">
    <vt:lpwstr>2024</vt:lpwstr>
  </property>
</Properties>
</file>