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Community Titles Act 2018</w:t>
      </w:r>
      <w:r>
        <w:rPr>
          <w:noProof/>
        </w:rPr>
        <w:br/>
        <w:t>Strata Titles Act 1985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Lands Regulations (Community and Strata Titles)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Lands Regulations (Community and Strata Titles)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_Toc164159575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_Toc164159576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  <w:iCs/>
        </w:rPr>
        <w:t>Community Titles Regulations 2021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_Toc164159578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101 amended</w:t>
      </w:r>
      <w:r>
        <w:tab/>
      </w:r>
      <w:r>
        <w:fldChar w:fldCharType="begin"/>
      </w:r>
      <w:r>
        <w:instrText xml:space="preserve"> PAGEREF _Toc164159579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  <w:iCs/>
        </w:rPr>
        <w:t>Strata Titles (General) Regulations 2019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_Toc164159581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95 amended</w:t>
      </w:r>
      <w:r>
        <w:tab/>
      </w:r>
      <w:r>
        <w:fldChar w:fldCharType="begin"/>
      </w:r>
      <w:r>
        <w:instrText xml:space="preserve"> PAGEREF _Toc164159582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97 amended</w:t>
      </w:r>
      <w:r>
        <w:tab/>
      </w:r>
      <w:r>
        <w:fldChar w:fldCharType="begin"/>
      </w:r>
      <w:r>
        <w:instrText xml:space="preserve"> PAGEREF _Toc164159583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172 amended</w:t>
      </w:r>
      <w:r>
        <w:tab/>
      </w:r>
      <w:r>
        <w:fldChar w:fldCharType="begin"/>
      </w:r>
      <w:r>
        <w:instrText xml:space="preserve"> PAGEREF _Toc164159584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Regulation 182 amended</w:t>
      </w:r>
      <w:r>
        <w:tab/>
      </w:r>
      <w:r>
        <w:fldChar w:fldCharType="begin"/>
      </w:r>
      <w:r>
        <w:instrText xml:space="preserve"> PAGEREF _Toc164159585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Regulation 182A inserted</w:t>
      </w:r>
      <w:r>
        <w:tab/>
      </w:r>
      <w:r>
        <w:fldChar w:fldCharType="begin"/>
      </w:r>
      <w:r>
        <w:instrText xml:space="preserve"> PAGEREF _Toc164159586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182A.</w:t>
      </w:r>
      <w:r>
        <w:rPr>
          <w:noProof/>
        </w:rPr>
        <w:tab/>
        <w:t xml:space="preserve">Transitional provision for the </w:t>
      </w:r>
      <w:r>
        <w:rPr>
          <w:bCs/>
          <w:i/>
          <w:noProof/>
        </w:rPr>
        <w:t>Lands Regulations (Community and Strata Titles) Amendment Regulations 2024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_Toc164159587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Community Titles Act 2018</w:t>
      </w:r>
      <w:r>
        <w:br/>
        <w:t>Strata Titles Act 1985</w:t>
      </w:r>
    </w:p>
    <w:p>
      <w:pPr>
        <w:pStyle w:val="NameofActReg"/>
      </w:pPr>
      <w:r>
        <w:t>Lands Regulations (Community and Strata Titles)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2" w:name="_Toc163732777"/>
      <w:bookmarkStart w:id="3" w:name="_Toc163732817"/>
      <w:bookmarkStart w:id="4" w:name="_Toc163732909"/>
      <w:bookmarkStart w:id="5" w:name="_Toc16415957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</w:p>
    <w:p>
      <w:pPr>
        <w:pStyle w:val="Heading5"/>
      </w:pPr>
      <w:bookmarkStart w:id="6" w:name="_Toc163732778"/>
      <w:bookmarkStart w:id="7" w:name="_Toc164159575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Lands Regulations (Community and Strata Titles) Amendment Regulations 2024</w:t>
      </w:r>
      <w:r>
        <w:t>.</w:t>
      </w:r>
    </w:p>
    <w:p>
      <w:pPr>
        <w:pStyle w:val="Heading5"/>
        <w:rPr>
          <w:spacing w:val="-2"/>
        </w:rPr>
      </w:pPr>
      <w:bookmarkStart w:id="9" w:name="_Toc163732779"/>
      <w:bookmarkStart w:id="10" w:name="_Toc1641595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11" w:name="_Toc163732780"/>
      <w:bookmarkStart w:id="12" w:name="_Toc163732820"/>
      <w:bookmarkStart w:id="13" w:name="_Toc163732912"/>
      <w:bookmarkStart w:id="14" w:name="_Toc16415957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Community Titles Regulations 2021</w:t>
      </w:r>
      <w:r>
        <w:rPr>
          <w:rStyle w:val="CharPartText"/>
        </w:rPr>
        <w:t xml:space="preserve"> amended</w:t>
      </w:r>
      <w:bookmarkEnd w:id="11"/>
      <w:bookmarkEnd w:id="12"/>
      <w:bookmarkEnd w:id="13"/>
      <w:bookmarkEnd w:id="14"/>
    </w:p>
    <w:p>
      <w:pPr>
        <w:pStyle w:val="Heading5"/>
      </w:pPr>
      <w:bookmarkStart w:id="15" w:name="_Toc163732781"/>
      <w:bookmarkStart w:id="16" w:name="_Toc164159578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Regulations amended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This Part </w:t>
      </w:r>
      <w:r>
        <w:rPr>
          <w:spacing w:val="-2"/>
        </w:rPr>
        <w:t>amends</w:t>
      </w:r>
      <w:r>
        <w:t xml:space="preserve"> the </w:t>
      </w:r>
      <w:r>
        <w:rPr>
          <w:i/>
        </w:rPr>
        <w:t>Community Titles Regulations 2021</w:t>
      </w:r>
      <w:r>
        <w:t>.</w:t>
      </w:r>
    </w:p>
    <w:p>
      <w:pPr>
        <w:pStyle w:val="Heading5"/>
      </w:pPr>
      <w:bookmarkStart w:id="17" w:name="_Toc163732782"/>
      <w:bookmarkStart w:id="18" w:name="_Toc164159579"/>
      <w:r>
        <w:rPr>
          <w:rStyle w:val="CharSectno"/>
        </w:rPr>
        <w:t>4</w:t>
      </w:r>
      <w:r>
        <w:t>.</w:t>
      </w:r>
      <w:r>
        <w:tab/>
        <w:t>Regulation 101 amended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In regulation 101(1) in the definition of </w:t>
      </w:r>
      <w:r>
        <w:rPr>
          <w:b/>
          <w:bCs/>
          <w:i/>
          <w:iCs/>
        </w:rPr>
        <w:t>transitional period</w:t>
      </w:r>
      <w:r>
        <w:t xml:space="preserve"> delete “2 years”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3 years and 5 months</w:t>
      </w:r>
    </w:p>
    <w:p>
      <w:pPr>
        <w:pStyle w:val="BlankClose"/>
      </w:pPr>
    </w:p>
    <w:p>
      <w:pPr>
        <w:pStyle w:val="Heading2"/>
      </w:pPr>
      <w:bookmarkStart w:id="19" w:name="_Toc163732783"/>
      <w:bookmarkStart w:id="20" w:name="_Toc163732823"/>
      <w:bookmarkStart w:id="21" w:name="_Toc163732915"/>
      <w:bookmarkStart w:id="22" w:name="_Toc164159580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Strata Titles (General) Regulations 2019</w:t>
      </w:r>
      <w:r>
        <w:rPr>
          <w:rStyle w:val="CharPartText"/>
        </w:rPr>
        <w:t xml:space="preserve"> amended</w:t>
      </w:r>
      <w:bookmarkEnd w:id="19"/>
      <w:bookmarkEnd w:id="20"/>
      <w:bookmarkEnd w:id="21"/>
      <w:bookmarkEnd w:id="22"/>
    </w:p>
    <w:p>
      <w:pPr>
        <w:pStyle w:val="Heading5"/>
        <w:rPr>
          <w:snapToGrid w:val="0"/>
        </w:rPr>
      </w:pPr>
      <w:bookmarkStart w:id="23" w:name="_Toc163732784"/>
      <w:bookmarkStart w:id="24" w:name="_Toc16415958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Regulations amended</w:t>
      </w:r>
      <w:bookmarkEnd w:id="23"/>
      <w:bookmarkEnd w:id="24"/>
    </w:p>
    <w:p>
      <w:pPr>
        <w:pStyle w:val="Subsection"/>
      </w:pPr>
      <w:r>
        <w:tab/>
      </w:r>
      <w:r>
        <w:tab/>
        <w:t>This Part</w:t>
      </w:r>
      <w:r>
        <w:rPr>
          <w:spacing w:val="-2"/>
        </w:rPr>
        <w:t xml:space="preserve"> amends</w:t>
      </w:r>
      <w:r>
        <w:t xml:space="preserve"> the </w:t>
      </w:r>
      <w:r>
        <w:rPr>
          <w:i/>
        </w:rPr>
        <w:t>Strata Titles (General) Regulations 2019</w:t>
      </w:r>
      <w:r>
        <w:t>.</w:t>
      </w:r>
    </w:p>
    <w:p>
      <w:pPr>
        <w:pStyle w:val="Heading5"/>
      </w:pPr>
      <w:bookmarkStart w:id="25" w:name="_Toc163732785"/>
      <w:bookmarkStart w:id="26" w:name="_Toc164159582"/>
      <w:r>
        <w:rPr>
          <w:rStyle w:val="CharSectno"/>
        </w:rPr>
        <w:t>6</w:t>
      </w:r>
      <w:r>
        <w:t>.</w:t>
      </w:r>
      <w:r>
        <w:tab/>
        <w:t>Regulation 95 amended</w:t>
      </w:r>
      <w:bookmarkEnd w:id="25"/>
      <w:bookmarkEnd w:id="26"/>
    </w:p>
    <w:p>
      <w:pPr>
        <w:pStyle w:val="Subsection"/>
        <w:rPr>
          <w:szCs w:val="24"/>
        </w:rPr>
      </w:pPr>
      <w:r>
        <w:tab/>
      </w:r>
      <w:r>
        <w:tab/>
        <w:t>In regulation 95 in the note delete “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noBreakHyphen/>
        <w:t>year</w:t>
      </w:r>
      <w:r>
        <w:rPr>
          <w:szCs w:val="24"/>
        </w:rPr>
        <w:t>” and insert:</w:t>
      </w:r>
    </w:p>
    <w:p>
      <w:pPr>
        <w:pStyle w:val="BlankOpen"/>
      </w:pPr>
    </w:p>
    <w:p>
      <w:pPr>
        <w:pStyle w:val="Subsection"/>
        <w:rPr>
          <w:rFonts w:ascii="Arial" w:hAnsi="Arial" w:cs="Arial"/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rFonts w:ascii="Arial" w:hAnsi="Arial" w:cs="Arial"/>
          <w:sz w:val="18"/>
          <w:szCs w:val="24"/>
        </w:rPr>
        <w:t>4</w:t>
      </w:r>
      <w:r>
        <w:rPr>
          <w:rFonts w:ascii="Arial" w:hAnsi="Arial" w:cs="Arial"/>
          <w:sz w:val="18"/>
          <w:szCs w:val="24"/>
        </w:rPr>
        <w:noBreakHyphen/>
        <w:t>year and 6</w:t>
      </w:r>
      <w:r>
        <w:rPr>
          <w:rFonts w:ascii="Arial" w:hAnsi="Arial" w:cs="Arial"/>
          <w:sz w:val="18"/>
          <w:szCs w:val="24"/>
        </w:rPr>
        <w:noBreakHyphen/>
        <w:t>month</w:t>
      </w:r>
    </w:p>
    <w:p>
      <w:pPr>
        <w:pStyle w:val="BlankClose"/>
      </w:pPr>
    </w:p>
    <w:p>
      <w:pPr>
        <w:pStyle w:val="Heading5"/>
      </w:pPr>
      <w:bookmarkStart w:id="27" w:name="_Toc163732786"/>
      <w:bookmarkStart w:id="28" w:name="_Toc164159583"/>
      <w:r>
        <w:rPr>
          <w:rStyle w:val="CharSectno"/>
        </w:rPr>
        <w:t>7</w:t>
      </w:r>
      <w:r>
        <w:t>.</w:t>
      </w:r>
      <w:r>
        <w:tab/>
        <w:t>Regulation 97 amended</w:t>
      </w:r>
      <w:bookmarkEnd w:id="27"/>
      <w:bookmarkEnd w:id="28"/>
    </w:p>
    <w:p>
      <w:pPr>
        <w:pStyle w:val="Subsection"/>
        <w:rPr>
          <w:szCs w:val="24"/>
        </w:rPr>
      </w:pPr>
      <w:r>
        <w:tab/>
      </w:r>
      <w:r>
        <w:tab/>
        <w:t>In regulation 97 in the note delete “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noBreakHyphen/>
        <w:t>year</w:t>
      </w:r>
      <w:r>
        <w:rPr>
          <w:szCs w:val="24"/>
        </w:rPr>
        <w:t>” (each occurrence) and insert:</w:t>
      </w:r>
    </w:p>
    <w:p>
      <w:pPr>
        <w:pStyle w:val="BlankOpen"/>
      </w:pPr>
    </w:p>
    <w:p>
      <w:pPr>
        <w:pStyle w:val="Subsection"/>
        <w:rPr>
          <w:rFonts w:ascii="Arial" w:hAnsi="Arial" w:cs="Arial"/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rFonts w:ascii="Arial" w:hAnsi="Arial" w:cs="Arial"/>
          <w:sz w:val="18"/>
          <w:szCs w:val="24"/>
        </w:rPr>
        <w:t>4</w:t>
      </w:r>
      <w:r>
        <w:rPr>
          <w:rFonts w:ascii="Arial" w:hAnsi="Arial" w:cs="Arial"/>
          <w:sz w:val="18"/>
          <w:szCs w:val="24"/>
        </w:rPr>
        <w:noBreakHyphen/>
        <w:t>year and 6</w:t>
      </w:r>
      <w:r>
        <w:rPr>
          <w:rFonts w:ascii="Arial" w:hAnsi="Arial" w:cs="Arial"/>
          <w:sz w:val="18"/>
          <w:szCs w:val="24"/>
        </w:rPr>
        <w:noBreakHyphen/>
        <w:t>month</w:t>
      </w:r>
    </w:p>
    <w:p>
      <w:pPr>
        <w:pStyle w:val="BlankClose"/>
      </w:pPr>
    </w:p>
    <w:p>
      <w:pPr>
        <w:pStyle w:val="Heading5"/>
      </w:pPr>
      <w:bookmarkStart w:id="29" w:name="_Toc163732787"/>
      <w:bookmarkStart w:id="30" w:name="_Toc164159584"/>
      <w:r>
        <w:rPr>
          <w:rStyle w:val="CharSectno"/>
        </w:rPr>
        <w:t>8</w:t>
      </w:r>
      <w:r>
        <w:t>.</w:t>
      </w:r>
      <w:r>
        <w:tab/>
        <w:t>Regulation 172 amended</w:t>
      </w:r>
      <w:bookmarkEnd w:id="29"/>
      <w:bookmarkEnd w:id="30"/>
    </w:p>
    <w:p>
      <w:pPr>
        <w:pStyle w:val="Subsection"/>
      </w:pPr>
      <w:r>
        <w:tab/>
      </w:r>
      <w:r>
        <w:tab/>
        <w:t>In regulation 172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4</w:t>
      </w:r>
      <w:r>
        <w:rPr>
          <w:rStyle w:val="CharDefText"/>
        </w:rPr>
        <w:noBreakHyphen/>
        <w:t>year and 6</w:t>
      </w:r>
      <w:r>
        <w:rPr>
          <w:rStyle w:val="CharDefText"/>
        </w:rPr>
        <w:noBreakHyphen/>
        <w:t>month transitional period</w:t>
      </w:r>
      <w:r>
        <w:t xml:space="preserve"> means the period starting on the commencement day and ending on the day that is 4 years and 6 months after the commencement day;</w:t>
      </w:r>
    </w:p>
    <w:p>
      <w:pPr>
        <w:pStyle w:val="BlankClose"/>
      </w:pPr>
    </w:p>
    <w:p>
      <w:pPr>
        <w:pStyle w:val="Heading5"/>
      </w:pPr>
      <w:bookmarkStart w:id="31" w:name="_Toc163732788"/>
      <w:bookmarkStart w:id="32" w:name="_Toc164159585"/>
      <w:r>
        <w:rPr>
          <w:rStyle w:val="CharSectno"/>
        </w:rPr>
        <w:lastRenderedPageBreak/>
        <w:t>9</w:t>
      </w:r>
      <w:r>
        <w:t>.</w:t>
      </w:r>
      <w:r>
        <w:tab/>
        <w:t>Regulation 182 amended</w:t>
      </w:r>
      <w:bookmarkEnd w:id="31"/>
      <w:bookmarkEnd w:id="32"/>
    </w:p>
    <w:p>
      <w:pPr>
        <w:pStyle w:val="Subsection"/>
        <w:keepNext/>
      </w:pPr>
      <w:r>
        <w:tab/>
      </w:r>
      <w:r>
        <w:tab/>
        <w:t>In regulation 182(1), (2) and (3) delete “4</w:t>
      </w:r>
      <w:r>
        <w:noBreakHyphen/>
        <w:t>year” (each occurrence)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</w:t>
      </w:r>
      <w:r>
        <w:noBreakHyphen/>
        <w:t>year and 6</w:t>
      </w:r>
      <w:r>
        <w:noBreakHyphen/>
        <w:t>month</w:t>
      </w:r>
    </w:p>
    <w:p>
      <w:pPr>
        <w:pStyle w:val="BlankClose"/>
      </w:pPr>
    </w:p>
    <w:p>
      <w:pPr>
        <w:pStyle w:val="Heading5"/>
      </w:pPr>
      <w:bookmarkStart w:id="33" w:name="_Toc163732789"/>
      <w:bookmarkStart w:id="34" w:name="_Toc164159586"/>
      <w:r>
        <w:rPr>
          <w:rStyle w:val="CharSectno"/>
        </w:rPr>
        <w:t>10</w:t>
      </w:r>
      <w:r>
        <w:t>.</w:t>
      </w:r>
      <w:r>
        <w:tab/>
        <w:t>Regulation 182A inserted</w:t>
      </w:r>
      <w:bookmarkEnd w:id="33"/>
      <w:bookmarkEnd w:id="34"/>
    </w:p>
    <w:p>
      <w:pPr>
        <w:pStyle w:val="Subsection"/>
      </w:pPr>
      <w:r>
        <w:tab/>
      </w:r>
      <w:r>
        <w:tab/>
        <w:t>After regulation 182 insert:</w:t>
      </w:r>
    </w:p>
    <w:p>
      <w:pPr>
        <w:pStyle w:val="BlankOpen"/>
      </w:pPr>
    </w:p>
    <w:p>
      <w:pPr>
        <w:pStyle w:val="zHeading5"/>
        <w:rPr>
          <w:i/>
          <w:iCs/>
        </w:rPr>
      </w:pPr>
      <w:bookmarkStart w:id="35" w:name="_Toc163732790"/>
      <w:bookmarkStart w:id="36" w:name="_Toc164159587"/>
      <w:r>
        <w:t>182A.</w:t>
      </w:r>
      <w:r>
        <w:tab/>
        <w:t xml:space="preserve">Transitional provision for the </w:t>
      </w:r>
      <w:r>
        <w:rPr>
          <w:bCs/>
          <w:i/>
          <w:noProof/>
        </w:rPr>
        <w:t>Lands Regulations (Community and Strata Titles) Amendment Regulations 2024</w:t>
      </w:r>
      <w:bookmarkEnd w:id="35"/>
      <w:bookmarkEnd w:id="36"/>
    </w:p>
    <w:p>
      <w:pPr>
        <w:pStyle w:val="zSubsection"/>
        <w:rPr>
          <w:i/>
          <w:iCs/>
        </w:rPr>
      </w:pPr>
      <w:r>
        <w:tab/>
        <w:t>(1)</w:t>
      </w:r>
      <w:r>
        <w:tab/>
        <w:t xml:space="preserve">This regulation applies to a strata management contract referred to in regulation 182 that was entered into before the commencement of the </w:t>
      </w:r>
      <w:r>
        <w:rPr>
          <w:bCs/>
          <w:i/>
          <w:noProof/>
        </w:rPr>
        <w:t>Lands Regulations (Community and Strata Titles) Amendment Regulations 2024</w:t>
      </w:r>
      <w:r>
        <w:rPr>
          <w:bCs/>
          <w:i/>
        </w:rPr>
        <w:t xml:space="preserve"> </w:t>
      </w:r>
      <w:r>
        <w:rPr>
          <w:bCs/>
          <w:iCs/>
        </w:rPr>
        <w:t>regulation 9</w:t>
      </w:r>
      <w:r>
        <w:rPr>
          <w:i/>
          <w:iCs/>
        </w:rPr>
        <w:t>.</w:t>
      </w:r>
    </w:p>
    <w:p>
      <w:pPr>
        <w:pStyle w:val="zSubsection"/>
      </w:pPr>
      <w:r>
        <w:tab/>
        <w:t>(2)</w:t>
      </w:r>
      <w:r>
        <w:tab/>
        <w:t>A reference in the contract to the end of the 4</w:t>
      </w:r>
      <w:r>
        <w:noBreakHyphen/>
        <w:t>year transitional period is taken to be a reference to the end of the 4</w:t>
      </w:r>
      <w:r>
        <w:noBreakHyphen/>
        <w:t>year and 6</w:t>
      </w:r>
      <w:r>
        <w:noBreakHyphen/>
        <w:t>month transitional period.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 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A34B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D03284E" w14:textId="22397561" w:rsidR="004434F0" w:rsidRDefault="004434F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F94F0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D2DF4E1" w14:textId="77777777" w:rsidR="004434F0" w:rsidRDefault="004434F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7184394" w14:textId="29EB5259" w:rsidR="004434F0" w:rsidRDefault="004434F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F94F0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8E56C3D" w14:textId="77777777" w:rsidR="004434F0" w:rsidRDefault="004434F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Lands Regulations (Community and Strata Titles)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Lands Regulations (Community and Strata Titles)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540"/>
      <w:gridCol w:w="175"/>
    </w:tblGrid>
    <w:tr>
      <w:trPr>
        <w:gridAfter w:val="1"/>
        <w:wAfter w:w="175" w:type="dxa"/>
        <w:cantSplit/>
        <w:jc w:val="center"/>
      </w:trPr>
      <w:tc>
        <w:tcPr>
          <w:tcW w:w="708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Lands Regulations (Community and Strata Titles)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2"/>
      <w:gridCol w:w="5573"/>
      <w:gridCol w:w="1548"/>
    </w:tblGrid>
    <w:tr>
      <w:trPr>
        <w:gridBefore w:val="1"/>
        <w:wBefore w:w="142" w:type="dxa"/>
        <w:cantSplit/>
        <w:jc w:val="center"/>
      </w:trPr>
      <w:tc>
        <w:tcPr>
          <w:tcW w:w="7121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Lands Regulations (Community and Strata Titles)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1"/>
  </w:num>
  <w:num w:numId="5">
    <w:abstractNumId w:val="18"/>
  </w:num>
  <w:num w:numId="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1112440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403141520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14152001_GUID" w:val="25b4a4d8-dfd6-47c4-b18c-386d0ac95255"/>
    <w:docVar w:name="WAFER_2024032011084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20110849_GUID" w:val="7bba5241-273f-4ad4-b39a-898582ad278f"/>
    <w:docVar w:name="WAFER_202404111244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11124404_GUID" w:val="140ac657-3692-478a-b877-a4eeb104fe0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5:docId w15:val="{712C51B8-847C-486D-8B6A-751B476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2ACD-7AAA-4541-9B96-0ECC070A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3108</Characters>
  <Application>Microsoft Office Word</Application>
  <DocSecurity>0</DocSecurity>
  <Lines>135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 Regulations (Community and Strata Titles) Amendment Regulations 2024 - 00-00-00</dc:title>
  <dc:subject/>
  <dc:creator/>
  <cp:keywords/>
  <dc:description/>
  <cp:lastModifiedBy>Master Repository Process</cp:lastModifiedBy>
  <cp:revision>4</cp:revision>
  <cp:lastPrinted>2024-03-14T05:49:00Z</cp:lastPrinted>
  <dcterms:created xsi:type="dcterms:W3CDTF">2024-04-16T04:20:00Z</dcterms:created>
  <dcterms:modified xsi:type="dcterms:W3CDTF">2024-04-16T04:20:00Z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54456</vt:lpwstr>
  </property>
  <property fmtid="{D5CDD505-2E9C-101B-9397-08002B2CF9AE}" pid="3" name="DocumentType">
    <vt:lpwstr>Reg</vt:lpwstr>
  </property>
  <property fmtid="{D5CDD505-2E9C-101B-9397-08002B2CF9AE}" pid="4" name="SLAPId">
    <vt:lpwstr>2024/50</vt:lpwstr>
  </property>
  <property fmtid="{D5CDD505-2E9C-101B-9397-08002B2CF9AE}" pid="5" name="PublishDate">
    <vt:lpwstr>17 Apr 2024</vt:lpwstr>
  </property>
  <property fmtid="{D5CDD505-2E9C-101B-9397-08002B2CF9AE}" pid="6" name="CommencementDate">
    <vt:lpwstr>20240417</vt:lpwstr>
  </property>
  <property fmtid="{D5CDD505-2E9C-101B-9397-08002B2CF9AE}" pid="7" name="CommencementAsAt">
    <vt:filetime>2024-04-16T16:00:00Z</vt:filetime>
  </property>
  <property fmtid="{D5CDD505-2E9C-101B-9397-08002B2CF9AE}" pid="8" name="CommencementYear">
    <vt:lpwstr>2024</vt:lpwstr>
  </property>
  <property fmtid="{D5CDD505-2E9C-101B-9397-08002B2CF9AE}" pid="9" name="AsAtDate">
    <vt:lpwstr>17 Apr 2024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