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Treasurer’s Advance Authorisation Act 2024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Treasurer’s Advance Authorisation Act 2024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_Toc164778771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_Toc164778772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Authorisation of expenditure to make certain payments or to make advances for certain purposes</w:t>
      </w:r>
      <w:r>
        <w:tab/>
      </w:r>
      <w:r>
        <w:fldChar w:fldCharType="begin"/>
      </w:r>
      <w:r>
        <w:instrText xml:space="preserve"> PAGEREF _Toc164778773 \h </w:instrText>
      </w:r>
      <w:r>
        <w:fldChar w:fldCharType="separate"/>
      </w:r>
      <w:r>
        <w:t>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after="480"/>
      </w:pPr>
      <w:r>
        <w:rPr>
          <w:noProof/>
        </w:rPr>
        <w:lastRenderedPageBreak/>
        <w:drawing>
          <wp:anchor distT="0" distB="0" distL="114300" distR="114300" simplePos="0" relativeHeight="251661312" behindDoc="1" locked="0" layoutInCell="1" allowOverlap="1">
            <wp:simplePos x="0" y="0"/>
            <wp:positionH relativeFrom="margin">
              <wp:align>center</wp:align>
            </wp:positionH>
            <wp:positionV relativeFrom="paragraph">
              <wp:posOffset>-467995</wp:posOffset>
            </wp:positionV>
            <wp:extent cx="471600" cy="417600"/>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1600" cy="417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pPr>
      <w:r>
        <w:t>Treasurer’s Advance Authorisation Act 2024</w:t>
      </w:r>
    </w:p>
    <w:p>
      <w:pPr>
        <w:pStyle w:val="ABillFor"/>
        <w:pBdr>
          <w:top w:val="single" w:sz="4" w:space="6" w:color="auto"/>
          <w:bottom w:val="single" w:sz="4" w:space="6" w:color="auto"/>
        </w:pBdr>
        <w:spacing w:before="0" w:after="240"/>
        <w:ind w:left="2551" w:right="2551"/>
      </w:pPr>
      <w:bookmarkStart w:id="2" w:name="BillCited"/>
      <w:bookmarkEnd w:id="2"/>
      <w:r>
        <w:t>No. 14 of 2024</w:t>
      </w:r>
    </w:p>
    <w:p>
      <w:pPr>
        <w:pStyle w:val="LongTitle"/>
      </w:pPr>
      <w:r>
        <w:t>An Act to authorise expenditure in the financial year ending on 30 June 2024 to make certain payments or to make advances for certain purposes.</w:t>
      </w:r>
    </w:p>
    <w:p>
      <w:pPr>
        <w:pStyle w:val="AssentDate"/>
        <w:spacing w:before="240" w:after="480"/>
      </w:pPr>
      <w:r>
        <w:t>[</w:t>
      </w:r>
      <w:r>
        <w:rPr>
          <w:i/>
        </w:rPr>
        <w:t>Assented to 22 April 2024</w:t>
      </w:r>
      <w:r>
        <w:t>]</w:t>
      </w:r>
    </w:p>
    <w:p>
      <w:pPr>
        <w:pStyle w:val="Enactment"/>
        <w:spacing w:before="0"/>
      </w:pPr>
      <w:r>
        <w:t>The Parliament of Western Australia enacts as follows: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164778771"/>
      <w:r>
        <w:rPr>
          <w:rStyle w:val="CharSectno"/>
        </w:rPr>
        <w:lastRenderedPageBreak/>
        <w:t>1</w:t>
      </w:r>
      <w:r>
        <w:t>.</w:t>
      </w:r>
      <w:r>
        <w:tab/>
        <w:t>Short title</w:t>
      </w:r>
      <w:bookmarkEnd w:id="3"/>
    </w:p>
    <w:p>
      <w:pPr>
        <w:pStyle w:val="Subsection"/>
      </w:pPr>
      <w:r>
        <w:tab/>
      </w:r>
      <w:r>
        <w:tab/>
        <w:t>This is the</w:t>
      </w:r>
      <w:r>
        <w:rPr>
          <w:i/>
        </w:rPr>
        <w:t xml:space="preserve"> Treasurer’s Advance Authorisation Act 2024</w:t>
      </w:r>
      <w:r>
        <w:t>.</w:t>
      </w:r>
    </w:p>
    <w:p>
      <w:pPr>
        <w:pStyle w:val="Heading5"/>
      </w:pPr>
      <w:bookmarkStart w:id="4" w:name="_Toc164778772"/>
      <w:r>
        <w:rPr>
          <w:rStyle w:val="CharSectno"/>
        </w:rPr>
        <w:t>2</w:t>
      </w:r>
      <w:r>
        <w:t>.</w:t>
      </w:r>
      <w:r>
        <w:tab/>
        <w:t>Commencement</w:t>
      </w:r>
      <w:bookmarkEnd w:id="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5" w:name="_Toc164778773"/>
      <w:r>
        <w:rPr>
          <w:rStyle w:val="CharSectno"/>
        </w:rPr>
        <w:t>3</w:t>
      </w:r>
      <w:r>
        <w:rPr>
          <w:snapToGrid w:val="0"/>
        </w:rPr>
        <w:t>.</w:t>
      </w:r>
      <w:r>
        <w:rPr>
          <w:snapToGrid w:val="0"/>
        </w:rPr>
        <w:tab/>
        <w:t>Authorisation of expenditure to make certain payments or to make advances for certain purposes</w:t>
      </w:r>
      <w:bookmarkEnd w:id="5"/>
    </w:p>
    <w:p>
      <w:pPr>
        <w:pStyle w:val="Subsection"/>
      </w:pPr>
      <w:r>
        <w:tab/>
        <w:t>(1)</w:t>
      </w:r>
      <w:r>
        <w:tab/>
        <w:t xml:space="preserve">Expenditure that exceeds the limit specified in the </w:t>
      </w:r>
      <w:r>
        <w:rPr>
          <w:i/>
        </w:rPr>
        <w:t>Financial Management Act 2006</w:t>
      </w:r>
      <w:r>
        <w:t xml:space="preserve"> section 29(1) is authorised in the financial year ending on 30 June 2024 to make payments under section 27(1) or (2) of that Act or to make advances for the purposes referred to in section 28(1) of that Act.</w:t>
      </w:r>
    </w:p>
    <w:p>
      <w:pPr>
        <w:pStyle w:val="Subsection"/>
      </w:pPr>
      <w:r>
        <w:tab/>
        <w:t>(2)</w:t>
      </w:r>
      <w:r>
        <w:tab/>
        <w:t>Payments and advances are authorised to be made under subsection (1) that do not in total exceed $2 300 000 000.</w:t>
      </w:r>
    </w:p>
    <w:p>
      <w:pPr>
        <w:pStyle w:val="Subsection"/>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posOffset>7505700</wp:posOffset>
                </wp:positionV>
                <wp:extent cx="127000" cy="647700"/>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2CFC36EE" id="_x0000_t202" coordsize="21600,21600" o:spt="202" path="m,l,21600r21600,l21600,xe">
                <v:stroke joinstyle="miter"/>
                <v:path gradientshapeok="t" o:connecttype="rect"/>
              </v:shapetype>
              <v:shape id="Authority" o:spid="_x0000_s1026" type="#_x0000_t202" style="position:absolute;margin-left:0;margin-top:591pt;width:10pt;height:51pt;z-index:251664384;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" stroked="f" strokeweight=".5pt">
                <v:textbox>
                  <w:txbxContent>
                    <w:p w14:paraId="4F4ECB13" w14:textId="2FC86C22" w:rsidR="00CD5A4B" w:rsidRDefault="00CD5A4B">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p>
                    <w:p w14:paraId="1CD175A4" w14:textId="77777777" w:rsidR="00CD5A4B" w:rsidRDefault="00CD5A4B">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2A9AD0F9" w14:textId="2833DB48" w:rsidR="00CD5A4B" w:rsidRDefault="00CD5A4B">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2022</w:t>
                      </w:r>
                      <w:r>
                        <w:rPr>
                          <w:sz w:val="16"/>
                        </w:rPr>
                        <w:fldChar w:fldCharType="end"/>
                      </w:r>
                      <w:r>
                        <w:rPr>
                          <w:sz w:val="16"/>
                        </w:rPr>
                        <w:t>.</w:t>
                      </w:r>
                    </w:p>
                    <w:p w14:paraId="104FA35F" w14:textId="77777777" w:rsidR="00CD5A4B" w:rsidRDefault="00CD5A4B">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14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p>
  <w:p>
    <w:pPr>
      <w:pStyle w:val="Footer"/>
      <w:tabs>
        <w:tab w:val="center" w:pos="3600"/>
        <w:tab w:val="right" w:pos="708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2024</w:t>
    </w:r>
    <w:r>
      <w:rPr>
        <w:sz w:val="20"/>
      </w:rPr>
      <w:fldChar w:fldCharType="end"/>
    </w:r>
  </w:p>
  <w:p>
    <w:pPr>
      <w:pStyle w:val="Footer"/>
      <w:tabs>
        <w:tab w:val="center" w:pos="3600"/>
        <w:tab w:val="right" w:pos="708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1700"/>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p>
  <w:p>
    <w:pPr>
      <w:pStyle w:val="Footer"/>
      <w:tabs>
        <w:tab w:val="center" w:pos="3600"/>
        <w:tab w:val="right" w:pos="708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center" w:pos="538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Apr 2022</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14 of 2024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Treasurer’s Advance Authorisation Act 2024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Treasurer’s Advance Authorisation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6" w:name="Coversheet"/>
    <w:bookmarkEnd w:id="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Treasurer’s Advance Authorisation Act 2024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Treasurer’s Advance Authorisation Act 2024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Treasurer’s Advance Authorisation Act 2024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Treasurer’s Advance Authorisation Act 2024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40423153050"/>
    <w:docVar w:name="WAFER_20150206084435" w:val="77167ae3-b7f9-4ae7-a275-d4dd9db5de8f"/>
    <w:docVar w:name="WAFER_20150206084435_GUID" w:val="UpdateStyles"/>
    <w:docVar w:name="WAFER_20151016134806" w:val="68650fa9-f801-454a-81cb-df6f0a3af691"/>
    <w:docVar w:name="WAFER_20151016134806_GUID" w:val="UpdateStyles"/>
    <w:docVar w:name="WAFER_20151016134831" w:val="c2fb0bb9-fde3-426d-a7f7-1ca211c82009"/>
    <w:docVar w:name="WAFER_20151016134831_GUID" w:val="UsedStyles"/>
    <w:docVar w:name="WAFER_20151016170344" w:val="d4fa4e8d-5c43-4618-b8fe-4523b77d625d"/>
    <w:docVar w:name="WAFER_20151016170344_GUID" w:val="UpdateStyles"/>
    <w:docVar w:name="WAFER_20151016170354" w:val="32c06985-9f0e-42f1-9a8c-d3c43cfa7a80"/>
    <w:docVar w:name="WAFER_20151016170354_GUID" w:val="UpdateStyles,UsedStyles"/>
    <w:docVar w:name="WAFER_20151016170429" w:val="1f665551-9baf-4b15-bb73-b1d91ed3e6c5"/>
    <w:docVar w:name="WAFER_20151016170429_GUID" w:val="UpdateStyles,UsedStyles"/>
    <w:docVar w:name="WAFER_20151019113653" w:val="a899c777-2ec0-4846-a593-74d215570969"/>
    <w:docVar w:name="WAFER_20151019113653_GUID" w:val="UpdateStyles"/>
    <w:docVar w:name="WAFER_20151102150119" w:val="dc5d0076-61d2-4a5a-ade6-d09c39dd39b9"/>
    <w:docVar w:name="WAFER_20151102150119_GUID" w:val="UpdateStyles"/>
    <w:docVar w:name="WAFER_20190125160012" w:val="9dd68532-689a-40c0-9c87-5c2f321a3e4e"/>
    <w:docVar w:name="WAFER_20190125160012_GUID" w:val="UpdateStyles"/>
    <w:docVar w:name="WAFER_20190213151032" w:val="0e6e130b-18da-4239-84b5-f08b99a6e1c9"/>
    <w:docVar w:name="WAFER_20190213151032_GUID" w:val="UpdateStyles.ProcessFixes,UpdateStyles.ProcessFixes,RemoveIncorrectStyles.ProcessStyles,RemoveIncorrectStyles.ProcessStyles"/>
    <w:docVar w:name="WAFER_20190227114526" w:val="592fe921-7416-4a1a-b8d7-41a034b93757"/>
    <w:docVar w:name="WAFER_20190227114526_GUID"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setPageFooter.ResetPageFooter"/>
    <w:docVar w:name="WAFER_20200207102225" w:val="c6be0b40-711c-4ff6-b353-501793f44ed0"/>
    <w:docVar w:name="WAFER_20200207102225_GUID" w:val="c6be0b40-711c-4ff6-b353-501793f44ed0"/>
    <w:docVar w:name="WAFER_20230403103322" w:val="c6be0b40-711c-4ff6-b353-501793f44ed0"/>
    <w:docVar w:name="WAFER_20230403103322_GUID" w:val="c6be0b40-711c-4ff6-b353-501793f44ed0"/>
    <w:docVar w:name="WAFER_202402070843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RemoveIncorrectStyles.ProcessStyles"/>
    <w:docVar w:name="WAFER_20240207084340_GUID" w:val="755398b9-11fa-4151-8ce3-948dc0cca796"/>
    <w:docVar w:name="WAFER_2024020812444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208124443_GUID" w:val="4c2e36ad-7414-4493-9531-669bccfd9103"/>
    <w:docVar w:name="WAFER_2024042315305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40423153050_GUID" w:val="6a1099ac-248f-4c5e-b703-adc6fa3d15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B1EA981-A9E6-4CEE-9DC0-42E2B3081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AB6AE-A437-483B-B37E-66CA1DFDD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1529</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1800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Treasurer's Advance Authorisation Act 2024 - 00-00-00</dc:title>
  <dc:subject/>
  <dc:creator/>
  <cp:keywords/>
  <dc:description/>
  <cp:lastModifiedBy>Master Repository Process</cp:lastModifiedBy>
  <cp:revision>4</cp:revision>
  <cp:lastPrinted>2024-04-23T06:31:00Z</cp:lastPrinted>
  <dcterms:created xsi:type="dcterms:W3CDTF">2024-04-23T07:49:00Z</dcterms:created>
  <dcterms:modified xsi:type="dcterms:W3CDTF">2024-04-23T07:49:00Z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2024</vt:lpwstr>
  </property>
  <property fmtid="{D5CDD505-2E9C-101B-9397-08002B2CF9AE}" pid="3" name="DocumentType">
    <vt:lpwstr>Act</vt:lpwstr>
  </property>
  <property fmtid="{D5CDD505-2E9C-101B-9397-08002B2CF9AE}" pid="4" name="AsAtDate">
    <vt:lpwstr>22 Apr 2022</vt:lpwstr>
  </property>
  <property fmtid="{D5CDD505-2E9C-101B-9397-08002B2CF9AE}" pid="5" name="Suffix">
    <vt:lpwstr>00-00-00</vt:lpwstr>
  </property>
  <property fmtid="{D5CDD505-2E9C-101B-9397-08002B2CF9AE}" pid="6" name="Official">
    <vt:lpwstr/>
  </property>
  <property fmtid="{D5CDD505-2E9C-101B-9397-08002B2CF9AE}" pid="7" name="ActNoFooter">
    <vt:lpwstr>No. 14 of 2024</vt:lpwstr>
  </property>
  <property fmtid="{D5CDD505-2E9C-101B-9397-08002B2CF9AE}" pid="8" name="CommencementDate">
    <vt:lpwstr>20220422</vt:lpwstr>
  </property>
  <property fmtid="{D5CDD505-2E9C-101B-9397-08002B2CF9AE}" pid="9" name="CommencementAsAt">
    <vt:filetime>2022-04-21T16:00:00Z</vt:filetime>
  </property>
  <property fmtid="{D5CDD505-2E9C-101B-9397-08002B2CF9AE}" pid="10" name="CommencementYear">
    <vt:lpwstr>2022</vt:lpwstr>
  </property>
</Properties>
</file>