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_Toc164757714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_Toc164757715 \h </w:instrText>
      </w:r>
      <w:r>
        <w:fldChar w:fldCharType="separate"/>
      </w:r>
      <w:r>
        <w:t>1</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_Toc164757716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_Toc164757719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_Toc164757720 \h </w:instrText>
      </w:r>
      <w:r>
        <w:fldChar w:fldCharType="separate"/>
      </w:r>
      <w:r>
        <w:t>1</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_Toc164757721 \h </w:instrText>
      </w:r>
      <w:r>
        <w:fldChar w:fldCharType="separate"/>
      </w:r>
      <w:r>
        <w:t>1</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_Toc164757722 \h </w:instrText>
      </w:r>
      <w:r>
        <w:fldChar w:fldCharType="separate"/>
      </w:r>
      <w:r>
        <w:t>1</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_Toc164757723 \h </w:instrText>
      </w:r>
      <w:r>
        <w:fldChar w:fldCharType="separate"/>
      </w:r>
      <w:r>
        <w:t>1</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_Toc164757724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_Toc164757726 \h </w:instrText>
      </w:r>
      <w:r>
        <w:fldChar w:fldCharType="separate"/>
      </w:r>
      <w:r>
        <w:t>1</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_Toc164757727 \h </w:instrText>
      </w:r>
      <w:r>
        <w:fldChar w:fldCharType="separate"/>
      </w:r>
      <w:r>
        <w:t>1</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_Toc164757728 \h </w:instrText>
      </w:r>
      <w:r>
        <w:fldChar w:fldCharType="separate"/>
      </w:r>
      <w:r>
        <w:t>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_Toc164757729 \h </w:instrText>
      </w:r>
      <w:r>
        <w:fldChar w:fldCharType="separate"/>
      </w:r>
      <w:r>
        <w:t>1</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_Toc164757730 \h </w:instrText>
      </w:r>
      <w:r>
        <w:fldChar w:fldCharType="separate"/>
      </w:r>
      <w:r>
        <w:t>1</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_Toc164757731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_Toc164757734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Terms used</w:t>
      </w:r>
      <w:r>
        <w:tab/>
      </w:r>
      <w:r>
        <w:fldChar w:fldCharType="begin"/>
      </w:r>
      <w:r>
        <w:instrText xml:space="preserve"> PAGEREF _Toc164757735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_Toc164757737 \h </w:instrText>
      </w:r>
      <w:r>
        <w:fldChar w:fldCharType="separate"/>
      </w:r>
      <w:r>
        <w:t>1</w:t>
      </w:r>
      <w:r>
        <w:fldChar w:fldCharType="end"/>
      </w:r>
    </w:p>
    <w:p>
      <w:pPr>
        <w:pStyle w:val="TOC8"/>
        <w:rPr>
          <w:rFonts w:asciiTheme="minorHAnsi" w:eastAsiaTheme="minorEastAsia" w:hAnsiTheme="minorHAnsi" w:cstheme="minorBidi"/>
          <w:szCs w:val="22"/>
        </w:rPr>
      </w:pPr>
      <w:r>
        <w:t>19.</w:t>
      </w:r>
      <w:r>
        <w:tab/>
        <w:t>Application of Australian Consumer Law text</w:t>
      </w:r>
      <w:r>
        <w:tab/>
      </w:r>
      <w:r>
        <w:fldChar w:fldCharType="begin"/>
      </w:r>
      <w:r>
        <w:instrText xml:space="preserve"> PAGEREF _Toc164757738 \h </w:instrText>
      </w:r>
      <w:r>
        <w:fldChar w:fldCharType="separate"/>
      </w:r>
      <w:r>
        <w:t>1</w:t>
      </w:r>
      <w:r>
        <w:fldChar w:fldCharType="end"/>
      </w:r>
    </w:p>
    <w:p>
      <w:pPr>
        <w:pStyle w:val="TOC8"/>
        <w:rPr>
          <w:rFonts w:asciiTheme="minorHAnsi" w:eastAsiaTheme="minorEastAsia" w:hAnsiTheme="minorHAnsi" w:cstheme="minorBidi"/>
          <w:szCs w:val="22"/>
        </w:rPr>
      </w:pPr>
      <w:r>
        <w:t>19A.</w:t>
      </w:r>
      <w:r>
        <w:tab/>
        <w:t>Tabling amending laws</w:t>
      </w:r>
      <w:r>
        <w:tab/>
      </w:r>
      <w:r>
        <w:fldChar w:fldCharType="begin"/>
      </w:r>
      <w:r>
        <w:instrText xml:space="preserve"> PAGEREF _Toc164757739 \h </w:instrText>
      </w:r>
      <w:r>
        <w:fldChar w:fldCharType="separate"/>
      </w:r>
      <w:r>
        <w:t>1</w:t>
      </w:r>
      <w:r>
        <w:fldChar w:fldCharType="end"/>
      </w:r>
    </w:p>
    <w:p>
      <w:pPr>
        <w:pStyle w:val="TOC8"/>
        <w:rPr>
          <w:rFonts w:asciiTheme="minorHAnsi" w:eastAsiaTheme="minorEastAsia" w:hAnsiTheme="minorHAnsi" w:cstheme="minorBidi"/>
          <w:szCs w:val="22"/>
        </w:rPr>
      </w:pPr>
      <w:r>
        <w:t>19B.</w:t>
      </w:r>
      <w:r>
        <w:tab/>
        <w:t>Disallowance of amending laws</w:t>
      </w:r>
      <w:r>
        <w:tab/>
      </w:r>
      <w:r>
        <w:fldChar w:fldCharType="begin"/>
      </w:r>
      <w:r>
        <w:instrText xml:space="preserve"> PAGEREF _Toc164757740 \h </w:instrText>
      </w:r>
      <w:r>
        <w:fldChar w:fldCharType="separate"/>
      </w:r>
      <w:r>
        <w:t>1</w:t>
      </w:r>
      <w:r>
        <w:fldChar w:fldCharType="end"/>
      </w:r>
    </w:p>
    <w:p>
      <w:pPr>
        <w:pStyle w:val="TOC8"/>
        <w:rPr>
          <w:rFonts w:asciiTheme="minorHAnsi" w:eastAsiaTheme="minorEastAsia" w:hAnsiTheme="minorHAnsi" w:cstheme="minorBidi"/>
          <w:szCs w:val="22"/>
        </w:rPr>
      </w:pPr>
      <w:r>
        <w:t>19C.</w:t>
      </w:r>
      <w:r>
        <w:tab/>
        <w:t>Commencement of amending laws</w:t>
      </w:r>
      <w:r>
        <w:tab/>
      </w:r>
      <w:r>
        <w:fldChar w:fldCharType="begin"/>
      </w:r>
      <w:r>
        <w:instrText xml:space="preserve"> PAGEREF _Toc164757741 \h </w:instrText>
      </w:r>
      <w:r>
        <w:fldChar w:fldCharType="separate"/>
      </w:r>
      <w:r>
        <w:t>1</w:t>
      </w:r>
      <w:r>
        <w:fldChar w:fldCharType="end"/>
      </w:r>
    </w:p>
    <w:p>
      <w:pPr>
        <w:pStyle w:val="TOC8"/>
        <w:rPr>
          <w:rFonts w:asciiTheme="minorHAnsi" w:eastAsiaTheme="minorEastAsia" w:hAnsiTheme="minorHAnsi" w:cstheme="minorBidi"/>
          <w:szCs w:val="22"/>
        </w:rPr>
      </w:pPr>
      <w:r>
        <w:t>19D.</w:t>
      </w:r>
      <w:r>
        <w:tab/>
        <w:t>Amending laws enacted after 1 June 2021 but before commencement day</w:t>
      </w:r>
      <w:r>
        <w:tab/>
      </w:r>
      <w:r>
        <w:fldChar w:fldCharType="begin"/>
      </w:r>
      <w:r>
        <w:instrText xml:space="preserve"> PAGEREF _Toc164757742 \h </w:instrText>
      </w:r>
      <w:r>
        <w:fldChar w:fldCharType="separate"/>
      </w:r>
      <w:r>
        <w:t>1</w:t>
      </w:r>
      <w:r>
        <w:fldChar w:fldCharType="end"/>
      </w:r>
    </w:p>
    <w:p>
      <w:pPr>
        <w:pStyle w:val="TOC8"/>
        <w:rPr>
          <w:rFonts w:asciiTheme="minorHAnsi" w:eastAsiaTheme="minorEastAsia" w:hAnsiTheme="minorHAnsi" w:cstheme="minorBidi"/>
          <w:szCs w:val="22"/>
        </w:rPr>
      </w:pPr>
      <w:r>
        <w:t>19E.</w:t>
      </w:r>
      <w:r>
        <w:tab/>
        <w:t>Tabling of amending law taken to be publication for Standing Orders</w:t>
      </w:r>
      <w:r>
        <w:tab/>
      </w:r>
      <w:r>
        <w:fldChar w:fldCharType="begin"/>
      </w:r>
      <w:r>
        <w:instrText xml:space="preserve"> PAGEREF _Toc164757743 \h </w:instrText>
      </w:r>
      <w:r>
        <w:fldChar w:fldCharType="separate"/>
      </w:r>
      <w:r>
        <w:t>1</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_Toc164757744 \h </w:instrText>
      </w:r>
      <w:r>
        <w:fldChar w:fldCharType="separate"/>
      </w:r>
      <w:r>
        <w:t>1</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_Toc164757745 \h </w:instrText>
      </w:r>
      <w:r>
        <w:fldChar w:fldCharType="separate"/>
      </w:r>
      <w:r>
        <w:t>1</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_Toc164757746 \h </w:instrText>
      </w:r>
      <w:r>
        <w:fldChar w:fldCharType="separate"/>
      </w:r>
      <w:r>
        <w:t>1</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_Toc164757747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_Toc164757749 \h </w:instrText>
      </w:r>
      <w:r>
        <w:fldChar w:fldCharType="separate"/>
      </w:r>
      <w:r>
        <w:t>1</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_Toc164757750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_Toc164757752 \h </w:instrText>
      </w:r>
      <w:r>
        <w:fldChar w:fldCharType="separate"/>
      </w:r>
      <w:r>
        <w:t>1</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_Toc164757753 \h </w:instrText>
      </w:r>
      <w:r>
        <w:fldChar w:fldCharType="separate"/>
      </w:r>
      <w:r>
        <w:t>1</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_Toc164757754 \h </w:instrText>
      </w:r>
      <w:r>
        <w:fldChar w:fldCharType="separate"/>
      </w:r>
      <w:r>
        <w:t>1</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_Toc164757755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_Toc164757757 \h </w:instrText>
      </w:r>
      <w:r>
        <w:fldChar w:fldCharType="separate"/>
      </w:r>
      <w:r>
        <w:t>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_Toc164757758 \h </w:instrText>
      </w:r>
      <w:r>
        <w:fldChar w:fldCharType="separate"/>
      </w:r>
      <w:r>
        <w:t>1</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_Toc164757759 \h </w:instrText>
      </w:r>
      <w:r>
        <w:fldChar w:fldCharType="separate"/>
      </w:r>
      <w:r>
        <w:t>1</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_Toc164757760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_Toc164757762 \h </w:instrText>
      </w:r>
      <w:r>
        <w:fldChar w:fldCharType="separate"/>
      </w:r>
      <w:r>
        <w:t>1</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_Toc164757763 \h </w:instrText>
      </w:r>
      <w:r>
        <w:fldChar w:fldCharType="separate"/>
      </w:r>
      <w:r>
        <w:t>1</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_Toc164757764 \h </w:instrText>
      </w:r>
      <w:r>
        <w:fldChar w:fldCharType="separate"/>
      </w:r>
      <w:r>
        <w:t>1</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_Toc164757765 \h </w:instrText>
      </w:r>
      <w:r>
        <w:fldChar w:fldCharType="separate"/>
      </w:r>
      <w:r>
        <w:t>1</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_Toc164757766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_Toc164757769 \h </w:instrText>
      </w:r>
      <w:r>
        <w:fldChar w:fldCharType="separate"/>
      </w:r>
      <w:r>
        <w:t>1</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_Toc164757770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_Toc164757772 \h </w:instrText>
      </w:r>
      <w:r>
        <w:fldChar w:fldCharType="separate"/>
      </w:r>
      <w:r>
        <w:t>1</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_Toc164757773 \h </w:instrText>
      </w:r>
      <w:r>
        <w:fldChar w:fldCharType="separate"/>
      </w:r>
      <w:r>
        <w:t>1</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_Toc164757774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_Toc164757776 \h </w:instrText>
      </w:r>
      <w:r>
        <w:fldChar w:fldCharType="separate"/>
      </w:r>
      <w:r>
        <w:t>1</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_Toc164757777 \h </w:instrText>
      </w:r>
      <w:r>
        <w:fldChar w:fldCharType="separate"/>
      </w:r>
      <w:r>
        <w:t>1</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_Toc164757778 \h </w:instrText>
      </w:r>
      <w:r>
        <w:fldChar w:fldCharType="separate"/>
      </w:r>
      <w:r>
        <w:t>1</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_Toc164757779 \h </w:instrText>
      </w:r>
      <w:r>
        <w:fldChar w:fldCharType="separate"/>
      </w:r>
      <w:r>
        <w:t>1</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_Toc164757780 \h </w:instrText>
      </w:r>
      <w:r>
        <w:fldChar w:fldCharType="separate"/>
      </w:r>
      <w:r>
        <w:t>1</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_Toc164757781 \h </w:instrText>
      </w:r>
      <w:r>
        <w:fldChar w:fldCharType="separate"/>
      </w:r>
      <w:r>
        <w:t>1</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_Toc164757782 \h </w:instrText>
      </w:r>
      <w:r>
        <w:fldChar w:fldCharType="separate"/>
      </w:r>
      <w:r>
        <w:t>1</w:t>
      </w:r>
      <w:r>
        <w:fldChar w:fldCharType="end"/>
      </w:r>
    </w:p>
    <w:p>
      <w:pPr>
        <w:pStyle w:val="TOC8"/>
        <w:rPr>
          <w:rFonts w:asciiTheme="minorHAnsi" w:eastAsiaTheme="minorEastAsia" w:hAnsiTheme="minorHAnsi" w:cstheme="minorBidi"/>
          <w:szCs w:val="22"/>
        </w:rPr>
      </w:pPr>
      <w:r>
        <w:lastRenderedPageBreak/>
        <w:t>54.</w:t>
      </w:r>
      <w:r>
        <w:tab/>
        <w:t>Transitional provisions for contraventions of code of practice before 1 Jan 2011</w:t>
      </w:r>
      <w:r>
        <w:tab/>
      </w:r>
      <w:r>
        <w:fldChar w:fldCharType="begin"/>
      </w:r>
      <w:r>
        <w:instrText xml:space="preserve"> PAGEREF _Toc164757783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_Toc164757786 \h </w:instrText>
      </w:r>
      <w:r>
        <w:fldChar w:fldCharType="separate"/>
      </w:r>
      <w:r>
        <w:t>1</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_Toc164757787 \h </w:instrText>
      </w:r>
      <w:r>
        <w:fldChar w:fldCharType="separate"/>
      </w:r>
      <w:r>
        <w:t>1</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_Toc164757788 \h </w:instrText>
      </w:r>
      <w:r>
        <w:fldChar w:fldCharType="separate"/>
      </w:r>
      <w:r>
        <w:t>1</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_Toc164757789 \h </w:instrText>
      </w:r>
      <w:r>
        <w:fldChar w:fldCharType="separate"/>
      </w:r>
      <w:r>
        <w:t>1</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_Toc164757790 \h </w:instrText>
      </w:r>
      <w:r>
        <w:fldChar w:fldCharType="separate"/>
      </w:r>
      <w:r>
        <w:t>1</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_Toc164757791 \h </w:instrText>
      </w:r>
      <w:r>
        <w:fldChar w:fldCharType="separate"/>
      </w:r>
      <w:r>
        <w:t>1</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_Toc164757792 \h </w:instrText>
      </w:r>
      <w:r>
        <w:fldChar w:fldCharType="separate"/>
      </w:r>
      <w:r>
        <w:t>1</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_Toc164757793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_Toc164757795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_Toc164757798 \h </w:instrText>
      </w:r>
      <w:r>
        <w:fldChar w:fldCharType="separate"/>
      </w:r>
      <w:r>
        <w:t>1</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_Toc164757799 \h </w:instrText>
      </w:r>
      <w:r>
        <w:fldChar w:fldCharType="separate"/>
      </w:r>
      <w:r>
        <w:t>1</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_Toc164757800 \h </w:instrText>
      </w:r>
      <w:r>
        <w:fldChar w:fldCharType="separate"/>
      </w:r>
      <w:r>
        <w:t>1</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_Toc164757801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_Toc164757803 \h </w:instrText>
      </w:r>
      <w:r>
        <w:fldChar w:fldCharType="separate"/>
      </w:r>
      <w:r>
        <w:t>1</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_Toc164757804 \h </w:instrText>
      </w:r>
      <w:r>
        <w:fldChar w:fldCharType="separate"/>
      </w:r>
      <w:r>
        <w:t>1</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_Toc164757805 \h </w:instrText>
      </w:r>
      <w:r>
        <w:fldChar w:fldCharType="separate"/>
      </w:r>
      <w:r>
        <w:t>1</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_Toc164757806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_Toc164757808 \h </w:instrText>
      </w:r>
      <w:r>
        <w:fldChar w:fldCharType="separate"/>
      </w:r>
      <w:r>
        <w:t>1</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_Toc164757809 \h </w:instrText>
      </w:r>
      <w:r>
        <w:fldChar w:fldCharType="separate"/>
      </w:r>
      <w:r>
        <w:t>1</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_Toc164757810 \h </w:instrText>
      </w:r>
      <w:r>
        <w:fldChar w:fldCharType="separate"/>
      </w:r>
      <w:r>
        <w:t>1</w:t>
      </w:r>
      <w:r>
        <w:fldChar w:fldCharType="end"/>
      </w:r>
    </w:p>
    <w:p>
      <w:pPr>
        <w:pStyle w:val="TOC8"/>
        <w:rPr>
          <w:rFonts w:asciiTheme="minorHAnsi" w:eastAsiaTheme="minorEastAsia" w:hAnsiTheme="minorHAnsi" w:cstheme="minorBidi"/>
          <w:szCs w:val="22"/>
        </w:rPr>
      </w:pPr>
      <w:r>
        <w:lastRenderedPageBreak/>
        <w:t>63L.</w:t>
      </w:r>
      <w:r>
        <w:tab/>
        <w:t>Procedure</w:t>
      </w:r>
      <w:r>
        <w:tab/>
      </w:r>
      <w:r>
        <w:fldChar w:fldCharType="begin"/>
      </w:r>
      <w:r>
        <w:instrText xml:space="preserve"> PAGEREF _Toc164757811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_Toc164757813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_Toc164757816 \h </w:instrText>
      </w:r>
      <w:r>
        <w:fldChar w:fldCharType="separate"/>
      </w:r>
      <w:r>
        <w:t>1</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_Toc164757817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_Toc164757819 \h </w:instrText>
      </w:r>
      <w:r>
        <w:fldChar w:fldCharType="separate"/>
      </w:r>
      <w:r>
        <w:t>1</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_Toc164757820 \h </w:instrText>
      </w:r>
      <w:r>
        <w:fldChar w:fldCharType="separate"/>
      </w:r>
      <w:r>
        <w:t>1</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_Toc164757821 \h </w:instrText>
      </w:r>
      <w:r>
        <w:fldChar w:fldCharType="separate"/>
      </w:r>
      <w:r>
        <w:t>1</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_Toc164757822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_Toc164757824 \h </w:instrText>
      </w:r>
      <w:r>
        <w:fldChar w:fldCharType="separate"/>
      </w:r>
      <w:r>
        <w:t>1</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_Toc164757825 \h </w:instrText>
      </w:r>
      <w:r>
        <w:fldChar w:fldCharType="separate"/>
      </w:r>
      <w:r>
        <w:t>1</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_Toc164757826 \h </w:instrText>
      </w:r>
      <w:r>
        <w:fldChar w:fldCharType="separate"/>
      </w:r>
      <w:r>
        <w:t>1</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_Toc164757827 \h </w:instrText>
      </w:r>
      <w:r>
        <w:fldChar w:fldCharType="separate"/>
      </w:r>
      <w:r>
        <w:t>1</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_Toc164757828 \h </w:instrText>
      </w:r>
      <w:r>
        <w:fldChar w:fldCharType="separate"/>
      </w:r>
      <w:r>
        <w:t>1</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_Toc164757829 \h </w:instrText>
      </w:r>
      <w:r>
        <w:fldChar w:fldCharType="separate"/>
      </w:r>
      <w:r>
        <w:t>1</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_Toc164757830 \h </w:instrText>
      </w:r>
      <w:r>
        <w:fldChar w:fldCharType="separate"/>
      </w:r>
      <w:r>
        <w:t>1</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_Toc164757831 \h </w:instrText>
      </w:r>
      <w:r>
        <w:fldChar w:fldCharType="separate"/>
      </w:r>
      <w:r>
        <w:t>1</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_Toc164757832 \h </w:instrText>
      </w:r>
      <w:r>
        <w:fldChar w:fldCharType="separate"/>
      </w:r>
      <w:r>
        <w:t>1</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_Toc164757833 \h </w:instrText>
      </w:r>
      <w:r>
        <w:fldChar w:fldCharType="separate"/>
      </w:r>
      <w:r>
        <w:t>1</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_Toc164757834 \h </w:instrText>
      </w:r>
      <w:r>
        <w:fldChar w:fldCharType="separate"/>
      </w:r>
      <w:r>
        <w:t>1</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_Toc164757835 \h </w:instrText>
      </w:r>
      <w:r>
        <w:fldChar w:fldCharType="separate"/>
      </w:r>
      <w:r>
        <w:t>1</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_Toc164757836 \h </w:instrText>
      </w:r>
      <w:r>
        <w:fldChar w:fldCharType="separate"/>
      </w:r>
      <w:r>
        <w:t>1</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_Toc164757837 \h </w:instrText>
      </w:r>
      <w:r>
        <w:fldChar w:fldCharType="separate"/>
      </w:r>
      <w:r>
        <w:t>1</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_Toc164757838 \h </w:instrText>
      </w:r>
      <w:r>
        <w:fldChar w:fldCharType="separate"/>
      </w:r>
      <w:r>
        <w:t>1</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_Toc164757839 \h </w:instrText>
      </w:r>
      <w:r>
        <w:fldChar w:fldCharType="separate"/>
      </w:r>
      <w:r>
        <w:t>1</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_Toc164757840 \h </w:instrText>
      </w:r>
      <w:r>
        <w:fldChar w:fldCharType="separate"/>
      </w:r>
      <w:r>
        <w:t>1</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_Toc164757841 \h </w:instrText>
      </w:r>
      <w:r>
        <w:fldChar w:fldCharType="separate"/>
      </w:r>
      <w:r>
        <w:t>1</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_Toc164757842 \h </w:instrText>
      </w:r>
      <w:r>
        <w:fldChar w:fldCharType="separate"/>
      </w:r>
      <w:r>
        <w:t>1</w:t>
      </w:r>
      <w:r>
        <w:fldChar w:fldCharType="end"/>
      </w:r>
    </w:p>
    <w:p>
      <w:pPr>
        <w:pStyle w:val="TOC8"/>
        <w:rPr>
          <w:rFonts w:asciiTheme="minorHAnsi" w:eastAsiaTheme="minorEastAsia" w:hAnsiTheme="minorHAnsi" w:cstheme="minorBidi"/>
          <w:szCs w:val="22"/>
        </w:rPr>
      </w:pPr>
      <w:r>
        <w:lastRenderedPageBreak/>
        <w:t>87.</w:t>
      </w:r>
      <w:r>
        <w:tab/>
        <w:t>Information obtained, use of etc.</w:t>
      </w:r>
      <w:r>
        <w:tab/>
      </w:r>
      <w:r>
        <w:fldChar w:fldCharType="begin"/>
      </w:r>
      <w:r>
        <w:instrText xml:space="preserve"> PAGEREF _Toc164757843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_Toc164757845 \h </w:instrText>
      </w:r>
      <w:r>
        <w:fldChar w:fldCharType="separate"/>
      </w:r>
      <w:r>
        <w:t>1</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_Toc164757846 \h </w:instrText>
      </w:r>
      <w:r>
        <w:fldChar w:fldCharType="separate"/>
      </w:r>
      <w:r>
        <w:t>1</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_Toc164757847 \h </w:instrText>
      </w:r>
      <w:r>
        <w:fldChar w:fldCharType="separate"/>
      </w:r>
      <w:r>
        <w:t>1</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_Toc164757848 \h </w:instrText>
      </w:r>
      <w:r>
        <w:fldChar w:fldCharType="separate"/>
      </w:r>
      <w:r>
        <w:t>1</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_Toc164757849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_Toc164757851 \h </w:instrText>
      </w:r>
      <w:r>
        <w:fldChar w:fldCharType="separate"/>
      </w:r>
      <w:r>
        <w:t>1</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_Toc164757852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_Toc164757855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_Toc164757857 \h </w:instrText>
      </w:r>
      <w:r>
        <w:fldChar w:fldCharType="separate"/>
      </w:r>
      <w:r>
        <w:t>1</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_Toc164757858 \h </w:instrText>
      </w:r>
      <w:r>
        <w:fldChar w:fldCharType="separate"/>
      </w:r>
      <w:r>
        <w:t>1</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_Toc164757859 \h </w:instrText>
      </w:r>
      <w:r>
        <w:fldChar w:fldCharType="separate"/>
      </w:r>
      <w:r>
        <w:t>1</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_Toc164757860 \h </w:instrText>
      </w:r>
      <w:r>
        <w:fldChar w:fldCharType="separate"/>
      </w:r>
      <w:r>
        <w:t>1</w:t>
      </w:r>
      <w:r>
        <w:fldChar w:fldCharType="end"/>
      </w:r>
    </w:p>
    <w:p>
      <w:pPr>
        <w:pStyle w:val="TOC8"/>
        <w:rPr>
          <w:rFonts w:asciiTheme="minorHAnsi" w:eastAsiaTheme="minorEastAsia" w:hAnsiTheme="minorHAnsi" w:cstheme="minorBidi"/>
          <w:szCs w:val="22"/>
        </w:rPr>
      </w:pPr>
      <w:r>
        <w:t>94A.</w:t>
      </w:r>
      <w:r>
        <w:tab/>
        <w:t>Liability of officers for offence by body corporate</w:t>
      </w:r>
      <w:r>
        <w:tab/>
      </w:r>
      <w:r>
        <w:fldChar w:fldCharType="begin"/>
      </w:r>
      <w:r>
        <w:instrText xml:space="preserve"> PAGEREF _Toc164757861 \h </w:instrText>
      </w:r>
      <w:r>
        <w:fldChar w:fldCharType="separate"/>
      </w:r>
      <w:r>
        <w:t>1</w:t>
      </w:r>
      <w:r>
        <w:fldChar w:fldCharType="end"/>
      </w:r>
    </w:p>
    <w:p>
      <w:pPr>
        <w:pStyle w:val="TOC8"/>
        <w:rPr>
          <w:rFonts w:asciiTheme="minorHAnsi" w:eastAsiaTheme="minorEastAsia" w:hAnsiTheme="minorHAnsi" w:cstheme="minorBidi"/>
          <w:szCs w:val="22"/>
        </w:rPr>
      </w:pPr>
      <w:r>
        <w:t>95.</w:t>
      </w:r>
      <w:r>
        <w:tab/>
        <w:t>Vicarious liability of employers, principals and other persons</w:t>
      </w:r>
      <w:r>
        <w:tab/>
      </w:r>
      <w:r>
        <w:fldChar w:fldCharType="begin"/>
      </w:r>
      <w:r>
        <w:instrText xml:space="preserve"> PAGEREF _Toc164757862 \h </w:instrText>
      </w:r>
      <w:r>
        <w:fldChar w:fldCharType="separate"/>
      </w:r>
      <w:r>
        <w:t>1</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_Toc164757863 \h </w:instrText>
      </w:r>
      <w:r>
        <w:fldChar w:fldCharType="separate"/>
      </w:r>
      <w:r>
        <w:t>1</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_Toc164757864 \h </w:instrText>
      </w:r>
      <w:r>
        <w:fldChar w:fldCharType="separate"/>
      </w:r>
      <w:r>
        <w:t>1</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_Toc164757865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_Toc164757867 \h </w:instrText>
      </w:r>
      <w:r>
        <w:fldChar w:fldCharType="separate"/>
      </w:r>
      <w:r>
        <w:t>1</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_Toc164757868 \h </w:instrText>
      </w:r>
      <w:r>
        <w:fldChar w:fldCharType="separate"/>
      </w:r>
      <w:r>
        <w:t>1</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_Toc164757869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102.</w:t>
      </w:r>
      <w:r>
        <w:tab/>
        <w:t>Interim injunctions</w:t>
      </w:r>
      <w:r>
        <w:tab/>
      </w:r>
      <w:r>
        <w:fldChar w:fldCharType="begin"/>
      </w:r>
      <w:r>
        <w:instrText xml:space="preserve"> PAGEREF _Toc164757870 \h </w:instrText>
      </w:r>
      <w:r>
        <w:fldChar w:fldCharType="separate"/>
      </w:r>
      <w:r>
        <w:t>1</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_Toc164757871 \h </w:instrText>
      </w:r>
      <w:r>
        <w:fldChar w:fldCharType="separate"/>
      </w:r>
      <w:r>
        <w:t>1</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_Toc164757872 \h </w:instrText>
      </w:r>
      <w:r>
        <w:fldChar w:fldCharType="separate"/>
      </w:r>
      <w:r>
        <w:t>1</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_Toc164757873 \h </w:instrText>
      </w:r>
      <w:r>
        <w:fldChar w:fldCharType="separate"/>
      </w:r>
      <w:r>
        <w:t>1</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_Toc164757874 \h </w:instrText>
      </w:r>
      <w:r>
        <w:fldChar w:fldCharType="separate"/>
      </w:r>
      <w:r>
        <w:t>1</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_Toc164757875 \h </w:instrText>
      </w:r>
      <w:r>
        <w:fldChar w:fldCharType="separate"/>
      </w:r>
      <w:r>
        <w:t>1</w:t>
      </w:r>
      <w:r>
        <w:fldChar w:fldCharType="end"/>
      </w:r>
    </w:p>
    <w:p>
      <w:pPr>
        <w:pStyle w:val="TOC8"/>
        <w:rPr>
          <w:rFonts w:asciiTheme="minorHAnsi" w:eastAsiaTheme="minorEastAsia" w:hAnsiTheme="minorHAnsi" w:cstheme="minorBidi"/>
          <w:szCs w:val="22"/>
        </w:rPr>
      </w:pPr>
      <w:r>
        <w:t>108.</w:t>
      </w:r>
      <w:r>
        <w:tab/>
        <w:t>Findings of fact or admissions in certain proceedings to be evidence in others</w:t>
      </w:r>
      <w:r>
        <w:tab/>
      </w:r>
      <w:r>
        <w:fldChar w:fldCharType="begin"/>
      </w:r>
      <w:r>
        <w:instrText xml:space="preserve"> PAGEREF _Toc164757876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_Toc164757878 \h </w:instrText>
      </w:r>
      <w:r>
        <w:fldChar w:fldCharType="separate"/>
      </w:r>
      <w:r>
        <w:t>1</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_Toc164757879 \h </w:instrText>
      </w:r>
      <w:r>
        <w:fldChar w:fldCharType="separate"/>
      </w:r>
      <w:r>
        <w:t>1</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_Toc164757880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_Toc164757882 \h </w:instrText>
      </w:r>
      <w:r>
        <w:fldChar w:fldCharType="separate"/>
      </w:r>
      <w:r>
        <w:t>1</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_Toc164757883 \h </w:instrText>
      </w:r>
      <w:r>
        <w:fldChar w:fldCharType="separate"/>
      </w:r>
      <w:r>
        <w:t>1</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_Toc164757884 \h </w:instrText>
      </w:r>
      <w:r>
        <w:fldChar w:fldCharType="separate"/>
      </w:r>
      <w:r>
        <w:t>1</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_Toc164757885 \h </w:instrText>
      </w:r>
      <w:r>
        <w:fldChar w:fldCharType="separate"/>
      </w:r>
      <w:r>
        <w:t>1</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_Toc164757886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_Toc164757888 \h </w:instrText>
      </w:r>
      <w:r>
        <w:fldChar w:fldCharType="separate"/>
      </w:r>
      <w:r>
        <w:t>1</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_Toc164757889 \h </w:instrText>
      </w:r>
      <w:r>
        <w:fldChar w:fldCharType="separate"/>
      </w:r>
      <w:r>
        <w:t>1</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_Toc164757890 \h </w:instrText>
      </w:r>
      <w:r>
        <w:fldChar w:fldCharType="separate"/>
      </w:r>
      <w:r>
        <w:t>1</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_Toc164757891 \h </w:instrText>
      </w:r>
      <w:r>
        <w:fldChar w:fldCharType="separate"/>
      </w:r>
      <w:r>
        <w:t>1</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_Toc164757892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1 — Acts that override the Australian </w:t>
      </w:r>
      <w:r>
        <w:rPr>
          <w:i/>
        </w:rPr>
        <w:t>Consumer Law (WA)</w:t>
      </w:r>
      <w:r>
        <w:t xml:space="preserve"> Part 3</w:t>
      </w:r>
      <w:r>
        <w:noBreakHyphen/>
        <w:t>3</w:t>
      </w:r>
    </w:p>
    <w:p>
      <w:pPr>
        <w:pStyle w:val="TOC2"/>
        <w:tabs>
          <w:tab w:val="right" w:leader="dot" w:pos="7077"/>
        </w:tabs>
        <w:rPr>
          <w:rFonts w:asciiTheme="minorHAnsi" w:eastAsiaTheme="minorEastAsia" w:hAnsiTheme="minorHAnsi" w:cstheme="minorBidi"/>
          <w:b w:val="0"/>
          <w:sz w:val="22"/>
          <w:szCs w:val="22"/>
        </w:rPr>
      </w:pPr>
      <w:r>
        <w:t>Schedule 2 — Registration Acts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_Toc164757896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_Toc164757897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_Toc164757898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_Toc164757901 \h </w:instrText>
      </w:r>
      <w:r>
        <w:fldChar w:fldCharType="separate"/>
      </w:r>
      <w:r>
        <w:t>1</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_Toc164757902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_Toc164757903 \h </w:instrText>
      </w:r>
      <w:r>
        <w:fldChar w:fldCharType="separate"/>
      </w:r>
      <w:r>
        <w:t>1</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_Toc164757904 \h </w:instrText>
      </w:r>
      <w:r>
        <w:fldChar w:fldCharType="separate"/>
      </w:r>
      <w:r>
        <w:t>1</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_Toc164757905 \h </w:instrText>
      </w:r>
      <w:r>
        <w:fldChar w:fldCharType="separate"/>
      </w:r>
      <w:r>
        <w:t>1</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_Toc164757906 \h </w:instrText>
      </w:r>
      <w:r>
        <w:fldChar w:fldCharType="separate"/>
      </w:r>
      <w:r>
        <w:t>1</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_Toc164757907 \h </w:instrText>
      </w:r>
      <w:r>
        <w:fldChar w:fldCharType="separate"/>
      </w:r>
      <w:r>
        <w:t>1</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_Toc164757908 \h </w:instrText>
      </w:r>
      <w:r>
        <w:fldChar w:fldCharType="separate"/>
      </w:r>
      <w:r>
        <w:t>1</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_Toc164757909 \h </w:instrText>
      </w:r>
      <w:r>
        <w:fldChar w:fldCharType="separate"/>
      </w:r>
      <w:r>
        <w:t>1</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_Toc164757910 \h </w:instrText>
      </w:r>
      <w:r>
        <w:fldChar w:fldCharType="separate"/>
      </w:r>
      <w:r>
        <w:t>1</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_Toc164757911 \h </w:instrText>
      </w:r>
      <w:r>
        <w:fldChar w:fldCharType="separate"/>
      </w:r>
      <w:r>
        <w:t>1</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_Toc164757912 \h </w:instrText>
      </w:r>
      <w:r>
        <w:fldChar w:fldCharType="separate"/>
      </w:r>
      <w:r>
        <w:t>1</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_Toc164757913 \h </w:instrText>
      </w:r>
      <w:r>
        <w:fldChar w:fldCharType="separate"/>
      </w:r>
      <w:r>
        <w:t>1</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_Toc164757914 \h </w:instrText>
      </w:r>
      <w:r>
        <w:fldChar w:fldCharType="separate"/>
      </w:r>
      <w:r>
        <w:t>1</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_Toc164757915 \h </w:instrText>
      </w:r>
      <w:r>
        <w:fldChar w:fldCharType="separate"/>
      </w:r>
      <w:r>
        <w:t>1</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_Toc164757916 \h </w:instrText>
      </w:r>
      <w:r>
        <w:fldChar w:fldCharType="separate"/>
      </w:r>
      <w:r>
        <w:t>1</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_Toc164757917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_Toc164757920 \h </w:instrText>
      </w:r>
      <w:r>
        <w:fldChar w:fldCharType="separate"/>
      </w:r>
      <w:r>
        <w:t>1</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_Toc164757921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_Toc164757923 \h </w:instrText>
      </w:r>
      <w:r>
        <w:fldChar w:fldCharType="separate"/>
      </w:r>
      <w:r>
        <w:t>1</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_Toc164757924 \h </w:instrText>
      </w:r>
      <w:r>
        <w:fldChar w:fldCharType="separate"/>
      </w:r>
      <w:r>
        <w:t>1</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_Toc164757925 \h </w:instrText>
      </w:r>
      <w:r>
        <w:fldChar w:fldCharType="separate"/>
      </w:r>
      <w:r>
        <w:t>1</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_Toc164757926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 and small business contracts</w:t>
      </w:r>
      <w:r>
        <w:tab/>
      </w:r>
      <w:r>
        <w:fldChar w:fldCharType="begin"/>
      </w:r>
      <w:r>
        <w:instrText xml:space="preserve"> PAGEREF _Toc164757928 \h </w:instrText>
      </w:r>
      <w:r>
        <w:fldChar w:fldCharType="separate"/>
      </w:r>
      <w:r>
        <w:t>1</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_Toc164757929 \h </w:instrText>
      </w:r>
      <w:r>
        <w:fldChar w:fldCharType="separate"/>
      </w:r>
      <w:r>
        <w:t>1</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_Toc164757930 \h </w:instrText>
      </w:r>
      <w:r>
        <w:fldChar w:fldCharType="separate"/>
      </w:r>
      <w:r>
        <w:t>1</w:t>
      </w:r>
      <w:r>
        <w:fldChar w:fldCharType="end"/>
      </w:r>
    </w:p>
    <w:p>
      <w:pPr>
        <w:pStyle w:val="TOC8"/>
        <w:rPr>
          <w:rFonts w:asciiTheme="minorHAnsi" w:eastAsiaTheme="minorEastAsia" w:hAnsiTheme="minorHAnsi" w:cstheme="minorBidi"/>
          <w:szCs w:val="22"/>
        </w:rPr>
      </w:pPr>
      <w:r>
        <w:t>26.</w:t>
      </w:r>
      <w:r>
        <w:tab/>
        <w:t>Terms that define main subject matter of consumer contracts or small business contracts etc. are unaffected</w:t>
      </w:r>
      <w:r>
        <w:tab/>
      </w:r>
      <w:r>
        <w:fldChar w:fldCharType="begin"/>
      </w:r>
      <w:r>
        <w:instrText xml:space="preserve"> PAGEREF _Toc164757931 \h </w:instrText>
      </w:r>
      <w:r>
        <w:fldChar w:fldCharType="separate"/>
      </w:r>
      <w:r>
        <w:t>1</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_Toc164757932 \h </w:instrText>
      </w:r>
      <w:r>
        <w:fldChar w:fldCharType="separate"/>
      </w:r>
      <w:r>
        <w:t>1</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_Toc164757933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_Toc164757937 \h </w:instrText>
      </w:r>
      <w:r>
        <w:fldChar w:fldCharType="separate"/>
      </w:r>
      <w:r>
        <w:t>1</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_Toc164757938 \h </w:instrText>
      </w:r>
      <w:r>
        <w:fldChar w:fldCharType="separate"/>
      </w:r>
      <w:r>
        <w:t>1</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_Toc164757939 \h </w:instrText>
      </w:r>
      <w:r>
        <w:fldChar w:fldCharType="separate"/>
      </w:r>
      <w:r>
        <w:t>1</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_Toc164757940 \h </w:instrText>
      </w:r>
      <w:r>
        <w:fldChar w:fldCharType="separate"/>
      </w:r>
      <w:r>
        <w:t>1</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_Toc164757941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w:t>
      </w:r>
      <w:r>
        <w:tab/>
        <w:t>Misleading conduct as to the nature etc. of services</w:t>
      </w:r>
      <w:r>
        <w:tab/>
      </w:r>
      <w:r>
        <w:fldChar w:fldCharType="begin"/>
      </w:r>
      <w:r>
        <w:instrText xml:space="preserve"> PAGEREF _Toc164757942 \h </w:instrText>
      </w:r>
      <w:r>
        <w:fldChar w:fldCharType="separate"/>
      </w:r>
      <w:r>
        <w:t>1</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_Toc164757943 \h </w:instrText>
      </w:r>
      <w:r>
        <w:fldChar w:fldCharType="separate"/>
      </w:r>
      <w:r>
        <w:t>1</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_Toc164757944 \h </w:instrText>
      </w:r>
      <w:r>
        <w:fldChar w:fldCharType="separate"/>
      </w:r>
      <w:r>
        <w:t>1</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_Toc164757945 \h </w:instrText>
      </w:r>
      <w:r>
        <w:fldChar w:fldCharType="separate"/>
      </w:r>
      <w:r>
        <w:t>1</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_Toc164757946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_Toc164757948 \h </w:instrText>
      </w:r>
      <w:r>
        <w:fldChar w:fldCharType="separate"/>
      </w:r>
      <w:r>
        <w:t>1</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_Toc164757949 \h </w:instrText>
      </w:r>
      <w:r>
        <w:fldChar w:fldCharType="separate"/>
      </w:r>
      <w:r>
        <w:t>1</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_Toc164757950 \h </w:instrText>
      </w:r>
      <w:r>
        <w:fldChar w:fldCharType="separate"/>
      </w:r>
      <w:r>
        <w:t>1</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_Toc164757951 \h </w:instrText>
      </w:r>
      <w:r>
        <w:fldChar w:fldCharType="separate"/>
      </w:r>
      <w:r>
        <w:t>1</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_Toc164757952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_Toc164757954 \h </w:instrText>
      </w:r>
      <w:r>
        <w:fldChar w:fldCharType="separate"/>
      </w:r>
      <w:r>
        <w:t>1</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_Toc164757955 \h </w:instrText>
      </w:r>
      <w:r>
        <w:fldChar w:fldCharType="separate"/>
      </w:r>
      <w:r>
        <w:t>1</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_Toc164757956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_Toc164757958 \h </w:instrText>
      </w:r>
      <w:r>
        <w:fldChar w:fldCharType="separate"/>
      </w:r>
      <w:r>
        <w:t>1</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_Toc164757959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_Toc164757961 \h </w:instrText>
      </w:r>
      <w:r>
        <w:fldChar w:fldCharType="separate"/>
      </w:r>
      <w:r>
        <w:t>1</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_Toc164757962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_Toc164757966 \h </w:instrText>
      </w:r>
      <w:r>
        <w:fldChar w:fldCharType="separate"/>
      </w:r>
      <w:r>
        <w:t>1</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_Toc164757967 \h </w:instrText>
      </w:r>
      <w:r>
        <w:fldChar w:fldCharType="separate"/>
      </w:r>
      <w:r>
        <w:t>1</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_Toc164757968 \h </w:instrText>
      </w:r>
      <w:r>
        <w:fldChar w:fldCharType="separate"/>
      </w:r>
      <w:r>
        <w:t>1</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_Toc164757969 \h </w:instrText>
      </w:r>
      <w:r>
        <w:fldChar w:fldCharType="separate"/>
      </w:r>
      <w:r>
        <w:t>1</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_Toc164757970 \h </w:instrText>
      </w:r>
      <w:r>
        <w:fldChar w:fldCharType="separate"/>
      </w:r>
      <w:r>
        <w:t>1</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_Toc164757971 \h </w:instrText>
      </w:r>
      <w:r>
        <w:fldChar w:fldCharType="separate"/>
      </w:r>
      <w:r>
        <w:t>1</w:t>
      </w:r>
      <w:r>
        <w:fldChar w:fldCharType="end"/>
      </w:r>
    </w:p>
    <w:p>
      <w:pPr>
        <w:pStyle w:val="TOC8"/>
        <w:rPr>
          <w:rFonts w:asciiTheme="minorHAnsi" w:eastAsiaTheme="minorEastAsia" w:hAnsiTheme="minorHAnsi" w:cstheme="minorBidi"/>
          <w:szCs w:val="22"/>
        </w:rPr>
      </w:pPr>
      <w:r>
        <w:lastRenderedPageBreak/>
        <w:t>57.</w:t>
      </w:r>
      <w:r>
        <w:tab/>
        <w:t>Guarantees relating to the supply of goods by sample or demonstration model</w:t>
      </w:r>
      <w:r>
        <w:tab/>
      </w:r>
      <w:r>
        <w:fldChar w:fldCharType="begin"/>
      </w:r>
      <w:r>
        <w:instrText xml:space="preserve"> PAGEREF _Toc164757972 \h </w:instrText>
      </w:r>
      <w:r>
        <w:fldChar w:fldCharType="separate"/>
      </w:r>
      <w:r>
        <w:t>1</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_Toc164757973 \h </w:instrText>
      </w:r>
      <w:r>
        <w:fldChar w:fldCharType="separate"/>
      </w:r>
      <w:r>
        <w:t>1</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_Toc164757974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_Toc164757976 \h </w:instrText>
      </w:r>
      <w:r>
        <w:fldChar w:fldCharType="separate"/>
      </w:r>
      <w:r>
        <w:t>1</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_Toc164757977 \h </w:instrText>
      </w:r>
      <w:r>
        <w:fldChar w:fldCharType="separate"/>
      </w:r>
      <w:r>
        <w:t>1</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_Toc164757978 \h </w:instrText>
      </w:r>
      <w:r>
        <w:fldChar w:fldCharType="separate"/>
      </w:r>
      <w:r>
        <w:t>1</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_Toc164757979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_Toc164757981 \h </w:instrText>
      </w:r>
      <w:r>
        <w:fldChar w:fldCharType="separate"/>
      </w:r>
      <w:r>
        <w:t>1</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_Toc164757982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_Toc164757984 \h </w:instrText>
      </w:r>
      <w:r>
        <w:fldChar w:fldCharType="separate"/>
      </w:r>
      <w:r>
        <w:t>1</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_Toc164757985 \h </w:instrText>
      </w:r>
      <w:r>
        <w:fldChar w:fldCharType="separate"/>
      </w:r>
      <w:r>
        <w:t>1</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_Toc164757986 \h </w:instrText>
      </w:r>
      <w:r>
        <w:fldChar w:fldCharType="separate"/>
      </w:r>
      <w:r>
        <w:t>1</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_Toc164757987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_Toc164757990 \h </w:instrText>
      </w:r>
      <w:r>
        <w:fldChar w:fldCharType="separate"/>
      </w:r>
      <w:r>
        <w:t>1</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_Toc164757991 \h </w:instrText>
      </w:r>
      <w:r>
        <w:fldChar w:fldCharType="separate"/>
      </w:r>
      <w:r>
        <w:t>1</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_Toc164757992 \h </w:instrText>
      </w:r>
      <w:r>
        <w:fldChar w:fldCharType="separate"/>
      </w:r>
      <w:r>
        <w:t>1</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_Toc164757993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_Toc164757995 \h </w:instrText>
      </w:r>
      <w:r>
        <w:fldChar w:fldCharType="separate"/>
      </w:r>
      <w:r>
        <w:t>1</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_Toc164757996 \h </w:instrText>
      </w:r>
      <w:r>
        <w:fldChar w:fldCharType="separate"/>
      </w:r>
      <w:r>
        <w:t>1</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_Toc164757997 \h </w:instrText>
      </w:r>
      <w:r>
        <w:fldChar w:fldCharType="separate"/>
      </w:r>
      <w:r>
        <w:t>1</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_Toc164757998 \h </w:instrText>
      </w:r>
      <w:r>
        <w:fldChar w:fldCharType="separate"/>
      </w:r>
      <w:r>
        <w:t>1</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_Toc164757999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_Toc164758001 \h </w:instrText>
      </w:r>
      <w:r>
        <w:fldChar w:fldCharType="separate"/>
      </w:r>
      <w:r>
        <w:t>1</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_Toc164758002 \h </w:instrText>
      </w:r>
      <w:r>
        <w:fldChar w:fldCharType="separate"/>
      </w:r>
      <w:r>
        <w:t>1</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_Toc164758003 \h </w:instrText>
      </w:r>
      <w:r>
        <w:fldChar w:fldCharType="separate"/>
      </w:r>
      <w:r>
        <w:t>1</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_Toc164758004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_Toc164758006 \h </w:instrText>
      </w:r>
      <w:r>
        <w:fldChar w:fldCharType="separate"/>
      </w:r>
      <w:r>
        <w:t>1</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_Toc164758007 \h </w:instrText>
      </w:r>
      <w:r>
        <w:fldChar w:fldCharType="separate"/>
      </w:r>
      <w:r>
        <w:t>1</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_Toc164758008 \h </w:instrText>
      </w:r>
      <w:r>
        <w:fldChar w:fldCharType="separate"/>
      </w:r>
      <w:r>
        <w:t>1</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_Toc164758009 \h </w:instrText>
      </w:r>
      <w:r>
        <w:fldChar w:fldCharType="separate"/>
      </w:r>
      <w:r>
        <w:t>1</w:t>
      </w:r>
      <w:r>
        <w:fldChar w:fldCharType="end"/>
      </w:r>
    </w:p>
    <w:p>
      <w:pPr>
        <w:pStyle w:val="TOC8"/>
        <w:rPr>
          <w:rFonts w:asciiTheme="minorHAnsi" w:eastAsiaTheme="minorEastAsia" w:hAnsiTheme="minorHAnsi" w:cstheme="minorBidi"/>
          <w:szCs w:val="22"/>
        </w:rPr>
      </w:pPr>
      <w:r>
        <w:t>86.</w:t>
      </w:r>
      <w:r>
        <w:tab/>
        <w:t>Prohibition on supplies etc.</w:t>
      </w:r>
      <w:r>
        <w:tab/>
      </w:r>
      <w:r>
        <w:fldChar w:fldCharType="begin"/>
      </w:r>
      <w:r>
        <w:instrText xml:space="preserve"> PAGEREF _Toc164758010 \h </w:instrText>
      </w:r>
      <w:r>
        <w:fldChar w:fldCharType="separate"/>
      </w:r>
      <w:r>
        <w:t>1</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_Toc164758011 \h </w:instrText>
      </w:r>
      <w:r>
        <w:fldChar w:fldCharType="separate"/>
      </w:r>
      <w:r>
        <w:t>1</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_Toc164758012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_Toc164758014 \h </w:instrText>
      </w:r>
      <w:r>
        <w:fldChar w:fldCharType="separate"/>
      </w:r>
      <w:r>
        <w:t>1</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_Toc164758015 \h </w:instrText>
      </w:r>
      <w:r>
        <w:fldChar w:fldCharType="separate"/>
      </w:r>
      <w:r>
        <w:t>1</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_Toc164758016 \h </w:instrText>
      </w:r>
      <w:r>
        <w:fldChar w:fldCharType="separate"/>
      </w:r>
      <w:r>
        <w:t>1</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_Toc164758017 \h </w:instrText>
      </w:r>
      <w:r>
        <w:fldChar w:fldCharType="separate"/>
      </w:r>
      <w:r>
        <w:t>1</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_Toc164758018 \h </w:instrText>
      </w:r>
      <w:r>
        <w:fldChar w:fldCharType="separate"/>
      </w:r>
      <w:r>
        <w:t>1</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_Toc164758019 \h </w:instrText>
      </w:r>
      <w:r>
        <w:fldChar w:fldCharType="separate"/>
      </w:r>
      <w:r>
        <w:t>1</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_Toc164758020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_Toc164758022 \h </w:instrText>
      </w:r>
      <w:r>
        <w:fldChar w:fldCharType="separate"/>
      </w:r>
      <w:r>
        <w:t>1</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_Toc164758023 \h </w:instrText>
      </w:r>
      <w:r>
        <w:fldChar w:fldCharType="separate"/>
      </w:r>
      <w:r>
        <w:t>1</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_Toc164758024 \h </w:instrText>
      </w:r>
      <w:r>
        <w:fldChar w:fldCharType="separate"/>
      </w:r>
      <w:r>
        <w:t>1</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_Toc164758025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rPr>
          <w:rFonts w:eastAsia="Yu Gothic"/>
        </w:rPr>
        <w:lastRenderedPageBreak/>
        <w:t>Division 3A—Gift cards</w:t>
      </w:r>
    </w:p>
    <w:p>
      <w:pPr>
        <w:pStyle w:val="TOC6"/>
        <w:tabs>
          <w:tab w:val="right" w:leader="dot" w:pos="7077"/>
        </w:tabs>
        <w:rPr>
          <w:rFonts w:asciiTheme="minorHAnsi" w:eastAsiaTheme="minorEastAsia" w:hAnsiTheme="minorHAnsi" w:cstheme="minorBidi"/>
          <w:b w:val="0"/>
          <w:sz w:val="22"/>
          <w:szCs w:val="22"/>
        </w:rPr>
      </w:pPr>
      <w:r>
        <w:rPr>
          <w:rFonts w:eastAsia="Yu Gothic"/>
        </w:rPr>
        <w:t>Subdivision A—Introduction</w:t>
      </w:r>
    </w:p>
    <w:p>
      <w:pPr>
        <w:pStyle w:val="TOC8"/>
        <w:rPr>
          <w:rFonts w:asciiTheme="minorHAnsi" w:eastAsiaTheme="minorEastAsia" w:hAnsiTheme="minorHAnsi" w:cstheme="minorBidi"/>
          <w:szCs w:val="22"/>
        </w:rPr>
      </w:pPr>
      <w:r>
        <w:rPr>
          <w:rFonts w:eastAsia="Yu Gothic"/>
        </w:rPr>
        <w:t>99A.</w:t>
      </w:r>
      <w:r>
        <w:rPr>
          <w:rFonts w:eastAsia="Yu Gothic"/>
        </w:rPr>
        <w:tab/>
        <w:t xml:space="preserve">Meaning of </w:t>
      </w:r>
      <w:r>
        <w:rPr>
          <w:rFonts w:eastAsia="Yu Gothic"/>
          <w:i/>
          <w:iCs/>
        </w:rPr>
        <w:t>gift card</w:t>
      </w:r>
      <w:r>
        <w:tab/>
      </w:r>
      <w:r>
        <w:fldChar w:fldCharType="begin"/>
      </w:r>
      <w:r>
        <w:instrText xml:space="preserve"> PAGEREF _Toc164758028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B—Requirements relating to gift cards</w:t>
      </w:r>
    </w:p>
    <w:p>
      <w:pPr>
        <w:pStyle w:val="TOC8"/>
        <w:rPr>
          <w:rFonts w:asciiTheme="minorHAnsi" w:eastAsiaTheme="minorEastAsia" w:hAnsiTheme="minorHAnsi" w:cstheme="minorBidi"/>
          <w:szCs w:val="22"/>
        </w:rPr>
      </w:pPr>
      <w:r>
        <w:t>99B.</w:t>
      </w:r>
      <w:r>
        <w:tab/>
        <w:t>Gift cards to be redeemable for at least 3 years</w:t>
      </w:r>
      <w:r>
        <w:tab/>
      </w:r>
      <w:r>
        <w:fldChar w:fldCharType="begin"/>
      </w:r>
      <w:r>
        <w:instrText xml:space="preserve"> PAGEREF _Toc164758030 \h </w:instrText>
      </w:r>
      <w:r>
        <w:fldChar w:fldCharType="separate"/>
      </w:r>
      <w:r>
        <w:t>1</w:t>
      </w:r>
      <w:r>
        <w:fldChar w:fldCharType="end"/>
      </w:r>
    </w:p>
    <w:p>
      <w:pPr>
        <w:pStyle w:val="TOC8"/>
        <w:rPr>
          <w:rFonts w:asciiTheme="minorHAnsi" w:eastAsiaTheme="minorEastAsia" w:hAnsiTheme="minorHAnsi" w:cstheme="minorBidi"/>
          <w:szCs w:val="22"/>
        </w:rPr>
      </w:pPr>
      <w:r>
        <w:t>99C.</w:t>
      </w:r>
      <w:r>
        <w:tab/>
        <w:t>When gift card ceases to be redeemable to appear prominently on gift card</w:t>
      </w:r>
      <w:r>
        <w:tab/>
      </w:r>
      <w:r>
        <w:fldChar w:fldCharType="begin"/>
      </w:r>
      <w:r>
        <w:instrText xml:space="preserve"> PAGEREF _Toc164758031 \h </w:instrText>
      </w:r>
      <w:r>
        <w:fldChar w:fldCharType="separate"/>
      </w:r>
      <w:r>
        <w:t>1</w:t>
      </w:r>
      <w:r>
        <w:fldChar w:fldCharType="end"/>
      </w:r>
    </w:p>
    <w:p>
      <w:pPr>
        <w:pStyle w:val="TOC8"/>
        <w:rPr>
          <w:rFonts w:asciiTheme="minorHAnsi" w:eastAsiaTheme="minorEastAsia" w:hAnsiTheme="minorHAnsi" w:cstheme="minorBidi"/>
          <w:szCs w:val="22"/>
        </w:rPr>
      </w:pPr>
      <w:r>
        <w:t>99D.</w:t>
      </w:r>
      <w:r>
        <w:tab/>
        <w:t>Terms and conditions not to allow post</w:t>
      </w:r>
      <w:r>
        <w:noBreakHyphen/>
        <w:t>supply fees</w:t>
      </w:r>
      <w:r>
        <w:tab/>
      </w:r>
      <w:r>
        <w:fldChar w:fldCharType="begin"/>
      </w:r>
      <w:r>
        <w:instrText xml:space="preserve"> PAGEREF _Toc164758032 \h </w:instrText>
      </w:r>
      <w:r>
        <w:fldChar w:fldCharType="separate"/>
      </w:r>
      <w:r>
        <w:t>1</w:t>
      </w:r>
      <w:r>
        <w:fldChar w:fldCharType="end"/>
      </w:r>
    </w:p>
    <w:p>
      <w:pPr>
        <w:pStyle w:val="TOC8"/>
        <w:rPr>
          <w:rFonts w:asciiTheme="minorHAnsi" w:eastAsiaTheme="minorEastAsia" w:hAnsiTheme="minorHAnsi" w:cstheme="minorBidi"/>
          <w:szCs w:val="22"/>
        </w:rPr>
      </w:pPr>
      <w:r>
        <w:t>99E.</w:t>
      </w:r>
      <w:r>
        <w:tab/>
        <w:t>Post</w:t>
      </w:r>
      <w:r>
        <w:noBreakHyphen/>
        <w:t>supply fees not to be demanded or received</w:t>
      </w:r>
      <w:r>
        <w:tab/>
      </w:r>
      <w:r>
        <w:fldChar w:fldCharType="begin"/>
      </w:r>
      <w:r>
        <w:instrText xml:space="preserve"> PAGEREF _Toc164758033 \h </w:instrText>
      </w:r>
      <w:r>
        <w:fldChar w:fldCharType="separate"/>
      </w:r>
      <w:r>
        <w:t>1</w:t>
      </w:r>
      <w:r>
        <w:fldChar w:fldCharType="end"/>
      </w:r>
    </w:p>
    <w:p>
      <w:pPr>
        <w:pStyle w:val="TOC8"/>
        <w:rPr>
          <w:rFonts w:asciiTheme="minorHAnsi" w:eastAsiaTheme="minorEastAsia" w:hAnsiTheme="minorHAnsi" w:cstheme="minorBidi"/>
          <w:szCs w:val="22"/>
        </w:rPr>
      </w:pPr>
      <w:r>
        <w:t>99F.</w:t>
      </w:r>
      <w:r>
        <w:tab/>
        <w:t>Certain terms and conditions of gift card void</w:t>
      </w:r>
      <w:r>
        <w:tab/>
      </w:r>
      <w:r>
        <w:fldChar w:fldCharType="begin"/>
      </w:r>
      <w:r>
        <w:instrText xml:space="preserve"> PAGEREF _Toc164758034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C—Miscellaneous</w:t>
      </w:r>
    </w:p>
    <w:p>
      <w:pPr>
        <w:pStyle w:val="TOC8"/>
        <w:rPr>
          <w:rFonts w:asciiTheme="minorHAnsi" w:eastAsiaTheme="minorEastAsia" w:hAnsiTheme="minorHAnsi" w:cstheme="minorBidi"/>
          <w:szCs w:val="22"/>
        </w:rPr>
      </w:pPr>
      <w:r>
        <w:t>99G.</w:t>
      </w:r>
      <w:r>
        <w:tab/>
        <w:t>Regulations may limit application of this Division</w:t>
      </w:r>
      <w:r>
        <w:tab/>
      </w:r>
      <w:r>
        <w:fldChar w:fldCharType="begin"/>
      </w:r>
      <w:r>
        <w:instrText xml:space="preserve"> PAGEREF _Toc164758036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_Toc164758038 \h </w:instrText>
      </w:r>
      <w:r>
        <w:fldChar w:fldCharType="separate"/>
      </w:r>
      <w:r>
        <w:t>1</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_Toc164758039 \h </w:instrText>
      </w:r>
      <w:r>
        <w:fldChar w:fldCharType="separate"/>
      </w:r>
      <w:r>
        <w:t>1</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_Toc164758040 \h </w:instrText>
      </w:r>
      <w:r>
        <w:fldChar w:fldCharType="separate"/>
      </w:r>
      <w:r>
        <w:t>1</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_Toc164758041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_Toc164758044 \h </w:instrText>
      </w:r>
      <w:r>
        <w:fldChar w:fldCharType="separate"/>
      </w:r>
      <w:r>
        <w:t>1</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_Toc164758045 \h </w:instrText>
      </w:r>
      <w:r>
        <w:fldChar w:fldCharType="separate"/>
      </w:r>
      <w:r>
        <w:t>1</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_Toc164758046 \h </w:instrText>
      </w:r>
      <w:r>
        <w:fldChar w:fldCharType="separate"/>
      </w:r>
      <w:r>
        <w:t>1</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_Toc164758047 \h </w:instrText>
      </w:r>
      <w:r>
        <w:fldChar w:fldCharType="separate"/>
      </w:r>
      <w:r>
        <w:t>1</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_Toc164758048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_Toc164758051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110.</w:t>
      </w:r>
      <w:r>
        <w:tab/>
        <w:t>Places in which interim bans apply</w:t>
      </w:r>
      <w:r>
        <w:tab/>
      </w:r>
      <w:r>
        <w:fldChar w:fldCharType="begin"/>
      </w:r>
      <w:r>
        <w:instrText xml:space="preserve"> PAGEREF _Toc164758052 \h </w:instrText>
      </w:r>
      <w:r>
        <w:fldChar w:fldCharType="separate"/>
      </w:r>
      <w:r>
        <w:t>1</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_Toc164758053 \h </w:instrText>
      </w:r>
      <w:r>
        <w:fldChar w:fldCharType="separate"/>
      </w:r>
      <w:r>
        <w:t>1</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_Toc164758054 \h </w:instrText>
      </w:r>
      <w:r>
        <w:fldChar w:fldCharType="separate"/>
      </w:r>
      <w:r>
        <w:t>1</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_Toc164758055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_Toc164758057 \h </w:instrText>
      </w:r>
      <w:r>
        <w:fldChar w:fldCharType="separate"/>
      </w:r>
      <w:r>
        <w:t>1</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_Toc164758058 \h </w:instrText>
      </w:r>
      <w:r>
        <w:fldChar w:fldCharType="separate"/>
      </w:r>
      <w:r>
        <w:t>1</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_Toc164758059 \h </w:instrText>
      </w:r>
      <w:r>
        <w:fldChar w:fldCharType="separate"/>
      </w:r>
      <w:r>
        <w:t>1</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_Toc164758060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_Toc164758062 \h </w:instrText>
      </w:r>
      <w:r>
        <w:fldChar w:fldCharType="separate"/>
      </w:r>
      <w:r>
        <w:t>1</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_Toc164758063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_Toc164758065 \h </w:instrText>
      </w:r>
      <w:r>
        <w:fldChar w:fldCharType="separate"/>
      </w:r>
      <w:r>
        <w:t>1</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_Toc164758066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_Toc164758069 \h </w:instrText>
      </w:r>
      <w:r>
        <w:fldChar w:fldCharType="separate"/>
      </w:r>
      <w:r>
        <w:t>1</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_Toc164758070 \h </w:instrText>
      </w:r>
      <w:r>
        <w:fldChar w:fldCharType="separate"/>
      </w:r>
      <w:r>
        <w:t>1</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_Toc164758071 \h </w:instrText>
      </w:r>
      <w:r>
        <w:fldChar w:fldCharType="separate"/>
      </w:r>
      <w:r>
        <w:t>1</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_Toc164758072 \h </w:instrText>
      </w:r>
      <w:r>
        <w:fldChar w:fldCharType="separate"/>
      </w:r>
      <w:r>
        <w:t>1</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_Toc164758073 \h </w:instrText>
      </w:r>
      <w:r>
        <w:fldChar w:fldCharType="separate"/>
      </w:r>
      <w:r>
        <w:t>1</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_Toc164758074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_Toc164758076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_Toc164758078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130.</w:t>
      </w:r>
      <w:r>
        <w:tab/>
        <w:t>Announcement of the results of an investigation etc.</w:t>
      </w:r>
      <w:r>
        <w:tab/>
      </w:r>
      <w:r>
        <w:fldChar w:fldCharType="begin"/>
      </w:r>
      <w:r>
        <w:instrText xml:space="preserve"> PAGEREF _Toc164758079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_Toc164758081 \h </w:instrText>
      </w:r>
      <w:r>
        <w:fldChar w:fldCharType="separate"/>
      </w:r>
      <w:r>
        <w:t>1</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_Toc164758082 \h </w:instrText>
      </w:r>
      <w:r>
        <w:fldChar w:fldCharType="separate"/>
      </w:r>
      <w:r>
        <w:t>1</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_Toc164758083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_Toc164758085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_Toc164758087 \h </w:instrText>
      </w:r>
      <w:r>
        <w:fldChar w:fldCharType="separate"/>
      </w:r>
      <w:r>
        <w:t>1</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_Toc164758088 \h </w:instrText>
      </w:r>
      <w:r>
        <w:fldChar w:fldCharType="separate"/>
      </w:r>
      <w:r>
        <w:t>1</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_Toc164758089 \h </w:instrText>
      </w:r>
      <w:r>
        <w:fldChar w:fldCharType="separate"/>
      </w:r>
      <w:r>
        <w:t>1</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_Toc164758090 \h </w:instrText>
      </w:r>
      <w:r>
        <w:fldChar w:fldCharType="separate"/>
      </w:r>
      <w:r>
        <w:t>1</w:t>
      </w:r>
      <w:r>
        <w:fldChar w:fldCharType="end"/>
      </w:r>
    </w:p>
    <w:p>
      <w:pPr>
        <w:pStyle w:val="TOC8"/>
        <w:rPr>
          <w:rFonts w:asciiTheme="minorHAnsi" w:eastAsiaTheme="minorEastAsia" w:hAnsiTheme="minorHAnsi" w:cstheme="minorBidi"/>
          <w:szCs w:val="22"/>
        </w:rPr>
      </w:pPr>
      <w:r>
        <w:t>137A.</w:t>
      </w:r>
      <w:r>
        <w:tab/>
        <w:t>Safe harbour for complying with information standards about free range eggs</w:t>
      </w:r>
      <w:r>
        <w:tab/>
      </w:r>
      <w:r>
        <w:fldChar w:fldCharType="begin"/>
      </w:r>
      <w:r>
        <w:instrText xml:space="preserve"> PAGEREF _Toc164758091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_Toc164758094 \h </w:instrText>
      </w:r>
      <w:r>
        <w:fldChar w:fldCharType="separate"/>
      </w:r>
      <w:r>
        <w:t>1</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_Toc164758095 \h </w:instrText>
      </w:r>
      <w:r>
        <w:fldChar w:fldCharType="separate"/>
      </w:r>
      <w:r>
        <w:t>1</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_Toc164758096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141.</w:t>
      </w:r>
      <w:r>
        <w:tab/>
        <w:t>Liability for loss or damage suffered by a person if land, buildings or fixtures are destroyed or damaged</w:t>
      </w:r>
      <w:r>
        <w:tab/>
      </w:r>
      <w:r>
        <w:fldChar w:fldCharType="begin"/>
      </w:r>
      <w:r>
        <w:instrText xml:space="preserve"> PAGEREF _Toc164758097 \h </w:instrText>
      </w:r>
      <w:r>
        <w:fldChar w:fldCharType="separate"/>
      </w:r>
      <w:r>
        <w:t>1</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_Toc164758098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_Toc164758100 \h </w:instrText>
      </w:r>
      <w:r>
        <w:fldChar w:fldCharType="separate"/>
      </w:r>
      <w:r>
        <w:t>1</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_Toc164758101 \h </w:instrText>
      </w:r>
      <w:r>
        <w:fldChar w:fldCharType="separate"/>
      </w:r>
      <w:r>
        <w:t>1</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_Toc164758102 \h </w:instrText>
      </w:r>
      <w:r>
        <w:fldChar w:fldCharType="separate"/>
      </w:r>
      <w:r>
        <w:t>1</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_Toc164758103 \h </w:instrText>
      </w:r>
      <w:r>
        <w:fldChar w:fldCharType="separate"/>
      </w:r>
      <w:r>
        <w:t>1</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_Toc164758104 \h </w:instrText>
      </w:r>
      <w:r>
        <w:fldChar w:fldCharType="separate"/>
      </w:r>
      <w:r>
        <w:t>1</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_Toc164758105 \h </w:instrText>
      </w:r>
      <w:r>
        <w:fldChar w:fldCharType="separate"/>
      </w:r>
      <w:r>
        <w:t>1</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_Toc164758106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_Toc164758108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_Toc164758112 \h </w:instrText>
      </w:r>
      <w:r>
        <w:fldChar w:fldCharType="separate"/>
      </w:r>
      <w:r>
        <w:t>1</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_Toc164758113 \h </w:instrText>
      </w:r>
      <w:r>
        <w:fldChar w:fldCharType="separate"/>
      </w:r>
      <w:r>
        <w:t>1</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_Toc164758114 \h </w:instrText>
      </w:r>
      <w:r>
        <w:fldChar w:fldCharType="separate"/>
      </w:r>
      <w:r>
        <w:t>1</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_Toc164758115 \h </w:instrText>
      </w:r>
      <w:r>
        <w:fldChar w:fldCharType="separate"/>
      </w:r>
      <w:r>
        <w:t>1</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_Toc164758116 \h </w:instrText>
      </w:r>
      <w:r>
        <w:fldChar w:fldCharType="separate"/>
      </w:r>
      <w:r>
        <w:t>1</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_Toc164758117 \h </w:instrText>
      </w:r>
      <w:r>
        <w:fldChar w:fldCharType="separate"/>
      </w:r>
      <w:r>
        <w:t>1</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_Toc164758118 \h </w:instrText>
      </w:r>
      <w:r>
        <w:fldChar w:fldCharType="separate"/>
      </w:r>
      <w:r>
        <w:t>1</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_Toc164758119 \h </w:instrText>
      </w:r>
      <w:r>
        <w:fldChar w:fldCharType="separate"/>
      </w:r>
      <w:r>
        <w:t>1</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_Toc164758120 \h </w:instrText>
      </w:r>
      <w:r>
        <w:fldChar w:fldCharType="separate"/>
      </w:r>
      <w:r>
        <w:t>1</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_Toc164758121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_Toc164758123 \h </w:instrText>
      </w:r>
      <w:r>
        <w:fldChar w:fldCharType="separate"/>
      </w:r>
      <w:r>
        <w:t>1</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_Toc164758124 \h </w:instrText>
      </w:r>
      <w:r>
        <w:fldChar w:fldCharType="separate"/>
      </w:r>
      <w:r>
        <w:t>1</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_Toc164758125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_Toc164758127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_Toc164758129 \h </w:instrText>
      </w:r>
      <w:r>
        <w:fldChar w:fldCharType="separate"/>
      </w:r>
      <w:r>
        <w:t>1</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_Toc164758130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_Toc164758132 \h </w:instrText>
      </w:r>
      <w:r>
        <w:fldChar w:fldCharType="separate"/>
      </w:r>
      <w:r>
        <w:t>1</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_Toc164758133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_Toc164758136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_Toc164758139 \h </w:instrText>
      </w:r>
      <w:r>
        <w:fldChar w:fldCharType="separate"/>
      </w:r>
      <w:r>
        <w:t>1</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_Toc164758140 \h </w:instrText>
      </w:r>
      <w:r>
        <w:fldChar w:fldCharType="separate"/>
      </w:r>
      <w:r>
        <w:t>1</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_Toc164758141 \h </w:instrText>
      </w:r>
      <w:r>
        <w:fldChar w:fldCharType="separate"/>
      </w:r>
      <w:r>
        <w:t>1</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_Toc164758142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_Toc164758144 \h </w:instrText>
      </w:r>
      <w:r>
        <w:fldChar w:fldCharType="separate"/>
      </w:r>
      <w:r>
        <w:t>1</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_Toc164758145 \h </w:instrText>
      </w:r>
      <w:r>
        <w:fldChar w:fldCharType="separate"/>
      </w:r>
      <w:r>
        <w:t>1</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_Toc164758146 \h </w:instrText>
      </w:r>
      <w:r>
        <w:fldChar w:fldCharType="separate"/>
      </w:r>
      <w:r>
        <w:t>1</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_Toc164758147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_Toc164758149 \h </w:instrText>
      </w:r>
      <w:r>
        <w:fldChar w:fldCharType="separate"/>
      </w:r>
      <w:r>
        <w:t>1</w:t>
      </w:r>
      <w:r>
        <w:fldChar w:fldCharType="end"/>
      </w:r>
    </w:p>
    <w:p>
      <w:pPr>
        <w:pStyle w:val="TOC8"/>
        <w:rPr>
          <w:rFonts w:asciiTheme="minorHAnsi" w:eastAsiaTheme="minorEastAsia" w:hAnsiTheme="minorHAnsi" w:cstheme="minorBidi"/>
          <w:szCs w:val="22"/>
        </w:rPr>
      </w:pPr>
      <w:r>
        <w:t>179.</w:t>
      </w:r>
      <w:r>
        <w:tab/>
        <w:t>Prohibition on supplies etc.</w:t>
      </w:r>
      <w:r>
        <w:tab/>
      </w:r>
      <w:r>
        <w:fldChar w:fldCharType="begin"/>
      </w:r>
      <w:r>
        <w:instrText xml:space="preserve"> PAGEREF _Toc164758150 \h </w:instrText>
      </w:r>
      <w:r>
        <w:fldChar w:fldCharType="separate"/>
      </w:r>
      <w:r>
        <w:t>1</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_Toc164758151 \h </w:instrText>
      </w:r>
      <w:r>
        <w:fldChar w:fldCharType="separate"/>
      </w:r>
      <w:r>
        <w:t>1</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_Toc164758152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_Toc164758154 \h </w:instrText>
      </w:r>
      <w:r>
        <w:fldChar w:fldCharType="separate"/>
      </w:r>
      <w:r>
        <w:t>1</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_Toc164758155 \h </w:instrText>
      </w:r>
      <w:r>
        <w:fldChar w:fldCharType="separate"/>
      </w:r>
      <w:r>
        <w:t>1</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_Toc164758156 \h </w:instrText>
      </w:r>
      <w:r>
        <w:fldChar w:fldCharType="separate"/>
      </w:r>
      <w:r>
        <w:t>1</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_Toc164758157 \h </w:instrText>
      </w:r>
      <w:r>
        <w:fldChar w:fldCharType="separate"/>
      </w:r>
      <w:r>
        <w:t>1</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_Toc164758158 \h </w:instrText>
      </w:r>
      <w:r>
        <w:fldChar w:fldCharType="separate"/>
      </w:r>
      <w:r>
        <w:t>1</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_Toc164758159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_Toc164758161 \h </w:instrText>
      </w:r>
      <w:r>
        <w:fldChar w:fldCharType="separate"/>
      </w:r>
      <w:r>
        <w:t>1</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_Toc164758162 \h </w:instrText>
      </w:r>
      <w:r>
        <w:fldChar w:fldCharType="separate"/>
      </w:r>
      <w:r>
        <w:t>1</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_Toc164758163 \h </w:instrText>
      </w:r>
      <w:r>
        <w:fldChar w:fldCharType="separate"/>
      </w:r>
      <w:r>
        <w:t>1</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_Toc164758164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3A—Gift cards</w:t>
      </w:r>
    </w:p>
    <w:p>
      <w:pPr>
        <w:pStyle w:val="TOC8"/>
        <w:rPr>
          <w:rFonts w:asciiTheme="minorHAnsi" w:eastAsiaTheme="minorEastAsia" w:hAnsiTheme="minorHAnsi" w:cstheme="minorBidi"/>
          <w:szCs w:val="22"/>
        </w:rPr>
      </w:pPr>
      <w:r>
        <w:t>191A.</w:t>
      </w:r>
      <w:r>
        <w:tab/>
        <w:t>Gift cards to be redeemable for at least 3 years</w:t>
      </w:r>
      <w:r>
        <w:tab/>
      </w:r>
      <w:r>
        <w:fldChar w:fldCharType="begin"/>
      </w:r>
      <w:r>
        <w:instrText xml:space="preserve"> PAGEREF _Toc164758166 \h </w:instrText>
      </w:r>
      <w:r>
        <w:fldChar w:fldCharType="separate"/>
      </w:r>
      <w:r>
        <w:t>1</w:t>
      </w:r>
      <w:r>
        <w:fldChar w:fldCharType="end"/>
      </w:r>
    </w:p>
    <w:p>
      <w:pPr>
        <w:pStyle w:val="TOC8"/>
        <w:rPr>
          <w:rFonts w:asciiTheme="minorHAnsi" w:eastAsiaTheme="minorEastAsia" w:hAnsiTheme="minorHAnsi" w:cstheme="minorBidi"/>
          <w:szCs w:val="22"/>
        </w:rPr>
      </w:pPr>
      <w:r>
        <w:t>191B.</w:t>
      </w:r>
      <w:r>
        <w:tab/>
        <w:t>When gift card ceases to be redeemable to appear prominently on gift card</w:t>
      </w:r>
      <w:r>
        <w:tab/>
      </w:r>
      <w:r>
        <w:fldChar w:fldCharType="begin"/>
      </w:r>
      <w:r>
        <w:instrText xml:space="preserve"> PAGEREF _Toc164758167 \h </w:instrText>
      </w:r>
      <w:r>
        <w:fldChar w:fldCharType="separate"/>
      </w:r>
      <w:r>
        <w:t>1</w:t>
      </w:r>
      <w:r>
        <w:fldChar w:fldCharType="end"/>
      </w:r>
    </w:p>
    <w:p>
      <w:pPr>
        <w:pStyle w:val="TOC8"/>
        <w:rPr>
          <w:rFonts w:asciiTheme="minorHAnsi" w:eastAsiaTheme="minorEastAsia" w:hAnsiTheme="minorHAnsi" w:cstheme="minorBidi"/>
          <w:szCs w:val="22"/>
        </w:rPr>
      </w:pPr>
      <w:r>
        <w:t>191C.</w:t>
      </w:r>
      <w:r>
        <w:tab/>
        <w:t>Terms and conditions not to allow post</w:t>
      </w:r>
      <w:r>
        <w:noBreakHyphen/>
        <w:t>supply fees</w:t>
      </w:r>
      <w:r>
        <w:tab/>
      </w:r>
      <w:r>
        <w:fldChar w:fldCharType="begin"/>
      </w:r>
      <w:r>
        <w:instrText xml:space="preserve"> PAGEREF _Toc164758168 \h </w:instrText>
      </w:r>
      <w:r>
        <w:fldChar w:fldCharType="separate"/>
      </w:r>
      <w:r>
        <w:t>1</w:t>
      </w:r>
      <w:r>
        <w:fldChar w:fldCharType="end"/>
      </w:r>
    </w:p>
    <w:p>
      <w:pPr>
        <w:pStyle w:val="TOC8"/>
        <w:rPr>
          <w:rFonts w:asciiTheme="minorHAnsi" w:eastAsiaTheme="minorEastAsia" w:hAnsiTheme="minorHAnsi" w:cstheme="minorBidi"/>
          <w:szCs w:val="22"/>
        </w:rPr>
      </w:pPr>
      <w:r>
        <w:t>191D.</w:t>
      </w:r>
      <w:r>
        <w:tab/>
        <w:t>Post</w:t>
      </w:r>
      <w:r>
        <w:noBreakHyphen/>
        <w:t>supply fees not to be demanded or received</w:t>
      </w:r>
      <w:r>
        <w:tab/>
      </w:r>
      <w:r>
        <w:fldChar w:fldCharType="begin"/>
      </w:r>
      <w:r>
        <w:instrText xml:space="preserve"> PAGEREF _Toc164758169 \h </w:instrText>
      </w:r>
      <w:r>
        <w:fldChar w:fldCharType="separate"/>
      </w:r>
      <w:r>
        <w:t>1</w:t>
      </w:r>
      <w:r>
        <w:fldChar w:fldCharType="end"/>
      </w:r>
    </w:p>
    <w:p>
      <w:pPr>
        <w:pStyle w:val="TOC8"/>
        <w:rPr>
          <w:rFonts w:asciiTheme="minorHAnsi" w:eastAsiaTheme="minorEastAsia" w:hAnsiTheme="minorHAnsi" w:cstheme="minorBidi"/>
          <w:szCs w:val="22"/>
        </w:rPr>
      </w:pPr>
      <w:r>
        <w:t>191E.</w:t>
      </w:r>
      <w:r>
        <w:tab/>
        <w:t>Regulations may limit the application of this Division</w:t>
      </w:r>
      <w:r>
        <w:tab/>
      </w:r>
      <w:r>
        <w:fldChar w:fldCharType="begin"/>
      </w:r>
      <w:r>
        <w:instrText xml:space="preserve"> PAGEREF _Toc164758170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_Toc164758172 \h </w:instrText>
      </w:r>
      <w:r>
        <w:fldChar w:fldCharType="separate"/>
      </w:r>
      <w:r>
        <w:t>1</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_Toc164758173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_Toc164758176 \h </w:instrText>
      </w:r>
      <w:r>
        <w:fldChar w:fldCharType="separate"/>
      </w:r>
      <w:r>
        <w:t>1</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_Toc164758177 \h </w:instrText>
      </w:r>
      <w:r>
        <w:fldChar w:fldCharType="separate"/>
      </w:r>
      <w:r>
        <w:t>1</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_Toc164758178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_Toc164758180 \h </w:instrText>
      </w:r>
      <w:r>
        <w:fldChar w:fldCharType="separate"/>
      </w:r>
      <w:r>
        <w:t>1</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_Toc164758181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_Toc164758183 \h </w:instrText>
      </w:r>
      <w:r>
        <w:fldChar w:fldCharType="separate"/>
      </w:r>
      <w:r>
        <w:t>1</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_Toc164758184 \h </w:instrText>
      </w:r>
      <w:r>
        <w:fldChar w:fldCharType="separate"/>
      </w:r>
      <w:r>
        <w:t>1</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_Toc164758185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_Toc164758187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_Toc164758189 \h </w:instrText>
      </w:r>
      <w:r>
        <w:fldChar w:fldCharType="separate"/>
      </w:r>
      <w:r>
        <w:t>1</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_Toc164758190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_Toc164758192 \h </w:instrText>
      </w:r>
      <w:r>
        <w:fldChar w:fldCharType="separate"/>
      </w:r>
      <w:r>
        <w:t>1</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_Toc164758193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_Toc164758195 \h </w:instrText>
      </w:r>
      <w:r>
        <w:fldChar w:fldCharType="separate"/>
      </w:r>
      <w:r>
        <w:t>1</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_Toc164758196 \h </w:instrText>
      </w:r>
      <w:r>
        <w:fldChar w:fldCharType="separate"/>
      </w:r>
      <w:r>
        <w:t>1</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_Toc164758197 \h </w:instrText>
      </w:r>
      <w:r>
        <w:fldChar w:fldCharType="separate"/>
      </w:r>
      <w:r>
        <w:t>1</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_Toc164758198 \h </w:instrText>
      </w:r>
      <w:r>
        <w:fldChar w:fldCharType="separate"/>
      </w:r>
      <w:r>
        <w:t>1</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_Toc164758199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_Toc164758201 \h </w:instrText>
      </w:r>
      <w:r>
        <w:fldChar w:fldCharType="separate"/>
      </w:r>
      <w:r>
        <w:t>1</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_Toc164758202 \h </w:instrText>
      </w:r>
      <w:r>
        <w:fldChar w:fldCharType="separate"/>
      </w:r>
      <w:r>
        <w:t>1</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_Toc164758203 \h </w:instrText>
      </w:r>
      <w:r>
        <w:fldChar w:fldCharType="separate"/>
      </w:r>
      <w:r>
        <w:t>1</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_Toc164758204 \h </w:instrText>
      </w:r>
      <w:r>
        <w:fldChar w:fldCharType="separate"/>
      </w:r>
      <w:r>
        <w:t>1</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_Toc164758205 \h </w:instrText>
      </w:r>
      <w:r>
        <w:fldChar w:fldCharType="separate"/>
      </w:r>
      <w:r>
        <w:t>1</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_Toc164758206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_Toc164758210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_Toc164758212 \h </w:instrText>
      </w:r>
      <w:r>
        <w:fldChar w:fldCharType="separate"/>
      </w:r>
      <w:r>
        <w:t>1</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_Toc164758213 \h </w:instrText>
      </w:r>
      <w:r>
        <w:fldChar w:fldCharType="separate"/>
      </w:r>
      <w:r>
        <w:t>1</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_Toc164758214 \h </w:instrText>
      </w:r>
      <w:r>
        <w:fldChar w:fldCharType="separate"/>
      </w:r>
      <w:r>
        <w:t>1</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_Toc164758215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_Toc164758217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_Toc164758220 \h </w:instrText>
      </w:r>
      <w:r>
        <w:fldChar w:fldCharType="separate"/>
      </w:r>
      <w:r>
        <w:t>1</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_Toc164758221 \h </w:instrText>
      </w:r>
      <w:r>
        <w:fldChar w:fldCharType="separate"/>
      </w:r>
      <w:r>
        <w:t>1</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_Toc164758222 \h </w:instrText>
      </w:r>
      <w:r>
        <w:fldChar w:fldCharType="separate"/>
      </w:r>
      <w:r>
        <w:t>1</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_Toc164758223 \h </w:instrText>
      </w:r>
      <w:r>
        <w:fldChar w:fldCharType="separate"/>
      </w:r>
      <w:r>
        <w:t>1</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_Toc164758224 \h </w:instrText>
      </w:r>
      <w:r>
        <w:fldChar w:fldCharType="separate"/>
      </w:r>
      <w:r>
        <w:t>1</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_Toc164758225 \h </w:instrText>
      </w:r>
      <w:r>
        <w:fldChar w:fldCharType="separate"/>
      </w:r>
      <w:r>
        <w:t>1</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_Toc164758226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_Toc164758228 \h </w:instrText>
      </w:r>
      <w:r>
        <w:fldChar w:fldCharType="separate"/>
      </w:r>
      <w:r>
        <w:t>1</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_Toc164758229 \h </w:instrText>
      </w:r>
      <w:r>
        <w:fldChar w:fldCharType="separate"/>
      </w:r>
      <w:r>
        <w:t>1</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_Toc164758230 \h </w:instrText>
      </w:r>
      <w:r>
        <w:fldChar w:fldCharType="separate"/>
      </w:r>
      <w:r>
        <w:t>1</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_Toc164758231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_Toc164758233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_Toc164758236 \h </w:instrText>
      </w:r>
      <w:r>
        <w:fldChar w:fldCharType="separate"/>
      </w:r>
      <w:r>
        <w:t>1</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_Toc164758237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_Toc164758239 \h </w:instrText>
      </w:r>
      <w:r>
        <w:fldChar w:fldCharType="separate"/>
      </w:r>
      <w:r>
        <w:t>1</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_Toc164758240 \h </w:instrText>
      </w:r>
      <w:r>
        <w:fldChar w:fldCharType="separate"/>
      </w:r>
      <w:r>
        <w:t>1</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_Toc164758241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_Toc164758243 \h </w:instrText>
      </w:r>
      <w:r>
        <w:fldChar w:fldCharType="separate"/>
      </w:r>
      <w:r>
        <w:t>1</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_Toc164758244 \h </w:instrText>
      </w:r>
      <w:r>
        <w:fldChar w:fldCharType="separate"/>
      </w:r>
      <w:r>
        <w:t>1</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_Toc164758245 \h </w:instrText>
      </w:r>
      <w:r>
        <w:fldChar w:fldCharType="separate"/>
      </w:r>
      <w:r>
        <w:t>1</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_Toc164758246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_Toc164758248 \h </w:instrText>
      </w:r>
      <w:r>
        <w:fldChar w:fldCharType="separate"/>
      </w:r>
      <w:r>
        <w:t>1</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_Toc164758249 \h </w:instrText>
      </w:r>
      <w:r>
        <w:fldChar w:fldCharType="separate"/>
      </w:r>
      <w:r>
        <w:t>1</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_Toc164758250 \h </w:instrText>
      </w:r>
      <w:r>
        <w:fldChar w:fldCharType="separate"/>
      </w:r>
      <w:r>
        <w:t>1</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_Toc164758251 \h </w:instrText>
      </w:r>
      <w:r>
        <w:fldChar w:fldCharType="separate"/>
      </w:r>
      <w:r>
        <w:t>1</w:t>
      </w:r>
      <w:r>
        <w:fldChar w:fldCharType="end"/>
      </w:r>
    </w:p>
    <w:p>
      <w:pPr>
        <w:pStyle w:val="TOC8"/>
        <w:rPr>
          <w:rFonts w:asciiTheme="minorHAnsi" w:eastAsiaTheme="minorEastAsia" w:hAnsiTheme="minorHAnsi" w:cstheme="minorBidi"/>
          <w:szCs w:val="22"/>
        </w:rPr>
      </w:pPr>
      <w:r>
        <w:t>250.</w:t>
      </w:r>
      <w:r>
        <w:tab/>
        <w:t>Declarations relating to consumer contracts and small business contracts</w:t>
      </w:r>
      <w:r>
        <w:tab/>
      </w:r>
      <w:r>
        <w:fldChar w:fldCharType="begin"/>
      </w:r>
      <w:r>
        <w:instrText xml:space="preserve"> PAGEREF _Toc164758252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_Toc164758254 \h </w:instrText>
      </w:r>
      <w:r>
        <w:fldChar w:fldCharType="separate"/>
      </w:r>
      <w:r>
        <w:t>1</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_Toc164758255 \h </w:instrText>
      </w:r>
      <w:r>
        <w:fldChar w:fldCharType="separate"/>
      </w:r>
      <w:r>
        <w:t>1</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_Toc164758256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_Toc164758258 \h </w:instrText>
      </w:r>
      <w:r>
        <w:fldChar w:fldCharType="separate"/>
      </w:r>
      <w:r>
        <w:t>1</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_Toc164758259 \h </w:instrText>
      </w:r>
      <w:r>
        <w:fldChar w:fldCharType="separate"/>
      </w:r>
      <w:r>
        <w:t>1</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_Toc164758260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_Toc164758264 \h </w:instrText>
      </w:r>
      <w:r>
        <w:fldChar w:fldCharType="separate"/>
      </w:r>
      <w:r>
        <w:t>1</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_Toc164758265 \h </w:instrText>
      </w:r>
      <w:r>
        <w:fldChar w:fldCharType="separate"/>
      </w:r>
      <w:r>
        <w:t>1</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_Toc164758266 \h </w:instrText>
      </w:r>
      <w:r>
        <w:fldChar w:fldCharType="separate"/>
      </w:r>
      <w:r>
        <w:t>1</w:t>
      </w:r>
      <w:r>
        <w:fldChar w:fldCharType="end"/>
      </w:r>
    </w:p>
    <w:p>
      <w:pPr>
        <w:pStyle w:val="TOC8"/>
        <w:rPr>
          <w:rFonts w:asciiTheme="minorHAnsi" w:eastAsiaTheme="minorEastAsia" w:hAnsiTheme="minorHAnsi" w:cstheme="minorBidi"/>
          <w:szCs w:val="22"/>
        </w:rPr>
      </w:pPr>
      <w:r>
        <w:lastRenderedPageBreak/>
        <w:t>262.</w:t>
      </w:r>
      <w:r>
        <w:tab/>
        <w:t>When consumers are not entitled to reject goods</w:t>
      </w:r>
      <w:r>
        <w:tab/>
      </w:r>
      <w:r>
        <w:fldChar w:fldCharType="begin"/>
      </w:r>
      <w:r>
        <w:instrText xml:space="preserve"> PAGEREF _Toc164758267 \h </w:instrText>
      </w:r>
      <w:r>
        <w:fldChar w:fldCharType="separate"/>
      </w:r>
      <w:r>
        <w:t>1</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_Toc164758268 \h </w:instrText>
      </w:r>
      <w:r>
        <w:fldChar w:fldCharType="separate"/>
      </w:r>
      <w:r>
        <w:t>1</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_Toc164758269 \h </w:instrText>
      </w:r>
      <w:r>
        <w:fldChar w:fldCharType="separate"/>
      </w:r>
      <w:r>
        <w:t>1</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_Toc164758270 \h </w:instrText>
      </w:r>
      <w:r>
        <w:fldChar w:fldCharType="separate"/>
      </w:r>
      <w:r>
        <w:t>1</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_Toc164758271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_Toc164758273 \h </w:instrText>
      </w:r>
      <w:r>
        <w:fldChar w:fldCharType="separate"/>
      </w:r>
      <w:r>
        <w:t>1</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_Toc164758274 \h </w:instrText>
      </w:r>
      <w:r>
        <w:fldChar w:fldCharType="separate"/>
      </w:r>
      <w:r>
        <w:t>1</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_Toc164758275 \h </w:instrText>
      </w:r>
      <w:r>
        <w:fldChar w:fldCharType="separate"/>
      </w:r>
      <w:r>
        <w:t>1</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_Toc164758276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_Toc164758278 \h </w:instrText>
      </w:r>
      <w:r>
        <w:fldChar w:fldCharType="separate"/>
      </w:r>
      <w:r>
        <w:t>1</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_Toc164758279 \h </w:instrText>
      </w:r>
      <w:r>
        <w:fldChar w:fldCharType="separate"/>
      </w:r>
      <w:r>
        <w:t>1</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_Toc164758280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_Toc164758282 \h </w:instrText>
      </w:r>
      <w:r>
        <w:fldChar w:fldCharType="separate"/>
      </w:r>
      <w:r>
        <w:t>1</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_Toc164758283 \h </w:instrText>
      </w:r>
      <w:r>
        <w:fldChar w:fldCharType="separate"/>
      </w:r>
      <w:r>
        <w:t>1</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_Toc164758284 \h </w:instrText>
      </w:r>
      <w:r>
        <w:fldChar w:fldCharType="separate"/>
      </w:r>
      <w:r>
        <w:t>1</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_Toc164758285 \h </w:instrText>
      </w:r>
      <w:r>
        <w:fldChar w:fldCharType="separate"/>
      </w:r>
      <w:r>
        <w:t>1</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_Toc164758286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_Toc164758289 \h </w:instrText>
      </w:r>
      <w:r>
        <w:fldChar w:fldCharType="separate"/>
      </w:r>
      <w:r>
        <w:t>1</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_Toc164758290 \h </w:instrText>
      </w:r>
      <w:r>
        <w:fldChar w:fldCharType="separate"/>
      </w:r>
      <w:r>
        <w:t>1</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_Toc164758291 \h </w:instrText>
      </w:r>
      <w:r>
        <w:fldChar w:fldCharType="separate"/>
      </w:r>
      <w:r>
        <w:t>1</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_Toc164758292 \h </w:instrText>
      </w:r>
      <w:r>
        <w:fldChar w:fldCharType="separate"/>
      </w:r>
      <w:r>
        <w:t>1</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_Toc164758293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283.</w:t>
      </w:r>
      <w:r>
        <w:tab/>
        <w:t>Enforcement of judgments etc.</w:t>
      </w:r>
      <w:r>
        <w:tab/>
      </w:r>
      <w:r>
        <w:fldChar w:fldCharType="begin"/>
      </w:r>
      <w:r>
        <w:instrText xml:space="preserve"> PAGEREF _Toc164758294 \h </w:instrText>
      </w:r>
      <w:r>
        <w:fldChar w:fldCharType="separate"/>
      </w:r>
      <w:r>
        <w:t>1</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_Toc164758295 \h </w:instrText>
      </w:r>
      <w:r>
        <w:fldChar w:fldCharType="separate"/>
      </w:r>
      <w:r>
        <w:t>1</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_Toc164758296 \h </w:instrText>
      </w:r>
      <w:r>
        <w:fldChar w:fldCharType="separate"/>
      </w:r>
      <w:r>
        <w:t>1</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_Toc164758297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_Toc164758299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rPr>
          <w:bCs/>
        </w:rPr>
        <w:t>Chapter 6</w:t>
      </w:r>
      <w:r>
        <w:t>—Application and transitional provisions</w:t>
      </w:r>
    </w:p>
    <w:p>
      <w:pPr>
        <w:pStyle w:val="TOC2"/>
        <w:tabs>
          <w:tab w:val="right" w:leader="dot" w:pos="7077"/>
        </w:tabs>
        <w:rPr>
          <w:rFonts w:asciiTheme="minorHAnsi" w:eastAsiaTheme="minorEastAsia" w:hAnsiTheme="minorHAnsi" w:cstheme="minorBidi"/>
          <w:b w:val="0"/>
          <w:sz w:val="22"/>
          <w:szCs w:val="22"/>
        </w:rPr>
      </w:pPr>
      <w:r>
        <w:t xml:space="preserve">Part 1—Application and transitional provisions relating to the </w:t>
      </w:r>
      <w:r>
        <w:rPr>
          <w:i/>
        </w:rPr>
        <w:t>Consumer Credit Legislation Amendment (Enhancements) Act 2012</w:t>
      </w:r>
    </w:p>
    <w:p>
      <w:pPr>
        <w:pStyle w:val="TOC8"/>
        <w:rPr>
          <w:rFonts w:asciiTheme="minorHAnsi" w:eastAsiaTheme="minorEastAsia" w:hAnsiTheme="minorHAnsi" w:cstheme="minorBidi"/>
          <w:szCs w:val="22"/>
        </w:rPr>
      </w:pPr>
      <w:r>
        <w:t>288.</w:t>
      </w:r>
      <w:r>
        <w:tab/>
        <w:t>Application of amendments relating to lay</w:t>
      </w:r>
      <w:r>
        <w:noBreakHyphen/>
        <w:t>by agreements</w:t>
      </w:r>
      <w:r>
        <w:tab/>
      </w:r>
      <w:r>
        <w:fldChar w:fldCharType="begin"/>
      </w:r>
      <w:r>
        <w:instrText xml:space="preserve"> PAGEREF _Toc164758302 \h </w:instrText>
      </w:r>
      <w:r>
        <w:fldChar w:fldCharType="separate"/>
      </w:r>
      <w:r>
        <w:t>1</w:t>
      </w:r>
      <w:r>
        <w:fldChar w:fldCharType="end"/>
      </w:r>
    </w:p>
    <w:p>
      <w:pPr>
        <w:pStyle w:val="TOC8"/>
        <w:rPr>
          <w:rFonts w:asciiTheme="minorHAnsi" w:eastAsiaTheme="minorEastAsia" w:hAnsiTheme="minorHAnsi" w:cstheme="minorBidi"/>
          <w:szCs w:val="22"/>
        </w:rPr>
      </w:pPr>
      <w:r>
        <w:t>289.</w:t>
      </w:r>
      <w:r>
        <w:tab/>
        <w:t>Application of amendment relating to repairs</w:t>
      </w:r>
      <w:r>
        <w:tab/>
      </w:r>
      <w:r>
        <w:fldChar w:fldCharType="begin"/>
      </w:r>
      <w:r>
        <w:instrText xml:space="preserve"> PAGEREF _Toc164758303 \h </w:instrText>
      </w:r>
      <w:r>
        <w:fldChar w:fldCharType="separate"/>
      </w:r>
      <w:r>
        <w:t>1</w:t>
      </w:r>
      <w:r>
        <w:fldChar w:fldCharType="end"/>
      </w:r>
    </w:p>
    <w:p>
      <w:pPr>
        <w:pStyle w:val="TOC8"/>
        <w:rPr>
          <w:rFonts w:asciiTheme="minorHAnsi" w:eastAsiaTheme="minorEastAsia" w:hAnsiTheme="minorHAnsi" w:cstheme="minorBidi"/>
          <w:szCs w:val="22"/>
        </w:rPr>
      </w:pPr>
      <w:r>
        <w:t>290.</w:t>
      </w:r>
      <w:r>
        <w:tab/>
        <w:t>Saving of regulations relating to repairs</w:t>
      </w:r>
      <w:r>
        <w:tab/>
      </w:r>
      <w:r>
        <w:fldChar w:fldCharType="begin"/>
      </w:r>
      <w:r>
        <w:instrText xml:space="preserve"> PAGEREF _Toc164758304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1A—Application provision relating to the </w:t>
      </w:r>
      <w:r>
        <w:rPr>
          <w:i/>
        </w:rPr>
        <w:t>Treasury Legislation Amendment (Small Business and Unfair Contract Terms) Act 2015</w:t>
      </w:r>
    </w:p>
    <w:p>
      <w:pPr>
        <w:pStyle w:val="TOC8"/>
        <w:rPr>
          <w:rFonts w:asciiTheme="minorHAnsi" w:eastAsiaTheme="minorEastAsia" w:hAnsiTheme="minorHAnsi" w:cstheme="minorBidi"/>
          <w:szCs w:val="22"/>
        </w:rPr>
      </w:pPr>
      <w:r>
        <w:rPr>
          <w:rFonts w:eastAsia="Yu Gothic"/>
        </w:rPr>
        <w:t>290A.</w:t>
      </w:r>
      <w:r>
        <w:rPr>
          <w:rFonts w:eastAsia="Yu Gothic"/>
        </w:rPr>
        <w:tab/>
        <w:t>Application</w:t>
      </w:r>
      <w:r>
        <w:tab/>
      </w:r>
      <w:r>
        <w:fldChar w:fldCharType="begin"/>
      </w:r>
      <w:r>
        <w:instrText xml:space="preserve"> PAGEREF _Toc164758306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2—Application and transitional provisions relating to the </w:t>
      </w:r>
      <w:r>
        <w:rPr>
          <w:i/>
        </w:rPr>
        <w:t xml:space="preserve">Competition and Consumer </w:t>
      </w:r>
      <w:r>
        <w:rPr>
          <w:i/>
        </w:rPr>
        <w:lastRenderedPageBreak/>
        <w:t>Amendment (Competition Policy Review) Act 2017</w:t>
      </w:r>
    </w:p>
    <w:p>
      <w:pPr>
        <w:pStyle w:val="TOC8"/>
        <w:rPr>
          <w:rFonts w:asciiTheme="minorHAnsi" w:eastAsiaTheme="minorEastAsia" w:hAnsiTheme="minorHAnsi" w:cstheme="minorBidi"/>
          <w:szCs w:val="22"/>
        </w:rPr>
      </w:pPr>
      <w:r>
        <w:rPr>
          <w:rFonts w:eastAsia="Yu Gothic"/>
        </w:rPr>
        <w:t>291</w:t>
      </w:r>
      <w:r>
        <w:t>.</w:t>
      </w:r>
      <w:r>
        <w:tab/>
        <w:t>Application of amendments relating to confidentiality of notices</w:t>
      </w:r>
      <w:r>
        <w:tab/>
      </w:r>
      <w:r>
        <w:fldChar w:fldCharType="begin"/>
      </w:r>
      <w:r>
        <w:instrText xml:space="preserve"> PAGEREF _Toc164758308 \h </w:instrText>
      </w:r>
      <w:r>
        <w:fldChar w:fldCharType="separate"/>
      </w:r>
      <w:r>
        <w:t>1</w:t>
      </w:r>
      <w:r>
        <w:fldChar w:fldCharType="end"/>
      </w:r>
    </w:p>
    <w:p>
      <w:pPr>
        <w:pStyle w:val="TOC8"/>
        <w:rPr>
          <w:rFonts w:asciiTheme="minorHAnsi" w:eastAsiaTheme="minorEastAsia" w:hAnsiTheme="minorHAnsi" w:cstheme="minorBidi"/>
          <w:szCs w:val="22"/>
        </w:rPr>
      </w:pPr>
      <w:r>
        <w:t>292.</w:t>
      </w:r>
      <w:r>
        <w:tab/>
        <w:t>Application of amendments relating to prohibition on supplies</w:t>
      </w:r>
      <w:r>
        <w:tab/>
      </w:r>
      <w:r>
        <w:fldChar w:fldCharType="begin"/>
      </w:r>
      <w:r>
        <w:instrText xml:space="preserve"> PAGEREF _Toc164758309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3—Application provision relating to the </w:t>
      </w:r>
      <w:r>
        <w:rPr>
          <w:i/>
        </w:rPr>
        <w:t>Treasury Laws Amendment (2018 Measures No. 3) Act 2018</w:t>
      </w:r>
    </w:p>
    <w:p>
      <w:pPr>
        <w:pStyle w:val="TOC8"/>
        <w:rPr>
          <w:rFonts w:asciiTheme="minorHAnsi" w:eastAsiaTheme="minorEastAsia" w:hAnsiTheme="minorHAnsi" w:cstheme="minorBidi"/>
          <w:szCs w:val="22"/>
        </w:rPr>
      </w:pPr>
      <w:r>
        <w:t>295.</w:t>
      </w:r>
      <w:r>
        <w:tab/>
        <w:t>Application of amendments</w:t>
      </w:r>
      <w:r>
        <w:tab/>
      </w:r>
      <w:r>
        <w:fldChar w:fldCharType="begin"/>
      </w:r>
      <w:r>
        <w:instrText xml:space="preserve"> PAGEREF _Toc164758311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4—Application provisions relating to the </w:t>
      </w:r>
      <w:r>
        <w:rPr>
          <w:i/>
        </w:rPr>
        <w:t>Treasury Laws Amendment (Australian Consumer Law Review) Act 2018</w:t>
      </w:r>
    </w:p>
    <w:p>
      <w:pPr>
        <w:pStyle w:val="TOC8"/>
        <w:rPr>
          <w:rFonts w:asciiTheme="minorHAnsi" w:eastAsiaTheme="minorEastAsia" w:hAnsiTheme="minorHAnsi" w:cstheme="minorBidi"/>
          <w:szCs w:val="22"/>
        </w:rPr>
      </w:pPr>
      <w:r>
        <w:t>296.</w:t>
      </w:r>
      <w:r>
        <w:tab/>
        <w:t>Application—listed public companies</w:t>
      </w:r>
      <w:r>
        <w:tab/>
      </w:r>
      <w:r>
        <w:fldChar w:fldCharType="begin"/>
      </w:r>
      <w:r>
        <w:instrText xml:space="preserve"> PAGEREF _Toc164758313 \h </w:instrText>
      </w:r>
      <w:r>
        <w:fldChar w:fldCharType="separate"/>
      </w:r>
      <w:r>
        <w:t>1</w:t>
      </w:r>
      <w:r>
        <w:fldChar w:fldCharType="end"/>
      </w:r>
    </w:p>
    <w:p>
      <w:pPr>
        <w:pStyle w:val="TOC8"/>
        <w:rPr>
          <w:rFonts w:asciiTheme="minorHAnsi" w:eastAsiaTheme="minorEastAsia" w:hAnsiTheme="minorHAnsi" w:cstheme="minorBidi"/>
          <w:szCs w:val="22"/>
        </w:rPr>
      </w:pPr>
      <w:r>
        <w:t>297.</w:t>
      </w:r>
      <w:r>
        <w:tab/>
        <w:t>Application—unsolicited supplies</w:t>
      </w:r>
      <w:r>
        <w:tab/>
      </w:r>
      <w:r>
        <w:fldChar w:fldCharType="begin"/>
      </w:r>
      <w:r>
        <w:instrText xml:space="preserve"> PAGEREF _Toc164758314 \h </w:instrText>
      </w:r>
      <w:r>
        <w:fldChar w:fldCharType="separate"/>
      </w:r>
      <w:r>
        <w:t>1</w:t>
      </w:r>
      <w:r>
        <w:fldChar w:fldCharType="end"/>
      </w:r>
    </w:p>
    <w:p>
      <w:pPr>
        <w:pStyle w:val="TOC8"/>
        <w:rPr>
          <w:rFonts w:asciiTheme="minorHAnsi" w:eastAsiaTheme="minorEastAsia" w:hAnsiTheme="minorHAnsi" w:cstheme="minorBidi"/>
          <w:szCs w:val="22"/>
        </w:rPr>
      </w:pPr>
      <w:r>
        <w:t>298.</w:t>
      </w:r>
      <w:r>
        <w:tab/>
        <w:t>Application—unsolicited consumer agreements</w:t>
      </w:r>
      <w:r>
        <w:tab/>
      </w:r>
      <w:r>
        <w:fldChar w:fldCharType="begin"/>
      </w:r>
      <w:r>
        <w:instrText xml:space="preserve"> PAGEREF _Toc164758315 \h </w:instrText>
      </w:r>
      <w:r>
        <w:fldChar w:fldCharType="separate"/>
      </w:r>
      <w:r>
        <w:t>1</w:t>
      </w:r>
      <w:r>
        <w:fldChar w:fldCharType="end"/>
      </w:r>
    </w:p>
    <w:p>
      <w:pPr>
        <w:pStyle w:val="TOC8"/>
        <w:rPr>
          <w:rFonts w:asciiTheme="minorHAnsi" w:eastAsiaTheme="minorEastAsia" w:hAnsiTheme="minorHAnsi" w:cstheme="minorBidi"/>
          <w:szCs w:val="22"/>
        </w:rPr>
      </w:pPr>
      <w:r>
        <w:t>299.</w:t>
      </w:r>
      <w:r>
        <w:tab/>
        <w:t>Application—single price</w:t>
      </w:r>
      <w:r>
        <w:tab/>
      </w:r>
      <w:r>
        <w:fldChar w:fldCharType="begin"/>
      </w:r>
      <w:r>
        <w:instrText xml:space="preserve"> PAGEREF _Toc164758316 \h </w:instrText>
      </w:r>
      <w:r>
        <w:fldChar w:fldCharType="separate"/>
      </w:r>
      <w:r>
        <w:t>1</w:t>
      </w:r>
      <w:r>
        <w:fldChar w:fldCharType="end"/>
      </w:r>
    </w:p>
    <w:p>
      <w:pPr>
        <w:pStyle w:val="TOC8"/>
        <w:rPr>
          <w:rFonts w:asciiTheme="minorHAnsi" w:eastAsiaTheme="minorEastAsia" w:hAnsiTheme="minorHAnsi" w:cstheme="minorBidi"/>
          <w:szCs w:val="22"/>
        </w:rPr>
      </w:pPr>
      <w:r>
        <w:t>300.</w:t>
      </w:r>
      <w:r>
        <w:tab/>
        <w:t>Application—non</w:t>
      </w:r>
      <w:r>
        <w:noBreakHyphen/>
        <w:t>punitive orders</w:t>
      </w:r>
      <w:r>
        <w:tab/>
      </w:r>
      <w:r>
        <w:fldChar w:fldCharType="begin"/>
      </w:r>
      <w:r>
        <w:instrText xml:space="preserve"> PAGEREF _Toc164758317 \h </w:instrText>
      </w:r>
      <w:r>
        <w:fldChar w:fldCharType="separate"/>
      </w:r>
      <w:r>
        <w:t>1</w:t>
      </w:r>
      <w:r>
        <w:fldChar w:fldCharType="end"/>
      </w:r>
    </w:p>
    <w:p>
      <w:pPr>
        <w:pStyle w:val="TOC8"/>
        <w:rPr>
          <w:rFonts w:asciiTheme="minorHAnsi" w:eastAsiaTheme="minorEastAsia" w:hAnsiTheme="minorHAnsi" w:cstheme="minorBidi"/>
          <w:szCs w:val="22"/>
        </w:rPr>
      </w:pPr>
      <w:r>
        <w:t>301.</w:t>
      </w:r>
      <w:r>
        <w:tab/>
        <w:t>Application—guarantees relating to the supply of services</w:t>
      </w:r>
      <w:r>
        <w:tab/>
      </w:r>
      <w:r>
        <w:fldChar w:fldCharType="begin"/>
      </w:r>
      <w:r>
        <w:instrText xml:space="preserve"> PAGEREF _Toc164758318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5—Application and transitional provisions relating to the </w:t>
      </w:r>
      <w:r>
        <w:rPr>
          <w:i/>
        </w:rPr>
        <w:t>Treasury Laws Amendment (Gift Cards) Act 2018</w:t>
      </w:r>
    </w:p>
    <w:p>
      <w:pPr>
        <w:pStyle w:val="TOC8"/>
        <w:rPr>
          <w:rFonts w:asciiTheme="minorHAnsi" w:eastAsiaTheme="minorEastAsia" w:hAnsiTheme="minorHAnsi" w:cstheme="minorBidi"/>
          <w:szCs w:val="22"/>
        </w:rPr>
      </w:pPr>
      <w:r>
        <w:t>302.</w:t>
      </w:r>
      <w:r>
        <w:tab/>
        <w:t>Application of amendments relating to gift cards</w:t>
      </w:r>
      <w:r>
        <w:tab/>
      </w:r>
      <w:r>
        <w:fldChar w:fldCharType="begin"/>
      </w:r>
      <w:r>
        <w:instrText xml:space="preserve"> PAGEREF _Toc164758320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6—Application and transitional provisions relating to the </w:t>
      </w:r>
      <w:r>
        <w:rPr>
          <w:i/>
        </w:rPr>
        <w:lastRenderedPageBreak/>
        <w:t>Treasury Laws Amendment (2020 Measures No. 6) Act 2020</w:t>
      </w:r>
    </w:p>
    <w:p>
      <w:pPr>
        <w:pStyle w:val="TOC8"/>
        <w:rPr>
          <w:rFonts w:asciiTheme="minorHAnsi" w:eastAsiaTheme="minorEastAsia" w:hAnsiTheme="minorHAnsi" w:cstheme="minorBidi"/>
          <w:szCs w:val="22"/>
        </w:rPr>
      </w:pPr>
      <w:r>
        <w:t>303.</w:t>
      </w:r>
      <w:r>
        <w:tab/>
        <w:t>Application of amendments relating to multiple non major consumer guarantee failures</w:t>
      </w:r>
      <w:r>
        <w:tab/>
      </w:r>
      <w:r>
        <w:fldChar w:fldCharType="begin"/>
      </w:r>
      <w:r>
        <w:instrText xml:space="preserve"> PAGEREF _Toc164758322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2" w:name="BillCited"/>
      <w:bookmarkEnd w:id="2"/>
      <w:r>
        <w:rPr>
          <w:snapToGrid w:val="0"/>
        </w:rPr>
        <w:t xml:space="preserve">An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pStyle w:val="Heading2"/>
      </w:pPr>
      <w:bookmarkStart w:id="3" w:name="_Toc164682086"/>
      <w:bookmarkStart w:id="4" w:name="_Toc164682697"/>
      <w:bookmarkStart w:id="5" w:name="_Toc16475771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64757714"/>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7" w:name="_Toc164757715"/>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164757716"/>
      <w:r>
        <w:rPr>
          <w:rStyle w:val="CharSectno"/>
        </w:rPr>
        <w:t>3</w:t>
      </w:r>
      <w:r>
        <w:t>.</w:t>
      </w:r>
      <w:r>
        <w:tab/>
        <w:t>Object of Act</w:t>
      </w:r>
      <w:bookmarkEnd w:id="8"/>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9" w:name="_Toc164682090"/>
      <w:bookmarkStart w:id="10" w:name="_Toc164682701"/>
      <w:bookmarkStart w:id="11" w:name="_Toc164757717"/>
      <w:r>
        <w:rPr>
          <w:rStyle w:val="CharPartNo"/>
        </w:rPr>
        <w:lastRenderedPageBreak/>
        <w:t>Part 2</w:t>
      </w:r>
      <w:r>
        <w:t> — </w:t>
      </w:r>
      <w:r>
        <w:rPr>
          <w:rStyle w:val="CharPartText"/>
        </w:rPr>
        <w:t>Interpretation and application</w:t>
      </w:r>
      <w:bookmarkEnd w:id="9"/>
      <w:bookmarkEnd w:id="10"/>
      <w:bookmarkEnd w:id="11"/>
    </w:p>
    <w:p>
      <w:pPr>
        <w:pStyle w:val="Heading3"/>
      </w:pPr>
      <w:bookmarkStart w:id="12" w:name="_Toc164682091"/>
      <w:bookmarkStart w:id="13" w:name="_Toc164682702"/>
      <w:bookmarkStart w:id="14" w:name="_Toc164757718"/>
      <w:r>
        <w:rPr>
          <w:rStyle w:val="CharDivNo"/>
        </w:rPr>
        <w:t>Division 1</w:t>
      </w:r>
      <w:r>
        <w:t> — </w:t>
      </w:r>
      <w:r>
        <w:rPr>
          <w:rStyle w:val="CharDivText"/>
        </w:rPr>
        <w:t>General interpretation</w:t>
      </w:r>
      <w:bookmarkEnd w:id="12"/>
      <w:bookmarkEnd w:id="13"/>
      <w:bookmarkEnd w:id="14"/>
    </w:p>
    <w:p>
      <w:pPr>
        <w:pStyle w:val="Heading5"/>
      </w:pPr>
      <w:bookmarkStart w:id="15" w:name="_Toc164757719"/>
      <w:r>
        <w:rPr>
          <w:rStyle w:val="CharSectno"/>
        </w:rPr>
        <w:t>4</w:t>
      </w:r>
      <w:r>
        <w:t>.</w:t>
      </w:r>
      <w:r>
        <w:tab/>
        <w:t>Which interpretation Act applies to ACL (WA)</w:t>
      </w:r>
      <w:bookmarkEnd w:id="15"/>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16" w:name="_Toc164757720"/>
      <w:r>
        <w:rPr>
          <w:rStyle w:val="CharSectno"/>
        </w:rPr>
        <w:t>5</w:t>
      </w:r>
      <w:r>
        <w:t>.</w:t>
      </w:r>
      <w:r>
        <w:tab/>
        <w:t>Application of s. 6-9 and 17</w:t>
      </w:r>
      <w:bookmarkEnd w:id="16"/>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7" w:name="_Toc164757721"/>
      <w:r>
        <w:rPr>
          <w:rStyle w:val="CharSectno"/>
        </w:rPr>
        <w:t>6</w:t>
      </w:r>
      <w:r>
        <w:t>.</w:t>
      </w:r>
      <w:r>
        <w:tab/>
        <w:t>Terms used</w:t>
      </w:r>
      <w:bookmarkEnd w:id="17"/>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lastRenderedPageBreak/>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lastRenderedPageBreak/>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8" w:name="_Toc164757722"/>
      <w:r>
        <w:rPr>
          <w:rStyle w:val="CharSectno"/>
        </w:rPr>
        <w:t>7</w:t>
      </w:r>
      <w:r>
        <w:t>.</w:t>
      </w:r>
      <w:r>
        <w:tab/>
        <w:t>Term used: consumer</w:t>
      </w:r>
      <w:bookmarkEnd w:id="18"/>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lastRenderedPageBreak/>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9" w:name="_Toc164757723"/>
      <w:r>
        <w:rPr>
          <w:rStyle w:val="CharSectno"/>
        </w:rPr>
        <w:t>8</w:t>
      </w:r>
      <w:r>
        <w:t>.</w:t>
      </w:r>
      <w:r>
        <w:tab/>
        <w:t>Term used: services</w:t>
      </w:r>
      <w:bookmarkEnd w:id="19"/>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lastRenderedPageBreak/>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Uniform Law (WA)</w:t>
      </w:r>
      <w:r>
        <w:t xml:space="preserve"> section 6(1) are not services for the purposes of this section.</w:t>
      </w:r>
    </w:p>
    <w:p>
      <w:pPr>
        <w:pStyle w:val="Footnotesection"/>
      </w:pPr>
      <w:r>
        <w:tab/>
        <w:t>[Section 8 amended: No. 9 of 2022 s. 424.]</w:t>
      </w:r>
    </w:p>
    <w:p>
      <w:pPr>
        <w:pStyle w:val="Heading5"/>
      </w:pPr>
      <w:bookmarkStart w:id="20" w:name="_Toc164757724"/>
      <w:r>
        <w:rPr>
          <w:rStyle w:val="CharSectno"/>
        </w:rPr>
        <w:lastRenderedPageBreak/>
        <w:t>9</w:t>
      </w:r>
      <w:r>
        <w:t>.</w:t>
      </w:r>
      <w:r>
        <w:tab/>
        <w:t>Further provisions about interpretation</w:t>
      </w:r>
      <w:bookmarkEnd w:id="20"/>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lastRenderedPageBreak/>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keepNext/>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lastRenderedPageBreak/>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21" w:name="_Toc164682098"/>
      <w:bookmarkStart w:id="22" w:name="_Toc164682709"/>
      <w:bookmarkStart w:id="23" w:name="_Toc164757725"/>
      <w:r>
        <w:rPr>
          <w:rStyle w:val="CharDivNo"/>
        </w:rPr>
        <w:t>Division 2</w:t>
      </w:r>
      <w:r>
        <w:t> — </w:t>
      </w:r>
      <w:r>
        <w:rPr>
          <w:rStyle w:val="CharDivText"/>
        </w:rPr>
        <w:t>Application</w:t>
      </w:r>
      <w:bookmarkEnd w:id="21"/>
      <w:bookmarkEnd w:id="22"/>
      <w:bookmarkEnd w:id="23"/>
    </w:p>
    <w:p>
      <w:pPr>
        <w:pStyle w:val="Heading5"/>
      </w:pPr>
      <w:bookmarkStart w:id="24" w:name="_Toc164757726"/>
      <w:r>
        <w:rPr>
          <w:rStyle w:val="CharSectno"/>
        </w:rPr>
        <w:t>10</w:t>
      </w:r>
      <w:r>
        <w:t>.</w:t>
      </w:r>
      <w:r>
        <w:tab/>
        <w:t>Act binds Crown</w:t>
      </w:r>
      <w:bookmarkEnd w:id="24"/>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25" w:name="_Toc164757727"/>
      <w:r>
        <w:rPr>
          <w:rStyle w:val="CharSectno"/>
        </w:rPr>
        <w:lastRenderedPageBreak/>
        <w:t>11</w:t>
      </w:r>
      <w:r>
        <w:t>.</w:t>
      </w:r>
      <w:r>
        <w:tab/>
        <w:t>Territorial application of Act</w:t>
      </w:r>
      <w:bookmarkEnd w:id="25"/>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lastRenderedPageBreak/>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26" w:name="_Toc164757728"/>
      <w:r>
        <w:rPr>
          <w:rStyle w:val="CharSectno"/>
        </w:rPr>
        <w:t>12</w:t>
      </w:r>
      <w:r>
        <w:t>.</w:t>
      </w:r>
      <w:r>
        <w:tab/>
        <w:t>Concurrent operation of laws of other jurisdictions not limited</w:t>
      </w:r>
      <w:bookmarkEnd w:id="26"/>
    </w:p>
    <w:p>
      <w:pPr>
        <w:pStyle w:val="Subsection"/>
      </w:pPr>
      <w:r>
        <w:tab/>
      </w:r>
      <w:r>
        <w:tab/>
        <w:t>This Act is not intended to exclude or limit the concurrent operation of any law of the Commonwealth or of another State or a Territory.</w:t>
      </w:r>
    </w:p>
    <w:p>
      <w:pPr>
        <w:pStyle w:val="Heading5"/>
      </w:pPr>
      <w:bookmarkStart w:id="27" w:name="_Toc164757729"/>
      <w:r>
        <w:rPr>
          <w:rStyle w:val="CharSectno"/>
        </w:rPr>
        <w:t>13</w:t>
      </w:r>
      <w:r>
        <w:t>.</w:t>
      </w:r>
      <w:r>
        <w:tab/>
        <w:t>No contracting out</w:t>
      </w:r>
      <w:bookmarkEnd w:id="27"/>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8" w:name="_Toc164757730"/>
      <w:r>
        <w:rPr>
          <w:rStyle w:val="CharSectno"/>
        </w:rPr>
        <w:t>14</w:t>
      </w:r>
      <w:r>
        <w:t>.</w:t>
      </w:r>
      <w:r>
        <w:tab/>
        <w:t>Relationship with other Acts and rules of law</w:t>
      </w:r>
      <w:bookmarkEnd w:id="28"/>
    </w:p>
    <w:p>
      <w:pPr>
        <w:pStyle w:val="Subsection"/>
      </w:pPr>
      <w:r>
        <w:tab/>
        <w:t>(1)</w:t>
      </w:r>
      <w:r>
        <w:tab/>
        <w:t xml:space="preserve">This Act is to be read and construed as being in addition to, and not in derogation of or in substitution for, any other Act or rule </w:t>
      </w:r>
      <w:r>
        <w:lastRenderedPageBreak/>
        <w:t>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9" w:name="_Toc164757731"/>
      <w:r>
        <w:rPr>
          <w:rStyle w:val="CharSectno"/>
        </w:rPr>
        <w:t>15</w:t>
      </w:r>
      <w:r>
        <w:t>.</w:t>
      </w:r>
      <w:r>
        <w:tab/>
        <w:t>Inconsistencies with other enactments</w:t>
      </w:r>
      <w:bookmarkEnd w:id="29"/>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30" w:name="_Toc164682105"/>
      <w:bookmarkStart w:id="31" w:name="_Toc164682716"/>
      <w:bookmarkStart w:id="32" w:name="_Toc164757732"/>
      <w:r>
        <w:rPr>
          <w:rStyle w:val="CharPartNo"/>
        </w:rPr>
        <w:lastRenderedPageBreak/>
        <w:t>Part 3</w:t>
      </w:r>
      <w:r>
        <w:t> — </w:t>
      </w:r>
      <w:r>
        <w:rPr>
          <w:rStyle w:val="CharPartText"/>
        </w:rPr>
        <w:t>The Australian Consumer Law</w:t>
      </w:r>
      <w:bookmarkEnd w:id="30"/>
      <w:bookmarkEnd w:id="31"/>
      <w:bookmarkEnd w:id="32"/>
    </w:p>
    <w:p>
      <w:pPr>
        <w:pStyle w:val="Heading3"/>
      </w:pPr>
      <w:bookmarkStart w:id="33" w:name="_Toc164682106"/>
      <w:bookmarkStart w:id="34" w:name="_Toc164682717"/>
      <w:bookmarkStart w:id="35" w:name="_Toc164757733"/>
      <w:r>
        <w:rPr>
          <w:rStyle w:val="CharDivNo"/>
        </w:rPr>
        <w:t>Division 1</w:t>
      </w:r>
      <w:r>
        <w:t> — </w:t>
      </w:r>
      <w:r>
        <w:rPr>
          <w:rStyle w:val="CharDivText"/>
        </w:rPr>
        <w:t>Object and interpretation</w:t>
      </w:r>
      <w:bookmarkEnd w:id="33"/>
      <w:bookmarkEnd w:id="34"/>
      <w:bookmarkEnd w:id="35"/>
    </w:p>
    <w:p>
      <w:pPr>
        <w:pStyle w:val="Heading5"/>
      </w:pPr>
      <w:bookmarkStart w:id="36" w:name="_Toc164757734"/>
      <w:r>
        <w:rPr>
          <w:rStyle w:val="CharSectno"/>
        </w:rPr>
        <w:t>16</w:t>
      </w:r>
      <w:r>
        <w:t>.</w:t>
      </w:r>
      <w:r>
        <w:tab/>
        <w:t>Object of this Part</w:t>
      </w:r>
      <w:bookmarkEnd w:id="36"/>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37" w:name="_Toc164757735"/>
      <w:r>
        <w:rPr>
          <w:rStyle w:val="CharSectno"/>
        </w:rPr>
        <w:t>17</w:t>
      </w:r>
      <w:r>
        <w:t>.</w:t>
      </w:r>
      <w:r>
        <w:tab/>
        <w:t>Terms used</w:t>
      </w:r>
      <w:bookmarkEnd w:id="37"/>
    </w:p>
    <w:p>
      <w:pPr>
        <w:pStyle w:val="Subsection"/>
      </w:pPr>
      <w:r>
        <w:tab/>
        <w:t>(1)</w:t>
      </w:r>
      <w:r>
        <w:tab/>
        <w:t xml:space="preserve">In this Part, unless the contrary intention appears — </w:t>
      </w:r>
    </w:p>
    <w:p>
      <w:pPr>
        <w:pStyle w:val="Defstart"/>
      </w:pPr>
      <w:r>
        <w:tab/>
      </w:r>
      <w:r>
        <w:rPr>
          <w:rStyle w:val="CharDefText"/>
        </w:rPr>
        <w:t>amend</w:t>
      </w:r>
      <w:r>
        <w:t xml:space="preserve"> includes replace;</w:t>
      </w:r>
    </w:p>
    <w:p>
      <w:pPr>
        <w:pStyle w:val="Defstart"/>
      </w:pPr>
      <w:r>
        <w:tab/>
      </w:r>
      <w:r>
        <w:rPr>
          <w:rStyle w:val="CharDefText"/>
        </w:rPr>
        <w:t>amending law</w:t>
      </w:r>
      <w:r>
        <w:t xml:space="preserve"> means a Commonwealth Act that amends either or both of the following — </w:t>
      </w:r>
    </w:p>
    <w:p>
      <w:pPr>
        <w:pStyle w:val="Defpara"/>
      </w:pPr>
      <w:r>
        <w:tab/>
        <w:t>(a)</w:t>
      </w:r>
      <w:r>
        <w:tab/>
        <w:t xml:space="preserve">Schedule 2 to the </w:t>
      </w:r>
      <w:r>
        <w:rPr>
          <w:i/>
        </w:rPr>
        <w:t>Competition and Consumer Act 2010</w:t>
      </w:r>
      <w:r>
        <w:t xml:space="preserve"> (Commonwealth);</w:t>
      </w:r>
    </w:p>
    <w:p>
      <w:pPr>
        <w:pStyle w:val="Defpara"/>
      </w:pPr>
      <w:r>
        <w:tab/>
        <w:t>(b)</w:t>
      </w:r>
      <w:r>
        <w:tab/>
        <w:t>the regulations made under section 139G of that Act;</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lastRenderedPageBreak/>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lastRenderedPageBreak/>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Footnotesection"/>
      </w:pPr>
      <w:r>
        <w:tab/>
        <w:t>[Section 17 amended: No. 34 of 2022 s. 4.]</w:t>
      </w:r>
    </w:p>
    <w:p>
      <w:pPr>
        <w:pStyle w:val="Heading3"/>
      </w:pPr>
      <w:bookmarkStart w:id="38" w:name="_Toc164682109"/>
      <w:bookmarkStart w:id="39" w:name="_Toc164682720"/>
      <w:bookmarkStart w:id="40" w:name="_Toc164757736"/>
      <w:r>
        <w:rPr>
          <w:rStyle w:val="CharDivNo"/>
        </w:rPr>
        <w:t>Division 2</w:t>
      </w:r>
      <w:r>
        <w:t> — </w:t>
      </w:r>
      <w:r>
        <w:rPr>
          <w:rStyle w:val="CharDivText"/>
        </w:rPr>
        <w:t>Application of Australian Consumer Law</w:t>
      </w:r>
      <w:bookmarkEnd w:id="38"/>
      <w:bookmarkEnd w:id="39"/>
      <w:bookmarkEnd w:id="40"/>
    </w:p>
    <w:p>
      <w:pPr>
        <w:pStyle w:val="Heading5"/>
      </w:pPr>
      <w:bookmarkStart w:id="41" w:name="_Toc164757737"/>
      <w:r>
        <w:rPr>
          <w:rStyle w:val="CharSectno"/>
        </w:rPr>
        <w:t>18</w:t>
      </w:r>
      <w:r>
        <w:t>.</w:t>
      </w:r>
      <w:r>
        <w:tab/>
        <w:t>Australian Consumer Law text</w:t>
      </w:r>
      <w:bookmarkEnd w:id="41"/>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42" w:name="_Toc164757738"/>
      <w:r>
        <w:rPr>
          <w:rStyle w:val="CharSectno"/>
        </w:rPr>
        <w:lastRenderedPageBreak/>
        <w:t>19</w:t>
      </w:r>
      <w:r>
        <w:t>.</w:t>
      </w:r>
      <w:r>
        <w:tab/>
        <w:t>Application of Australian Consumer Law text</w:t>
      </w:r>
      <w:bookmarkEnd w:id="42"/>
    </w:p>
    <w:p>
      <w:pPr>
        <w:pStyle w:val="Subsection"/>
        <w:keepNext/>
      </w:pPr>
      <w:r>
        <w:tab/>
        <w:t>(1)</w:t>
      </w:r>
      <w:r>
        <w:tab/>
        <w:t xml:space="preserve">For the purposes of this section, the Australian Consumer Law text consists of — </w:t>
      </w:r>
    </w:p>
    <w:p>
      <w:pPr>
        <w:pStyle w:val="Indenta"/>
      </w:pPr>
      <w:r>
        <w:tab/>
        <w:t>(a)</w:t>
      </w:r>
      <w:r>
        <w:tab/>
        <w:t xml:space="preserve">Schedule 2 to the </w:t>
      </w:r>
      <w:r>
        <w:rPr>
          <w:i/>
        </w:rPr>
        <w:t>Competition and Consumer Act 2010</w:t>
      </w:r>
      <w:r>
        <w:t xml:space="preserve"> (Commonwealth) as in force on 1 June 2021 and as amended by each provision that — </w:t>
      </w:r>
    </w:p>
    <w:p>
      <w:pPr>
        <w:pStyle w:val="Indenti"/>
      </w:pPr>
      <w:r>
        <w:tab/>
        <w:t>(i)</w:t>
      </w:r>
      <w:r>
        <w:tab/>
        <w:t>is in an amending law that has effect for the purposes of this section under section 19B; and</w:t>
      </w:r>
    </w:p>
    <w:p>
      <w:pPr>
        <w:pStyle w:val="Indenti"/>
      </w:pPr>
      <w:r>
        <w:tab/>
        <w:t>(ii)</w:t>
      </w:r>
      <w:r>
        <w:tab/>
        <w:t>has come into operation for the purposes of this section under section 19C;</w:t>
      </w:r>
    </w:p>
    <w:p>
      <w:pPr>
        <w:pStyle w:val="Indenta"/>
      </w:pPr>
      <w:r>
        <w:tab/>
      </w:r>
      <w:r>
        <w:tab/>
        <w:t>and</w:t>
      </w:r>
    </w:p>
    <w:p>
      <w:pPr>
        <w:pStyle w:val="Indenta"/>
      </w:pPr>
      <w:r>
        <w:tab/>
        <w:t>(b)</w:t>
      </w:r>
      <w:r>
        <w:tab/>
        <w:t>the regulations made under section 139G of that Act, as those regulations are in force from time to time, subject to subsection (1A).</w:t>
      </w:r>
    </w:p>
    <w:p>
      <w:pPr>
        <w:pStyle w:val="Subsection"/>
      </w:pPr>
      <w:r>
        <w:tab/>
        <w:t>(1A)</w:t>
      </w:r>
      <w:r>
        <w:tab/>
        <w:t xml:space="preserve">For the purposes of subsection (1)(b), a provision of an amending law does not amend regulations made under the </w:t>
      </w:r>
      <w:r>
        <w:rPr>
          <w:i/>
          <w:iCs/>
        </w:rPr>
        <w:t>Competition and Consumer Act 2010</w:t>
      </w:r>
      <w:r>
        <w:t xml:space="preserve"> (Commonwealth) section 139G unless — </w:t>
      </w:r>
    </w:p>
    <w:p>
      <w:pPr>
        <w:pStyle w:val="Indenta"/>
      </w:pPr>
      <w:r>
        <w:tab/>
        <w:t>(a)</w:t>
      </w:r>
      <w:r>
        <w:tab/>
        <w:t xml:space="preserve">the amending law has effect for the purposes of this section under section 19B; and </w:t>
      </w:r>
    </w:p>
    <w:p>
      <w:pPr>
        <w:pStyle w:val="Indenta"/>
      </w:pPr>
      <w:r>
        <w:tab/>
        <w:t>(b)</w:t>
      </w:r>
      <w:r>
        <w:tab/>
        <w:t>the provision has come into operation for the purposes of this section under section 19C.</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keepLines/>
      </w:pPr>
      <w:r>
        <w:lastRenderedPageBreak/>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 No. 34 of 2022 s. 5.]</w:t>
      </w:r>
    </w:p>
    <w:p>
      <w:pPr>
        <w:pStyle w:val="Heading5"/>
      </w:pPr>
      <w:bookmarkStart w:id="43" w:name="_Toc164757739"/>
      <w:r>
        <w:rPr>
          <w:rStyle w:val="CharSectno"/>
        </w:rPr>
        <w:t>19A</w:t>
      </w:r>
      <w:r>
        <w:t>.</w:t>
      </w:r>
      <w:r>
        <w:tab/>
        <w:t>Tabling amending laws</w:t>
      </w:r>
      <w:bookmarkEnd w:id="43"/>
    </w:p>
    <w:p>
      <w:pPr>
        <w:pStyle w:val="Subsection"/>
      </w:pPr>
      <w:r>
        <w:tab/>
      </w:r>
      <w:r>
        <w:tab/>
        <w:t>An amending law must be laid before each House of Parliament within 18 sitting days of the House after the day on which the law receives the Royal Assent.</w:t>
      </w:r>
    </w:p>
    <w:p>
      <w:pPr>
        <w:pStyle w:val="Footnotesection"/>
      </w:pPr>
      <w:r>
        <w:tab/>
        <w:t>[Section 19A inserted: No. 34 of 2022 s. 6.]</w:t>
      </w:r>
    </w:p>
    <w:p>
      <w:pPr>
        <w:pStyle w:val="Heading5"/>
      </w:pPr>
      <w:bookmarkStart w:id="44" w:name="_Toc164757740"/>
      <w:r>
        <w:rPr>
          <w:rStyle w:val="CharSectno"/>
        </w:rPr>
        <w:t>19B</w:t>
      </w:r>
      <w:r>
        <w:t>.</w:t>
      </w:r>
      <w:r>
        <w:tab/>
        <w:t>Disallowance of amending laws</w:t>
      </w:r>
      <w:bookmarkEnd w:id="44"/>
    </w:p>
    <w:p>
      <w:pPr>
        <w:pStyle w:val="Subsection"/>
      </w:pPr>
      <w:r>
        <w:tab/>
        <w:t>(1)</w:t>
      </w:r>
      <w:r>
        <w:tab/>
        <w:t xml:space="preserve">In this section — </w:t>
      </w:r>
    </w:p>
    <w:p>
      <w:pPr>
        <w:pStyle w:val="Defstart"/>
      </w:pPr>
      <w:r>
        <w:tab/>
      </w:r>
      <w:r>
        <w:rPr>
          <w:rStyle w:val="CharDefText"/>
        </w:rPr>
        <w:t>disallowance period</w:t>
      </w:r>
      <w:r>
        <w:t>, in relation to a disallowance resolution notice of which is given in a House of Parliament, means the period of 30 sitting days of the House after the day on which the notice is given;</w:t>
      </w:r>
    </w:p>
    <w:p>
      <w:pPr>
        <w:pStyle w:val="Defstart"/>
      </w:pPr>
      <w:r>
        <w:tab/>
      </w:r>
      <w:r>
        <w:rPr>
          <w:rStyle w:val="CharDefText"/>
        </w:rPr>
        <w:t>disallowance resolution</w:t>
      </w:r>
      <w:r>
        <w:t xml:space="preserve"> means a resolution that an amending law be disallowed;</w:t>
      </w:r>
    </w:p>
    <w:p>
      <w:pPr>
        <w:pStyle w:val="Defstart"/>
      </w:pPr>
      <w:r>
        <w:tab/>
      </w:r>
      <w:r>
        <w:rPr>
          <w:rStyle w:val="CharDefText"/>
        </w:rPr>
        <w:t>notice period</w:t>
      </w:r>
      <w:r>
        <w:t>, in relation to an amending law laid before a House of Parliament under section 19A, means the period of 14 sitting days of the House after the day on which the amending law is laid before it.</w:t>
      </w:r>
    </w:p>
    <w:p>
      <w:pPr>
        <w:pStyle w:val="Subsection"/>
      </w:pPr>
      <w:r>
        <w:tab/>
        <w:t>(2)</w:t>
      </w:r>
      <w:r>
        <w:tab/>
        <w:t xml:space="preserve">An amending law has effect for the purposes of section 19 if the amending law is laid before each House of Parliament under section 19A and either — </w:t>
      </w:r>
    </w:p>
    <w:p>
      <w:pPr>
        <w:pStyle w:val="Indenta"/>
      </w:pPr>
      <w:r>
        <w:tab/>
        <w:t>(a)</w:t>
      </w:r>
      <w:r>
        <w:tab/>
        <w:t>no notice of a disallowance resolution is given in either House within the notice period; or</w:t>
      </w:r>
    </w:p>
    <w:p>
      <w:pPr>
        <w:pStyle w:val="Indenta"/>
      </w:pPr>
      <w:r>
        <w:lastRenderedPageBreak/>
        <w:tab/>
        <w:t>(b)</w:t>
      </w:r>
      <w:r>
        <w:tab/>
        <w:t xml:space="preserve">at least 1 notice of a disallowance resolution is given in a House within the notice period and, for each such notice, 1 of the following applies — </w:t>
      </w:r>
    </w:p>
    <w:p>
      <w:pPr>
        <w:pStyle w:val="Indenti"/>
      </w:pPr>
      <w:r>
        <w:tab/>
        <w:t>(i)</w:t>
      </w:r>
      <w:r>
        <w:tab/>
        <w:t>the notice is withdrawn or discharged within the disallowance period;</w:t>
      </w:r>
    </w:p>
    <w:p>
      <w:pPr>
        <w:pStyle w:val="Indenti"/>
      </w:pPr>
      <w:r>
        <w:tab/>
        <w:t>(ii)</w:t>
      </w:r>
      <w:r>
        <w:tab/>
        <w:t>the disallowance resolution is lost in the House or not agreed to within the disallowance period.</w:t>
      </w:r>
    </w:p>
    <w:p>
      <w:pPr>
        <w:pStyle w:val="Subsection"/>
      </w:pPr>
      <w:r>
        <w:tab/>
        <w:t>(3)</w:t>
      </w:r>
      <w:r>
        <w:tab/>
        <w:t xml:space="preserve">For the purposes of this section and section 19A — </w:t>
      </w:r>
    </w:p>
    <w:p>
      <w:pPr>
        <w:pStyle w:val="Indenta"/>
      </w:pPr>
      <w:r>
        <w:tab/>
        <w:t>(a)</w:t>
      </w:r>
      <w:r>
        <w:tab/>
        <w:t>the period specified in section 19A, a notice period or a disallowance period continues to run even though a House of Parliament is prorogued or dissolved or expires; and</w:t>
      </w:r>
    </w:p>
    <w:p>
      <w:pPr>
        <w:pStyle w:val="Indenta"/>
      </w:pPr>
      <w:r>
        <w:tab/>
        <w:t>(b)</w:t>
      </w:r>
      <w:r>
        <w:tab/>
        <w:t>notice of a disallowance resolution given in a House of Parliament, or a motion that an amending law be disallowed in the House, does not lapse even though the House is prorogued or dissolved or expires.</w:t>
      </w:r>
    </w:p>
    <w:p>
      <w:pPr>
        <w:pStyle w:val="Footnotesection"/>
      </w:pPr>
      <w:r>
        <w:tab/>
        <w:t>[Section 19B inserted: No. 34 of 2022 s. 6.]</w:t>
      </w:r>
    </w:p>
    <w:p>
      <w:pPr>
        <w:pStyle w:val="Heading5"/>
      </w:pPr>
      <w:bookmarkStart w:id="45" w:name="_Toc164757741"/>
      <w:r>
        <w:rPr>
          <w:rStyle w:val="CharSectno"/>
        </w:rPr>
        <w:t>19C</w:t>
      </w:r>
      <w:r>
        <w:t>.</w:t>
      </w:r>
      <w:r>
        <w:tab/>
        <w:t>Commencement of amending laws</w:t>
      </w:r>
      <w:bookmarkEnd w:id="45"/>
      <w:r>
        <w:t xml:space="preserve"> </w:t>
      </w:r>
    </w:p>
    <w:p>
      <w:pPr>
        <w:pStyle w:val="Subsection"/>
      </w:pPr>
      <w:r>
        <w:tab/>
        <w:t>(1)</w:t>
      </w:r>
      <w:r>
        <w:tab/>
        <w:t xml:space="preserve">In this section — </w:t>
      </w:r>
    </w:p>
    <w:p>
      <w:pPr>
        <w:pStyle w:val="Defstart"/>
      </w:pPr>
      <w:r>
        <w:tab/>
      </w:r>
      <w:r>
        <w:rPr>
          <w:rStyle w:val="CharDefText"/>
        </w:rPr>
        <w:t>amending provision</w:t>
      </w:r>
      <w:r>
        <w:t xml:space="preserve"> means a provision of an amending law that amends either or both of the following — </w:t>
      </w:r>
    </w:p>
    <w:p>
      <w:pPr>
        <w:pStyle w:val="Defpara"/>
      </w:pPr>
      <w:r>
        <w:tab/>
        <w:t>(a)</w:t>
      </w:r>
      <w:r>
        <w:tab/>
        <w:t xml:space="preserve">Schedule 2 to the </w:t>
      </w:r>
      <w:r>
        <w:rPr>
          <w:i/>
        </w:rPr>
        <w:t>Competition and Consumer Act 2010</w:t>
      </w:r>
      <w:r>
        <w:t xml:space="preserve"> (Commonwealth);</w:t>
      </w:r>
    </w:p>
    <w:p>
      <w:pPr>
        <w:pStyle w:val="Defpara"/>
      </w:pPr>
      <w:r>
        <w:tab/>
        <w:t>(b)</w:t>
      </w:r>
      <w:r>
        <w:tab/>
        <w:t>the regulations made under section 139G of that Act.</w:t>
      </w:r>
    </w:p>
    <w:p>
      <w:pPr>
        <w:pStyle w:val="Subsection"/>
      </w:pPr>
      <w:r>
        <w:tab/>
        <w:t>(2)</w:t>
      </w:r>
      <w:r>
        <w:tab/>
        <w:t>If, under section 19B(2), an amending law has effect for the purposes of section 19, the Governor must declare that fact by proclamation as soon as practicable.</w:t>
      </w:r>
    </w:p>
    <w:p>
      <w:pPr>
        <w:pStyle w:val="Subsection"/>
      </w:pPr>
      <w:r>
        <w:tab/>
        <w:t>(3)</w:t>
      </w:r>
      <w:r>
        <w:tab/>
        <w:t xml:space="preserve">If an amending provision has come into operation in the Commonwealth before the proclamation is published in the </w:t>
      </w:r>
      <w:r>
        <w:rPr>
          <w:i/>
        </w:rPr>
        <w:t>Gazette</w:t>
      </w:r>
      <w:r>
        <w:t>, the amending provision comes into operation for the purposes of section 19 on a day fixed by the proclamation.</w:t>
      </w:r>
    </w:p>
    <w:p>
      <w:pPr>
        <w:pStyle w:val="Subsection"/>
      </w:pPr>
      <w:r>
        <w:lastRenderedPageBreak/>
        <w:tab/>
        <w:t>(4)</w:t>
      </w:r>
      <w:r>
        <w:tab/>
        <w:t xml:space="preserve">If an amending provision has not come into operation in the Commonwealth before the proclamation is published in the </w:t>
      </w:r>
      <w:r>
        <w:rPr>
          <w:i/>
        </w:rPr>
        <w:t>Gazette</w:t>
      </w:r>
      <w:r>
        <w:t>, the amending provision comes into operation for the purposes of section 19 when the amending provision comes into operation in the Commonwealth in accordance with the amending law.</w:t>
      </w:r>
    </w:p>
    <w:p>
      <w:pPr>
        <w:pStyle w:val="Footnotesection"/>
      </w:pPr>
      <w:r>
        <w:tab/>
        <w:t>[Section 19C inserted: No. 34 of 2022 s. 6.]</w:t>
      </w:r>
    </w:p>
    <w:p>
      <w:pPr>
        <w:pStyle w:val="Heading5"/>
      </w:pPr>
      <w:bookmarkStart w:id="46" w:name="_Toc164757742"/>
      <w:r>
        <w:rPr>
          <w:rStyle w:val="CharSectno"/>
        </w:rPr>
        <w:t>19D</w:t>
      </w:r>
      <w:r>
        <w:t>.</w:t>
      </w:r>
      <w:r>
        <w:tab/>
        <w:t>Amending laws enacted after 1 June 2021 but before commencement day</w:t>
      </w:r>
      <w:bookmarkEnd w:id="46"/>
    </w:p>
    <w:p>
      <w:pPr>
        <w:pStyle w:val="Subsection"/>
      </w:pPr>
      <w:r>
        <w:tab/>
      </w:r>
      <w:r>
        <w:tab/>
        <w:t>If an amending law receives the Royal Assent after 1 June 2021 but before the day (</w:t>
      </w:r>
      <w:r>
        <w:rPr>
          <w:rStyle w:val="CharDefText"/>
        </w:rPr>
        <w:t>commencement day</w:t>
      </w:r>
      <w:r>
        <w:t xml:space="preserve">) on which the </w:t>
      </w:r>
      <w:r>
        <w:rPr>
          <w:i/>
        </w:rPr>
        <w:t xml:space="preserve">Fair Trading Amendment Act 2022 </w:t>
      </w:r>
      <w:r>
        <w:t>section 6 comes into operation, sections 19A to 19C apply to the amending law as if the amending law received the Royal Assent on commencement day.</w:t>
      </w:r>
    </w:p>
    <w:p>
      <w:pPr>
        <w:pStyle w:val="Footnotesection"/>
      </w:pPr>
      <w:r>
        <w:tab/>
        <w:t>[Section 19D inserted: No. 34 of 2022 s. 6.]</w:t>
      </w:r>
    </w:p>
    <w:p>
      <w:pPr>
        <w:pStyle w:val="Heading5"/>
      </w:pPr>
      <w:bookmarkStart w:id="47" w:name="_Toc164757743"/>
      <w:r>
        <w:rPr>
          <w:rStyle w:val="CharSectno"/>
        </w:rPr>
        <w:t>19E</w:t>
      </w:r>
      <w:r>
        <w:t>.</w:t>
      </w:r>
      <w:r>
        <w:tab/>
        <w:t>Tabling of amending law taken to be publication for Standing Orders</w:t>
      </w:r>
      <w:bookmarkEnd w:id="47"/>
    </w:p>
    <w:p>
      <w:pPr>
        <w:pStyle w:val="Subsection"/>
      </w:pPr>
      <w:r>
        <w:tab/>
        <w:t>(1)</w:t>
      </w:r>
      <w:r>
        <w:tab/>
        <w:t xml:space="preserve">In this section — </w:t>
      </w:r>
    </w:p>
    <w:p>
      <w:pPr>
        <w:pStyle w:val="Defstart"/>
      </w:pPr>
      <w:r>
        <w:tab/>
      </w:r>
      <w:r>
        <w:rPr>
          <w:rStyle w:val="CharDefText"/>
        </w:rPr>
        <w:t>parliamentary committee</w:t>
      </w:r>
      <w:r>
        <w:t xml:space="preserve"> means a committee established by either or both of the Houses of Parliament.</w:t>
      </w:r>
    </w:p>
    <w:p>
      <w:pPr>
        <w:pStyle w:val="Subsection"/>
      </w:pPr>
      <w:r>
        <w:tab/>
        <w:t>(2)</w:t>
      </w:r>
      <w:r>
        <w:tab/>
        <w:t>If a Standing Order of a House of Parliament provides that on the publication of an instrument under a written law the instrument is referred to a parliamentary committee for consideration, the laying of an amending law before the House under section 19A is taken to be publication of the amending law for the purposes of the Standing Order.</w:t>
      </w:r>
    </w:p>
    <w:p>
      <w:pPr>
        <w:pStyle w:val="Subsection"/>
      </w:pPr>
      <w:r>
        <w:tab/>
        <w:t>(3)</w:t>
      </w:r>
      <w:r>
        <w:tab/>
        <w:t>This section does not apply if the Standing Orders of the House provide specifically for an amending law to be considered by a parliamentary committee.</w:t>
      </w:r>
    </w:p>
    <w:p>
      <w:pPr>
        <w:pStyle w:val="Footnotesection"/>
      </w:pPr>
      <w:r>
        <w:tab/>
        <w:t>[Section 19E inserted: No. 34 of 2022 s. 6.]</w:t>
      </w:r>
    </w:p>
    <w:p>
      <w:pPr>
        <w:pStyle w:val="Ednotesection"/>
      </w:pPr>
      <w:r>
        <w:lastRenderedPageBreak/>
        <w:t>[</w:t>
      </w:r>
      <w:r>
        <w:rPr>
          <w:b/>
        </w:rPr>
        <w:t>20.</w:t>
      </w:r>
      <w:r>
        <w:tab/>
        <w:t>Deleted: No. 11 of 2013 s. 6.]</w:t>
      </w:r>
    </w:p>
    <w:p>
      <w:pPr>
        <w:pStyle w:val="Heading5"/>
      </w:pPr>
      <w:bookmarkStart w:id="48" w:name="_Toc164757744"/>
      <w:r>
        <w:rPr>
          <w:rStyle w:val="CharSectno"/>
        </w:rPr>
        <w:t>21</w:t>
      </w:r>
      <w:r>
        <w:t>.</w:t>
      </w:r>
      <w:r>
        <w:tab/>
        <w:t>Certain instruments to be published, and may be disallowed by Parliament</w:t>
      </w:r>
      <w:bookmarkEnd w:id="48"/>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keepLines/>
      </w:pPr>
      <w:r>
        <w:lastRenderedPageBreak/>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49" w:name="_Toc164757745"/>
      <w:r>
        <w:rPr>
          <w:rStyle w:val="CharSectno"/>
        </w:rPr>
        <w:t>22</w:t>
      </w:r>
      <w:r>
        <w:t>.</w:t>
      </w:r>
      <w:r>
        <w:tab/>
        <w:t>Term used in ACL (WA): regulator</w:t>
      </w:r>
      <w:bookmarkEnd w:id="49"/>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50" w:name="_Toc164757746"/>
      <w:r>
        <w:rPr>
          <w:rStyle w:val="CharSectno"/>
        </w:rPr>
        <w:t>23</w:t>
      </w:r>
      <w:r>
        <w:t>.</w:t>
      </w:r>
      <w:r>
        <w:tab/>
        <w:t>ACL (WA), interpretation of</w:t>
      </w:r>
      <w:bookmarkEnd w:id="50"/>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51" w:name="_Toc164757747"/>
      <w:r>
        <w:rPr>
          <w:rStyle w:val="CharSectno"/>
        </w:rPr>
        <w:lastRenderedPageBreak/>
        <w:t>24</w:t>
      </w:r>
      <w:r>
        <w:t>.</w:t>
      </w:r>
      <w:r>
        <w:tab/>
        <w:t>ACL (WA), application of</w:t>
      </w:r>
      <w:bookmarkEnd w:id="51"/>
    </w:p>
    <w:p>
      <w:pPr>
        <w:pStyle w:val="Subsection"/>
        <w:keepNext/>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52" w:name="_Toc164682121"/>
      <w:bookmarkStart w:id="53" w:name="_Toc164682732"/>
      <w:bookmarkStart w:id="54" w:name="_Toc164757748"/>
      <w:r>
        <w:rPr>
          <w:rStyle w:val="CharDivNo"/>
        </w:rPr>
        <w:t>Division 3</w:t>
      </w:r>
      <w:r>
        <w:t> — </w:t>
      </w:r>
      <w:r>
        <w:rPr>
          <w:rStyle w:val="CharDivText"/>
        </w:rPr>
        <w:t>References to Australian Consumer Law</w:t>
      </w:r>
      <w:bookmarkEnd w:id="52"/>
      <w:bookmarkEnd w:id="53"/>
      <w:bookmarkEnd w:id="54"/>
    </w:p>
    <w:p>
      <w:pPr>
        <w:pStyle w:val="Heading5"/>
      </w:pPr>
      <w:bookmarkStart w:id="55" w:name="_Toc164757749"/>
      <w:r>
        <w:rPr>
          <w:rStyle w:val="CharSectno"/>
        </w:rPr>
        <w:t>25</w:t>
      </w:r>
      <w:r>
        <w:t>.</w:t>
      </w:r>
      <w:r>
        <w:tab/>
        <w:t>References to Australian Consumer Law</w:t>
      </w:r>
      <w:bookmarkEnd w:id="55"/>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56" w:name="_Toc164757750"/>
      <w:r>
        <w:rPr>
          <w:rStyle w:val="CharSectno"/>
        </w:rPr>
        <w:t>26</w:t>
      </w:r>
      <w:r>
        <w:t>.</w:t>
      </w:r>
      <w:r>
        <w:tab/>
        <w:t>References to Australian Consumer Law of other jurisdictions</w:t>
      </w:r>
      <w:bookmarkEnd w:id="56"/>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57" w:name="_Toc164682124"/>
      <w:bookmarkStart w:id="58" w:name="_Toc164682735"/>
      <w:bookmarkStart w:id="59" w:name="_Toc164757751"/>
      <w:r>
        <w:rPr>
          <w:rStyle w:val="CharDivNo"/>
        </w:rPr>
        <w:lastRenderedPageBreak/>
        <w:t>Division 4</w:t>
      </w:r>
      <w:r>
        <w:t> — </w:t>
      </w:r>
      <w:r>
        <w:rPr>
          <w:rStyle w:val="CharDivText"/>
        </w:rPr>
        <w:t>Application of Australian Consumer Law to Crown</w:t>
      </w:r>
      <w:bookmarkEnd w:id="57"/>
      <w:bookmarkEnd w:id="58"/>
      <w:bookmarkEnd w:id="59"/>
    </w:p>
    <w:p>
      <w:pPr>
        <w:pStyle w:val="Heading5"/>
      </w:pPr>
      <w:bookmarkStart w:id="60" w:name="_Toc164757752"/>
      <w:r>
        <w:rPr>
          <w:rStyle w:val="CharSectno"/>
        </w:rPr>
        <w:t>27</w:t>
      </w:r>
      <w:r>
        <w:t>.</w:t>
      </w:r>
      <w:r>
        <w:tab/>
        <w:t>Division does not apply to Commonwealth</w:t>
      </w:r>
      <w:bookmarkEnd w:id="60"/>
    </w:p>
    <w:p>
      <w:pPr>
        <w:pStyle w:val="Subsection"/>
        <w:keepNext/>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61" w:name="_Toc164757753"/>
      <w:r>
        <w:rPr>
          <w:rStyle w:val="CharSectno"/>
        </w:rPr>
        <w:t>28</w:t>
      </w:r>
      <w:r>
        <w:t>.</w:t>
      </w:r>
      <w:r>
        <w:tab/>
        <w:t>Application law of this jurisdiction binds Crown</w:t>
      </w:r>
      <w:bookmarkEnd w:id="61"/>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62" w:name="_Toc164757754"/>
      <w:r>
        <w:rPr>
          <w:rStyle w:val="CharSectno"/>
        </w:rPr>
        <w:t>29</w:t>
      </w:r>
      <w:r>
        <w:t>.</w:t>
      </w:r>
      <w:r>
        <w:tab/>
        <w:t>Application law of other jurisdictions binds Crown</w:t>
      </w:r>
      <w:bookmarkEnd w:id="62"/>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63" w:name="_Toc164757755"/>
      <w:r>
        <w:rPr>
          <w:rStyle w:val="CharSectno"/>
        </w:rPr>
        <w:t>30</w:t>
      </w:r>
      <w:r>
        <w:t>.</w:t>
      </w:r>
      <w:r>
        <w:tab/>
        <w:t>Crown not liable to pecuniary penalty or prosecution</w:t>
      </w:r>
      <w:bookmarkEnd w:id="63"/>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lastRenderedPageBreak/>
        <w:tab/>
        <w:t>(3)</w:t>
      </w:r>
      <w:r>
        <w:tab/>
        <w:t>The protection in subsection (1) or (2) does not apply to an authority of any jurisdiction.</w:t>
      </w:r>
    </w:p>
    <w:p>
      <w:pPr>
        <w:pStyle w:val="Heading3"/>
      </w:pPr>
      <w:bookmarkStart w:id="64" w:name="_Toc164682129"/>
      <w:bookmarkStart w:id="65" w:name="_Toc164682740"/>
      <w:bookmarkStart w:id="66" w:name="_Toc164757756"/>
      <w:r>
        <w:rPr>
          <w:rStyle w:val="CharDivNo"/>
        </w:rPr>
        <w:t>Division 5</w:t>
      </w:r>
      <w:r>
        <w:t> — </w:t>
      </w:r>
      <w:r>
        <w:rPr>
          <w:rStyle w:val="CharDivText"/>
        </w:rPr>
        <w:t>Miscellaneous</w:t>
      </w:r>
      <w:bookmarkEnd w:id="64"/>
      <w:bookmarkEnd w:id="65"/>
      <w:bookmarkEnd w:id="66"/>
    </w:p>
    <w:p>
      <w:pPr>
        <w:pStyle w:val="Heading5"/>
      </w:pPr>
      <w:bookmarkStart w:id="67" w:name="_Toc164757757"/>
      <w:r>
        <w:rPr>
          <w:rStyle w:val="CharSectno"/>
        </w:rPr>
        <w:t>31</w:t>
      </w:r>
      <w:r>
        <w:t>.</w:t>
      </w:r>
      <w:r>
        <w:tab/>
        <w:t>No doubling</w:t>
      </w:r>
      <w:r>
        <w:noBreakHyphen/>
        <w:t>up of criminal liabilities</w:t>
      </w:r>
      <w:bookmarkEnd w:id="67"/>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68" w:name="_Toc164757758"/>
      <w:r>
        <w:rPr>
          <w:rStyle w:val="CharSectno"/>
        </w:rPr>
        <w:lastRenderedPageBreak/>
        <w:t>32</w:t>
      </w:r>
      <w:r>
        <w:t>.</w:t>
      </w:r>
      <w:r>
        <w:tab/>
        <w:t>Offences against ACL (WA) are crimes</w:t>
      </w:r>
      <w:bookmarkEnd w:id="68"/>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69" w:name="_Toc164757759"/>
      <w:r>
        <w:rPr>
          <w:rStyle w:val="CharSectno"/>
        </w:rPr>
        <w:lastRenderedPageBreak/>
        <w:t>33</w:t>
      </w:r>
      <w:r>
        <w:t>.</w:t>
      </w:r>
      <w:r>
        <w:tab/>
        <w:t>Pecuniary penalty proceedings under ACL (WA) s. 224, civil rules of evidence etc. apply</w:t>
      </w:r>
      <w:bookmarkEnd w:id="69"/>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70" w:name="_Toc164757760"/>
      <w:r>
        <w:rPr>
          <w:rStyle w:val="CharSectno"/>
        </w:rPr>
        <w:t>35</w:t>
      </w:r>
      <w:r>
        <w:t>.</w:t>
      </w:r>
      <w:r>
        <w:tab/>
      </w:r>
      <w:r>
        <w:rPr>
          <w:i/>
          <w:iCs/>
        </w:rPr>
        <w:t>Sale of Goods Act 1895</w:t>
      </w:r>
      <w:r>
        <w:rPr>
          <w:iCs/>
        </w:rPr>
        <w:t>, inconsistency with certain provisions of ACL (WA)</w:t>
      </w:r>
      <w:bookmarkEnd w:id="70"/>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Ednotesection"/>
      </w:pPr>
      <w:r>
        <w:t>[</w:t>
      </w:r>
      <w:r>
        <w:rPr>
          <w:b/>
        </w:rPr>
        <w:t>36.</w:t>
      </w:r>
      <w:r>
        <w:tab/>
        <w:t>Deleted: No. 34 of 2022 s. 7.]</w:t>
      </w:r>
    </w:p>
    <w:p>
      <w:pPr>
        <w:pStyle w:val="Heading3"/>
      </w:pPr>
      <w:bookmarkStart w:id="71" w:name="_Toc164682134"/>
      <w:bookmarkStart w:id="72" w:name="_Toc164682745"/>
      <w:bookmarkStart w:id="73" w:name="_Toc164757761"/>
      <w:r>
        <w:rPr>
          <w:rStyle w:val="CharDivNo"/>
        </w:rPr>
        <w:t>Division 6</w:t>
      </w:r>
      <w:r>
        <w:t> — </w:t>
      </w:r>
      <w:r>
        <w:rPr>
          <w:rStyle w:val="CharDivText"/>
        </w:rPr>
        <w:t>Transitional</w:t>
      </w:r>
      <w:bookmarkEnd w:id="71"/>
      <w:bookmarkEnd w:id="72"/>
      <w:bookmarkEnd w:id="73"/>
    </w:p>
    <w:p>
      <w:pPr>
        <w:pStyle w:val="Heading5"/>
      </w:pPr>
      <w:bookmarkStart w:id="74" w:name="_Toc164757762"/>
      <w:r>
        <w:rPr>
          <w:rStyle w:val="CharSectno"/>
        </w:rPr>
        <w:t>37</w:t>
      </w:r>
      <w:r>
        <w:t>.</w:t>
      </w:r>
      <w:r>
        <w:tab/>
        <w:t>Certain injunction proceedings pending at 1 Jan 2011</w:t>
      </w:r>
      <w:bookmarkEnd w:id="74"/>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lastRenderedPageBreak/>
        <w:tab/>
        <w:t>(2)</w:t>
      </w:r>
      <w:r>
        <w:tab/>
        <w:t xml:space="preserve">This section overrides the </w:t>
      </w:r>
      <w:r>
        <w:rPr>
          <w:i/>
          <w:iCs/>
        </w:rPr>
        <w:t>Fair Trading Act 1987</w:t>
      </w:r>
      <w:r>
        <w:t xml:space="preserve"> section 3C(2)(c).</w:t>
      </w:r>
    </w:p>
    <w:p>
      <w:pPr>
        <w:pStyle w:val="Heading5"/>
      </w:pPr>
      <w:bookmarkStart w:id="75" w:name="_Toc164757763"/>
      <w:r>
        <w:rPr>
          <w:rStyle w:val="CharSectno"/>
        </w:rPr>
        <w:t>38</w:t>
      </w:r>
      <w:r>
        <w:t>.</w:t>
      </w:r>
      <w:r>
        <w:tab/>
        <w:t>ACL (WA) Part 2-3 (unfair contract terms), application of to contracts made on or after 1 Jan 2011</w:t>
      </w:r>
      <w:bookmarkEnd w:id="75"/>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76" w:name="_Toc164757764"/>
      <w:r>
        <w:rPr>
          <w:rStyle w:val="CharSectno"/>
        </w:rPr>
        <w:t>39</w:t>
      </w:r>
      <w:r>
        <w:t>.</w:t>
      </w:r>
      <w:r>
        <w:tab/>
        <w:t>ACL (WA) Part 3-2 Div. 2 (unsolicited consumer agreements), application of to contracts made before 1 Jan 2011 etc.</w:t>
      </w:r>
      <w:bookmarkEnd w:id="76"/>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 xml:space="preserve">2 Division 2  applies to a contract made on or after the commencement of this section even though negotiations leading to the formation of the </w:t>
      </w:r>
      <w:r>
        <w:lastRenderedPageBreak/>
        <w:t>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77" w:name="_Toc164757765"/>
      <w:r>
        <w:rPr>
          <w:rStyle w:val="CharSectno"/>
        </w:rPr>
        <w:t>40</w:t>
      </w:r>
      <w:r>
        <w:t>.</w:t>
      </w:r>
      <w:r>
        <w:tab/>
        <w:t>ACL (WA) s. 101 (requests for itemised bills), application of for services supplied before 1 Jan 2011</w:t>
      </w:r>
      <w:bookmarkEnd w:id="77"/>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78" w:name="_Toc164757766"/>
      <w:r>
        <w:rPr>
          <w:rStyle w:val="CharSectno"/>
        </w:rPr>
        <w:t>41</w:t>
      </w:r>
      <w:r>
        <w:t>.</w:t>
      </w:r>
      <w:r>
        <w:tab/>
        <w:t>ACL (WA) s. 224(4)(c), interpretation of</w:t>
      </w:r>
      <w:bookmarkEnd w:id="78"/>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79" w:name="_Toc164682140"/>
      <w:bookmarkStart w:id="80" w:name="_Toc164682751"/>
      <w:bookmarkStart w:id="81" w:name="_Toc164757767"/>
      <w:r>
        <w:rPr>
          <w:rStyle w:val="CharPartNo"/>
        </w:rPr>
        <w:lastRenderedPageBreak/>
        <w:t>Part 4</w:t>
      </w:r>
      <w:r>
        <w:t> — </w:t>
      </w:r>
      <w:r>
        <w:rPr>
          <w:rStyle w:val="CharPartText"/>
        </w:rPr>
        <w:t>Codes of practice</w:t>
      </w:r>
      <w:bookmarkEnd w:id="79"/>
      <w:bookmarkEnd w:id="80"/>
      <w:bookmarkEnd w:id="81"/>
    </w:p>
    <w:p>
      <w:pPr>
        <w:pStyle w:val="Heading3"/>
      </w:pPr>
      <w:bookmarkStart w:id="82" w:name="_Toc164682141"/>
      <w:bookmarkStart w:id="83" w:name="_Toc164682752"/>
      <w:bookmarkStart w:id="84" w:name="_Toc164757768"/>
      <w:r>
        <w:rPr>
          <w:rStyle w:val="CharDivNo"/>
        </w:rPr>
        <w:t>Division 1</w:t>
      </w:r>
      <w:r>
        <w:t> — </w:t>
      </w:r>
      <w:r>
        <w:rPr>
          <w:rStyle w:val="CharDivText"/>
        </w:rPr>
        <w:t>Preliminary</w:t>
      </w:r>
      <w:bookmarkEnd w:id="82"/>
      <w:bookmarkEnd w:id="83"/>
      <w:bookmarkEnd w:id="84"/>
    </w:p>
    <w:p>
      <w:pPr>
        <w:pStyle w:val="Heading5"/>
      </w:pPr>
      <w:bookmarkStart w:id="85" w:name="_Toc164757769"/>
      <w:r>
        <w:rPr>
          <w:rStyle w:val="CharSectno"/>
        </w:rPr>
        <w:t>42</w:t>
      </w:r>
      <w:r>
        <w:t>.</w:t>
      </w:r>
      <w:r>
        <w:tab/>
        <w:t>Outline of this Part</w:t>
      </w:r>
      <w:bookmarkEnd w:id="85"/>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86" w:name="_Toc164757770"/>
      <w:r>
        <w:rPr>
          <w:rStyle w:val="CharSectno"/>
        </w:rPr>
        <w:t>43</w:t>
      </w:r>
      <w:r>
        <w:t>.</w:t>
      </w:r>
      <w:r>
        <w:tab/>
        <w:t>Term used: code of practice</w:t>
      </w:r>
      <w:bookmarkEnd w:id="86"/>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87" w:name="_Toc164682144"/>
      <w:bookmarkStart w:id="88" w:name="_Toc164682755"/>
      <w:bookmarkStart w:id="89" w:name="_Toc164757771"/>
      <w:r>
        <w:rPr>
          <w:rStyle w:val="CharDivNo"/>
        </w:rPr>
        <w:lastRenderedPageBreak/>
        <w:t>Division 2</w:t>
      </w:r>
      <w:r>
        <w:t> — </w:t>
      </w:r>
      <w:r>
        <w:rPr>
          <w:rStyle w:val="CharDivText"/>
        </w:rPr>
        <w:t>Development and implementation of codes of practice</w:t>
      </w:r>
      <w:bookmarkEnd w:id="87"/>
      <w:bookmarkEnd w:id="88"/>
      <w:bookmarkEnd w:id="89"/>
    </w:p>
    <w:p>
      <w:pPr>
        <w:pStyle w:val="Heading5"/>
      </w:pPr>
      <w:bookmarkStart w:id="90" w:name="_Toc164757772"/>
      <w:r>
        <w:rPr>
          <w:rStyle w:val="CharSectno"/>
        </w:rPr>
        <w:t>44</w:t>
      </w:r>
      <w:r>
        <w:t>.</w:t>
      </w:r>
      <w:r>
        <w:tab/>
        <w:t>Draft codes of practice, preparation of</w:t>
      </w:r>
      <w:bookmarkEnd w:id="90"/>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91" w:name="_Toc164757773"/>
      <w:r>
        <w:rPr>
          <w:rStyle w:val="CharSectno"/>
        </w:rPr>
        <w:t>45</w:t>
      </w:r>
      <w:r>
        <w:t>.</w:t>
      </w:r>
      <w:r>
        <w:tab/>
        <w:t>Regulations prescribing code of practice</w:t>
      </w:r>
      <w:bookmarkEnd w:id="91"/>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 xml:space="preserve">Regulations prescribing a code of practice must provide that the regulations expire on a date specified in the regulations, which must be a date that is not later than the last day of the period of </w:t>
      </w:r>
      <w:r>
        <w:lastRenderedPageBreak/>
        <w:t>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92" w:name="_Toc164757774"/>
      <w:r>
        <w:rPr>
          <w:rStyle w:val="CharSectno"/>
        </w:rPr>
        <w:t>46</w:t>
      </w:r>
      <w:r>
        <w:t>.</w:t>
      </w:r>
      <w:r>
        <w:tab/>
        <w:t>Interim code of practice, regulations may prescribe</w:t>
      </w:r>
      <w:bookmarkEnd w:id="92"/>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93" w:name="_Toc164682148"/>
      <w:bookmarkStart w:id="94" w:name="_Toc164682759"/>
      <w:bookmarkStart w:id="95" w:name="_Toc164757775"/>
      <w:r>
        <w:rPr>
          <w:rStyle w:val="CharDivNo"/>
        </w:rPr>
        <w:t>Division 3</w:t>
      </w:r>
      <w:r>
        <w:t> — </w:t>
      </w:r>
      <w:r>
        <w:rPr>
          <w:rStyle w:val="CharDivText"/>
        </w:rPr>
        <w:t>Enforcement of codes of practice</w:t>
      </w:r>
      <w:bookmarkEnd w:id="93"/>
      <w:bookmarkEnd w:id="94"/>
      <w:bookmarkEnd w:id="95"/>
    </w:p>
    <w:p>
      <w:pPr>
        <w:pStyle w:val="Heading5"/>
      </w:pPr>
      <w:bookmarkStart w:id="96" w:name="_Toc164757776"/>
      <w:r>
        <w:rPr>
          <w:rStyle w:val="CharSectno"/>
        </w:rPr>
        <w:t>47</w:t>
      </w:r>
      <w:r>
        <w:t>.</w:t>
      </w:r>
      <w:r>
        <w:tab/>
        <w:t>SAT’s powers to deal with contraventions of prescribed code of practice</w:t>
      </w:r>
      <w:bookmarkEnd w:id="96"/>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lastRenderedPageBreak/>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97" w:name="_Toc164757777"/>
      <w:r>
        <w:rPr>
          <w:rStyle w:val="CharSectno"/>
        </w:rPr>
        <w:t>48</w:t>
      </w:r>
      <w:r>
        <w:t>.</w:t>
      </w:r>
      <w:r>
        <w:tab/>
        <w:t>Commissioner may take or defend, or assume the conduct or defence of, proceedings relating to contravention of code of practice</w:t>
      </w:r>
      <w:bookmarkEnd w:id="97"/>
    </w:p>
    <w:p>
      <w:pPr>
        <w:pStyle w:val="Subsection"/>
      </w:pPr>
      <w:r>
        <w:tab/>
        <w:t>(1)</w:t>
      </w:r>
      <w:r>
        <w:tab/>
        <w:t xml:space="preserve">This section applies where — </w:t>
      </w:r>
    </w:p>
    <w:p>
      <w:pPr>
        <w:pStyle w:val="Indenta"/>
      </w:pPr>
      <w:r>
        <w:lastRenderedPageBreak/>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lastRenderedPageBreak/>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98" w:name="_Toc164757778"/>
      <w:r>
        <w:rPr>
          <w:rStyle w:val="CharSectno"/>
        </w:rPr>
        <w:lastRenderedPageBreak/>
        <w:t>49</w:t>
      </w:r>
      <w:r>
        <w:t>.</w:t>
      </w:r>
      <w:r>
        <w:tab/>
        <w:t>Provisions for proceedings Commissioner institutes, defends or assumes conduct or defence of</w:t>
      </w:r>
      <w:bookmarkEnd w:id="98"/>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lastRenderedPageBreak/>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99" w:name="_Toc164757779"/>
      <w:r>
        <w:rPr>
          <w:rStyle w:val="CharSectno"/>
        </w:rPr>
        <w:t>50</w:t>
      </w:r>
      <w:r>
        <w:t>.</w:t>
      </w:r>
      <w:r>
        <w:tab/>
        <w:t>No doubling</w:t>
      </w:r>
      <w:r>
        <w:noBreakHyphen/>
        <w:t>up of liabilities</w:t>
      </w:r>
      <w:bookmarkEnd w:id="99"/>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00" w:name="_Toc164757780"/>
      <w:r>
        <w:rPr>
          <w:rStyle w:val="CharSectno"/>
        </w:rPr>
        <w:t>51</w:t>
      </w:r>
      <w:r>
        <w:t>.</w:t>
      </w:r>
      <w:r>
        <w:tab/>
        <w:t>Action taken for breach of code of practice doesn’t preclude other civil action</w:t>
      </w:r>
      <w:bookmarkEnd w:id="100"/>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01" w:name="_Toc164757781"/>
      <w:r>
        <w:rPr>
          <w:rStyle w:val="CharSectno"/>
        </w:rPr>
        <w:lastRenderedPageBreak/>
        <w:t>52</w:t>
      </w:r>
      <w:r>
        <w:t>.</w:t>
      </w:r>
      <w:r>
        <w:tab/>
        <w:t>Transitional provisions for codes of practice prescribed before 1 Jan 2011</w:t>
      </w:r>
      <w:bookmarkEnd w:id="101"/>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02" w:name="_Toc164757782"/>
      <w:r>
        <w:rPr>
          <w:rStyle w:val="CharSectno"/>
        </w:rPr>
        <w:lastRenderedPageBreak/>
        <w:t>53</w:t>
      </w:r>
      <w:r>
        <w:t>.</w:t>
      </w:r>
      <w:r>
        <w:tab/>
        <w:t xml:space="preserve">Transitional provisions for undertakings under </w:t>
      </w:r>
      <w:r>
        <w:rPr>
          <w:i/>
          <w:iCs/>
        </w:rPr>
        <w:t>Fair Trading Act 1987</w:t>
      </w:r>
      <w:r>
        <w:t xml:space="preserve"> s. 44</w:t>
      </w:r>
      <w:bookmarkEnd w:id="102"/>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103" w:name="_Toc164757783"/>
      <w:r>
        <w:rPr>
          <w:rStyle w:val="CharSectno"/>
        </w:rPr>
        <w:lastRenderedPageBreak/>
        <w:t>54</w:t>
      </w:r>
      <w:r>
        <w:t>.</w:t>
      </w:r>
      <w:r>
        <w:tab/>
        <w:t>Transitional provisions for contraventions of code of practice before 1 Jan 2011</w:t>
      </w:r>
      <w:bookmarkEnd w:id="103"/>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04" w:name="_Toc164682157"/>
      <w:bookmarkStart w:id="105" w:name="_Toc164682768"/>
      <w:bookmarkStart w:id="106" w:name="_Toc164757784"/>
      <w:r>
        <w:rPr>
          <w:rStyle w:val="CharPartNo"/>
        </w:rPr>
        <w:lastRenderedPageBreak/>
        <w:t>Part 5</w:t>
      </w:r>
      <w:r>
        <w:t> — </w:t>
      </w:r>
      <w:r>
        <w:rPr>
          <w:rStyle w:val="CharPartText"/>
        </w:rPr>
        <w:t>Administrative provisions</w:t>
      </w:r>
      <w:bookmarkEnd w:id="104"/>
      <w:bookmarkEnd w:id="105"/>
      <w:bookmarkEnd w:id="106"/>
    </w:p>
    <w:p>
      <w:pPr>
        <w:pStyle w:val="Heading3"/>
      </w:pPr>
      <w:bookmarkStart w:id="107" w:name="_Toc164682158"/>
      <w:bookmarkStart w:id="108" w:name="_Toc164682769"/>
      <w:bookmarkStart w:id="109" w:name="_Toc164757785"/>
      <w:r>
        <w:rPr>
          <w:rStyle w:val="CharDivNo"/>
        </w:rPr>
        <w:t>Division 1</w:t>
      </w:r>
      <w:r>
        <w:t> — </w:t>
      </w:r>
      <w:r>
        <w:rPr>
          <w:rStyle w:val="CharDivText"/>
        </w:rPr>
        <w:t>Commissioner</w:t>
      </w:r>
      <w:bookmarkEnd w:id="107"/>
      <w:bookmarkEnd w:id="108"/>
      <w:bookmarkEnd w:id="109"/>
    </w:p>
    <w:p>
      <w:pPr>
        <w:pStyle w:val="Heading5"/>
      </w:pPr>
      <w:bookmarkStart w:id="110" w:name="_Toc164757786"/>
      <w:r>
        <w:rPr>
          <w:rStyle w:val="CharSectno"/>
        </w:rPr>
        <w:t>55</w:t>
      </w:r>
      <w:r>
        <w:t>.</w:t>
      </w:r>
      <w:r>
        <w:tab/>
        <w:t>Commissioner, designation and title of</w:t>
      </w:r>
      <w:bookmarkEnd w:id="110"/>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11" w:name="_Toc164757787"/>
      <w:r>
        <w:rPr>
          <w:rStyle w:val="CharSectno"/>
        </w:rPr>
        <w:t>56</w:t>
      </w:r>
      <w:r>
        <w:t>.</w:t>
      </w:r>
      <w:r>
        <w:tab/>
        <w:t>General functions of Commissioner</w:t>
      </w:r>
      <w:bookmarkEnd w:id="111"/>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lastRenderedPageBreak/>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12" w:name="_Toc164757788"/>
      <w:r>
        <w:rPr>
          <w:rStyle w:val="CharSectno"/>
        </w:rPr>
        <w:lastRenderedPageBreak/>
        <w:t>57A</w:t>
      </w:r>
      <w:r>
        <w:t>.</w:t>
      </w:r>
      <w:r>
        <w:tab/>
        <w:t>Licensing and regulatory functions of Commissioner</w:t>
      </w:r>
      <w:bookmarkEnd w:id="112"/>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113" w:name="_Toc164757789"/>
      <w:r>
        <w:rPr>
          <w:rStyle w:val="CharSectno"/>
        </w:rPr>
        <w:t>57</w:t>
      </w:r>
      <w:r>
        <w:t>.</w:t>
      </w:r>
      <w:r>
        <w:tab/>
        <w:t>Warnings and information, Commissioner may issue</w:t>
      </w:r>
      <w:bookmarkEnd w:id="113"/>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lastRenderedPageBreak/>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14" w:name="_Toc164757790"/>
      <w:r>
        <w:rPr>
          <w:rStyle w:val="CharSectno"/>
        </w:rPr>
        <w:t>58</w:t>
      </w:r>
      <w:r>
        <w:t>.</w:t>
      </w:r>
      <w:r>
        <w:tab/>
        <w:t>Instituting, defending or assuming conduct or defence of legal proceedings on behalf of consumers or businesses</w:t>
      </w:r>
      <w:bookmarkEnd w:id="114"/>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lastRenderedPageBreak/>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lastRenderedPageBreak/>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115" w:name="_Toc164757791"/>
      <w:r>
        <w:rPr>
          <w:rStyle w:val="CharSectno"/>
        </w:rPr>
        <w:t>59</w:t>
      </w:r>
      <w:r>
        <w:t>.</w:t>
      </w:r>
      <w:r>
        <w:tab/>
        <w:t>Provisions for proceedings Commissioner institutes, defends or assumes conduct or defence of</w:t>
      </w:r>
      <w:bookmarkEnd w:id="115"/>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 xml:space="preserve">any moneys (excluding costs) recovered by the Commissioner belong and must be paid to the consumer </w:t>
      </w:r>
      <w:r>
        <w:lastRenderedPageBreak/>
        <w:t>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116" w:name="_Toc164757792"/>
      <w:r>
        <w:rPr>
          <w:rStyle w:val="CharSectno"/>
        </w:rPr>
        <w:t>60</w:t>
      </w:r>
      <w:r>
        <w:t>.</w:t>
      </w:r>
      <w:r>
        <w:tab/>
        <w:t>Delegation by Commissioner</w:t>
      </w:r>
      <w:bookmarkEnd w:id="116"/>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lastRenderedPageBreak/>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17" w:name="_Toc164757793"/>
      <w:r>
        <w:rPr>
          <w:rStyle w:val="CharSectno"/>
        </w:rPr>
        <w:t>61</w:t>
      </w:r>
      <w:r>
        <w:t>.</w:t>
      </w:r>
      <w:r>
        <w:tab/>
        <w:t>Judicial notice of Commissioner’s signature etc.</w:t>
      </w:r>
      <w:bookmarkEnd w:id="117"/>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18" w:name="_Toc164682167"/>
      <w:bookmarkStart w:id="119" w:name="_Toc164682778"/>
      <w:bookmarkStart w:id="120" w:name="_Toc164757794"/>
      <w:r>
        <w:rPr>
          <w:rStyle w:val="CharDivNo"/>
        </w:rPr>
        <w:t>Division 2</w:t>
      </w:r>
      <w:r>
        <w:t> — </w:t>
      </w:r>
      <w:r>
        <w:rPr>
          <w:rStyle w:val="CharDivText"/>
        </w:rPr>
        <w:t>Offence</w:t>
      </w:r>
      <w:bookmarkEnd w:id="118"/>
      <w:bookmarkEnd w:id="119"/>
      <w:bookmarkEnd w:id="120"/>
    </w:p>
    <w:p>
      <w:pPr>
        <w:pStyle w:val="Heading5"/>
      </w:pPr>
      <w:bookmarkStart w:id="121" w:name="_Toc164757795"/>
      <w:r>
        <w:rPr>
          <w:rStyle w:val="CharSectno"/>
        </w:rPr>
        <w:t>62</w:t>
      </w:r>
      <w:r>
        <w:t>.</w:t>
      </w:r>
      <w:r>
        <w:tab/>
        <w:t>Advertisements not to imply approval by consumer affairs authority</w:t>
      </w:r>
      <w:bookmarkEnd w:id="121"/>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 xml:space="preserve">any person, or statutory body or authority, appointed or constituted under any law of the Commonwealth or of any State or Territory of the Commonwealth and having powers, functions and duties under the laws of the </w:t>
      </w:r>
      <w:r>
        <w:lastRenderedPageBreak/>
        <w:t>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 xml:space="preserve">that is intended or is apparently intended to promote the sale, hiring or leasing of goods, or the sale of an estate or interest in any land or building, or the letting or leasing </w:t>
      </w:r>
      <w:r>
        <w:lastRenderedPageBreak/>
        <w:t>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122" w:name="_Toc164682169"/>
      <w:bookmarkStart w:id="123" w:name="_Toc164682780"/>
      <w:bookmarkStart w:id="124" w:name="_Toc164757796"/>
      <w:r>
        <w:rPr>
          <w:rStyle w:val="CharDivNo"/>
        </w:rPr>
        <w:t>Division 3</w:t>
      </w:r>
      <w:r>
        <w:t> — </w:t>
      </w:r>
      <w:r>
        <w:rPr>
          <w:rStyle w:val="CharDivText"/>
        </w:rPr>
        <w:t>Advisory committees</w:t>
      </w:r>
      <w:bookmarkEnd w:id="122"/>
      <w:bookmarkEnd w:id="123"/>
      <w:bookmarkEnd w:id="124"/>
    </w:p>
    <w:p>
      <w:pPr>
        <w:pStyle w:val="Footnoteheading"/>
      </w:pPr>
      <w:r>
        <w:tab/>
        <w:t>[Heading inserted: No. 58 of 2010 s. 6.]</w:t>
      </w:r>
    </w:p>
    <w:p>
      <w:pPr>
        <w:pStyle w:val="Heading4"/>
      </w:pPr>
      <w:bookmarkStart w:id="125" w:name="_Toc164682170"/>
      <w:bookmarkStart w:id="126" w:name="_Toc164682781"/>
      <w:bookmarkStart w:id="127" w:name="_Toc164757797"/>
      <w:r>
        <w:t>Subdivision 1 — Property Industry Advisory Committee</w:t>
      </w:r>
      <w:bookmarkEnd w:id="125"/>
      <w:bookmarkEnd w:id="126"/>
      <w:bookmarkEnd w:id="127"/>
    </w:p>
    <w:p>
      <w:pPr>
        <w:pStyle w:val="Footnoteheading"/>
      </w:pPr>
      <w:r>
        <w:tab/>
        <w:t>[Heading inserted: No. 58 of 2010 s. 6.]</w:t>
      </w:r>
    </w:p>
    <w:p>
      <w:pPr>
        <w:pStyle w:val="Heading5"/>
        <w:spacing w:before="240"/>
      </w:pPr>
      <w:bookmarkStart w:id="128" w:name="_Toc164757798"/>
      <w:r>
        <w:rPr>
          <w:rStyle w:val="CharSectno"/>
        </w:rPr>
        <w:t>63A</w:t>
      </w:r>
      <w:r>
        <w:t>.</w:t>
      </w:r>
      <w:r>
        <w:tab/>
        <w:t>Committee established</w:t>
      </w:r>
      <w:bookmarkEnd w:id="128"/>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129" w:name="_Toc164757799"/>
      <w:r>
        <w:rPr>
          <w:rStyle w:val="CharSectno"/>
        </w:rPr>
        <w:t>63B</w:t>
      </w:r>
      <w:r>
        <w:t>.</w:t>
      </w:r>
      <w:r>
        <w:tab/>
        <w:t>Membership</w:t>
      </w:r>
      <w:bookmarkEnd w:id="129"/>
    </w:p>
    <w:p>
      <w:pPr>
        <w:pStyle w:val="Subsection"/>
      </w:pPr>
      <w:r>
        <w:tab/>
        <w:t>(1)</w:t>
      </w:r>
      <w:r>
        <w:tab/>
        <w:t xml:space="preserve">The Committee consists of — </w:t>
      </w:r>
    </w:p>
    <w:p>
      <w:pPr>
        <w:pStyle w:val="Indenta"/>
      </w:pPr>
      <w:r>
        <w:tab/>
        <w:t>(a)</w:t>
      </w:r>
      <w:r>
        <w:tab/>
        <w:t>the Commissioner ex officio; and</w:t>
      </w:r>
    </w:p>
    <w:p>
      <w:pPr>
        <w:pStyle w:val="Indenta"/>
      </w:pPr>
      <w:r>
        <w:lastRenderedPageBreak/>
        <w:tab/>
        <w:t>(b)</w:t>
      </w:r>
      <w:r>
        <w:tab/>
        <w:t>8 other members or such other number of persons as may be prescribed, appointed by the Minister in accordance with the regulations.</w:t>
      </w:r>
    </w:p>
    <w:p>
      <w:pPr>
        <w:pStyle w:val="Subsection"/>
        <w:keepNext/>
      </w:pPr>
      <w:r>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130" w:name="_Toc164757800"/>
      <w:r>
        <w:rPr>
          <w:rStyle w:val="CharSectno"/>
        </w:rPr>
        <w:t>63C</w:t>
      </w:r>
      <w:r>
        <w:t>.</w:t>
      </w:r>
      <w:r>
        <w:tab/>
        <w:t>Functions</w:t>
      </w:r>
      <w:bookmarkEnd w:id="130"/>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131" w:name="_Toc164757801"/>
      <w:r>
        <w:rPr>
          <w:rStyle w:val="CharSectno"/>
        </w:rPr>
        <w:t>63D</w:t>
      </w:r>
      <w:r>
        <w:t>.</w:t>
      </w:r>
      <w:r>
        <w:tab/>
        <w:t>Procedure</w:t>
      </w:r>
      <w:bookmarkEnd w:id="131"/>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Next w:val="0"/>
      </w:pPr>
      <w:bookmarkStart w:id="132" w:name="_Toc164682175"/>
      <w:bookmarkStart w:id="133" w:name="_Toc164682786"/>
      <w:bookmarkStart w:id="134" w:name="_Toc164757802"/>
      <w:r>
        <w:lastRenderedPageBreak/>
        <w:t>Subdivision 2 — Motor Vehicle Industry Advisory Committee</w:t>
      </w:r>
      <w:bookmarkEnd w:id="132"/>
      <w:bookmarkEnd w:id="133"/>
      <w:bookmarkEnd w:id="134"/>
    </w:p>
    <w:p>
      <w:pPr>
        <w:pStyle w:val="Footnoteheading"/>
      </w:pPr>
      <w:r>
        <w:tab/>
        <w:t>[Heading inserted: No. 58 of 2010 s. 6.]</w:t>
      </w:r>
    </w:p>
    <w:p>
      <w:pPr>
        <w:pStyle w:val="Heading5"/>
        <w:keepNext w:val="0"/>
        <w:keepLines w:val="0"/>
      </w:pPr>
      <w:bookmarkStart w:id="135" w:name="_Toc164757803"/>
      <w:r>
        <w:rPr>
          <w:rStyle w:val="CharSectno"/>
        </w:rPr>
        <w:t>63E</w:t>
      </w:r>
      <w:r>
        <w:t>.</w:t>
      </w:r>
      <w:r>
        <w:tab/>
        <w:t>Committee established</w:t>
      </w:r>
      <w:bookmarkEnd w:id="135"/>
    </w:p>
    <w:p>
      <w:pPr>
        <w:pStyle w:val="Subsection"/>
      </w:pPr>
      <w:r>
        <w:tab/>
      </w:r>
      <w:r>
        <w:tab/>
        <w:t>A committee called the Motor Vehicle Industry Advisory Committee is established.</w:t>
      </w:r>
    </w:p>
    <w:p>
      <w:pPr>
        <w:pStyle w:val="Footnotesection"/>
        <w:keepLines w:val="0"/>
      </w:pPr>
      <w:r>
        <w:tab/>
        <w:t>[Section 63E inserted: No. 58 of 2010 s. 6.]</w:t>
      </w:r>
    </w:p>
    <w:p>
      <w:pPr>
        <w:pStyle w:val="Heading5"/>
      </w:pPr>
      <w:bookmarkStart w:id="136" w:name="_Toc164757804"/>
      <w:r>
        <w:rPr>
          <w:rStyle w:val="CharSectno"/>
        </w:rPr>
        <w:t>63F</w:t>
      </w:r>
      <w:r>
        <w:t>.</w:t>
      </w:r>
      <w:r>
        <w:tab/>
        <w:t>Membership</w:t>
      </w:r>
      <w:bookmarkEnd w:id="13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137" w:name="_Toc164757805"/>
      <w:r>
        <w:rPr>
          <w:rStyle w:val="CharSectno"/>
        </w:rPr>
        <w:t>63G</w:t>
      </w:r>
      <w:r>
        <w:t>.</w:t>
      </w:r>
      <w:r>
        <w:tab/>
        <w:t>Functions</w:t>
      </w:r>
      <w:bookmarkEnd w:id="137"/>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lastRenderedPageBreak/>
        <w:tab/>
        <w:t>(c)</w:t>
      </w:r>
      <w:r>
        <w:tab/>
        <w:t>any matter referred to the Committee by the Minister or the Commissioner.</w:t>
      </w:r>
    </w:p>
    <w:p>
      <w:pPr>
        <w:pStyle w:val="Footnotesection"/>
      </w:pPr>
      <w:r>
        <w:tab/>
        <w:t>[Section 63G inserted: No. 58 of 2010 s. 6.]</w:t>
      </w:r>
    </w:p>
    <w:p>
      <w:pPr>
        <w:pStyle w:val="Heading5"/>
      </w:pPr>
      <w:bookmarkStart w:id="138" w:name="_Toc164757806"/>
      <w:r>
        <w:rPr>
          <w:rStyle w:val="CharSectno"/>
        </w:rPr>
        <w:t>63H</w:t>
      </w:r>
      <w:r>
        <w:t>.</w:t>
      </w:r>
      <w:r>
        <w:tab/>
        <w:t>Procedure</w:t>
      </w:r>
      <w:bookmarkEnd w:id="13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139" w:name="_Toc164682180"/>
      <w:bookmarkStart w:id="140" w:name="_Toc164682791"/>
      <w:bookmarkStart w:id="141" w:name="_Toc164757807"/>
      <w:r>
        <w:t>Subdivision 3 — Consumer Advisory Committee</w:t>
      </w:r>
      <w:bookmarkEnd w:id="139"/>
      <w:bookmarkEnd w:id="140"/>
      <w:bookmarkEnd w:id="141"/>
    </w:p>
    <w:p>
      <w:pPr>
        <w:pStyle w:val="Footnoteheading"/>
      </w:pPr>
      <w:r>
        <w:tab/>
        <w:t>[Heading inserted: No. 58 of 2010 s. 6.]</w:t>
      </w:r>
    </w:p>
    <w:p>
      <w:pPr>
        <w:pStyle w:val="Heading5"/>
      </w:pPr>
      <w:bookmarkStart w:id="142" w:name="_Toc164757808"/>
      <w:r>
        <w:rPr>
          <w:rStyle w:val="CharSectno"/>
        </w:rPr>
        <w:t>63I</w:t>
      </w:r>
      <w:r>
        <w:t>.</w:t>
      </w:r>
      <w:r>
        <w:tab/>
        <w:t>Committee established</w:t>
      </w:r>
      <w:bookmarkEnd w:id="142"/>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143" w:name="_Toc164757809"/>
      <w:r>
        <w:rPr>
          <w:rStyle w:val="CharSectno"/>
        </w:rPr>
        <w:t>63J</w:t>
      </w:r>
      <w:r>
        <w:t>.</w:t>
      </w:r>
      <w:r>
        <w:tab/>
        <w:t>Membership</w:t>
      </w:r>
      <w:bookmarkEnd w:id="14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144" w:name="_Toc164757810"/>
      <w:r>
        <w:rPr>
          <w:rStyle w:val="CharSectno"/>
        </w:rPr>
        <w:lastRenderedPageBreak/>
        <w:t>63K</w:t>
      </w:r>
      <w:r>
        <w:t>.</w:t>
      </w:r>
      <w:r>
        <w:tab/>
        <w:t>Functions</w:t>
      </w:r>
      <w:bookmarkEnd w:id="144"/>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145" w:name="_Toc164757811"/>
      <w:r>
        <w:rPr>
          <w:rStyle w:val="CharSectno"/>
        </w:rPr>
        <w:t>63L</w:t>
      </w:r>
      <w:r>
        <w:t>.</w:t>
      </w:r>
      <w:r>
        <w:tab/>
        <w:t>Procedure</w:t>
      </w:r>
      <w:bookmarkEnd w:id="14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146" w:name="_Toc164682185"/>
      <w:bookmarkStart w:id="147" w:name="_Toc164682796"/>
      <w:bookmarkStart w:id="148" w:name="_Toc164757812"/>
      <w:r>
        <w:t>Subdivision 4 — Regulations prescribing committee procedures, etc.</w:t>
      </w:r>
      <w:bookmarkEnd w:id="146"/>
      <w:bookmarkEnd w:id="147"/>
      <w:bookmarkEnd w:id="148"/>
    </w:p>
    <w:p>
      <w:pPr>
        <w:pStyle w:val="Footnoteheading"/>
      </w:pPr>
      <w:r>
        <w:tab/>
        <w:t>[Heading inserted: No. 58 of 2010 s. 6.]</w:t>
      </w:r>
    </w:p>
    <w:p>
      <w:pPr>
        <w:pStyle w:val="Heading5"/>
      </w:pPr>
      <w:bookmarkStart w:id="149" w:name="_Toc164757813"/>
      <w:r>
        <w:rPr>
          <w:rStyle w:val="CharSectno"/>
        </w:rPr>
        <w:t>63M</w:t>
      </w:r>
      <w:r>
        <w:t>.</w:t>
      </w:r>
      <w:r>
        <w:tab/>
        <w:t>Regulations</w:t>
      </w:r>
      <w:bookmarkEnd w:id="149"/>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lastRenderedPageBreak/>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150" w:name="_Toc164682187"/>
      <w:bookmarkStart w:id="151" w:name="_Toc164682798"/>
      <w:bookmarkStart w:id="152" w:name="_Toc164757814"/>
      <w:r>
        <w:rPr>
          <w:rStyle w:val="CharPartNo"/>
        </w:rPr>
        <w:lastRenderedPageBreak/>
        <w:t>Part 6</w:t>
      </w:r>
      <w:r>
        <w:t> — </w:t>
      </w:r>
      <w:r>
        <w:rPr>
          <w:rStyle w:val="CharPartText"/>
        </w:rPr>
        <w:t>Investigation and enforcement</w:t>
      </w:r>
      <w:bookmarkEnd w:id="150"/>
      <w:bookmarkEnd w:id="151"/>
      <w:bookmarkEnd w:id="152"/>
    </w:p>
    <w:p>
      <w:pPr>
        <w:pStyle w:val="Heading3"/>
      </w:pPr>
      <w:bookmarkStart w:id="153" w:name="_Toc164682188"/>
      <w:bookmarkStart w:id="154" w:name="_Toc164682799"/>
      <w:bookmarkStart w:id="155" w:name="_Toc164757815"/>
      <w:r>
        <w:rPr>
          <w:rStyle w:val="CharDivNo"/>
        </w:rPr>
        <w:t>Division 1</w:t>
      </w:r>
      <w:r>
        <w:t> — </w:t>
      </w:r>
      <w:r>
        <w:rPr>
          <w:rStyle w:val="CharDivText"/>
        </w:rPr>
        <w:t>Preliminary</w:t>
      </w:r>
      <w:bookmarkEnd w:id="153"/>
      <w:bookmarkEnd w:id="154"/>
      <w:bookmarkEnd w:id="155"/>
    </w:p>
    <w:p>
      <w:pPr>
        <w:pStyle w:val="Footnoteheading"/>
      </w:pPr>
      <w:r>
        <w:tab/>
        <w:t>[Heading inserted: No. 23 of 2014 s. 10.]</w:t>
      </w:r>
    </w:p>
    <w:p>
      <w:pPr>
        <w:pStyle w:val="Heading5"/>
        <w:spacing w:before="180"/>
      </w:pPr>
      <w:bookmarkStart w:id="156" w:name="_Toc164757816"/>
      <w:r>
        <w:rPr>
          <w:rStyle w:val="CharSectno"/>
        </w:rPr>
        <w:t>63</w:t>
      </w:r>
      <w:r>
        <w:t>.</w:t>
      </w:r>
      <w:r>
        <w:tab/>
        <w:t>Terms used</w:t>
      </w:r>
      <w:bookmarkEnd w:id="156"/>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157" w:name="_Toc164757817"/>
      <w:r>
        <w:rPr>
          <w:rStyle w:val="CharSectno"/>
        </w:rPr>
        <w:t>64A</w:t>
      </w:r>
      <w:r>
        <w:t>.</w:t>
      </w:r>
      <w:r>
        <w:tab/>
        <w:t xml:space="preserve">Authorised persons cannot be public officers under </w:t>
      </w:r>
      <w:r>
        <w:rPr>
          <w:i/>
        </w:rPr>
        <w:t>Criminal Investigation Act 2006</w:t>
      </w:r>
      <w:bookmarkEnd w:id="157"/>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158" w:name="_Toc164682191"/>
      <w:bookmarkStart w:id="159" w:name="_Toc164682802"/>
      <w:bookmarkStart w:id="160" w:name="_Toc164757818"/>
      <w:r>
        <w:rPr>
          <w:rStyle w:val="CharDivNo"/>
        </w:rPr>
        <w:lastRenderedPageBreak/>
        <w:t>Division 2</w:t>
      </w:r>
      <w:r>
        <w:t> — </w:t>
      </w:r>
      <w:r>
        <w:rPr>
          <w:rStyle w:val="CharDivText"/>
        </w:rPr>
        <w:t>Investigators</w:t>
      </w:r>
      <w:bookmarkEnd w:id="158"/>
      <w:bookmarkEnd w:id="159"/>
      <w:bookmarkEnd w:id="160"/>
    </w:p>
    <w:p>
      <w:pPr>
        <w:pStyle w:val="Heading5"/>
        <w:spacing w:before="180"/>
      </w:pPr>
      <w:bookmarkStart w:id="161" w:name="_Toc164757819"/>
      <w:r>
        <w:rPr>
          <w:rStyle w:val="CharSectno"/>
        </w:rPr>
        <w:t>64</w:t>
      </w:r>
      <w:r>
        <w:t>.</w:t>
      </w:r>
      <w:r>
        <w:tab/>
        <w:t>Designating people as investigators</w:t>
      </w:r>
      <w:bookmarkEnd w:id="161"/>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62" w:name="_Toc164757820"/>
      <w:r>
        <w:rPr>
          <w:rStyle w:val="CharSectno"/>
        </w:rPr>
        <w:t>65</w:t>
      </w:r>
      <w:r>
        <w:t>.</w:t>
      </w:r>
      <w:r>
        <w:tab/>
        <w:t>Certificate of authority of investigator</w:t>
      </w:r>
      <w:bookmarkEnd w:id="162"/>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63" w:name="_Toc164757821"/>
      <w:r>
        <w:rPr>
          <w:rStyle w:val="CharSectno"/>
        </w:rPr>
        <w:t>66</w:t>
      </w:r>
      <w:r>
        <w:t>.</w:t>
      </w:r>
      <w:r>
        <w:tab/>
        <w:t>Certificate of authority to be produced on demand</w:t>
      </w:r>
      <w:bookmarkEnd w:id="163"/>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64" w:name="_Toc164757822"/>
      <w:r>
        <w:rPr>
          <w:rStyle w:val="CharSectno"/>
        </w:rPr>
        <w:lastRenderedPageBreak/>
        <w:t>67</w:t>
      </w:r>
      <w:r>
        <w:t>.</w:t>
      </w:r>
      <w:r>
        <w:tab/>
        <w:t>Persons assisting investigators</w:t>
      </w:r>
      <w:bookmarkEnd w:id="164"/>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65" w:name="_Toc164682196"/>
      <w:bookmarkStart w:id="166" w:name="_Toc164682807"/>
      <w:bookmarkStart w:id="167" w:name="_Toc164757823"/>
      <w:r>
        <w:rPr>
          <w:rStyle w:val="CharDivNo"/>
        </w:rPr>
        <w:t>Division 3</w:t>
      </w:r>
      <w:r>
        <w:t> — </w:t>
      </w:r>
      <w:r>
        <w:rPr>
          <w:rStyle w:val="CharDivText"/>
        </w:rPr>
        <w:t>General powers</w:t>
      </w:r>
      <w:bookmarkEnd w:id="165"/>
      <w:bookmarkEnd w:id="166"/>
      <w:bookmarkEnd w:id="167"/>
    </w:p>
    <w:p>
      <w:pPr>
        <w:pStyle w:val="Heading5"/>
      </w:pPr>
      <w:bookmarkStart w:id="168" w:name="_Toc164757824"/>
      <w:r>
        <w:rPr>
          <w:rStyle w:val="CharSectno"/>
        </w:rPr>
        <w:t>68</w:t>
      </w:r>
      <w:r>
        <w:t>.</w:t>
      </w:r>
      <w:r>
        <w:tab/>
        <w:t>Investigations and inquiries, Commissioner’s powers to make</w:t>
      </w:r>
      <w:bookmarkEnd w:id="168"/>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69" w:name="_Toc164757825"/>
      <w:r>
        <w:rPr>
          <w:rStyle w:val="CharSectno"/>
        </w:rPr>
        <w:lastRenderedPageBreak/>
        <w:t>69</w:t>
      </w:r>
      <w:r>
        <w:t>.</w:t>
      </w:r>
      <w:r>
        <w:tab/>
        <w:t>Investigations and inquiries, powers for</w:t>
      </w:r>
      <w:bookmarkEnd w:id="169"/>
    </w:p>
    <w:p>
      <w:pPr>
        <w:pStyle w:val="Subsection"/>
        <w:keepNext/>
      </w:pPr>
      <w:r>
        <w:tab/>
        <w:t>(1)</w:t>
      </w:r>
      <w:r>
        <w:tab/>
        <w:t xml:space="preserve">For the purposes of carrying out any investigation or inquiry in the course of carrying out the Commissioner’s functions under this Act or any other Act, an authorised person may — </w:t>
      </w:r>
    </w:p>
    <w:p>
      <w:pPr>
        <w:pStyle w:val="Indenta"/>
        <w:keepNext/>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lastRenderedPageBreak/>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 xml:space="preserve">Where, under subsection (1)(a) or (b), a person is required by notice in writing to give any information, answer any question or produce any document or thing, the notice must state that the </w:t>
      </w:r>
      <w:r>
        <w:lastRenderedPageBreak/>
        <w:t>person is required, under this Act or another Act, to give the information, answer the question or produce the document or thing, as the case requires.</w:t>
      </w:r>
    </w:p>
    <w:p>
      <w:pPr>
        <w:pStyle w:val="Heading5"/>
      </w:pPr>
      <w:bookmarkStart w:id="170" w:name="_Toc164757826"/>
      <w:r>
        <w:rPr>
          <w:rStyle w:val="CharSectno"/>
        </w:rPr>
        <w:t>70</w:t>
      </w:r>
      <w:r>
        <w:t>.</w:t>
      </w:r>
      <w:r>
        <w:tab/>
        <w:t>Interviews under s. 69(1)(a), conduct of</w:t>
      </w:r>
      <w:bookmarkEnd w:id="170"/>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71" w:name="_Toc164757827"/>
      <w:r>
        <w:rPr>
          <w:rStyle w:val="CharSectno"/>
        </w:rPr>
        <w:t>71</w:t>
      </w:r>
      <w:r>
        <w:t>.</w:t>
      </w:r>
      <w:r>
        <w:tab/>
        <w:t>Warrant to enter premises or motor vehicle</w:t>
      </w:r>
      <w:bookmarkEnd w:id="171"/>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authorised person stating that the person considers in the particular case that there are reasonable grounds for </w:t>
      </w:r>
      <w:r>
        <w:lastRenderedPageBreak/>
        <w:t>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72" w:name="_Toc164757828"/>
      <w:r>
        <w:rPr>
          <w:rStyle w:val="CharSectno"/>
        </w:rPr>
        <w:t>72</w:t>
      </w:r>
      <w:r>
        <w:t>.</w:t>
      </w:r>
      <w:r>
        <w:tab/>
        <w:t>Warrants wanted urgently, may be obtained by telephone etc.</w:t>
      </w:r>
      <w:bookmarkEnd w:id="172"/>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lastRenderedPageBreak/>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73" w:name="_Toc164757829"/>
      <w:r>
        <w:rPr>
          <w:rStyle w:val="CharSectno"/>
        </w:rPr>
        <w:t>73</w:t>
      </w:r>
      <w:r>
        <w:t>.</w:t>
      </w:r>
      <w:r>
        <w:tab/>
        <w:t>Warrants by telephone etc., further provisions for</w:t>
      </w:r>
      <w:bookmarkEnd w:id="173"/>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lastRenderedPageBreak/>
        <w:tab/>
        <w:t>(iv)</w:t>
      </w:r>
      <w:r>
        <w:tab/>
        <w:t>record on the warrant the reasons for issuing the warrant;</w:t>
      </w:r>
    </w:p>
    <w:p>
      <w:pPr>
        <w:pStyle w:val="Indenta"/>
      </w:pPr>
      <w:r>
        <w:tab/>
      </w:r>
      <w:r>
        <w:tab/>
        <w:t>and</w:t>
      </w:r>
    </w:p>
    <w:p>
      <w:pPr>
        <w:pStyle w:val="Indenta"/>
        <w:keepNext/>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lastRenderedPageBreak/>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74" w:name="_Toc164757830"/>
      <w:r>
        <w:rPr>
          <w:rStyle w:val="CharSectno"/>
        </w:rPr>
        <w:t>74</w:t>
      </w:r>
      <w:r>
        <w:t>.</w:t>
      </w:r>
      <w:r>
        <w:tab/>
        <w:t>Warrants, issue and effect of</w:t>
      </w:r>
      <w:bookmarkEnd w:id="174"/>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lastRenderedPageBreak/>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75" w:name="_Toc164757831"/>
      <w:r>
        <w:rPr>
          <w:rStyle w:val="CharSectno"/>
        </w:rPr>
        <w:t>75</w:t>
      </w:r>
      <w:r>
        <w:t>.</w:t>
      </w:r>
      <w:r>
        <w:tab/>
        <w:t>Warrants, powers under to obtain access information for computers etc.</w:t>
      </w:r>
      <w:bookmarkEnd w:id="175"/>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lastRenderedPageBreak/>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76" w:name="_Toc164757832"/>
      <w:r>
        <w:rPr>
          <w:rStyle w:val="CharSectno"/>
        </w:rPr>
        <w:t>76</w:t>
      </w:r>
      <w:r>
        <w:t>.</w:t>
      </w:r>
      <w:r>
        <w:tab/>
        <w:t>Warrants, further powers under</w:t>
      </w:r>
      <w:bookmarkEnd w:id="176"/>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lastRenderedPageBreak/>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77" w:name="_Toc164757833"/>
      <w:r>
        <w:rPr>
          <w:rStyle w:val="CharSectno"/>
        </w:rPr>
        <w:t>77</w:t>
      </w:r>
      <w:r>
        <w:t>.</w:t>
      </w:r>
      <w:r>
        <w:tab/>
        <w:t>Damage to equipment or data, compensation for</w:t>
      </w:r>
      <w:bookmarkEnd w:id="177"/>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lastRenderedPageBreak/>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78" w:name="_Toc164757834"/>
      <w:r>
        <w:rPr>
          <w:rStyle w:val="CharSectno"/>
        </w:rPr>
        <w:t>78</w:t>
      </w:r>
      <w:r>
        <w:t>.</w:t>
      </w:r>
      <w:r>
        <w:tab/>
        <w:t>Warrants, execution and duration of</w:t>
      </w:r>
      <w:bookmarkEnd w:id="178"/>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lastRenderedPageBreak/>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79" w:name="_Toc164757835"/>
      <w:r>
        <w:rPr>
          <w:rStyle w:val="CharSectno"/>
        </w:rPr>
        <w:t>79</w:t>
      </w:r>
      <w:r>
        <w:t>.</w:t>
      </w:r>
      <w:r>
        <w:tab/>
        <w:t>Seizing things</w:t>
      </w:r>
      <w:bookmarkEnd w:id="179"/>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lastRenderedPageBreak/>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180" w:name="_Toc164757836"/>
      <w:r>
        <w:rPr>
          <w:rStyle w:val="CharSectno"/>
        </w:rPr>
        <w:lastRenderedPageBreak/>
        <w:t>80</w:t>
      </w:r>
      <w:r>
        <w:t>.</w:t>
      </w:r>
      <w:r>
        <w:tab/>
        <w:t>Seized things, copies of to be provided</w:t>
      </w:r>
      <w:bookmarkEnd w:id="180"/>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81" w:name="_Toc164757837"/>
      <w:r>
        <w:rPr>
          <w:rStyle w:val="CharSectno"/>
        </w:rPr>
        <w:t>81</w:t>
      </w:r>
      <w:r>
        <w:t>.</w:t>
      </w:r>
      <w:r>
        <w:tab/>
        <w:t>Seized things, access to by owner</w:t>
      </w:r>
      <w:bookmarkEnd w:id="181"/>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82" w:name="_Toc164757838"/>
      <w:r>
        <w:rPr>
          <w:rStyle w:val="CharSectno"/>
        </w:rPr>
        <w:t>82</w:t>
      </w:r>
      <w:r>
        <w:t>.</w:t>
      </w:r>
      <w:r>
        <w:tab/>
        <w:t>Seized things, return of</w:t>
      </w:r>
      <w:bookmarkEnd w:id="182"/>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lastRenderedPageBreak/>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83" w:name="_Toc164757839"/>
      <w:r>
        <w:rPr>
          <w:rStyle w:val="CharSectno"/>
        </w:rPr>
        <w:t>83</w:t>
      </w:r>
      <w:r>
        <w:t>.</w:t>
      </w:r>
      <w:r>
        <w:tab/>
        <w:t>Seizure, SAT may review</w:t>
      </w:r>
      <w:bookmarkEnd w:id="183"/>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184" w:name="_Toc164757840"/>
      <w:r>
        <w:rPr>
          <w:rStyle w:val="CharSectno"/>
        </w:rPr>
        <w:lastRenderedPageBreak/>
        <w:t>84</w:t>
      </w:r>
      <w:r>
        <w:t>.</w:t>
      </w:r>
      <w:r>
        <w:tab/>
        <w:t>Seized things, forfeiture of</w:t>
      </w:r>
      <w:bookmarkEnd w:id="184"/>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85" w:name="_Toc164757841"/>
      <w:r>
        <w:rPr>
          <w:rStyle w:val="CharSectno"/>
        </w:rPr>
        <w:t>85</w:t>
      </w:r>
      <w:r>
        <w:t>.</w:t>
      </w:r>
      <w:r>
        <w:tab/>
        <w:t>Forfeited things, dealing with</w:t>
      </w:r>
      <w:bookmarkEnd w:id="185"/>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86" w:name="_Toc164757842"/>
      <w:r>
        <w:rPr>
          <w:rStyle w:val="CharSectno"/>
        </w:rPr>
        <w:lastRenderedPageBreak/>
        <w:t>86</w:t>
      </w:r>
      <w:r>
        <w:t>.</w:t>
      </w:r>
      <w:r>
        <w:tab/>
        <w:t>Privilege against self</w:t>
      </w:r>
      <w:r>
        <w:noBreakHyphen/>
        <w:t>incrimination doesn’t apply</w:t>
      </w:r>
      <w:bookmarkEnd w:id="186"/>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87" w:name="_Toc164757843"/>
      <w:r>
        <w:rPr>
          <w:rStyle w:val="CharSectno"/>
        </w:rPr>
        <w:t>87</w:t>
      </w:r>
      <w:r>
        <w:t>.</w:t>
      </w:r>
      <w:r>
        <w:tab/>
        <w:t>Information obtained, use of etc.</w:t>
      </w:r>
      <w:bookmarkEnd w:id="187"/>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188" w:name="_Toc164682217"/>
      <w:bookmarkStart w:id="189" w:name="_Toc164682828"/>
      <w:bookmarkStart w:id="190" w:name="_Toc164757844"/>
      <w:r>
        <w:rPr>
          <w:rStyle w:val="CharDivNo"/>
        </w:rPr>
        <w:lastRenderedPageBreak/>
        <w:t>Division 4A</w:t>
      </w:r>
      <w:r>
        <w:t> — </w:t>
      </w:r>
      <w:r>
        <w:rPr>
          <w:rStyle w:val="CharDivText"/>
        </w:rPr>
        <w:t>Specific powers for enforcement of licensing and regulatory provisions</w:t>
      </w:r>
      <w:bookmarkEnd w:id="188"/>
      <w:bookmarkEnd w:id="189"/>
      <w:bookmarkEnd w:id="190"/>
    </w:p>
    <w:p>
      <w:pPr>
        <w:pStyle w:val="Footnoteheading"/>
      </w:pPr>
      <w:r>
        <w:tab/>
        <w:t>[Heading inserted: No. 58 of 2010 s. 8.]</w:t>
      </w:r>
    </w:p>
    <w:p>
      <w:pPr>
        <w:pStyle w:val="Heading5"/>
      </w:pPr>
      <w:bookmarkStart w:id="191" w:name="_Toc164757845"/>
      <w:r>
        <w:rPr>
          <w:rStyle w:val="CharSectno"/>
        </w:rPr>
        <w:t>88A</w:t>
      </w:r>
      <w:r>
        <w:t>.</w:t>
      </w:r>
      <w:r>
        <w:tab/>
        <w:t>Terms used</w:t>
      </w:r>
      <w:bookmarkEnd w:id="191"/>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192" w:name="_Toc164757846"/>
      <w:r>
        <w:rPr>
          <w:rStyle w:val="CharSectno"/>
        </w:rPr>
        <w:t>88B</w:t>
      </w:r>
      <w:r>
        <w:t>.</w:t>
      </w:r>
      <w:r>
        <w:tab/>
        <w:t>Investigations and inquiries for licensing and regulatory purposes, Commissioner’s powers to make</w:t>
      </w:r>
      <w:bookmarkEnd w:id="192"/>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lastRenderedPageBreak/>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193" w:name="_Toc164757847"/>
      <w:r>
        <w:rPr>
          <w:rStyle w:val="CharSectno"/>
        </w:rPr>
        <w:t>88C</w:t>
      </w:r>
      <w:r>
        <w:t>.</w:t>
      </w:r>
      <w:r>
        <w:tab/>
        <w:t>Authorised persons’ powers for this Division</w:t>
      </w:r>
      <w:bookmarkEnd w:id="193"/>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194" w:name="_Toc164757848"/>
      <w:r>
        <w:rPr>
          <w:rStyle w:val="CharSectno"/>
        </w:rPr>
        <w:t>88D</w:t>
      </w:r>
      <w:r>
        <w:t>.</w:t>
      </w:r>
      <w:r>
        <w:tab/>
        <w:t>Police assistance with investigations and inquiries</w:t>
      </w:r>
      <w:bookmarkEnd w:id="194"/>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lastRenderedPageBreak/>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No. 58 of 2010 s. 8.]</w:t>
      </w:r>
    </w:p>
    <w:p>
      <w:pPr>
        <w:pStyle w:val="Heading5"/>
      </w:pPr>
      <w:bookmarkStart w:id="195" w:name="_Toc164757849"/>
      <w:r>
        <w:rPr>
          <w:rStyle w:val="CharSectno"/>
        </w:rPr>
        <w:t>88E</w:t>
      </w:r>
      <w:r>
        <w:t>.</w:t>
      </w:r>
      <w:r>
        <w:tab/>
        <w:t>Compliance checks at regulated person’s business premises, powers for</w:t>
      </w:r>
      <w:bookmarkEnd w:id="195"/>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lastRenderedPageBreak/>
        <w:tab/>
        <w:t>[Section 88E inserted: No. 58 of 2010 s. 8; amended: No. 25 of 2019 s. 28.]</w:t>
      </w:r>
    </w:p>
    <w:p>
      <w:pPr>
        <w:pStyle w:val="Heading3"/>
      </w:pPr>
      <w:bookmarkStart w:id="196" w:name="_Toc164682223"/>
      <w:bookmarkStart w:id="197" w:name="_Toc164682834"/>
      <w:bookmarkStart w:id="198" w:name="_Toc164757850"/>
      <w:r>
        <w:rPr>
          <w:rStyle w:val="CharDivNo"/>
        </w:rPr>
        <w:t>Division 4</w:t>
      </w:r>
      <w:r>
        <w:t> — </w:t>
      </w:r>
      <w:r>
        <w:rPr>
          <w:rStyle w:val="CharDivText"/>
        </w:rPr>
        <w:t>Offences</w:t>
      </w:r>
      <w:bookmarkEnd w:id="196"/>
      <w:bookmarkEnd w:id="197"/>
      <w:bookmarkEnd w:id="198"/>
    </w:p>
    <w:p>
      <w:pPr>
        <w:pStyle w:val="Heading5"/>
      </w:pPr>
      <w:bookmarkStart w:id="199" w:name="_Toc164757851"/>
      <w:r>
        <w:rPr>
          <w:rStyle w:val="CharSectno"/>
        </w:rPr>
        <w:t>88</w:t>
      </w:r>
      <w:r>
        <w:t>.</w:t>
      </w:r>
      <w:r>
        <w:tab/>
        <w:t>Failing to cooperate with investigation</w:t>
      </w:r>
      <w:bookmarkEnd w:id="199"/>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lastRenderedPageBreak/>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No. 58 of 2010 s. 9.]</w:t>
      </w:r>
    </w:p>
    <w:p>
      <w:pPr>
        <w:pStyle w:val="Heading5"/>
      </w:pPr>
      <w:bookmarkStart w:id="200" w:name="_Toc164757852"/>
      <w:r>
        <w:rPr>
          <w:rStyle w:val="CharSectno"/>
        </w:rPr>
        <w:t>89</w:t>
      </w:r>
      <w:r>
        <w:t>.</w:t>
      </w:r>
      <w:r>
        <w:tab/>
        <w:t>Obstructing authorised person</w:t>
      </w:r>
      <w:bookmarkEnd w:id="200"/>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lastRenderedPageBreak/>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201" w:name="_Toc164682226"/>
      <w:bookmarkStart w:id="202" w:name="_Toc164682837"/>
      <w:bookmarkStart w:id="203" w:name="_Toc164757853"/>
      <w:r>
        <w:rPr>
          <w:rStyle w:val="CharPartNo"/>
        </w:rPr>
        <w:lastRenderedPageBreak/>
        <w:t>Part 7</w:t>
      </w:r>
      <w:r>
        <w:t> — </w:t>
      </w:r>
      <w:r>
        <w:rPr>
          <w:rStyle w:val="CharPartText"/>
        </w:rPr>
        <w:t>Criminal and civil proceedings</w:t>
      </w:r>
      <w:bookmarkEnd w:id="201"/>
      <w:bookmarkEnd w:id="202"/>
      <w:bookmarkEnd w:id="203"/>
    </w:p>
    <w:p>
      <w:pPr>
        <w:pStyle w:val="Heading3"/>
      </w:pPr>
      <w:bookmarkStart w:id="204" w:name="_Toc164682227"/>
      <w:bookmarkStart w:id="205" w:name="_Toc164682838"/>
      <w:bookmarkStart w:id="206" w:name="_Toc164757854"/>
      <w:r>
        <w:rPr>
          <w:rStyle w:val="CharDivNo"/>
        </w:rPr>
        <w:t>Division 1</w:t>
      </w:r>
      <w:r>
        <w:t> — </w:t>
      </w:r>
      <w:r>
        <w:rPr>
          <w:rStyle w:val="CharDivText"/>
        </w:rPr>
        <w:t>Preliminary</w:t>
      </w:r>
      <w:bookmarkEnd w:id="204"/>
      <w:bookmarkEnd w:id="205"/>
      <w:bookmarkEnd w:id="206"/>
    </w:p>
    <w:p>
      <w:pPr>
        <w:pStyle w:val="Heading5"/>
      </w:pPr>
      <w:bookmarkStart w:id="207" w:name="_Toc164757855"/>
      <w:r>
        <w:rPr>
          <w:rStyle w:val="CharSectno"/>
        </w:rPr>
        <w:t>90</w:t>
      </w:r>
      <w:r>
        <w:t>.</w:t>
      </w:r>
      <w:r>
        <w:tab/>
        <w:t>Term used: person involved in a contravention of a provision of this Act</w:t>
      </w:r>
      <w:bookmarkEnd w:id="207"/>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208" w:name="_Toc164682229"/>
      <w:bookmarkStart w:id="209" w:name="_Toc164682840"/>
      <w:bookmarkStart w:id="210" w:name="_Toc164757856"/>
      <w:r>
        <w:rPr>
          <w:rStyle w:val="CharDivNo"/>
        </w:rPr>
        <w:t>Division 2</w:t>
      </w:r>
      <w:r>
        <w:t> — </w:t>
      </w:r>
      <w:r>
        <w:rPr>
          <w:rStyle w:val="CharDivText"/>
        </w:rPr>
        <w:t>Criminal proceedings</w:t>
      </w:r>
      <w:bookmarkEnd w:id="208"/>
      <w:bookmarkEnd w:id="209"/>
      <w:bookmarkEnd w:id="210"/>
    </w:p>
    <w:p>
      <w:pPr>
        <w:pStyle w:val="Heading5"/>
      </w:pPr>
      <w:bookmarkStart w:id="211" w:name="_Toc164757857"/>
      <w:r>
        <w:rPr>
          <w:rStyle w:val="CharSectno"/>
        </w:rPr>
        <w:t>91</w:t>
      </w:r>
      <w:r>
        <w:t>.</w:t>
      </w:r>
      <w:r>
        <w:tab/>
        <w:t>Time limit for commencing proceedings</w:t>
      </w:r>
      <w:bookmarkEnd w:id="211"/>
    </w:p>
    <w:p>
      <w:pPr>
        <w:pStyle w:val="Subsection"/>
      </w:pPr>
      <w:r>
        <w:tab/>
      </w:r>
      <w:r>
        <w:tab/>
        <w:t>Proceedings for an offence against this Act may be commenced within 3 years after the alleged commission of the offence.</w:t>
      </w:r>
    </w:p>
    <w:p>
      <w:pPr>
        <w:pStyle w:val="Heading5"/>
      </w:pPr>
      <w:bookmarkStart w:id="212" w:name="_Toc164757858"/>
      <w:r>
        <w:rPr>
          <w:rStyle w:val="CharSectno"/>
        </w:rPr>
        <w:t>92</w:t>
      </w:r>
      <w:r>
        <w:t>.</w:t>
      </w:r>
      <w:r>
        <w:tab/>
        <w:t>Who may institute criminal proceedings</w:t>
      </w:r>
      <w:bookmarkEnd w:id="212"/>
    </w:p>
    <w:p>
      <w:pPr>
        <w:pStyle w:val="Subsection"/>
      </w:pPr>
      <w:r>
        <w:tab/>
        <w:t>(1)</w:t>
      </w:r>
      <w:r>
        <w:tab/>
        <w:t>Prosecutions for offences against this Act may be instituted by the Commissioner or by a person authorised in writing by the Commissioner.</w:t>
      </w:r>
    </w:p>
    <w:p>
      <w:pPr>
        <w:pStyle w:val="Subsection"/>
        <w:keepNext/>
      </w:pPr>
      <w:r>
        <w:lastRenderedPageBreak/>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213" w:name="_Toc164757859"/>
      <w:r>
        <w:rPr>
          <w:rStyle w:val="CharSectno"/>
        </w:rPr>
        <w:t>93</w:t>
      </w:r>
      <w:r>
        <w:t>.</w:t>
      </w:r>
      <w:r>
        <w:tab/>
        <w:t>Court of summary jurisdiction to be constituted by magistrate</w:t>
      </w:r>
      <w:bookmarkEnd w:id="213"/>
    </w:p>
    <w:p>
      <w:pPr>
        <w:pStyle w:val="Subsection"/>
      </w:pPr>
      <w:r>
        <w:tab/>
      </w:r>
      <w:r>
        <w:tab/>
        <w:t>A court of summary jurisdiction dealing with an offence under this Act is to be constituted by a magistrate.</w:t>
      </w:r>
    </w:p>
    <w:p>
      <w:pPr>
        <w:pStyle w:val="Heading5"/>
      </w:pPr>
      <w:bookmarkStart w:id="214" w:name="_Toc164757860"/>
      <w:r>
        <w:rPr>
          <w:rStyle w:val="CharSectno"/>
        </w:rPr>
        <w:t>94</w:t>
      </w:r>
      <w:r>
        <w:t>.</w:t>
      </w:r>
      <w:r>
        <w:tab/>
        <w:t>Courts’ other powers in criminal proceedings</w:t>
      </w:r>
      <w:bookmarkEnd w:id="214"/>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 xml:space="preserve">If a person is convicted of an offence against this Act, the court by which the conviction was effected may order the offender to </w:t>
      </w:r>
      <w:r>
        <w:lastRenderedPageBreak/>
        <w:t>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215" w:name="_Toc164757861"/>
      <w:r>
        <w:rPr>
          <w:rStyle w:val="CharSectno"/>
        </w:rPr>
        <w:t>94A</w:t>
      </w:r>
      <w:r>
        <w:t>.</w:t>
      </w:r>
      <w:r>
        <w:tab/>
        <w:t>Liability of officers for offence by body corporate</w:t>
      </w:r>
      <w:bookmarkEnd w:id="215"/>
    </w:p>
    <w:p>
      <w:pPr>
        <w:pStyle w:val="Subsection"/>
      </w:pPr>
      <w:r>
        <w:tab/>
        <w:t>(1)</w:t>
      </w:r>
      <w:r>
        <w:tab/>
      </w:r>
      <w:r>
        <w:rPr>
          <w:i/>
        </w:rPr>
        <w:t>The Criminal Code</w:t>
      </w:r>
      <w:r>
        <w:t xml:space="preserve"> section 39 (which provides for the criminal liability of officers of a body corporate) applies to an offence under section 62(2) of this Act.</w:t>
      </w:r>
    </w:p>
    <w:p>
      <w:pPr>
        <w:pStyle w:val="Subsection"/>
      </w:pPr>
      <w:r>
        <w:tab/>
        <w:t>(2)</w:t>
      </w:r>
      <w:r>
        <w:tab/>
      </w:r>
      <w:r>
        <w:rPr>
          <w:i/>
        </w:rPr>
        <w:t>The Criminal Code</w:t>
      </w:r>
      <w:r>
        <w:t xml:space="preserve"> section 39 (which provides for the criminal liability of officers of a body corporate) applies to an offence under a provision of the </w:t>
      </w:r>
      <w:r>
        <w:rPr>
          <w:i/>
        </w:rPr>
        <w:t>Australian Consumer Law (WA)</w:t>
      </w:r>
      <w:r>
        <w:t xml:space="preserve"> listed in Table A.</w:t>
      </w:r>
    </w:p>
    <w:p>
      <w:pPr>
        <w:pStyle w:val="THeadingNAm"/>
      </w:pPr>
      <w:r>
        <w:t>Table A</w:t>
      </w:r>
    </w:p>
    <w:tbl>
      <w:tblPr>
        <w:tblW w:w="481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TableNAm"/>
              <w:keepNext/>
            </w:pPr>
            <w:r>
              <w:t>s. 157(1) and (2)</w:t>
            </w:r>
          </w:p>
        </w:tc>
        <w:tc>
          <w:tcPr>
            <w:tcW w:w="2410" w:type="dxa"/>
            <w:noWrap/>
          </w:tcPr>
          <w:p>
            <w:pPr>
              <w:pStyle w:val="TableNAm"/>
              <w:keepNext/>
            </w:pPr>
            <w:r>
              <w:t>s. 159(1) and (2)</w:t>
            </w:r>
          </w:p>
        </w:tc>
      </w:tr>
      <w:tr>
        <w:tc>
          <w:tcPr>
            <w:tcW w:w="2409" w:type="dxa"/>
            <w:noWrap/>
          </w:tcPr>
          <w:p>
            <w:pPr>
              <w:pStyle w:val="TableNAm"/>
            </w:pPr>
            <w:r>
              <w:t>s. 161(1), (3) and (4)</w:t>
            </w:r>
          </w:p>
        </w:tc>
        <w:tc>
          <w:tcPr>
            <w:tcW w:w="2410" w:type="dxa"/>
            <w:noWrap/>
          </w:tcPr>
          <w:p>
            <w:pPr>
              <w:pStyle w:val="TableNAm"/>
            </w:pPr>
            <w:r>
              <w:t>s. 163(1) and (2)</w:t>
            </w:r>
          </w:p>
        </w:tc>
      </w:tr>
      <w:tr>
        <w:tc>
          <w:tcPr>
            <w:tcW w:w="2409" w:type="dxa"/>
            <w:noWrap/>
          </w:tcPr>
          <w:p>
            <w:pPr>
              <w:pStyle w:val="TableNAm"/>
            </w:pPr>
            <w:r>
              <w:t>s. 164(1)</w:t>
            </w:r>
          </w:p>
        </w:tc>
        <w:tc>
          <w:tcPr>
            <w:tcW w:w="2410" w:type="dxa"/>
            <w:noWrap/>
          </w:tcPr>
          <w:p>
            <w:pPr>
              <w:pStyle w:val="TableNAm"/>
            </w:pPr>
            <w:r>
              <w:t>s. 166(1)</w:t>
            </w:r>
          </w:p>
        </w:tc>
      </w:tr>
      <w:tr>
        <w:tc>
          <w:tcPr>
            <w:tcW w:w="2409" w:type="dxa"/>
            <w:noWrap/>
          </w:tcPr>
          <w:p>
            <w:pPr>
              <w:pStyle w:val="TableNAm"/>
            </w:pPr>
            <w:r>
              <w:t>s. 167(1)</w:t>
            </w:r>
          </w:p>
        </w:tc>
        <w:tc>
          <w:tcPr>
            <w:tcW w:w="2410" w:type="dxa"/>
            <w:noWrap/>
          </w:tcPr>
          <w:p>
            <w:pPr>
              <w:pStyle w:val="TableNAm"/>
            </w:pPr>
            <w:r>
              <w:t>s. 169(1)</w:t>
            </w:r>
          </w:p>
        </w:tc>
      </w:tr>
      <w:tr>
        <w:tc>
          <w:tcPr>
            <w:tcW w:w="2409" w:type="dxa"/>
            <w:noWrap/>
          </w:tcPr>
          <w:p>
            <w:pPr>
              <w:pStyle w:val="TableNAm"/>
            </w:pPr>
            <w:r>
              <w:t>s. 170(1)</w:t>
            </w:r>
          </w:p>
        </w:tc>
        <w:tc>
          <w:tcPr>
            <w:tcW w:w="2410" w:type="dxa"/>
            <w:noWrap/>
          </w:tcPr>
          <w:p>
            <w:pPr>
              <w:pStyle w:val="TableNAm"/>
            </w:pPr>
            <w:r>
              <w:t>s. 171(1)</w:t>
            </w:r>
          </w:p>
        </w:tc>
      </w:tr>
      <w:tr>
        <w:tc>
          <w:tcPr>
            <w:tcW w:w="2409" w:type="dxa"/>
            <w:noWrap/>
          </w:tcPr>
          <w:p>
            <w:pPr>
              <w:pStyle w:val="TableNAm"/>
            </w:pPr>
            <w:r>
              <w:t>s. 173(1)</w:t>
            </w:r>
          </w:p>
        </w:tc>
        <w:tc>
          <w:tcPr>
            <w:tcW w:w="2410" w:type="dxa"/>
            <w:noWrap/>
          </w:tcPr>
          <w:p>
            <w:pPr>
              <w:pStyle w:val="TableNAm"/>
            </w:pPr>
            <w:r>
              <w:t>s. 176(1)</w:t>
            </w:r>
          </w:p>
        </w:tc>
      </w:tr>
      <w:tr>
        <w:tc>
          <w:tcPr>
            <w:tcW w:w="2409" w:type="dxa"/>
            <w:noWrap/>
          </w:tcPr>
          <w:p>
            <w:pPr>
              <w:pStyle w:val="TableNAm"/>
            </w:pPr>
            <w:r>
              <w:lastRenderedPageBreak/>
              <w:t>s. 177(1)</w:t>
            </w:r>
          </w:p>
        </w:tc>
        <w:tc>
          <w:tcPr>
            <w:tcW w:w="2410" w:type="dxa"/>
            <w:noWrap/>
          </w:tcPr>
          <w:p>
            <w:pPr>
              <w:pStyle w:val="TableNAm"/>
            </w:pPr>
            <w:r>
              <w:t>s. 178(1)</w:t>
            </w:r>
          </w:p>
        </w:tc>
      </w:tr>
      <w:tr>
        <w:tc>
          <w:tcPr>
            <w:tcW w:w="2409" w:type="dxa"/>
            <w:noWrap/>
          </w:tcPr>
          <w:p>
            <w:pPr>
              <w:pStyle w:val="TableNAm"/>
            </w:pPr>
            <w:r>
              <w:t>s. 179(1)</w:t>
            </w:r>
          </w:p>
        </w:tc>
        <w:tc>
          <w:tcPr>
            <w:tcW w:w="2410" w:type="dxa"/>
            <w:noWrap/>
          </w:tcPr>
          <w:p>
            <w:pPr>
              <w:pStyle w:val="TableNAm"/>
            </w:pPr>
            <w:r>
              <w:t>s. 180(1)</w:t>
            </w:r>
          </w:p>
        </w:tc>
      </w:tr>
      <w:tr>
        <w:tc>
          <w:tcPr>
            <w:tcW w:w="2409" w:type="dxa"/>
            <w:noWrap/>
          </w:tcPr>
          <w:p>
            <w:pPr>
              <w:pStyle w:val="TableNAm"/>
            </w:pPr>
            <w:r>
              <w:t>s. 181(1) and (2)</w:t>
            </w:r>
          </w:p>
        </w:tc>
        <w:tc>
          <w:tcPr>
            <w:tcW w:w="2410" w:type="dxa"/>
            <w:noWrap/>
          </w:tcPr>
          <w:p>
            <w:pPr>
              <w:pStyle w:val="TableNAm"/>
            </w:pPr>
            <w:r>
              <w:t>s. 182(1) and (2)</w:t>
            </w:r>
          </w:p>
        </w:tc>
      </w:tr>
      <w:tr>
        <w:tc>
          <w:tcPr>
            <w:tcW w:w="2409" w:type="dxa"/>
            <w:noWrap/>
          </w:tcPr>
          <w:p>
            <w:pPr>
              <w:pStyle w:val="TableNAm"/>
            </w:pPr>
            <w:r>
              <w:t>s. 183(1)</w:t>
            </w:r>
          </w:p>
        </w:tc>
        <w:tc>
          <w:tcPr>
            <w:tcW w:w="2410" w:type="dxa"/>
            <w:noWrap/>
          </w:tcPr>
          <w:p>
            <w:pPr>
              <w:pStyle w:val="TableNAm"/>
            </w:pPr>
            <w:r>
              <w:t>s. 188(1)</w:t>
            </w:r>
          </w:p>
        </w:tc>
      </w:tr>
      <w:tr>
        <w:tc>
          <w:tcPr>
            <w:tcW w:w="2409" w:type="dxa"/>
            <w:noWrap/>
          </w:tcPr>
          <w:p>
            <w:pPr>
              <w:pStyle w:val="TableNAm"/>
              <w:keepNext/>
            </w:pPr>
            <w:r>
              <w:t>s. 192(1)</w:t>
            </w:r>
          </w:p>
        </w:tc>
        <w:tc>
          <w:tcPr>
            <w:tcW w:w="2410" w:type="dxa"/>
            <w:noWrap/>
          </w:tcPr>
          <w:p>
            <w:pPr>
              <w:pStyle w:val="TableNAm"/>
            </w:pPr>
            <w:r>
              <w:t>s. 193(1)</w:t>
            </w:r>
          </w:p>
        </w:tc>
      </w:tr>
      <w:tr>
        <w:tc>
          <w:tcPr>
            <w:tcW w:w="2409" w:type="dxa"/>
            <w:noWrap/>
          </w:tcPr>
          <w:p>
            <w:pPr>
              <w:pStyle w:val="TableNAm"/>
            </w:pPr>
            <w:r>
              <w:t>s. 206(1)</w:t>
            </w:r>
          </w:p>
        </w:tc>
        <w:tc>
          <w:tcPr>
            <w:tcW w:w="2410" w:type="dxa"/>
            <w:noWrap/>
          </w:tcPr>
          <w:p>
            <w:pPr>
              <w:pStyle w:val="TableNAm"/>
            </w:pPr>
          </w:p>
        </w:tc>
      </w:tr>
    </w:tbl>
    <w:p>
      <w:pPr>
        <w:pStyle w:val="Subsection"/>
      </w:pPr>
      <w:r>
        <w:tab/>
        <w:t>(3)</w:t>
      </w:r>
      <w:r>
        <w:tab/>
      </w:r>
      <w:r>
        <w:rPr>
          <w:i/>
        </w:rPr>
        <w:t>The Criminal Code</w:t>
      </w:r>
      <w:r>
        <w:t xml:space="preserve"> section 41 (which provides for the criminal liability of officers of a body corporate) applies to an offence under a provision of the </w:t>
      </w:r>
      <w:r>
        <w:rPr>
          <w:i/>
        </w:rPr>
        <w:t>Australian Consumer Law (WA)</w:t>
      </w:r>
      <w:r>
        <w:t xml:space="preserve"> listed in Table B.</w:t>
      </w:r>
    </w:p>
    <w:p>
      <w:pPr>
        <w:pStyle w:val="THeadingNAm"/>
      </w:pPr>
      <w:r>
        <w:t>Table B</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151(1)</w:t>
            </w:r>
          </w:p>
        </w:tc>
        <w:tc>
          <w:tcPr>
            <w:tcW w:w="2410" w:type="dxa"/>
            <w:noWrap/>
          </w:tcPr>
          <w:p>
            <w:pPr>
              <w:pStyle w:val="TableNAm"/>
            </w:pPr>
            <w:r>
              <w:t>s. 152(1)</w:t>
            </w:r>
          </w:p>
        </w:tc>
      </w:tr>
      <w:tr>
        <w:trPr>
          <w:cantSplit/>
        </w:trPr>
        <w:tc>
          <w:tcPr>
            <w:tcW w:w="2409" w:type="dxa"/>
            <w:noWrap/>
          </w:tcPr>
          <w:p>
            <w:pPr>
              <w:pStyle w:val="TableNAm"/>
            </w:pPr>
            <w:r>
              <w:t>s. 153(1)</w:t>
            </w:r>
          </w:p>
        </w:tc>
        <w:tc>
          <w:tcPr>
            <w:tcW w:w="2410" w:type="dxa"/>
            <w:noWrap/>
          </w:tcPr>
          <w:p>
            <w:pPr>
              <w:pStyle w:val="TableNAm"/>
            </w:pPr>
            <w:r>
              <w:t>s. 155(1)</w:t>
            </w:r>
          </w:p>
        </w:tc>
      </w:tr>
      <w:tr>
        <w:trPr>
          <w:cantSplit/>
        </w:trPr>
        <w:tc>
          <w:tcPr>
            <w:tcW w:w="2409" w:type="dxa"/>
            <w:noWrap/>
          </w:tcPr>
          <w:p>
            <w:pPr>
              <w:pStyle w:val="TableNAm"/>
            </w:pPr>
            <w:r>
              <w:t>s. 156(1)</w:t>
            </w:r>
          </w:p>
        </w:tc>
        <w:tc>
          <w:tcPr>
            <w:tcW w:w="2410" w:type="dxa"/>
            <w:noWrap/>
          </w:tcPr>
          <w:p>
            <w:pPr>
              <w:pStyle w:val="TableNAm"/>
            </w:pPr>
            <w:r>
              <w:t>s. 158(1), (3), (5) and (7)</w:t>
            </w:r>
          </w:p>
        </w:tc>
      </w:tr>
      <w:tr>
        <w:trPr>
          <w:cantSplit/>
        </w:trPr>
        <w:tc>
          <w:tcPr>
            <w:tcW w:w="2409" w:type="dxa"/>
            <w:noWrap/>
          </w:tcPr>
          <w:p>
            <w:pPr>
              <w:pStyle w:val="TableNAm"/>
            </w:pPr>
            <w:r>
              <w:t>s. 162(1), (2) and (3)</w:t>
            </w:r>
          </w:p>
        </w:tc>
        <w:tc>
          <w:tcPr>
            <w:tcW w:w="2410" w:type="dxa"/>
            <w:noWrap/>
          </w:tcPr>
          <w:p>
            <w:pPr>
              <w:pStyle w:val="TableNAm"/>
            </w:pPr>
            <w:r>
              <w:t>s. 164(2)</w:t>
            </w:r>
          </w:p>
        </w:tc>
      </w:tr>
      <w:tr>
        <w:trPr>
          <w:cantSplit/>
        </w:trPr>
        <w:tc>
          <w:tcPr>
            <w:tcW w:w="2409" w:type="dxa"/>
            <w:noWrap/>
          </w:tcPr>
          <w:p>
            <w:pPr>
              <w:pStyle w:val="TableNAm"/>
              <w:keepNext/>
            </w:pPr>
            <w:r>
              <w:t>s. 168(1)</w:t>
            </w:r>
          </w:p>
        </w:tc>
        <w:tc>
          <w:tcPr>
            <w:tcW w:w="2410" w:type="dxa"/>
            <w:noWrap/>
          </w:tcPr>
          <w:p>
            <w:pPr>
              <w:pStyle w:val="TableNAm"/>
            </w:pPr>
            <w:r>
              <w:t>s. 172(1) and (2)</w:t>
            </w:r>
          </w:p>
        </w:tc>
      </w:tr>
      <w:tr>
        <w:trPr>
          <w:cantSplit/>
        </w:trPr>
        <w:tc>
          <w:tcPr>
            <w:tcW w:w="2409" w:type="dxa"/>
            <w:noWrap/>
          </w:tcPr>
          <w:p>
            <w:pPr>
              <w:pStyle w:val="TableNAm"/>
            </w:pPr>
            <w:r>
              <w:t>s. 174(1) and (2)</w:t>
            </w:r>
          </w:p>
        </w:tc>
        <w:tc>
          <w:tcPr>
            <w:tcW w:w="2410" w:type="dxa"/>
            <w:noWrap/>
          </w:tcPr>
          <w:p>
            <w:pPr>
              <w:pStyle w:val="TableNAm"/>
            </w:pPr>
            <w:r>
              <w:t>s. 175(1)</w:t>
            </w:r>
          </w:p>
        </w:tc>
      </w:tr>
      <w:tr>
        <w:trPr>
          <w:cantSplit/>
        </w:trPr>
        <w:tc>
          <w:tcPr>
            <w:tcW w:w="2409" w:type="dxa"/>
            <w:noWrap/>
          </w:tcPr>
          <w:p>
            <w:pPr>
              <w:pStyle w:val="TableNAm"/>
            </w:pPr>
            <w:r>
              <w:t>s. 194(1), (2), (3) and (5)</w:t>
            </w:r>
          </w:p>
        </w:tc>
        <w:tc>
          <w:tcPr>
            <w:tcW w:w="2410" w:type="dxa"/>
            <w:noWrap/>
          </w:tcPr>
          <w:p>
            <w:pPr>
              <w:pStyle w:val="TableNAm"/>
            </w:pPr>
            <w:r>
              <w:t>s. 195(1) and (2)</w:t>
            </w:r>
          </w:p>
        </w:tc>
      </w:tr>
      <w:tr>
        <w:trPr>
          <w:cantSplit/>
        </w:trPr>
        <w:tc>
          <w:tcPr>
            <w:tcW w:w="2409" w:type="dxa"/>
            <w:noWrap/>
          </w:tcPr>
          <w:p>
            <w:pPr>
              <w:pStyle w:val="TableNAm"/>
            </w:pPr>
            <w:r>
              <w:t>s. 197(1), (2), (3) and (5)</w:t>
            </w:r>
          </w:p>
        </w:tc>
        <w:tc>
          <w:tcPr>
            <w:tcW w:w="2410" w:type="dxa"/>
            <w:noWrap/>
          </w:tcPr>
          <w:p>
            <w:pPr>
              <w:pStyle w:val="TableNAm"/>
            </w:pPr>
            <w:r>
              <w:t>s. 198(1) and (2)</w:t>
            </w:r>
          </w:p>
        </w:tc>
      </w:tr>
      <w:tr>
        <w:trPr>
          <w:cantSplit/>
        </w:trPr>
        <w:tc>
          <w:tcPr>
            <w:tcW w:w="2409" w:type="dxa"/>
            <w:noWrap/>
          </w:tcPr>
          <w:p>
            <w:pPr>
              <w:pStyle w:val="TableNAm"/>
            </w:pPr>
            <w:r>
              <w:lastRenderedPageBreak/>
              <w:t>s. 199(1) and (2)</w:t>
            </w:r>
          </w:p>
        </w:tc>
        <w:tc>
          <w:tcPr>
            <w:tcW w:w="2410" w:type="dxa"/>
            <w:noWrap/>
          </w:tcPr>
          <w:p>
            <w:pPr>
              <w:pStyle w:val="TableNAm"/>
            </w:pPr>
            <w:r>
              <w:t>s. 200(1)</w:t>
            </w:r>
          </w:p>
        </w:tc>
      </w:tr>
      <w:tr>
        <w:trPr>
          <w:cantSplit/>
        </w:trPr>
        <w:tc>
          <w:tcPr>
            <w:tcW w:w="2409" w:type="dxa"/>
            <w:noWrap/>
          </w:tcPr>
          <w:p>
            <w:pPr>
              <w:pStyle w:val="TableNAm"/>
            </w:pPr>
            <w:r>
              <w:t>s. 203(1), (2) and (3)</w:t>
            </w:r>
          </w:p>
        </w:tc>
        <w:tc>
          <w:tcPr>
            <w:tcW w:w="2410" w:type="dxa"/>
            <w:noWrap/>
          </w:tcPr>
          <w:p>
            <w:pPr>
              <w:pStyle w:val="TableNAm"/>
            </w:pPr>
            <w:r>
              <w:t>s. 204(1) and (2)</w:t>
            </w:r>
          </w:p>
        </w:tc>
      </w:tr>
    </w:tbl>
    <w:p>
      <w:pPr>
        <w:pStyle w:val="Footnotesection"/>
      </w:pPr>
      <w:r>
        <w:tab/>
        <w:t>[Section 94A inserted: No. 9 of 2023 s. 68.]</w:t>
      </w:r>
    </w:p>
    <w:p>
      <w:pPr>
        <w:pStyle w:val="Heading5"/>
      </w:pPr>
      <w:bookmarkStart w:id="216" w:name="_Toc164757862"/>
      <w:r>
        <w:rPr>
          <w:rStyle w:val="CharSectno"/>
        </w:rPr>
        <w:t>95</w:t>
      </w:r>
      <w:r>
        <w:t>.</w:t>
      </w:r>
      <w:r>
        <w:tab/>
        <w:t>Vicarious liability of employers, principals and other persons</w:t>
      </w:r>
      <w:bookmarkEnd w:id="216"/>
    </w:p>
    <w:p>
      <w:pPr>
        <w:pStyle w:val="Ednotesubsection"/>
      </w:pPr>
      <w:r>
        <w:tab/>
        <w:t>[(1)-(3)</w:t>
      </w:r>
      <w:r>
        <w:tab/>
        <w:t>deleted]</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lastRenderedPageBreak/>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Footnotesection"/>
      </w:pPr>
      <w:r>
        <w:tab/>
        <w:t>[Section 95 amended: No. 9 of 2023 s. 69.]</w:t>
      </w:r>
    </w:p>
    <w:p>
      <w:pPr>
        <w:pStyle w:val="Heading5"/>
      </w:pPr>
      <w:bookmarkStart w:id="217" w:name="_Toc164757863"/>
      <w:r>
        <w:rPr>
          <w:rStyle w:val="CharSectno"/>
        </w:rPr>
        <w:t>96</w:t>
      </w:r>
      <w:r>
        <w:t>.</w:t>
      </w:r>
      <w:r>
        <w:tab/>
        <w:t>Defence: reasonable mistake of fact</w:t>
      </w:r>
      <w:bookmarkEnd w:id="217"/>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 xml:space="preserve">the accused has, not later than 7 days before the day on which the hearing of the proceeding commences, served on the person who instituted the proceeding a notice in </w:t>
      </w:r>
      <w:r>
        <w:lastRenderedPageBreak/>
        <w:t>writing giving whatever information the accused then had that would identify or assist in identifying the other person.</w:t>
      </w:r>
    </w:p>
    <w:p>
      <w:pPr>
        <w:pStyle w:val="Heading5"/>
        <w:spacing w:before="240"/>
      </w:pPr>
      <w:bookmarkStart w:id="218" w:name="_Toc164757864"/>
      <w:r>
        <w:rPr>
          <w:rStyle w:val="CharSectno"/>
        </w:rPr>
        <w:t>97</w:t>
      </w:r>
      <w:r>
        <w:t>.</w:t>
      </w:r>
      <w:r>
        <w:tab/>
        <w:t>Defences: accident, act or default of another etc.</w:t>
      </w:r>
      <w:bookmarkEnd w:id="218"/>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 xml:space="preserve">the accused has, not later than 7 days before the day on which the hearing of the proceeding commences, served on the person who instituted the proceeding a notice in writing giving whatever information the accused then </w:t>
      </w:r>
      <w:r>
        <w:lastRenderedPageBreak/>
        <w:t>had that would identify or assist in identifying the other person.</w:t>
      </w:r>
    </w:p>
    <w:p>
      <w:pPr>
        <w:pStyle w:val="Heading5"/>
      </w:pPr>
      <w:bookmarkStart w:id="219" w:name="_Toc164757865"/>
      <w:r>
        <w:rPr>
          <w:rStyle w:val="CharSectno"/>
        </w:rPr>
        <w:t>98</w:t>
      </w:r>
      <w:r>
        <w:t>.</w:t>
      </w:r>
      <w:r>
        <w:tab/>
        <w:t>Defence: publication of advertisements in ordinary course of business</w:t>
      </w:r>
      <w:bookmarkEnd w:id="219"/>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220" w:name="_Toc164682239"/>
      <w:bookmarkStart w:id="221" w:name="_Toc164682850"/>
      <w:bookmarkStart w:id="222" w:name="_Toc164757866"/>
      <w:r>
        <w:rPr>
          <w:rStyle w:val="CharDivNo"/>
        </w:rPr>
        <w:t>Division 3</w:t>
      </w:r>
      <w:r>
        <w:t> — </w:t>
      </w:r>
      <w:r>
        <w:rPr>
          <w:rStyle w:val="CharDivText"/>
        </w:rPr>
        <w:t>Civil proceedings</w:t>
      </w:r>
      <w:bookmarkEnd w:id="220"/>
      <w:bookmarkEnd w:id="221"/>
      <w:bookmarkEnd w:id="222"/>
    </w:p>
    <w:p>
      <w:pPr>
        <w:pStyle w:val="Heading5"/>
      </w:pPr>
      <w:bookmarkStart w:id="223" w:name="_Toc164757867"/>
      <w:r>
        <w:rPr>
          <w:rStyle w:val="CharSectno"/>
        </w:rPr>
        <w:t>99</w:t>
      </w:r>
      <w:r>
        <w:t>.</w:t>
      </w:r>
      <w:r>
        <w:tab/>
        <w:t>Injunctions to prevent or stop contraventions of Act</w:t>
      </w:r>
      <w:bookmarkEnd w:id="223"/>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lastRenderedPageBreak/>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224" w:name="_Toc164757868"/>
      <w:r>
        <w:rPr>
          <w:rStyle w:val="CharSectno"/>
        </w:rPr>
        <w:t>100</w:t>
      </w:r>
      <w:r>
        <w:t>.</w:t>
      </w:r>
      <w:r>
        <w:tab/>
        <w:t>Injunctions to prevent etc. other contraventions</w:t>
      </w:r>
      <w:bookmarkEnd w:id="224"/>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 xml:space="preserve">an order requiring that person or a person involved in the contravention to disclose, in the way and to the persons specified in the order, such information as is so </w:t>
      </w:r>
      <w:r>
        <w:lastRenderedPageBreak/>
        <w:t>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225" w:name="_Toc164757869"/>
      <w:r>
        <w:rPr>
          <w:rStyle w:val="CharSectno"/>
        </w:rPr>
        <w:t>101</w:t>
      </w:r>
      <w:r>
        <w:t>.</w:t>
      </w:r>
      <w:r>
        <w:tab/>
        <w:t>Injunctions, general provisions about</w:t>
      </w:r>
      <w:bookmarkEnd w:id="225"/>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226" w:name="_Toc164757870"/>
      <w:r>
        <w:rPr>
          <w:rStyle w:val="CharSectno"/>
        </w:rPr>
        <w:t>102</w:t>
      </w:r>
      <w:r>
        <w:t>.</w:t>
      </w:r>
      <w:r>
        <w:tab/>
        <w:t>Interim injunctions</w:t>
      </w:r>
      <w:bookmarkEnd w:id="226"/>
    </w:p>
    <w:p>
      <w:pPr>
        <w:pStyle w:val="Subsection"/>
      </w:pPr>
      <w:r>
        <w:tab/>
        <w:t>(1)</w:t>
      </w:r>
      <w:r>
        <w:tab/>
        <w:t>An interim injunction may be granted under this Division pending final determination of the application.</w:t>
      </w:r>
    </w:p>
    <w:p>
      <w:pPr>
        <w:pStyle w:val="Subsection"/>
      </w:pPr>
      <w:r>
        <w:tab/>
        <w:t>(2)</w:t>
      </w:r>
      <w:r>
        <w:tab/>
        <w:t xml:space="preserve">Where the Minister or the Commissioner makes an application to the Court for the grant of an injunction under this Division, the Court must not require the applicant or any other person, as </w:t>
      </w:r>
      <w:r>
        <w:lastRenderedPageBreak/>
        <w:t>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227" w:name="_Toc164757871"/>
      <w:r>
        <w:rPr>
          <w:rStyle w:val="CharSectno"/>
        </w:rPr>
        <w:t>103</w:t>
      </w:r>
      <w:r>
        <w:t>.</w:t>
      </w:r>
      <w:r>
        <w:tab/>
        <w:t>Final injunction may be granted if parties consent</w:t>
      </w:r>
      <w:bookmarkEnd w:id="227"/>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228" w:name="_Toc164757872"/>
      <w:r>
        <w:rPr>
          <w:rStyle w:val="CharSectno"/>
        </w:rPr>
        <w:t>104</w:t>
      </w:r>
      <w:r>
        <w:t>.</w:t>
      </w:r>
      <w:r>
        <w:tab/>
        <w:t>Injunction may be rescinded or varied</w:t>
      </w:r>
      <w:bookmarkEnd w:id="228"/>
    </w:p>
    <w:p>
      <w:pPr>
        <w:pStyle w:val="Subsection"/>
      </w:pPr>
      <w:r>
        <w:tab/>
      </w:r>
      <w:r>
        <w:tab/>
        <w:t>An injunction under this Division may be rescinded or varied at any time.</w:t>
      </w:r>
    </w:p>
    <w:p>
      <w:pPr>
        <w:pStyle w:val="Heading5"/>
      </w:pPr>
      <w:bookmarkStart w:id="229" w:name="_Toc164757873"/>
      <w:r>
        <w:rPr>
          <w:rStyle w:val="CharSectno"/>
        </w:rPr>
        <w:t>105</w:t>
      </w:r>
      <w:r>
        <w:t>.</w:t>
      </w:r>
      <w:r>
        <w:tab/>
        <w:t>Supreme and District Courts’ other powers in Part 7 proceedings</w:t>
      </w:r>
      <w:bookmarkEnd w:id="229"/>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lastRenderedPageBreak/>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 xml:space="preserve">an order directing the person who engaged in the conduct or a person who was involved in the contravention constituted by the conduct to refund </w:t>
      </w:r>
      <w:r>
        <w:lastRenderedPageBreak/>
        <w:t>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230" w:name="_Toc164757874"/>
      <w:r>
        <w:rPr>
          <w:rStyle w:val="CharSectno"/>
        </w:rPr>
        <w:t>106</w:t>
      </w:r>
      <w:r>
        <w:t>.</w:t>
      </w:r>
      <w:r>
        <w:tab/>
        <w:t>Supreme and District Courts’ powers to prohibit payments, transfers of property etc.</w:t>
      </w:r>
      <w:bookmarkEnd w:id="230"/>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lastRenderedPageBreak/>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lastRenderedPageBreak/>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 xml:space="preserve">an order prohibiting, either absolutely or subject to conditions, the taking, sending or transfer by any person </w:t>
      </w:r>
      <w:r>
        <w:lastRenderedPageBreak/>
        <w:t>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231" w:name="_Toc164757875"/>
      <w:r>
        <w:rPr>
          <w:rStyle w:val="CharSectno"/>
        </w:rPr>
        <w:t>107</w:t>
      </w:r>
      <w:r>
        <w:t>.</w:t>
      </w:r>
      <w:r>
        <w:tab/>
        <w:t>Contravening s. 106 order, offence</w:t>
      </w:r>
      <w:bookmarkEnd w:id="231"/>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232" w:name="_Toc164757876"/>
      <w:r>
        <w:rPr>
          <w:rStyle w:val="CharSectno"/>
        </w:rPr>
        <w:lastRenderedPageBreak/>
        <w:t>108</w:t>
      </w:r>
      <w:r>
        <w:t>.</w:t>
      </w:r>
      <w:r>
        <w:tab/>
        <w:t>Findings of fact or admissions in certain proceedings to be evidence in others</w:t>
      </w:r>
      <w:bookmarkEnd w:id="232"/>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233" w:name="_Toc164682250"/>
      <w:bookmarkStart w:id="234" w:name="_Toc164682861"/>
      <w:bookmarkStart w:id="235" w:name="_Toc164757877"/>
      <w:r>
        <w:rPr>
          <w:rStyle w:val="CharDivNo"/>
        </w:rPr>
        <w:t>Division 4</w:t>
      </w:r>
      <w:r>
        <w:t> — </w:t>
      </w:r>
      <w:r>
        <w:rPr>
          <w:rStyle w:val="CharDivText"/>
        </w:rPr>
        <w:t>Further provisions relating to proceedings</w:t>
      </w:r>
      <w:bookmarkEnd w:id="233"/>
      <w:bookmarkEnd w:id="234"/>
      <w:bookmarkEnd w:id="235"/>
    </w:p>
    <w:p>
      <w:pPr>
        <w:pStyle w:val="Heading5"/>
        <w:spacing w:before="180"/>
      </w:pPr>
      <w:bookmarkStart w:id="236" w:name="_Toc164757878"/>
      <w:r>
        <w:rPr>
          <w:rStyle w:val="CharSectno"/>
        </w:rPr>
        <w:t>109</w:t>
      </w:r>
      <w:r>
        <w:t>.</w:t>
      </w:r>
      <w:r>
        <w:tab/>
        <w:t>State of mind of person, meaning of in s. 110 and 111</w:t>
      </w:r>
      <w:bookmarkEnd w:id="236"/>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lastRenderedPageBreak/>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237" w:name="_Toc164757879"/>
      <w:r>
        <w:rPr>
          <w:rStyle w:val="CharSectno"/>
        </w:rPr>
        <w:t>110</w:t>
      </w:r>
      <w:r>
        <w:t>.</w:t>
      </w:r>
      <w:r>
        <w:tab/>
        <w:t>State of mind and conduct of body corporate, establishing</w:t>
      </w:r>
      <w:bookmarkEnd w:id="237"/>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238" w:name="_Toc164757880"/>
      <w:r>
        <w:rPr>
          <w:rStyle w:val="CharSectno"/>
        </w:rPr>
        <w:t>111</w:t>
      </w:r>
      <w:r>
        <w:t>.</w:t>
      </w:r>
      <w:r>
        <w:tab/>
        <w:t>State of mind and conduct of principal (not a body corporate), establishing</w:t>
      </w:r>
      <w:bookmarkEnd w:id="238"/>
    </w:p>
    <w:p>
      <w:pPr>
        <w:pStyle w:val="Subsection"/>
      </w:pPr>
      <w:r>
        <w:tab/>
        <w:t>(1)</w:t>
      </w:r>
      <w:r>
        <w:tab/>
        <w:t xml:space="preserve">Where, in a proceeding under this Part or the </w:t>
      </w:r>
      <w:r>
        <w:rPr>
          <w:i/>
          <w:iCs/>
        </w:rPr>
        <w:t>Australian Consumer Law (WA)</w:t>
      </w:r>
      <w:r>
        <w:t xml:space="preserve"> in respect of conduct that is engaged in by </w:t>
      </w:r>
      <w:r>
        <w:lastRenderedPageBreak/>
        <w:t xml:space="preserve">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239" w:name="_Toc164682254"/>
      <w:bookmarkStart w:id="240" w:name="_Toc164682865"/>
      <w:bookmarkStart w:id="241" w:name="_Toc164757881"/>
      <w:r>
        <w:rPr>
          <w:rStyle w:val="CharPartNo"/>
        </w:rPr>
        <w:lastRenderedPageBreak/>
        <w:t>Part 8</w:t>
      </w:r>
      <w:r>
        <w:rPr>
          <w:rStyle w:val="CharDivNo"/>
        </w:rPr>
        <w:t> </w:t>
      </w:r>
      <w:r>
        <w:t>—</w:t>
      </w:r>
      <w:r>
        <w:rPr>
          <w:rStyle w:val="CharDivText"/>
        </w:rPr>
        <w:t> </w:t>
      </w:r>
      <w:r>
        <w:rPr>
          <w:rStyle w:val="CharPartText"/>
        </w:rPr>
        <w:t>Miscellaneous</w:t>
      </w:r>
      <w:bookmarkEnd w:id="239"/>
      <w:bookmarkEnd w:id="240"/>
      <w:bookmarkEnd w:id="241"/>
    </w:p>
    <w:p>
      <w:pPr>
        <w:pStyle w:val="Heading5"/>
      </w:pPr>
      <w:bookmarkStart w:id="242" w:name="_Toc164757882"/>
      <w:r>
        <w:rPr>
          <w:rStyle w:val="CharSectno"/>
        </w:rPr>
        <w:t>112</w:t>
      </w:r>
      <w:r>
        <w:t>.</w:t>
      </w:r>
      <w:r>
        <w:tab/>
        <w:t>Personal information obtained officially, when may be divulged etc.</w:t>
      </w:r>
      <w:bookmarkEnd w:id="242"/>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lastRenderedPageBreak/>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243" w:name="_Toc164757883"/>
      <w:r>
        <w:rPr>
          <w:rStyle w:val="CharSectno"/>
        </w:rPr>
        <w:t>113</w:t>
      </w:r>
      <w:r>
        <w:t>.</w:t>
      </w:r>
      <w:r>
        <w:tab/>
        <w:t>Information obtained officially may be used for certain other purposes and legislation</w:t>
      </w:r>
      <w:bookmarkEnd w:id="243"/>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w:t>
      </w:r>
      <w:r>
        <w:lastRenderedPageBreak/>
        <w:t xml:space="preserve">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244" w:name="_Toc164757884"/>
      <w:r>
        <w:rPr>
          <w:rStyle w:val="CharSectno"/>
        </w:rPr>
        <w:t>114</w:t>
      </w:r>
      <w:r>
        <w:t>.</w:t>
      </w:r>
      <w:r>
        <w:tab/>
        <w:t>Protection from liability for wrongdoing</w:t>
      </w:r>
      <w:bookmarkEnd w:id="244"/>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245" w:name="_Toc164757885"/>
      <w:r>
        <w:rPr>
          <w:rStyle w:val="CharSectno"/>
        </w:rPr>
        <w:t>115</w:t>
      </w:r>
      <w:r>
        <w:t>.</w:t>
      </w:r>
      <w:r>
        <w:tab/>
        <w:t>Protection from liability for publishing official statements</w:t>
      </w:r>
      <w:bookmarkEnd w:id="245"/>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lastRenderedPageBreak/>
        <w:tab/>
        <w:t>(b)</w:t>
      </w:r>
      <w:r>
        <w:tab/>
        <w:t>a fair report or summary of a statement to which this section applies.</w:t>
      </w:r>
    </w:p>
    <w:p>
      <w:pPr>
        <w:pStyle w:val="Subsection"/>
      </w:pPr>
      <w:r>
        <w:tab/>
        <w:t>(4)</w:t>
      </w:r>
      <w:r>
        <w:tab/>
        <w:t>Nothing in this section limits section 114.</w:t>
      </w:r>
    </w:p>
    <w:p>
      <w:pPr>
        <w:pStyle w:val="Heading5"/>
      </w:pPr>
      <w:bookmarkStart w:id="246" w:name="_Toc164757886"/>
      <w:r>
        <w:rPr>
          <w:rStyle w:val="CharSectno"/>
        </w:rPr>
        <w:t>116</w:t>
      </w:r>
      <w:r>
        <w:t>.</w:t>
      </w:r>
      <w:r>
        <w:tab/>
        <w:t>Regulations</w:t>
      </w:r>
      <w:bookmarkEnd w:id="2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247" w:name="_Toc164682260"/>
      <w:bookmarkStart w:id="248" w:name="_Toc164682871"/>
      <w:bookmarkStart w:id="249" w:name="_Toc164757887"/>
      <w:r>
        <w:rPr>
          <w:rStyle w:val="CharPartNo"/>
        </w:rPr>
        <w:lastRenderedPageBreak/>
        <w:t>Part 9</w:t>
      </w:r>
      <w:r>
        <w:rPr>
          <w:rStyle w:val="CharDivNo"/>
        </w:rPr>
        <w:t> </w:t>
      </w:r>
      <w:r>
        <w:t>—</w:t>
      </w:r>
      <w:r>
        <w:rPr>
          <w:rStyle w:val="CharDivText"/>
        </w:rPr>
        <w:t> </w:t>
      </w:r>
      <w:r>
        <w:rPr>
          <w:rStyle w:val="CharPartText"/>
        </w:rPr>
        <w:t>Transitional provisions</w:t>
      </w:r>
      <w:bookmarkEnd w:id="247"/>
      <w:bookmarkEnd w:id="248"/>
      <w:bookmarkEnd w:id="249"/>
    </w:p>
    <w:p>
      <w:pPr>
        <w:pStyle w:val="Heading5"/>
      </w:pPr>
      <w:bookmarkStart w:id="250" w:name="_Toc164757888"/>
      <w:r>
        <w:rPr>
          <w:rStyle w:val="CharSectno"/>
        </w:rPr>
        <w:t>117</w:t>
      </w:r>
      <w:r>
        <w:t>.</w:t>
      </w:r>
      <w:r>
        <w:tab/>
        <w:t>Regulations for transitional matters</w:t>
      </w:r>
      <w:bookmarkEnd w:id="250"/>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lastRenderedPageBreak/>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251" w:name="_Toc164757889"/>
      <w:r>
        <w:rPr>
          <w:rStyle w:val="CharSectno"/>
        </w:rPr>
        <w:t>118</w:t>
      </w:r>
      <w:r>
        <w:t>.</w:t>
      </w:r>
      <w:r>
        <w:tab/>
      </w:r>
      <w:r>
        <w:rPr>
          <w:i/>
          <w:iCs/>
        </w:rPr>
        <w:t>Fair Trading (Product Information Standard) Regulation 2005</w:t>
      </w:r>
      <w:r>
        <w:t xml:space="preserve"> Part 4 (builders plates for recreational vessels), continuation of</w:t>
      </w:r>
      <w:bookmarkEnd w:id="251"/>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252" w:name="_Toc164757890"/>
      <w:r>
        <w:rPr>
          <w:rStyle w:val="CharSectno"/>
        </w:rPr>
        <w:t>119</w:t>
      </w:r>
      <w:r>
        <w:t>.</w:t>
      </w:r>
      <w:r>
        <w:tab/>
        <w:t>Orders made before 1 Jan 2011 recalling defective goods etc., effect of</w:t>
      </w:r>
      <w:bookmarkEnd w:id="252"/>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253" w:name="_Toc164757891"/>
      <w:r>
        <w:rPr>
          <w:rStyle w:val="CharSectno"/>
        </w:rPr>
        <w:lastRenderedPageBreak/>
        <w:t>120</w:t>
      </w:r>
      <w:r>
        <w:t>.</w:t>
      </w:r>
      <w:r>
        <w:tab/>
        <w:t>Delegations made before 1 Jan 2011, effect of</w:t>
      </w:r>
      <w:bookmarkEnd w:id="253"/>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254" w:name="_Toc164757892"/>
      <w:r>
        <w:rPr>
          <w:rStyle w:val="CharSectno"/>
        </w:rPr>
        <w:t>121</w:t>
      </w:r>
      <w:r>
        <w:t>.</w:t>
      </w:r>
      <w:r>
        <w:tab/>
      </w:r>
      <w:r>
        <w:rPr>
          <w:i/>
          <w:iCs/>
        </w:rPr>
        <w:t>Interpretation Act 1984</w:t>
      </w:r>
      <w:r>
        <w:rPr>
          <w:iCs/>
        </w:rPr>
        <w:t>,</w:t>
      </w:r>
      <w:r>
        <w:t xml:space="preserve"> application of to expiring Acts</w:t>
      </w:r>
      <w:bookmarkEnd w:id="254"/>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78"/>
        </w:sectPr>
      </w:pPr>
    </w:p>
    <w:p>
      <w:pPr>
        <w:pStyle w:val="yScheduleHeading"/>
      </w:pPr>
      <w:bookmarkStart w:id="255" w:name="_Toc164682266"/>
      <w:bookmarkStart w:id="256" w:name="_Toc164682877"/>
      <w:bookmarkStart w:id="257" w:name="_Toc164757893"/>
      <w:r>
        <w:rPr>
          <w:rStyle w:val="CharSchNo"/>
        </w:rPr>
        <w:lastRenderedPageBreak/>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255"/>
      <w:bookmarkEnd w:id="256"/>
      <w:bookmarkEnd w:id="257"/>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
        </w:rPr>
      </w:pPr>
      <w:r>
        <w:rPr>
          <w:i/>
        </w:rPr>
        <w:t>Trade Measurement Act 2006</w:t>
      </w:r>
    </w:p>
    <w:p>
      <w:pPr>
        <w:pStyle w:val="yMiscellaneousBody"/>
        <w:rPr>
          <w:i/>
        </w:rPr>
      </w:pPr>
      <w:r>
        <w:rPr>
          <w:i/>
        </w:rPr>
        <w:t>Veterinary Chemical Control and Animal Feeding Stuffs Act 1976</w:t>
      </w:r>
    </w:p>
    <w:p>
      <w:pPr>
        <w:pStyle w:val="yMiscellaneousBody"/>
      </w:pPr>
      <w:r>
        <w:rPr>
          <w:i/>
        </w:rPr>
        <w:t>Work Health and Safety Act 2020</w:t>
      </w:r>
    </w:p>
    <w:p>
      <w:pPr>
        <w:pStyle w:val="Footnotesection"/>
        <w:rPr>
          <w:sz w:val="22"/>
          <w:szCs w:val="22"/>
        </w:rPr>
      </w:pPr>
      <w:r>
        <w:rPr>
          <w:sz w:val="22"/>
          <w:szCs w:val="22"/>
        </w:rPr>
        <w:tab/>
        <w:t>[Schedule 1 amended: No. 24 of 2007 s. 23, 29, 61, 64, 75 and 86 (as amended: No. 58 of 2010 s. 192(1)-(6) and (8)); No. 8 of 2012 s. 103; No. 13 of 2014 s. 185; No. 19 of 2016 s. 138; No. 50 of 2016 s. 22; No. 36 of 2020 s. 354.]</w:t>
      </w:r>
    </w:p>
    <w:p>
      <w:pPr>
        <w:pStyle w:val="yScheduleHeading"/>
      </w:pPr>
      <w:bookmarkStart w:id="258" w:name="_Toc164682267"/>
      <w:bookmarkStart w:id="259" w:name="_Toc164682878"/>
      <w:bookmarkStart w:id="260" w:name="_Toc164757894"/>
      <w:r>
        <w:rPr>
          <w:rStyle w:val="CharSchNo"/>
        </w:rPr>
        <w:lastRenderedPageBreak/>
        <w:t>Schedule 2</w:t>
      </w:r>
      <w:r>
        <w:t> — </w:t>
      </w:r>
      <w:r>
        <w:rPr>
          <w:rStyle w:val="CharSchText"/>
        </w:rPr>
        <w:t>Registration Acts</w:t>
      </w:r>
      <w:bookmarkEnd w:id="258"/>
      <w:bookmarkEnd w:id="259"/>
      <w:bookmarkEnd w:id="260"/>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78"/>
        </w:sectPr>
      </w:pPr>
    </w:p>
    <w:p>
      <w:pPr>
        <w:pStyle w:val="nHeading2"/>
      </w:pPr>
      <w:bookmarkStart w:id="262" w:name="_Toc164682268"/>
      <w:bookmarkStart w:id="263" w:name="_Toc164682879"/>
      <w:bookmarkStart w:id="264" w:name="_Toc164757895"/>
      <w:r>
        <w:lastRenderedPageBreak/>
        <w:t>Notes</w:t>
      </w:r>
      <w:bookmarkEnd w:id="262"/>
      <w:bookmarkEnd w:id="263"/>
      <w:bookmarkEnd w:id="264"/>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5" w:name="_Toc164757896"/>
      <w:r>
        <w:t>Compilation table</w:t>
      </w:r>
      <w:bookmarkEnd w:id="265"/>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lastRenderedPageBreak/>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nil"/>
              <w:right w:val="nil"/>
            </w:tcBorders>
          </w:tcPr>
          <w:p>
            <w:pPr>
              <w:pStyle w:val="nTable"/>
              <w:spacing w:after="40"/>
              <w:rPr>
                <w:i/>
              </w:rPr>
            </w:pPr>
            <w:r>
              <w:rPr>
                <w:i/>
              </w:rPr>
              <w:t>Fair Trading Amendment Act 2019</w:t>
            </w:r>
          </w:p>
        </w:tc>
        <w:tc>
          <w:tcPr>
            <w:tcW w:w="1134" w:type="dxa"/>
            <w:tcBorders>
              <w:top w:val="nil"/>
              <w:bottom w:val="nil"/>
              <w:right w:val="nil"/>
            </w:tcBorders>
          </w:tcPr>
          <w:p>
            <w:pPr>
              <w:pStyle w:val="nTable"/>
              <w:spacing w:after="40"/>
            </w:pPr>
            <w:r>
              <w:t>26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25 Oct 2019 (see s. 2(b))</w:t>
            </w:r>
          </w:p>
        </w:tc>
      </w:tr>
      <w:tr>
        <w:trPr>
          <w:cantSplit/>
        </w:trPr>
        <w:tc>
          <w:tcPr>
            <w:tcW w:w="2268" w:type="dxa"/>
            <w:tcBorders>
              <w:top w:val="nil"/>
              <w:bottom w:val="nil"/>
              <w:right w:val="nil"/>
            </w:tcBorders>
          </w:tcPr>
          <w:p>
            <w:pPr>
              <w:pStyle w:val="nTable"/>
              <w:spacing w:after="40"/>
              <w:rPr>
                <w:i/>
              </w:rPr>
            </w:pPr>
            <w:r>
              <w:rPr>
                <w:i/>
              </w:rPr>
              <w:t xml:space="preserve">Work Health and Safety Act 2020 </w:t>
            </w:r>
            <w:r>
              <w:t>Pt. 15 Div. 4 Subdiv. 3</w:t>
            </w:r>
          </w:p>
        </w:tc>
        <w:tc>
          <w:tcPr>
            <w:tcW w:w="1134" w:type="dxa"/>
            <w:tcBorders>
              <w:top w:val="nil"/>
              <w:bottom w:val="nil"/>
              <w:right w:val="nil"/>
            </w:tcBorders>
          </w:tcPr>
          <w:p>
            <w:pPr>
              <w:pStyle w:val="nTable"/>
              <w:spacing w:after="40"/>
            </w:pPr>
            <w:r>
              <w:t>36 of 2020</w:t>
            </w:r>
          </w:p>
        </w:tc>
        <w:tc>
          <w:tcPr>
            <w:tcW w:w="1136" w:type="dxa"/>
            <w:tcBorders>
              <w:top w:val="nil"/>
              <w:bottom w:val="nil"/>
              <w:right w:val="nil"/>
            </w:tcBorders>
          </w:tcPr>
          <w:p>
            <w:pPr>
              <w:pStyle w:val="nTable"/>
              <w:spacing w:after="40"/>
            </w:pPr>
            <w:r>
              <w:t>10 Nov 2020</w:t>
            </w:r>
          </w:p>
        </w:tc>
        <w:tc>
          <w:tcPr>
            <w:tcW w:w="2552" w:type="dxa"/>
            <w:tcBorders>
              <w:top w:val="nil"/>
              <w:left w:val="nil"/>
              <w:bottom w:val="nil"/>
            </w:tcBorders>
          </w:tcPr>
          <w:p>
            <w:pPr>
              <w:pStyle w:val="nTable"/>
              <w:spacing w:after="40"/>
              <w:rPr>
                <w:snapToGrid w:val="0"/>
              </w:rPr>
            </w:pPr>
            <w:r>
              <w:rPr>
                <w:snapToGrid w:val="0"/>
              </w:rPr>
              <w:t>31 Mar 2022 (see s. 2(1)(c) and SL 2022/18 cl. 2)</w:t>
            </w:r>
          </w:p>
        </w:tc>
      </w:tr>
      <w:tr>
        <w:trPr>
          <w:cantSplit/>
        </w:trPr>
        <w:tc>
          <w:tcPr>
            <w:tcW w:w="2268" w:type="dxa"/>
            <w:tcBorders>
              <w:top w:val="nil"/>
              <w:bottom w:val="nil"/>
              <w:right w:val="nil"/>
            </w:tcBorders>
          </w:tcPr>
          <w:p>
            <w:pPr>
              <w:pStyle w:val="nTable"/>
              <w:spacing w:after="40"/>
              <w:rPr>
                <w:i/>
              </w:rPr>
            </w:pPr>
            <w:r>
              <w:rPr>
                <w:i/>
                <w:snapToGrid w:val="0"/>
              </w:rPr>
              <w:t>Legal Profession Uniform Law Application Act 2022</w:t>
            </w:r>
            <w:r>
              <w:rPr>
                <w:snapToGrid w:val="0"/>
              </w:rPr>
              <w:t xml:space="preserve"> s. 424</w:t>
            </w:r>
          </w:p>
        </w:tc>
        <w:tc>
          <w:tcPr>
            <w:tcW w:w="1134" w:type="dxa"/>
            <w:tcBorders>
              <w:top w:val="nil"/>
              <w:bottom w:val="nil"/>
              <w:right w:val="nil"/>
            </w:tcBorders>
          </w:tcPr>
          <w:p>
            <w:pPr>
              <w:pStyle w:val="nTable"/>
              <w:spacing w:after="40"/>
            </w:pPr>
            <w:r>
              <w:rPr>
                <w:snapToGrid w:val="0"/>
              </w:rPr>
              <w:t>9 of 2022</w:t>
            </w:r>
          </w:p>
        </w:tc>
        <w:tc>
          <w:tcPr>
            <w:tcW w:w="1136" w:type="dxa"/>
            <w:tcBorders>
              <w:top w:val="nil"/>
              <w:bottom w:val="nil"/>
              <w:right w:val="nil"/>
            </w:tcBorders>
          </w:tcPr>
          <w:p>
            <w:pPr>
              <w:pStyle w:val="nTable"/>
              <w:spacing w:after="40"/>
            </w:pPr>
            <w:r>
              <w:rPr>
                <w:snapToGrid w:val="0"/>
              </w:rPr>
              <w:t>14 Apr 2022</w:t>
            </w:r>
          </w:p>
        </w:tc>
        <w:tc>
          <w:tcPr>
            <w:tcW w:w="2552" w:type="dxa"/>
            <w:tcBorders>
              <w:top w:val="nil"/>
              <w:left w:val="nil"/>
              <w:bottom w:val="nil"/>
            </w:tcBorders>
          </w:tcPr>
          <w:p>
            <w:pPr>
              <w:pStyle w:val="nTable"/>
              <w:spacing w:after="40"/>
              <w:rPr>
                <w:snapToGrid w:val="0"/>
              </w:rPr>
            </w:pPr>
            <w:r>
              <w:rPr>
                <w:snapToGrid w:val="0"/>
                <w:spacing w:val="-2"/>
              </w:rPr>
              <w:t>1 Jul 2022 (see s. 2(c) and SL 2022/113 cl. 2)</w:t>
            </w:r>
          </w:p>
        </w:tc>
      </w:tr>
      <w:tr>
        <w:trPr>
          <w:cantSplit/>
        </w:trPr>
        <w:tc>
          <w:tcPr>
            <w:tcW w:w="2268" w:type="dxa"/>
            <w:tcBorders>
              <w:top w:val="nil"/>
              <w:bottom w:val="nil"/>
              <w:right w:val="nil"/>
            </w:tcBorders>
          </w:tcPr>
          <w:p>
            <w:pPr>
              <w:pStyle w:val="nTable"/>
              <w:spacing w:after="40"/>
              <w:rPr>
                <w:i/>
                <w:snapToGrid w:val="0"/>
              </w:rPr>
            </w:pPr>
            <w:r>
              <w:rPr>
                <w:i/>
              </w:rPr>
              <w:t>Fair Trading Amendment Act 2022</w:t>
            </w:r>
          </w:p>
        </w:tc>
        <w:tc>
          <w:tcPr>
            <w:tcW w:w="1134" w:type="dxa"/>
            <w:tcBorders>
              <w:top w:val="nil"/>
              <w:bottom w:val="nil"/>
              <w:right w:val="nil"/>
            </w:tcBorders>
          </w:tcPr>
          <w:p>
            <w:pPr>
              <w:pStyle w:val="nTable"/>
              <w:spacing w:after="40"/>
              <w:rPr>
                <w:snapToGrid w:val="0"/>
              </w:rPr>
            </w:pPr>
            <w:r>
              <w:rPr>
                <w:snapToGrid w:val="0"/>
              </w:rPr>
              <w:t>34 of 2022</w:t>
            </w:r>
          </w:p>
        </w:tc>
        <w:tc>
          <w:tcPr>
            <w:tcW w:w="1136" w:type="dxa"/>
            <w:tcBorders>
              <w:top w:val="nil"/>
              <w:bottom w:val="nil"/>
              <w:right w:val="nil"/>
            </w:tcBorders>
          </w:tcPr>
          <w:p>
            <w:pPr>
              <w:pStyle w:val="nTable"/>
              <w:spacing w:after="40"/>
              <w:rPr>
                <w:snapToGrid w:val="0"/>
              </w:rPr>
            </w:pPr>
            <w:r>
              <w:rPr>
                <w:snapToGrid w:val="0"/>
              </w:rPr>
              <w:t>28 Oct 2022</w:t>
            </w:r>
          </w:p>
        </w:tc>
        <w:tc>
          <w:tcPr>
            <w:tcW w:w="2552" w:type="dxa"/>
            <w:tcBorders>
              <w:top w:val="nil"/>
              <w:left w:val="nil"/>
              <w:bottom w:val="nil"/>
            </w:tcBorders>
          </w:tcPr>
          <w:p>
            <w:pPr>
              <w:pStyle w:val="nTable"/>
              <w:spacing w:after="40"/>
              <w:rPr>
                <w:snapToGrid w:val="0"/>
                <w:spacing w:val="-2"/>
              </w:rPr>
            </w:pPr>
            <w:r>
              <w:rPr>
                <w:snapToGrid w:val="0"/>
                <w:spacing w:val="-2"/>
              </w:rPr>
              <w:t>s. 1 and 2: 28 Oct 2022 (see s. 2(a));</w:t>
            </w:r>
            <w:r>
              <w:rPr>
                <w:snapToGrid w:val="0"/>
                <w:spacing w:val="-2"/>
              </w:rPr>
              <w:br/>
              <w:t>Act other than s. 1 and 2: 29 Oct 2022 (see s. 2(b))</w:t>
            </w:r>
          </w:p>
        </w:tc>
      </w:tr>
      <w:tr>
        <w:trPr>
          <w:cantSplit/>
        </w:trPr>
        <w:tc>
          <w:tcPr>
            <w:tcW w:w="2268" w:type="dxa"/>
            <w:tcBorders>
              <w:top w:val="nil"/>
              <w:bottom w:val="single" w:sz="4" w:space="0" w:color="auto"/>
              <w:right w:val="nil"/>
            </w:tcBorders>
          </w:tcPr>
          <w:p>
            <w:pPr>
              <w:pStyle w:val="nTable"/>
              <w:spacing w:after="40"/>
              <w:rPr>
                <w:i/>
              </w:rPr>
            </w:pPr>
            <w:r>
              <w:rPr>
                <w:i/>
              </w:rPr>
              <w:t>Directors’ Liability Reform Act 2023</w:t>
            </w:r>
            <w:r>
              <w:t xml:space="preserve"> Pt. 3 Div. 26</w:t>
            </w:r>
          </w:p>
        </w:tc>
        <w:tc>
          <w:tcPr>
            <w:tcW w:w="1134" w:type="dxa"/>
            <w:tcBorders>
              <w:top w:val="nil"/>
              <w:bottom w:val="single" w:sz="4" w:space="0" w:color="auto"/>
              <w:right w:val="nil"/>
            </w:tcBorders>
          </w:tcPr>
          <w:p>
            <w:pPr>
              <w:pStyle w:val="nTable"/>
              <w:spacing w:after="40"/>
              <w:rPr>
                <w:snapToGrid w:val="0"/>
              </w:rPr>
            </w:pPr>
            <w:r>
              <w:t>9 of 2023</w:t>
            </w:r>
          </w:p>
        </w:tc>
        <w:tc>
          <w:tcPr>
            <w:tcW w:w="1136" w:type="dxa"/>
            <w:tcBorders>
              <w:top w:val="nil"/>
              <w:bottom w:val="single" w:sz="4" w:space="0" w:color="auto"/>
              <w:right w:val="nil"/>
            </w:tcBorders>
          </w:tcPr>
          <w:p>
            <w:pPr>
              <w:pStyle w:val="nTable"/>
              <w:spacing w:after="40"/>
              <w:rPr>
                <w:snapToGrid w:val="0"/>
              </w:rPr>
            </w:pPr>
            <w:r>
              <w:t>4 Apr 2023</w:t>
            </w:r>
          </w:p>
        </w:tc>
        <w:tc>
          <w:tcPr>
            <w:tcW w:w="2552" w:type="dxa"/>
            <w:tcBorders>
              <w:top w:val="nil"/>
              <w:left w:val="nil"/>
              <w:bottom w:val="single" w:sz="4" w:space="0" w:color="auto"/>
            </w:tcBorders>
          </w:tcPr>
          <w:p>
            <w:pPr>
              <w:pStyle w:val="nTable"/>
              <w:spacing w:after="40"/>
              <w:rPr>
                <w:snapToGrid w:val="0"/>
                <w:spacing w:val="-2"/>
              </w:rPr>
            </w:pPr>
            <w:r>
              <w:t>5 Apr 2023 (see s. 2(j))</w:t>
            </w:r>
          </w:p>
        </w:tc>
      </w:tr>
    </w:tbl>
    <w:p>
      <w:pPr>
        <w:pStyle w:val="nHeading3"/>
      </w:pPr>
      <w:bookmarkStart w:id="266" w:name="_Toc164757897"/>
      <w:r>
        <w:t>Uncommenced provisions table</w:t>
      </w:r>
      <w:bookmarkEnd w:id="266"/>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nil"/>
            </w:tcBorders>
          </w:tcPr>
          <w:p>
            <w:pPr>
              <w:pStyle w:val="nTable"/>
              <w:spacing w:after="40"/>
              <w:rPr>
                <w:i/>
                <w:snapToGrid w:val="0"/>
              </w:rPr>
            </w:pPr>
            <w:r>
              <w:rPr>
                <w:i/>
                <w:snapToGrid w:val="0"/>
              </w:rPr>
              <w:lastRenderedPageBreak/>
              <w:t>Public Health (Consequential Provisions) Act 2016</w:t>
            </w:r>
            <w:r>
              <w:rPr>
                <w:snapToGrid w:val="0"/>
              </w:rPr>
              <w:t xml:space="preserve"> Pt. 5 Div. 7</w:t>
            </w:r>
          </w:p>
        </w:tc>
        <w:tc>
          <w:tcPr>
            <w:tcW w:w="1139" w:type="dxa"/>
            <w:tcBorders>
              <w:top w:val="nil"/>
              <w:bottom w:val="nil"/>
            </w:tcBorders>
          </w:tcPr>
          <w:p>
            <w:pPr>
              <w:pStyle w:val="nTable"/>
              <w:spacing w:after="40"/>
              <w:rPr>
                <w:snapToGrid w:val="0"/>
              </w:rPr>
            </w:pPr>
            <w:r>
              <w:rPr>
                <w:snapToGrid w:val="0"/>
              </w:rPr>
              <w:t>19 of 2016</w:t>
            </w:r>
          </w:p>
        </w:tc>
        <w:tc>
          <w:tcPr>
            <w:tcW w:w="1138" w:type="dxa"/>
            <w:tcBorders>
              <w:top w:val="nil"/>
              <w:bottom w:val="nil"/>
            </w:tcBorders>
          </w:tcPr>
          <w:p>
            <w:pPr>
              <w:pStyle w:val="nTable"/>
              <w:spacing w:after="40"/>
              <w:rPr>
                <w:snapToGrid w:val="0"/>
              </w:rPr>
            </w:pPr>
            <w:r>
              <w:rPr>
                <w:snapToGrid w:val="0"/>
              </w:rPr>
              <w:t>25 Jul 2016</w:t>
            </w:r>
          </w:p>
        </w:tc>
        <w:tc>
          <w:tcPr>
            <w:tcW w:w="2621" w:type="dxa"/>
            <w:tcBorders>
              <w:top w:val="nil"/>
              <w:bottom w:val="nil"/>
            </w:tcBorders>
          </w:tcPr>
          <w:p>
            <w:pPr>
              <w:pStyle w:val="nTable"/>
              <w:spacing w:after="40"/>
              <w:rPr>
                <w:snapToGrid w:val="0"/>
              </w:rPr>
            </w:pPr>
            <w:r>
              <w:rPr>
                <w:snapToGrid w:val="0"/>
              </w:rPr>
              <w:t>To be proclaimed (see s. 2(1)(c))</w:t>
            </w:r>
          </w:p>
        </w:tc>
      </w:tr>
      <w:tr>
        <w:trPr>
          <w:cantSplit/>
        </w:trPr>
        <w:tc>
          <w:tcPr>
            <w:tcW w:w="2278" w:type="dxa"/>
            <w:tcBorders>
              <w:top w:val="nil"/>
              <w:bottom w:val="single" w:sz="4" w:space="0" w:color="auto"/>
            </w:tcBorders>
          </w:tcPr>
          <w:p>
            <w:pPr>
              <w:pStyle w:val="nTable"/>
              <w:spacing w:after="40"/>
              <w:rPr>
                <w:iCs/>
                <w:snapToGrid w:val="0"/>
              </w:rPr>
            </w:pPr>
            <w:r>
              <w:rPr>
                <w:i/>
                <w:snapToGrid w:val="0"/>
              </w:rPr>
              <w:t>Short-Term Rental Accommodation Act 2024</w:t>
            </w:r>
            <w:r>
              <w:rPr>
                <w:iCs/>
                <w:snapToGrid w:val="0"/>
              </w:rPr>
              <w:t xml:space="preserve"> Pt. 8</w:t>
            </w:r>
          </w:p>
        </w:tc>
        <w:tc>
          <w:tcPr>
            <w:tcW w:w="1139" w:type="dxa"/>
            <w:tcBorders>
              <w:top w:val="nil"/>
              <w:bottom w:val="single" w:sz="4" w:space="0" w:color="auto"/>
            </w:tcBorders>
          </w:tcPr>
          <w:p>
            <w:pPr>
              <w:pStyle w:val="nTable"/>
              <w:spacing w:after="40"/>
              <w:rPr>
                <w:snapToGrid w:val="0"/>
              </w:rPr>
            </w:pPr>
            <w:r>
              <w:rPr>
                <w:snapToGrid w:val="0"/>
              </w:rPr>
              <w:t>12 of 2024</w:t>
            </w:r>
          </w:p>
        </w:tc>
        <w:tc>
          <w:tcPr>
            <w:tcW w:w="1138" w:type="dxa"/>
            <w:tcBorders>
              <w:top w:val="nil"/>
              <w:bottom w:val="single" w:sz="4" w:space="0" w:color="auto"/>
            </w:tcBorders>
          </w:tcPr>
          <w:p>
            <w:pPr>
              <w:pStyle w:val="nTable"/>
              <w:spacing w:after="40"/>
              <w:rPr>
                <w:snapToGrid w:val="0"/>
              </w:rPr>
            </w:pPr>
            <w:r>
              <w:rPr>
                <w:snapToGrid w:val="0"/>
              </w:rPr>
              <w:t>22 Apr 2024</w:t>
            </w:r>
          </w:p>
        </w:tc>
        <w:tc>
          <w:tcPr>
            <w:tcW w:w="2621" w:type="dxa"/>
            <w:tcBorders>
              <w:top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267" w:name="_Toc164757898"/>
      <w:r>
        <w:t>Other notes</w:t>
      </w:r>
      <w:bookmarkEnd w:id="267"/>
    </w:p>
    <w:p>
      <w:pPr>
        <w:pStyle w:val="nNote"/>
        <w:spacing w:before="160"/>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269" w:name="_Toc164682272"/>
      <w:bookmarkStart w:id="270" w:name="_Toc164682883"/>
      <w:bookmarkStart w:id="271" w:name="_Toc164757899"/>
      <w:r>
        <w:rPr>
          <w:rStyle w:val="CharSchNo"/>
        </w:rPr>
        <w:lastRenderedPageBreak/>
        <w:t>Note</w:t>
      </w:r>
      <w:r>
        <w:t> — </w:t>
      </w:r>
      <w:r>
        <w:rPr>
          <w:rStyle w:val="CharSchText"/>
        </w:rPr>
        <w:t>Australian Consumer Law (WA) text</w:t>
      </w:r>
      <w:bookmarkEnd w:id="269"/>
      <w:bookmarkEnd w:id="270"/>
      <w:bookmarkEnd w:id="271"/>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bCs/>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June 2021 and as amended by each provision that —</w:t>
      </w:r>
    </w:p>
    <w:p>
      <w:pPr>
        <w:pStyle w:val="MiscellaneousBody"/>
        <w:ind w:left="1985" w:hanging="425"/>
        <w:rPr>
          <w:rFonts w:ascii="Arial" w:hAnsi="Arial" w:cs="Arial"/>
          <w:b/>
          <w:bCs/>
          <w:sz w:val="18"/>
          <w:szCs w:val="18"/>
        </w:rPr>
      </w:pPr>
      <w:r>
        <w:rPr>
          <w:rFonts w:ascii="Arial" w:hAnsi="Arial" w:cs="Arial"/>
          <w:b/>
          <w:bCs/>
          <w:sz w:val="18"/>
          <w:szCs w:val="18"/>
        </w:rPr>
        <w:t xml:space="preserve">(i) </w:t>
      </w:r>
      <w:r>
        <w:rPr>
          <w:rFonts w:ascii="Arial" w:hAnsi="Arial" w:cs="Arial"/>
          <w:b/>
          <w:bCs/>
          <w:sz w:val="18"/>
          <w:szCs w:val="18"/>
        </w:rPr>
        <w:tab/>
        <w:t>is in an amending law that has effect for the purposes of section 19 of the Act under section 19B; and</w:t>
      </w:r>
    </w:p>
    <w:p>
      <w:pPr>
        <w:pStyle w:val="MiscellaneousBody"/>
        <w:ind w:left="1985" w:hanging="425"/>
        <w:rPr>
          <w:rFonts w:ascii="Arial" w:hAnsi="Arial" w:cs="Arial"/>
          <w:b/>
          <w:sz w:val="18"/>
          <w:szCs w:val="18"/>
        </w:rPr>
      </w:pPr>
      <w:r>
        <w:rPr>
          <w:rFonts w:ascii="Arial" w:hAnsi="Arial" w:cs="Arial"/>
          <w:b/>
          <w:sz w:val="18"/>
          <w:szCs w:val="18"/>
        </w:rPr>
        <w:t xml:space="preserve">(ii) </w:t>
      </w:r>
      <w:r>
        <w:rPr>
          <w:rFonts w:ascii="Arial" w:hAnsi="Arial" w:cs="Arial"/>
          <w:b/>
          <w:sz w:val="18"/>
          <w:szCs w:val="18"/>
        </w:rPr>
        <w:tab/>
        <w:t>has come into operation for the purposes of section 19 of the Act under section 19C;</w:t>
      </w:r>
    </w:p>
    <w:p>
      <w:pPr>
        <w:pStyle w:val="MiscellaneousBody"/>
        <w:ind w:left="1456" w:hanging="518"/>
        <w:rPr>
          <w:rFonts w:ascii="Arial" w:hAnsi="Arial" w:cs="Arial"/>
          <w:b/>
          <w:sz w:val="18"/>
          <w:szCs w:val="18"/>
        </w:rPr>
      </w:pPr>
      <w:r>
        <w:rPr>
          <w:rFonts w:ascii="Arial" w:hAnsi="Arial" w:cs="Arial"/>
          <w:b/>
          <w:sz w:val="18"/>
          <w:szCs w:val="18"/>
        </w:rPr>
        <w:tab/>
        <w:t>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of the Cwth Act, as those regulations are in force from time to time, subject to section 19(1A) of the Act.</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r>
        <w:rPr>
          <w:rFonts w:ascii="Arial" w:hAnsi="Arial" w:cs="Arial"/>
          <w:b/>
          <w:bCs/>
          <w:sz w:val="18"/>
          <w:szCs w:val="18"/>
        </w:rPr>
        <w:t>1 June 2021</w:t>
      </w:r>
      <w:r>
        <w:rPr>
          <w:rFonts w:ascii="Arial" w:hAnsi="Arial" w:cs="Arial"/>
          <w:b/>
          <w:sz w:val="18"/>
          <w:szCs w:val="18"/>
        </w:rPr>
        <w:t xml:space="preserve">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&lt;https://www.legislation.gov.au&gt;.</w:t>
      </w:r>
    </w:p>
    <w:p>
      <w:pPr>
        <w:pStyle w:val="yHeading2"/>
      </w:pPr>
      <w:bookmarkStart w:id="272" w:name="_Toc164682273"/>
      <w:bookmarkStart w:id="273" w:name="_Toc164682884"/>
      <w:bookmarkStart w:id="274" w:name="_Toc164757900"/>
      <w:r>
        <w:rPr>
          <w:rStyle w:val="CharSDivNo"/>
          <w:sz w:val="28"/>
        </w:rPr>
        <w:t>Chapter 1</w:t>
      </w:r>
      <w:r>
        <w:t> — </w:t>
      </w:r>
      <w:r>
        <w:rPr>
          <w:rStyle w:val="CharSDivText"/>
          <w:sz w:val="28"/>
        </w:rPr>
        <w:t>Introduction</w:t>
      </w:r>
      <w:bookmarkEnd w:id="272"/>
      <w:bookmarkEnd w:id="273"/>
      <w:bookmarkEnd w:id="274"/>
    </w:p>
    <w:p>
      <w:pPr>
        <w:pStyle w:val="yHeading5"/>
      </w:pPr>
      <w:bookmarkStart w:id="275" w:name="_Toc164757901"/>
      <w:r>
        <w:rPr>
          <w:rStyle w:val="CharSClsNo"/>
        </w:rPr>
        <w:t>1</w:t>
      </w:r>
      <w:r>
        <w:t>.</w:t>
      </w:r>
      <w:r>
        <w:tab/>
        <w:t>Application of this Schedule</w:t>
      </w:r>
      <w:bookmarkEnd w:id="275"/>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276" w:name="_Toc164757902"/>
      <w:r>
        <w:rPr>
          <w:rStyle w:val="CharSClsNo"/>
          <w:sz w:val="24"/>
        </w:rPr>
        <w:lastRenderedPageBreak/>
        <w:t>2</w:t>
      </w:r>
      <w:r>
        <w:t>.</w:t>
      </w:r>
      <w:r>
        <w:tab/>
        <w:t>Definitions</w:t>
      </w:r>
      <w:bookmarkEnd w:id="276"/>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lastRenderedPageBreak/>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lastRenderedPageBreak/>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lastRenderedPageBreak/>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lastRenderedPageBreak/>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lastRenderedPageBreak/>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lastRenderedPageBreak/>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lastRenderedPageBreak/>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lastRenderedPageBreak/>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lastRenderedPageBreak/>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lastRenderedPageBreak/>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lastRenderedPageBreak/>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lastRenderedPageBreak/>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lastRenderedPageBreak/>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lastRenderedPageBreak/>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 xml:space="preserve">a reference to conduct, when that expression is used as a noun otherwise than as mentioned in </w:t>
      </w:r>
      <w:r>
        <w:rPr>
          <w:sz w:val="22"/>
        </w:rPr>
        <w:lastRenderedPageBreak/>
        <w:t>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277" w:name="_Toc164757903"/>
      <w:r>
        <w:rPr>
          <w:rStyle w:val="CharSClsNo"/>
        </w:rPr>
        <w:t>3</w:t>
      </w:r>
      <w:r>
        <w:t>.</w:t>
      </w:r>
      <w:r>
        <w:tab/>
        <w:t xml:space="preserve">Meaning of </w:t>
      </w:r>
      <w:r>
        <w:rPr>
          <w:i/>
          <w:iCs/>
        </w:rPr>
        <w:t>consumer</w:t>
      </w:r>
      <w:bookmarkEnd w:id="277"/>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lastRenderedPageBreak/>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lastRenderedPageBreak/>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lastRenderedPageBreak/>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lastRenderedPageBreak/>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278" w:name="_Toc164757904"/>
      <w:r>
        <w:rPr>
          <w:rStyle w:val="CharSClsNo"/>
        </w:rPr>
        <w:t>4</w:t>
      </w:r>
      <w:r>
        <w:t>.</w:t>
      </w:r>
      <w:r>
        <w:tab/>
        <w:t>Misleading representations with respect to future matters</w:t>
      </w:r>
      <w:bookmarkEnd w:id="278"/>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lastRenderedPageBreak/>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279" w:name="_Toc164757905"/>
      <w:r>
        <w:rPr>
          <w:rStyle w:val="CharSClsNo"/>
        </w:rPr>
        <w:t>5</w:t>
      </w:r>
      <w:r>
        <w:t>.</w:t>
      </w:r>
      <w:r>
        <w:tab/>
        <w:t>When donations are treated as supplies or acquisitions</w:t>
      </w:r>
      <w:bookmarkEnd w:id="279"/>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280" w:name="_Toc164757906"/>
      <w:r>
        <w:rPr>
          <w:rStyle w:val="CharSClsNo"/>
        </w:rPr>
        <w:t>6</w:t>
      </w:r>
      <w:r>
        <w:t>.</w:t>
      </w:r>
      <w:r>
        <w:tab/>
        <w:t>Related bodies corporate</w:t>
      </w:r>
      <w:bookmarkEnd w:id="280"/>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w:t>
      </w:r>
      <w:r>
        <w:rPr>
          <w:sz w:val="22"/>
        </w:rPr>
        <w:lastRenderedPageBreak/>
        <w:t>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281" w:name="_Toc164757907"/>
      <w:r>
        <w:rPr>
          <w:rStyle w:val="CharSClsNo"/>
        </w:rPr>
        <w:t>7</w:t>
      </w:r>
      <w:r>
        <w:t>.</w:t>
      </w:r>
      <w:r>
        <w:tab/>
        <w:t xml:space="preserve">Meaning of </w:t>
      </w:r>
      <w:r>
        <w:rPr>
          <w:i/>
          <w:iCs/>
        </w:rPr>
        <w:t>manufacturer</w:t>
      </w:r>
      <w:bookmarkEnd w:id="281"/>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lastRenderedPageBreak/>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282" w:name="_Toc164757908"/>
      <w:r>
        <w:rPr>
          <w:rStyle w:val="CharSClsNo"/>
        </w:rPr>
        <w:t>8</w:t>
      </w:r>
      <w:r>
        <w:t>.</w:t>
      </w:r>
      <w:r>
        <w:tab/>
        <w:t>Goods affixed to land or premises</w:t>
      </w:r>
      <w:bookmarkEnd w:id="282"/>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283" w:name="_Toc164757909"/>
      <w:r>
        <w:rPr>
          <w:rStyle w:val="CharSClsNo"/>
        </w:rPr>
        <w:t>9</w:t>
      </w:r>
      <w:r>
        <w:t>.</w:t>
      </w:r>
      <w:r>
        <w:tab/>
        <w:t xml:space="preserve">Meaning of </w:t>
      </w:r>
      <w:r>
        <w:rPr>
          <w:i/>
          <w:iCs/>
        </w:rPr>
        <w:t>safety defect</w:t>
      </w:r>
      <w:r>
        <w:t xml:space="preserve"> in relation to goods</w:t>
      </w:r>
      <w:bookmarkEnd w:id="283"/>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 xml:space="preserve">An inference that goods have a safety defect is not to be made only because of the fact that, after they were supplied </w:t>
      </w:r>
      <w:r>
        <w:rPr>
          <w:sz w:val="22"/>
        </w:rPr>
        <w:lastRenderedPageBreak/>
        <w:t>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284" w:name="_Toc164757910"/>
      <w:r>
        <w:rPr>
          <w:rStyle w:val="CharSClsNo"/>
        </w:rPr>
        <w:t>10</w:t>
      </w:r>
      <w:r>
        <w:t>.</w:t>
      </w:r>
      <w:r>
        <w:tab/>
        <w:t>Asserting a right to payment</w:t>
      </w:r>
      <w:bookmarkEnd w:id="284"/>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lastRenderedPageBreak/>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285" w:name="_Toc164757911"/>
      <w:r>
        <w:rPr>
          <w:rStyle w:val="CharSClsNo"/>
        </w:rPr>
        <w:t>11</w:t>
      </w:r>
      <w:r>
        <w:t>.</w:t>
      </w:r>
      <w:r>
        <w:tab/>
        <w:t>References to acquisition, supply and re</w:t>
      </w:r>
      <w:r>
        <w:noBreakHyphen/>
        <w:t>supply</w:t>
      </w:r>
      <w:bookmarkEnd w:id="285"/>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 xml:space="preserve">a supply to another person of other services that are substantially similar to the original </w:t>
      </w:r>
      <w:r>
        <w:rPr>
          <w:sz w:val="22"/>
        </w:rPr>
        <w:lastRenderedPageBreak/>
        <w:t>services, and could not have been supplied if the original services had not been acquired by the person who acquired them from the original supplier.</w:t>
      </w:r>
    </w:p>
    <w:p>
      <w:pPr>
        <w:pStyle w:val="yHeading5"/>
      </w:pPr>
      <w:bookmarkStart w:id="286" w:name="_Toc164757912"/>
      <w:r>
        <w:rPr>
          <w:rStyle w:val="CharSClsNo"/>
        </w:rPr>
        <w:t>12</w:t>
      </w:r>
      <w:r>
        <w:t>.</w:t>
      </w:r>
      <w:r>
        <w:tab/>
        <w:t>Application of Schedule in relation to leases and licences of land and buildings</w:t>
      </w:r>
      <w:bookmarkEnd w:id="286"/>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287" w:name="_Toc164757913"/>
      <w:r>
        <w:rPr>
          <w:rStyle w:val="CharSClsNo"/>
        </w:rPr>
        <w:t>13</w:t>
      </w:r>
      <w:r>
        <w:t>.</w:t>
      </w:r>
      <w:r>
        <w:tab/>
        <w:t>Loss or damage to include injury</w:t>
      </w:r>
      <w:bookmarkEnd w:id="287"/>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288" w:name="_Toc164757914"/>
      <w:r>
        <w:rPr>
          <w:rStyle w:val="CharSClsNo"/>
        </w:rPr>
        <w:t>14</w:t>
      </w:r>
      <w:r>
        <w:t>.</w:t>
      </w:r>
      <w:r>
        <w:tab/>
        <w:t xml:space="preserve">Meaning of </w:t>
      </w:r>
      <w:r>
        <w:rPr>
          <w:i/>
          <w:iCs/>
        </w:rPr>
        <w:t>continuing credit contract</w:t>
      </w:r>
      <w:bookmarkEnd w:id="28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lastRenderedPageBreak/>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289" w:name="_Toc164757915"/>
      <w:r>
        <w:rPr>
          <w:rStyle w:val="CharSClsNo"/>
        </w:rPr>
        <w:lastRenderedPageBreak/>
        <w:t>15</w:t>
      </w:r>
      <w:r>
        <w:t>.</w:t>
      </w:r>
      <w:r>
        <w:tab/>
        <w:t>Contraventions of this Schedule</w:t>
      </w:r>
      <w:bookmarkEnd w:id="289"/>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290" w:name="_Toc164757916"/>
      <w:r>
        <w:rPr>
          <w:rStyle w:val="CharSClsNo"/>
        </w:rPr>
        <w:t>16</w:t>
      </w:r>
      <w:r>
        <w:t>.</w:t>
      </w:r>
      <w:r>
        <w:tab/>
        <w:t>Severability</w:t>
      </w:r>
      <w:bookmarkEnd w:id="290"/>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291" w:name="_Toc164757917"/>
      <w:r>
        <w:rPr>
          <w:rStyle w:val="CharSClsNo"/>
        </w:rPr>
        <w:t>17</w:t>
      </w:r>
      <w:r>
        <w:t>.</w:t>
      </w:r>
      <w:r>
        <w:tab/>
        <w:t>References to provisions in this Schedule</w:t>
      </w:r>
      <w:bookmarkEnd w:id="291"/>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292" w:name="_Toc164682291"/>
      <w:bookmarkStart w:id="293" w:name="_Toc164682902"/>
      <w:bookmarkStart w:id="294" w:name="_Toc164757918"/>
      <w:r>
        <w:rPr>
          <w:rStyle w:val="CharSDivNo"/>
          <w:sz w:val="28"/>
        </w:rPr>
        <w:t>Chapter 2</w:t>
      </w:r>
      <w:r>
        <w:t> — </w:t>
      </w:r>
      <w:r>
        <w:rPr>
          <w:rStyle w:val="CharSDivText"/>
          <w:sz w:val="28"/>
        </w:rPr>
        <w:t>General protections</w:t>
      </w:r>
      <w:bookmarkEnd w:id="292"/>
      <w:bookmarkEnd w:id="293"/>
      <w:bookmarkEnd w:id="294"/>
    </w:p>
    <w:p>
      <w:pPr>
        <w:pStyle w:val="yHeading2"/>
      </w:pPr>
      <w:bookmarkStart w:id="295" w:name="_Toc164682292"/>
      <w:bookmarkStart w:id="296" w:name="_Toc164682903"/>
      <w:bookmarkStart w:id="297" w:name="_Toc164757919"/>
      <w:r>
        <w:t>Part 2</w:t>
      </w:r>
      <w:r>
        <w:noBreakHyphen/>
        <w:t>1</w:t>
      </w:r>
      <w:r>
        <w:rPr>
          <w:b w:val="0"/>
        </w:rPr>
        <w:t> — </w:t>
      </w:r>
      <w:r>
        <w:rPr>
          <w:bCs/>
        </w:rPr>
        <w:t>Misleading or deceptive conduct</w:t>
      </w:r>
      <w:bookmarkEnd w:id="295"/>
      <w:bookmarkEnd w:id="296"/>
      <w:bookmarkEnd w:id="297"/>
    </w:p>
    <w:p>
      <w:pPr>
        <w:pStyle w:val="yHeading5"/>
      </w:pPr>
      <w:bookmarkStart w:id="298" w:name="_Toc164757920"/>
      <w:r>
        <w:rPr>
          <w:rStyle w:val="CharSClsNo"/>
        </w:rPr>
        <w:t>18</w:t>
      </w:r>
      <w:r>
        <w:t>.</w:t>
      </w:r>
      <w:r>
        <w:tab/>
        <w:t>Misleading or deceptive conduct</w:t>
      </w:r>
      <w:bookmarkEnd w:id="298"/>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lastRenderedPageBreak/>
        <w:tab/>
        <w:t>Note:</w:t>
      </w:r>
      <w:r>
        <w:rPr>
          <w:sz w:val="18"/>
        </w:rPr>
        <w:tab/>
        <w:t>For rules relating to representations as to the country of origin of goods, see Part 5</w:t>
      </w:r>
      <w:r>
        <w:rPr>
          <w:sz w:val="18"/>
        </w:rPr>
        <w:noBreakHyphen/>
        <w:t>3.</w:t>
      </w:r>
    </w:p>
    <w:p>
      <w:pPr>
        <w:pStyle w:val="yHeading5"/>
      </w:pPr>
      <w:bookmarkStart w:id="299" w:name="_Toc164757921"/>
      <w:r>
        <w:rPr>
          <w:rStyle w:val="CharSClsNo"/>
        </w:rPr>
        <w:t>19</w:t>
      </w:r>
      <w:r>
        <w:t>.</w:t>
      </w:r>
      <w:r>
        <w:tab/>
        <w:t>Application of this Part to information providers</w:t>
      </w:r>
      <w:bookmarkEnd w:id="299"/>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lastRenderedPageBreak/>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300" w:name="_Toc164682295"/>
      <w:bookmarkStart w:id="301" w:name="_Toc164682906"/>
      <w:bookmarkStart w:id="302" w:name="_Toc164757922"/>
      <w:r>
        <w:lastRenderedPageBreak/>
        <w:t>Part 2</w:t>
      </w:r>
      <w:r>
        <w:noBreakHyphen/>
        <w:t>2 — Unconscionable conduct</w:t>
      </w:r>
      <w:bookmarkEnd w:id="300"/>
      <w:bookmarkEnd w:id="301"/>
      <w:bookmarkEnd w:id="302"/>
    </w:p>
    <w:p>
      <w:pPr>
        <w:pStyle w:val="yHeading5"/>
      </w:pPr>
      <w:bookmarkStart w:id="303" w:name="_Toc164757923"/>
      <w:r>
        <w:rPr>
          <w:rStyle w:val="CharSClsNo"/>
        </w:rPr>
        <w:t>20</w:t>
      </w:r>
      <w:r>
        <w:t>.</w:t>
      </w:r>
      <w:r>
        <w:tab/>
        <w:t>Unconscionable conduct within the meaning of the unwritten law</w:t>
      </w:r>
      <w:bookmarkEnd w:id="303"/>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304" w:name="_Toc164757924"/>
      <w:r>
        <w:rPr>
          <w:rStyle w:val="CharSClsNo"/>
        </w:rPr>
        <w:t>21</w:t>
      </w:r>
      <w:r>
        <w:t>.</w:t>
      </w:r>
      <w:r>
        <w:tab/>
        <w:t>Unconscionable conduct in connection with goods or services</w:t>
      </w:r>
      <w:bookmarkEnd w:id="304"/>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lastRenderedPageBreak/>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305" w:name="_Toc164757925"/>
      <w:r>
        <w:rPr>
          <w:rStyle w:val="CharSClsNo"/>
        </w:rPr>
        <w:t>22</w:t>
      </w:r>
      <w:r>
        <w:t>.</w:t>
      </w:r>
      <w:r>
        <w:tab/>
        <w:t>Matters the court may have regard to for the purposes of section 21</w:t>
      </w:r>
      <w:bookmarkEnd w:id="305"/>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lastRenderedPageBreak/>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lastRenderedPageBreak/>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 xml:space="preserve">the amount for which, and the circumstances in which, the supplier could have supplied identical or </w:t>
      </w:r>
      <w:r>
        <w:rPr>
          <w:sz w:val="22"/>
        </w:rPr>
        <w:lastRenderedPageBreak/>
        <w:t>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 xml:space="preserve">without limiting paragraph (j), whether the acquirer has a contractual right to vary unilaterally a term or condition of a contract between the acquirer and the </w:t>
      </w:r>
      <w:r>
        <w:rPr>
          <w:sz w:val="22"/>
        </w:rPr>
        <w:lastRenderedPageBreak/>
        <w:t>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306" w:name="_Toc164757926"/>
      <w:r>
        <w:rPr>
          <w:rStyle w:val="CharSClsNo"/>
        </w:rPr>
        <w:t>22A</w:t>
      </w:r>
      <w:r>
        <w:t>.</w:t>
      </w:r>
      <w:r>
        <w:tab/>
        <w:t>Presumptions relating to whether representations are misleading</w:t>
      </w:r>
      <w:bookmarkEnd w:id="306"/>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307" w:name="_Toc164682300"/>
      <w:bookmarkStart w:id="308" w:name="_Toc164682911"/>
      <w:bookmarkStart w:id="309" w:name="_Toc164757927"/>
      <w:r>
        <w:t>Part 2</w:t>
      </w:r>
      <w:r>
        <w:noBreakHyphen/>
        <w:t>3 — Unfair contract terms</w:t>
      </w:r>
      <w:bookmarkEnd w:id="307"/>
      <w:bookmarkEnd w:id="308"/>
      <w:bookmarkEnd w:id="309"/>
    </w:p>
    <w:p>
      <w:pPr>
        <w:pStyle w:val="yHeading5"/>
      </w:pPr>
      <w:bookmarkStart w:id="310" w:name="_Toc164757928"/>
      <w:r>
        <w:rPr>
          <w:rStyle w:val="CharSClsNo"/>
        </w:rPr>
        <w:t>23</w:t>
      </w:r>
      <w:r>
        <w:t>.</w:t>
      </w:r>
      <w:r>
        <w:tab/>
        <w:t>Unfair terms of consumer contracts and small business contracts</w:t>
      </w:r>
      <w:bookmarkEnd w:id="310"/>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lastRenderedPageBreak/>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311" w:name="_Toc164757929"/>
      <w:r>
        <w:rPr>
          <w:rStyle w:val="CharSClsNo"/>
        </w:rPr>
        <w:t>24</w:t>
      </w:r>
      <w:r>
        <w:t>.</w:t>
      </w:r>
      <w:r>
        <w:tab/>
        <w:t xml:space="preserve">Meaning of </w:t>
      </w:r>
      <w:r>
        <w:rPr>
          <w:i/>
          <w:iCs/>
        </w:rPr>
        <w:t>unfair</w:t>
      </w:r>
      <w:bookmarkEnd w:id="311"/>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312" w:name="_Toc164757930"/>
      <w:r>
        <w:rPr>
          <w:rStyle w:val="CharSClsNo"/>
        </w:rPr>
        <w:lastRenderedPageBreak/>
        <w:t>25</w:t>
      </w:r>
      <w:r>
        <w:t>.</w:t>
      </w:r>
      <w:r>
        <w:tab/>
        <w:t>Examples of unfair terms</w:t>
      </w:r>
      <w:bookmarkEnd w:id="312"/>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lastRenderedPageBreak/>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313" w:name="_Toc164757931"/>
      <w:r>
        <w:rPr>
          <w:rStyle w:val="CharSClsNo"/>
        </w:rPr>
        <w:t>26</w:t>
      </w:r>
      <w:r>
        <w:t>.</w:t>
      </w:r>
      <w:r>
        <w:tab/>
        <w:t>Terms that define main subject matter of consumer contracts or small business contracts etc. are unaffected</w:t>
      </w:r>
      <w:bookmarkEnd w:id="313"/>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314" w:name="_Toc164757932"/>
      <w:r>
        <w:rPr>
          <w:rStyle w:val="CharSClsNo"/>
        </w:rPr>
        <w:t>27</w:t>
      </w:r>
      <w:r>
        <w:t>.</w:t>
      </w:r>
      <w:r>
        <w:tab/>
        <w:t>Standard form contracts</w:t>
      </w:r>
      <w:bookmarkEnd w:id="314"/>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lastRenderedPageBreak/>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315" w:name="_Toc164757933"/>
      <w:r>
        <w:rPr>
          <w:rStyle w:val="CharSClsNo"/>
        </w:rPr>
        <w:t>28</w:t>
      </w:r>
      <w:r>
        <w:t>.</w:t>
      </w:r>
      <w:r>
        <w:tab/>
        <w:t>Contracts to which this Part does not apply</w:t>
      </w:r>
      <w:bookmarkEnd w:id="315"/>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lastRenderedPageBreak/>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316" w:name="_Toc164682307"/>
      <w:bookmarkStart w:id="317" w:name="_Toc164682918"/>
      <w:bookmarkStart w:id="318" w:name="_Toc164757934"/>
      <w:r>
        <w:rPr>
          <w:rStyle w:val="CharSDivNo"/>
          <w:sz w:val="28"/>
        </w:rPr>
        <w:t>Chapter 3</w:t>
      </w:r>
      <w:r>
        <w:t> — </w:t>
      </w:r>
      <w:r>
        <w:rPr>
          <w:rStyle w:val="CharSDivText"/>
          <w:sz w:val="28"/>
        </w:rPr>
        <w:t>Specific protections</w:t>
      </w:r>
      <w:bookmarkEnd w:id="316"/>
      <w:bookmarkEnd w:id="317"/>
      <w:bookmarkEnd w:id="318"/>
    </w:p>
    <w:p>
      <w:pPr>
        <w:pStyle w:val="yHeading2"/>
      </w:pPr>
      <w:bookmarkStart w:id="319" w:name="_Toc164682308"/>
      <w:bookmarkStart w:id="320" w:name="_Toc164682919"/>
      <w:bookmarkStart w:id="321" w:name="_Toc164757935"/>
      <w:r>
        <w:t>Part 3</w:t>
      </w:r>
      <w:r>
        <w:noBreakHyphen/>
        <w:t>1 — Unfair practices</w:t>
      </w:r>
      <w:bookmarkEnd w:id="319"/>
      <w:bookmarkEnd w:id="320"/>
      <w:bookmarkEnd w:id="321"/>
    </w:p>
    <w:p>
      <w:pPr>
        <w:pStyle w:val="yHeading3"/>
      </w:pPr>
      <w:bookmarkStart w:id="322" w:name="_Toc164682309"/>
      <w:bookmarkStart w:id="323" w:name="_Toc164682920"/>
      <w:bookmarkStart w:id="324" w:name="_Toc164757936"/>
      <w:r>
        <w:t>Division 1 — False or misleading representations etc.</w:t>
      </w:r>
      <w:bookmarkEnd w:id="322"/>
      <w:bookmarkEnd w:id="323"/>
      <w:bookmarkEnd w:id="324"/>
    </w:p>
    <w:p>
      <w:pPr>
        <w:pStyle w:val="yHeading5"/>
      </w:pPr>
      <w:bookmarkStart w:id="325" w:name="_Toc164757937"/>
      <w:r>
        <w:rPr>
          <w:rStyle w:val="CharSClsNo"/>
        </w:rPr>
        <w:t>29</w:t>
      </w:r>
      <w:r>
        <w:t>.</w:t>
      </w:r>
      <w:r>
        <w:tab/>
        <w:t>False or misleading representations about goods or services</w:t>
      </w:r>
      <w:bookmarkEnd w:id="325"/>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lastRenderedPageBreak/>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lastRenderedPageBreak/>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326" w:name="_Toc164757938"/>
      <w:r>
        <w:rPr>
          <w:rStyle w:val="CharSClsNo"/>
        </w:rPr>
        <w:t>30</w:t>
      </w:r>
      <w:r>
        <w:t>.</w:t>
      </w:r>
      <w:r>
        <w:tab/>
        <w:t>False or misleading representations about sale etc. of land</w:t>
      </w:r>
      <w:bookmarkEnd w:id="326"/>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lastRenderedPageBreak/>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27" w:name="_Toc164757939"/>
      <w:r>
        <w:rPr>
          <w:rStyle w:val="CharSClsNo"/>
        </w:rPr>
        <w:t>31</w:t>
      </w:r>
      <w:r>
        <w:t>.</w:t>
      </w:r>
      <w:r>
        <w:tab/>
        <w:t>Misleading conduct relating to employment</w:t>
      </w:r>
      <w:bookmarkEnd w:id="327"/>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28" w:name="_Toc164757940"/>
      <w:r>
        <w:rPr>
          <w:rStyle w:val="CharSClsNo"/>
        </w:rPr>
        <w:t>32</w:t>
      </w:r>
      <w:r>
        <w:t>.</w:t>
      </w:r>
      <w:r>
        <w:tab/>
        <w:t>Offering rebates, gifts, prizes etc.</w:t>
      </w:r>
      <w:bookmarkEnd w:id="328"/>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lastRenderedPageBreak/>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29" w:name="_Toc164757941"/>
      <w:r>
        <w:rPr>
          <w:rStyle w:val="CharSClsNo"/>
        </w:rPr>
        <w:t>33</w:t>
      </w:r>
      <w:r>
        <w:t>.</w:t>
      </w:r>
      <w:r>
        <w:tab/>
        <w:t>Misleading conduct as to the nature etc. of goods</w:t>
      </w:r>
      <w:bookmarkEnd w:id="329"/>
    </w:p>
    <w:p>
      <w:pPr>
        <w:tabs>
          <w:tab w:val="left" w:pos="1276"/>
          <w:tab w:val="left" w:pos="1843"/>
        </w:tabs>
        <w:spacing w:before="160"/>
        <w:ind w:left="1843" w:hanging="1843"/>
        <w:rPr>
          <w:sz w:val="22"/>
        </w:rPr>
      </w:pPr>
      <w:r>
        <w:rPr>
          <w:sz w:val="22"/>
        </w:rPr>
        <w:tab/>
      </w:r>
      <w:r>
        <w:rPr>
          <w:sz w:val="22"/>
        </w:rPr>
        <w:tab/>
        <w:t xml:space="preserve">A person must not, in trade or commerce, engage in conduct that is liable to mislead the public as to the nature, </w:t>
      </w:r>
      <w:r>
        <w:rPr>
          <w:sz w:val="22"/>
        </w:rPr>
        <w:lastRenderedPageBreak/>
        <w:t>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30" w:name="_Toc164757942"/>
      <w:r>
        <w:rPr>
          <w:rStyle w:val="CharSClsNo"/>
        </w:rPr>
        <w:t>34</w:t>
      </w:r>
      <w:r>
        <w:t>.</w:t>
      </w:r>
      <w:r>
        <w:tab/>
        <w:t>Misleading conduct as to the nature etc. of services</w:t>
      </w:r>
      <w:bookmarkEnd w:id="330"/>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331" w:name="_Toc164757943"/>
      <w:r>
        <w:rPr>
          <w:rStyle w:val="CharSClsNo"/>
        </w:rPr>
        <w:t>35</w:t>
      </w:r>
      <w:r>
        <w:rPr>
          <w:sz w:val="22"/>
        </w:rPr>
        <w:t>.</w:t>
      </w:r>
      <w:r>
        <w:rPr>
          <w:sz w:val="22"/>
        </w:rPr>
        <w:tab/>
        <w:t>Bait advertising</w:t>
      </w:r>
      <w:bookmarkEnd w:id="331"/>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332" w:name="_Toc164757944"/>
      <w:r>
        <w:rPr>
          <w:rStyle w:val="CharSClsNo"/>
        </w:rPr>
        <w:lastRenderedPageBreak/>
        <w:t>36</w:t>
      </w:r>
      <w:r>
        <w:t>.</w:t>
      </w:r>
      <w:r>
        <w:tab/>
        <w:t>Wrongly accepting payment</w:t>
      </w:r>
      <w:bookmarkEnd w:id="332"/>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lastRenderedPageBreak/>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333" w:name="_Toc164757945"/>
      <w:r>
        <w:rPr>
          <w:rStyle w:val="CharSClsNo"/>
        </w:rPr>
        <w:t>37</w:t>
      </w:r>
      <w:r>
        <w:t>.</w:t>
      </w:r>
      <w:r>
        <w:tab/>
        <w:t>Misleading representations about certain business activities</w:t>
      </w:r>
      <w:bookmarkEnd w:id="333"/>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lastRenderedPageBreak/>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334" w:name="_Toc164757946"/>
      <w:r>
        <w:rPr>
          <w:rStyle w:val="CharSClsNo"/>
        </w:rPr>
        <w:t>38</w:t>
      </w:r>
      <w:r>
        <w:t>.</w:t>
      </w:r>
      <w:r>
        <w:tab/>
        <w:t>Application of provisions of this Division to information providers</w:t>
      </w:r>
      <w:bookmarkEnd w:id="334"/>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lastRenderedPageBreak/>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335" w:name="_Toc164682320"/>
      <w:bookmarkStart w:id="336" w:name="_Toc164682931"/>
      <w:bookmarkStart w:id="337" w:name="_Toc164757947"/>
      <w:r>
        <w:lastRenderedPageBreak/>
        <w:t>Division 2 — Unsolicited supplies</w:t>
      </w:r>
      <w:bookmarkEnd w:id="335"/>
      <w:bookmarkEnd w:id="336"/>
      <w:bookmarkEnd w:id="337"/>
    </w:p>
    <w:p>
      <w:pPr>
        <w:pStyle w:val="yHeading5"/>
        <w:keepLines w:val="0"/>
      </w:pPr>
      <w:bookmarkStart w:id="338" w:name="_Toc164757948"/>
      <w:r>
        <w:rPr>
          <w:rStyle w:val="CharSClsNo"/>
        </w:rPr>
        <w:t>39</w:t>
      </w:r>
      <w:r>
        <w:t>.</w:t>
      </w:r>
      <w:r>
        <w:tab/>
        <w:t>Unsolicited cards etc.</w:t>
      </w:r>
      <w:bookmarkEnd w:id="338"/>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lastRenderedPageBreak/>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339" w:name="_Toc164757949"/>
      <w:r>
        <w:rPr>
          <w:rStyle w:val="CharSClsNo"/>
        </w:rPr>
        <w:t>40</w:t>
      </w:r>
      <w:r>
        <w:t>.</w:t>
      </w:r>
      <w:r>
        <w:tab/>
        <w:t>Assertion of right to payment for unsolicited goods or services</w:t>
      </w:r>
      <w:bookmarkEnd w:id="339"/>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340" w:name="_Toc164757950"/>
      <w:r>
        <w:rPr>
          <w:rStyle w:val="CharSClsNo"/>
        </w:rPr>
        <w:t>41</w:t>
      </w:r>
      <w:r>
        <w:t>.</w:t>
      </w:r>
      <w:r>
        <w:tab/>
        <w:t>Liability etc. of recipient for unsolicited goods</w:t>
      </w:r>
      <w:bookmarkEnd w:id="340"/>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lastRenderedPageBreak/>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341" w:name="_Toc164757951"/>
      <w:r>
        <w:rPr>
          <w:rStyle w:val="CharSClsNo"/>
        </w:rPr>
        <w:lastRenderedPageBreak/>
        <w:t>42</w:t>
      </w:r>
      <w:r>
        <w:t>.</w:t>
      </w:r>
      <w:r>
        <w:tab/>
        <w:t>Liability of recipient for unsolicited services</w:t>
      </w:r>
      <w:bookmarkEnd w:id="341"/>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342" w:name="_Toc164757952"/>
      <w:r>
        <w:rPr>
          <w:rStyle w:val="CharSClsNo"/>
        </w:rPr>
        <w:t>43</w:t>
      </w:r>
      <w:r>
        <w:t>.</w:t>
      </w:r>
      <w:r>
        <w:tab/>
        <w:t>Assertion of right to payment for unauthorised entries or advertisements</w:t>
      </w:r>
      <w:bookmarkEnd w:id="342"/>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lastRenderedPageBreak/>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lastRenderedPageBreak/>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343" w:name="_Toc164682326"/>
      <w:bookmarkStart w:id="344" w:name="_Toc164682937"/>
      <w:bookmarkStart w:id="345" w:name="_Toc164757953"/>
      <w:r>
        <w:t>Division 3 — Pyramid schemes</w:t>
      </w:r>
      <w:bookmarkEnd w:id="343"/>
      <w:bookmarkEnd w:id="344"/>
      <w:bookmarkEnd w:id="345"/>
    </w:p>
    <w:p>
      <w:pPr>
        <w:pStyle w:val="yHeading5"/>
      </w:pPr>
      <w:bookmarkStart w:id="346" w:name="_Toc164757954"/>
      <w:r>
        <w:rPr>
          <w:rStyle w:val="CharSClsNo"/>
        </w:rPr>
        <w:t>44</w:t>
      </w:r>
      <w:r>
        <w:t>.</w:t>
      </w:r>
      <w:r>
        <w:tab/>
        <w:t>Participation in pyramid schemes</w:t>
      </w:r>
      <w:bookmarkEnd w:id="346"/>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347" w:name="_Toc164757955"/>
      <w:r>
        <w:rPr>
          <w:rStyle w:val="CharSClsNo"/>
        </w:rPr>
        <w:t>45</w:t>
      </w:r>
      <w:r>
        <w:t>.</w:t>
      </w:r>
      <w:r>
        <w:tab/>
        <w:t xml:space="preserve">Meaning of </w:t>
      </w:r>
      <w:r>
        <w:rPr>
          <w:i/>
          <w:iCs/>
        </w:rPr>
        <w:t>pyramid scheme</w:t>
      </w:r>
      <w:bookmarkEnd w:id="347"/>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w:t>
      </w:r>
      <w:r>
        <w:rPr>
          <w:sz w:val="22"/>
        </w:rPr>
        <w:lastRenderedPageBreak/>
        <w:t xml:space="preserve">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lastRenderedPageBreak/>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348" w:name="_Toc164757956"/>
      <w:r>
        <w:rPr>
          <w:rStyle w:val="CharSClsNo"/>
        </w:rPr>
        <w:t>46</w:t>
      </w:r>
      <w:r>
        <w:t>.</w:t>
      </w:r>
      <w:r>
        <w:tab/>
        <w:t>Marketing schemes as pyramid schemes</w:t>
      </w:r>
      <w:bookmarkEnd w:id="348"/>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lastRenderedPageBreak/>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349" w:name="_Toc164682330"/>
      <w:bookmarkStart w:id="350" w:name="_Toc164682941"/>
      <w:bookmarkStart w:id="351" w:name="_Toc164757957"/>
      <w:r>
        <w:t>Division 4 — Pricing</w:t>
      </w:r>
      <w:bookmarkEnd w:id="349"/>
      <w:bookmarkEnd w:id="350"/>
      <w:bookmarkEnd w:id="351"/>
    </w:p>
    <w:p>
      <w:pPr>
        <w:pStyle w:val="yHeading5"/>
      </w:pPr>
      <w:bookmarkStart w:id="352" w:name="_Toc164757958"/>
      <w:r>
        <w:rPr>
          <w:rStyle w:val="CharSClsNo"/>
        </w:rPr>
        <w:t>47</w:t>
      </w:r>
      <w:r>
        <w:t>.</w:t>
      </w:r>
      <w:r>
        <w:tab/>
        <w:t>Multiple pricing</w:t>
      </w:r>
      <w:bookmarkEnd w:id="352"/>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lastRenderedPageBreak/>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lastRenderedPageBreak/>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353" w:name="_Toc164757959"/>
      <w:r>
        <w:rPr>
          <w:rStyle w:val="CharSClsNo"/>
        </w:rPr>
        <w:t>48</w:t>
      </w:r>
      <w:r>
        <w:t>.</w:t>
      </w:r>
      <w:r>
        <w:tab/>
        <w:t>Single price to be specified in certain circumstances</w:t>
      </w:r>
      <w:bookmarkEnd w:id="353"/>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lastRenderedPageBreak/>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lastRenderedPageBreak/>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lastRenderedPageBreak/>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354" w:name="_Toc164682333"/>
      <w:bookmarkStart w:id="355" w:name="_Toc164682944"/>
      <w:bookmarkStart w:id="356" w:name="_Toc164757960"/>
      <w:r>
        <w:t>Division 5 — Other unfair practices</w:t>
      </w:r>
      <w:bookmarkEnd w:id="354"/>
      <w:bookmarkEnd w:id="355"/>
      <w:bookmarkEnd w:id="356"/>
    </w:p>
    <w:p>
      <w:pPr>
        <w:pStyle w:val="yHeading5"/>
        <w:spacing w:before="180"/>
      </w:pPr>
      <w:bookmarkStart w:id="357" w:name="_Toc164757961"/>
      <w:r>
        <w:rPr>
          <w:rStyle w:val="CharSClsNo"/>
        </w:rPr>
        <w:t>49</w:t>
      </w:r>
      <w:r>
        <w:t>.</w:t>
      </w:r>
      <w:r>
        <w:tab/>
        <w:t>Referral selling</w:t>
      </w:r>
      <w:bookmarkEnd w:id="357"/>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58" w:name="_Toc164757962"/>
      <w:r>
        <w:rPr>
          <w:rStyle w:val="CharSClsNo"/>
        </w:rPr>
        <w:t>50</w:t>
      </w:r>
      <w:r>
        <w:t>.</w:t>
      </w:r>
      <w:r>
        <w:tab/>
        <w:t>Harassment and coercion</w:t>
      </w:r>
      <w:bookmarkEnd w:id="358"/>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lastRenderedPageBreak/>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359" w:name="_Toc164682336"/>
      <w:bookmarkStart w:id="360" w:name="_Toc164682947"/>
      <w:bookmarkStart w:id="361" w:name="_Toc164757963"/>
      <w:r>
        <w:t>Part 3</w:t>
      </w:r>
      <w:r>
        <w:noBreakHyphen/>
        <w:t>2</w:t>
      </w:r>
      <w:r>
        <w:rPr>
          <w:b w:val="0"/>
        </w:rPr>
        <w:t> — </w:t>
      </w:r>
      <w:r>
        <w:t>Consumer transactions</w:t>
      </w:r>
      <w:bookmarkEnd w:id="359"/>
      <w:bookmarkEnd w:id="360"/>
      <w:bookmarkEnd w:id="361"/>
    </w:p>
    <w:p>
      <w:pPr>
        <w:pStyle w:val="yHeading3"/>
      </w:pPr>
      <w:bookmarkStart w:id="362" w:name="_Toc164682337"/>
      <w:bookmarkStart w:id="363" w:name="_Toc164682948"/>
      <w:bookmarkStart w:id="364" w:name="_Toc164757964"/>
      <w:r>
        <w:t>Division 1 — Consumer guarantees</w:t>
      </w:r>
      <w:bookmarkEnd w:id="362"/>
      <w:bookmarkEnd w:id="363"/>
      <w:bookmarkEnd w:id="364"/>
    </w:p>
    <w:p>
      <w:pPr>
        <w:pStyle w:val="yHeading4"/>
      </w:pPr>
      <w:bookmarkStart w:id="365" w:name="_Toc164682338"/>
      <w:bookmarkStart w:id="366" w:name="_Toc164682949"/>
      <w:bookmarkStart w:id="367" w:name="_Toc164757965"/>
      <w:r>
        <w:t>Subdivision A — Guarantees relating to the supply of goods</w:t>
      </w:r>
      <w:bookmarkEnd w:id="365"/>
      <w:bookmarkEnd w:id="366"/>
      <w:bookmarkEnd w:id="367"/>
    </w:p>
    <w:p>
      <w:pPr>
        <w:pStyle w:val="yHeading5"/>
      </w:pPr>
      <w:bookmarkStart w:id="368" w:name="_Toc164757966"/>
      <w:r>
        <w:rPr>
          <w:rStyle w:val="CharSClsNo"/>
        </w:rPr>
        <w:t>51</w:t>
      </w:r>
      <w:r>
        <w:t>.</w:t>
      </w:r>
      <w:r>
        <w:tab/>
        <w:t>Guarantee as to title</w:t>
      </w:r>
      <w:bookmarkEnd w:id="368"/>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369" w:name="_Toc164757967"/>
      <w:r>
        <w:rPr>
          <w:rStyle w:val="CharSClsNo"/>
        </w:rPr>
        <w:t>52</w:t>
      </w:r>
      <w:r>
        <w:t>.</w:t>
      </w:r>
      <w:r>
        <w:tab/>
        <w:t>Guarantee as to undisturbed possession</w:t>
      </w:r>
      <w:bookmarkEnd w:id="36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 xml:space="preserve">Subsection (1) does not apply to the extent that the consumer’s undisturbed possession of the goods may be </w:t>
      </w:r>
      <w:r>
        <w:rPr>
          <w:sz w:val="22"/>
        </w:rPr>
        <w:lastRenderedPageBreak/>
        <w:t>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370" w:name="_Toc164757968"/>
      <w:r>
        <w:rPr>
          <w:rStyle w:val="CharSClsNo"/>
        </w:rPr>
        <w:t>53</w:t>
      </w:r>
      <w:r>
        <w:t>.</w:t>
      </w:r>
      <w:r>
        <w:tab/>
        <w:t>Guarantee as to undisclosed securities etc.</w:t>
      </w:r>
      <w:bookmarkEnd w:id="37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lastRenderedPageBreak/>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371" w:name="_Toc164757969"/>
      <w:r>
        <w:rPr>
          <w:rStyle w:val="CharSClsNo"/>
        </w:rPr>
        <w:t>54</w:t>
      </w:r>
      <w:r>
        <w:t>.</w:t>
      </w:r>
      <w:r>
        <w:tab/>
        <w:t>Guarantee as to acceptable quality</w:t>
      </w:r>
      <w:bookmarkEnd w:id="3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lastRenderedPageBreak/>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 xml:space="preserve">the consumer to whom they are supplied causes them to become of unacceptable quality, or fails to </w:t>
      </w:r>
      <w:r>
        <w:rPr>
          <w:sz w:val="22"/>
        </w:rPr>
        <w:lastRenderedPageBreak/>
        <w:t>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372" w:name="_Toc164757970"/>
      <w:r>
        <w:rPr>
          <w:rStyle w:val="CharSClsNo"/>
        </w:rPr>
        <w:t>55</w:t>
      </w:r>
      <w:r>
        <w:t>.</w:t>
      </w:r>
      <w:r>
        <w:tab/>
        <w:t>Guarantee as to fitness for any disclosed purpose etc.</w:t>
      </w:r>
      <w:bookmarkEnd w:id="37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 xml:space="preserve">This section does not apply if the circumstances show that the consumer did not rely on, or that it was unreasonable for the consumer to rely on, the skill or judgment of the </w:t>
      </w:r>
      <w:r>
        <w:rPr>
          <w:sz w:val="22"/>
        </w:rPr>
        <w:lastRenderedPageBreak/>
        <w:t>supplier, the person referred to in subsection (2)(a)(ii) or the manufacturer, as the case may be.</w:t>
      </w:r>
    </w:p>
    <w:p>
      <w:pPr>
        <w:pStyle w:val="yHeading5"/>
      </w:pPr>
      <w:bookmarkStart w:id="373" w:name="_Toc164757971"/>
      <w:r>
        <w:rPr>
          <w:rStyle w:val="CharSClsNo"/>
        </w:rPr>
        <w:t>56</w:t>
      </w:r>
      <w:r>
        <w:t>.</w:t>
      </w:r>
      <w:r>
        <w:tab/>
        <w:t>Guarantee relating to the supply of goods by description</w:t>
      </w:r>
      <w:bookmarkEnd w:id="37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374" w:name="_Toc164757972"/>
      <w:r>
        <w:rPr>
          <w:rStyle w:val="CharSClsNo"/>
        </w:rPr>
        <w:t>57</w:t>
      </w:r>
      <w:r>
        <w:t>.</w:t>
      </w:r>
      <w:r>
        <w:tab/>
        <w:t>Guarantees relating to the supply of goods by sample or demonstration model</w:t>
      </w:r>
      <w:bookmarkEnd w:id="37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lastRenderedPageBreak/>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375" w:name="_Toc164757973"/>
      <w:r>
        <w:rPr>
          <w:rStyle w:val="CharSClsNo"/>
        </w:rPr>
        <w:t>58</w:t>
      </w:r>
      <w:r>
        <w:t>.</w:t>
      </w:r>
      <w:r>
        <w:tab/>
        <w:t>Guarantee as to repairs and spare parts</w:t>
      </w:r>
      <w:bookmarkEnd w:id="37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376" w:name="_Toc164757974"/>
      <w:r>
        <w:rPr>
          <w:rStyle w:val="CharSClsNo"/>
        </w:rPr>
        <w:t>59</w:t>
      </w:r>
      <w:r>
        <w:t>.</w:t>
      </w:r>
      <w:r>
        <w:tab/>
        <w:t>Guarantee as to express warranties</w:t>
      </w:r>
      <w:bookmarkEnd w:id="37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lastRenderedPageBreak/>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377" w:name="_Toc164682348"/>
      <w:bookmarkStart w:id="378" w:name="_Toc164682959"/>
      <w:bookmarkStart w:id="379" w:name="_Toc164757975"/>
      <w:r>
        <w:t>Subdivision B — Guarantees relating to the supply of services</w:t>
      </w:r>
      <w:bookmarkEnd w:id="377"/>
      <w:bookmarkEnd w:id="378"/>
      <w:bookmarkEnd w:id="379"/>
    </w:p>
    <w:p>
      <w:pPr>
        <w:pStyle w:val="yHeading5"/>
      </w:pPr>
      <w:bookmarkStart w:id="380" w:name="_Toc164757976"/>
      <w:r>
        <w:rPr>
          <w:rStyle w:val="CharSClsNo"/>
        </w:rPr>
        <w:t>60</w:t>
      </w:r>
      <w:r>
        <w:t>.</w:t>
      </w:r>
      <w:r>
        <w:tab/>
        <w:t>Guarantee as to due care and skill</w:t>
      </w:r>
      <w:bookmarkEnd w:id="380"/>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381" w:name="_Toc164757977"/>
      <w:r>
        <w:rPr>
          <w:rStyle w:val="CharSClsNo"/>
        </w:rPr>
        <w:t>61</w:t>
      </w:r>
      <w:r>
        <w:t>.</w:t>
      </w:r>
      <w:r>
        <w:tab/>
        <w:t>Guarantees as to fitness for a particular purpose etc.</w:t>
      </w:r>
      <w:bookmarkEnd w:id="38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lastRenderedPageBreak/>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382" w:name="_Toc164757978"/>
      <w:r>
        <w:rPr>
          <w:rStyle w:val="CharSClsNo"/>
        </w:rPr>
        <w:t>62</w:t>
      </w:r>
      <w:r>
        <w:t>.</w:t>
      </w:r>
      <w:r>
        <w:tab/>
        <w:t>Guarantee as to reasonable time for supply</w:t>
      </w:r>
      <w:bookmarkEnd w:id="382"/>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383" w:name="_Toc164757979"/>
      <w:r>
        <w:rPr>
          <w:rStyle w:val="CharSClsNo"/>
        </w:rPr>
        <w:t>63</w:t>
      </w:r>
      <w:r>
        <w:t>.</w:t>
      </w:r>
      <w:r>
        <w:tab/>
        <w:t>Services to which this Subdivision does not apply</w:t>
      </w:r>
      <w:bookmarkEnd w:id="383"/>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lastRenderedPageBreak/>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To avoid doubt, subsection (1)(a) does not apply if the consignee of the goods is not carrying on or engaged in a 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384" w:name="_Toc164682353"/>
      <w:bookmarkStart w:id="385" w:name="_Toc164682964"/>
      <w:bookmarkStart w:id="386" w:name="_Toc164757980"/>
      <w:r>
        <w:t>Subdivision C — Guarantees not to be excluded etc. by contract</w:t>
      </w:r>
      <w:bookmarkEnd w:id="384"/>
      <w:bookmarkEnd w:id="385"/>
      <w:bookmarkEnd w:id="386"/>
    </w:p>
    <w:p>
      <w:pPr>
        <w:pStyle w:val="yHeading5"/>
      </w:pPr>
      <w:bookmarkStart w:id="387" w:name="_Toc164757981"/>
      <w:r>
        <w:rPr>
          <w:rStyle w:val="CharSClsNo"/>
        </w:rPr>
        <w:t>64</w:t>
      </w:r>
      <w:r>
        <w:t>.</w:t>
      </w:r>
      <w:r>
        <w:tab/>
        <w:t>Guarantees not to be excluded etc. by contract</w:t>
      </w:r>
      <w:bookmarkEnd w:id="387"/>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388" w:name="_Toc164757982"/>
      <w:r>
        <w:rPr>
          <w:rStyle w:val="CharSClsNo"/>
        </w:rPr>
        <w:t>64A</w:t>
      </w:r>
      <w:r>
        <w:t>.</w:t>
      </w:r>
      <w:r>
        <w:tab/>
        <w:t>Limitation of liability for failures to comply with guarantees</w:t>
      </w:r>
      <w:bookmarkEnd w:id="388"/>
    </w:p>
    <w:p>
      <w:pPr>
        <w:tabs>
          <w:tab w:val="left" w:pos="1276"/>
          <w:tab w:val="left" w:pos="1843"/>
        </w:tabs>
        <w:spacing w:before="180"/>
        <w:ind w:left="1843" w:hanging="1843"/>
        <w:rPr>
          <w:sz w:val="22"/>
        </w:rPr>
      </w:pPr>
      <w:r>
        <w:rPr>
          <w:sz w:val="22"/>
        </w:rPr>
        <w:tab/>
        <w:t>(1)</w:t>
      </w:r>
      <w:r>
        <w:rPr>
          <w:sz w:val="22"/>
        </w:rPr>
        <w:tab/>
        <w:t xml:space="preserve">A term of a contract for the supply by a person of goods other than goods of a kind ordinarily acquired for personal, </w:t>
      </w:r>
      <w:r>
        <w:rPr>
          <w:sz w:val="22"/>
        </w:rPr>
        <w:lastRenderedPageBreak/>
        <w:t>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lastRenderedPageBreak/>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389" w:name="_Toc164682356"/>
      <w:bookmarkStart w:id="390" w:name="_Toc164682967"/>
      <w:bookmarkStart w:id="391" w:name="_Toc164757983"/>
      <w:r>
        <w:t>Subdivision D — Miscellaneous</w:t>
      </w:r>
      <w:bookmarkEnd w:id="389"/>
      <w:bookmarkEnd w:id="390"/>
      <w:bookmarkEnd w:id="391"/>
    </w:p>
    <w:p>
      <w:pPr>
        <w:pStyle w:val="yHeading5"/>
      </w:pPr>
      <w:bookmarkStart w:id="392" w:name="_Toc164757984"/>
      <w:r>
        <w:rPr>
          <w:rStyle w:val="CharSClsNo"/>
        </w:rPr>
        <w:t>65</w:t>
      </w:r>
      <w:r>
        <w:t>.</w:t>
      </w:r>
      <w:r>
        <w:tab/>
        <w:t>Application of this Division to supplies of gas, electricity and telecommunications</w:t>
      </w:r>
      <w:bookmarkEnd w:id="392"/>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393" w:name="_Toc164757985"/>
      <w:r>
        <w:rPr>
          <w:rStyle w:val="CharSClsNo"/>
        </w:rPr>
        <w:t>66</w:t>
      </w:r>
      <w:r>
        <w:t>.</w:t>
      </w:r>
      <w:r>
        <w:tab/>
        <w:t>Display notices</w:t>
      </w:r>
      <w:bookmarkEnd w:id="393"/>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 xml:space="preserve">A supplier who makes a supply to a consumer to which a guarantee applies under this Division, and to which such a </w:t>
      </w:r>
      <w:r>
        <w:rPr>
          <w:sz w:val="22"/>
        </w:rPr>
        <w:lastRenderedPageBreak/>
        <w:t>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394" w:name="_Toc164757986"/>
      <w:r>
        <w:rPr>
          <w:rStyle w:val="CharSClsNo"/>
        </w:rPr>
        <w:t>67</w:t>
      </w:r>
      <w:r>
        <w:t>.</w:t>
      </w:r>
      <w:r>
        <w:tab/>
        <w:t>Conflict of laws</w:t>
      </w:r>
      <w:bookmarkEnd w:id="39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lastRenderedPageBreak/>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395" w:name="_Toc164757987"/>
      <w:r>
        <w:rPr>
          <w:rStyle w:val="CharSClsNo"/>
        </w:rPr>
        <w:t>68</w:t>
      </w:r>
      <w:r>
        <w:t>.</w:t>
      </w:r>
      <w:r>
        <w:tab/>
        <w:t>Convention on Contracts for the International Sale of Goods</w:t>
      </w:r>
      <w:bookmarkEnd w:id="395"/>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396" w:name="_Toc164682361"/>
      <w:bookmarkStart w:id="397" w:name="_Toc164682972"/>
      <w:bookmarkStart w:id="398" w:name="_Toc164757988"/>
      <w:r>
        <w:t>Division 2 — Unsolicited consumer agreements</w:t>
      </w:r>
      <w:bookmarkEnd w:id="396"/>
      <w:bookmarkEnd w:id="397"/>
      <w:bookmarkEnd w:id="398"/>
    </w:p>
    <w:p>
      <w:pPr>
        <w:pStyle w:val="yHeading4"/>
      </w:pPr>
      <w:bookmarkStart w:id="399" w:name="_Toc164682362"/>
      <w:bookmarkStart w:id="400" w:name="_Toc164682973"/>
      <w:bookmarkStart w:id="401" w:name="_Toc164757989"/>
      <w:r>
        <w:t>Subdivision A — Introduction</w:t>
      </w:r>
      <w:bookmarkEnd w:id="399"/>
      <w:bookmarkEnd w:id="400"/>
      <w:bookmarkEnd w:id="401"/>
    </w:p>
    <w:p>
      <w:pPr>
        <w:pStyle w:val="yHeading5"/>
      </w:pPr>
      <w:bookmarkStart w:id="402" w:name="_Toc164757990"/>
      <w:r>
        <w:rPr>
          <w:rStyle w:val="CharSClsNo"/>
        </w:rPr>
        <w:t>69</w:t>
      </w:r>
      <w:r>
        <w:t>.</w:t>
      </w:r>
      <w:r>
        <w:tab/>
        <w:t xml:space="preserve">Meaning of </w:t>
      </w:r>
      <w:r>
        <w:rPr>
          <w:i/>
          <w:iCs/>
        </w:rPr>
        <w:t>unsolicited consumer agreement</w:t>
      </w:r>
      <w:bookmarkEnd w:id="402"/>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 xml:space="preserve">the consumer did not invite the dealer to come to that place, or to make a telephone call, for the purposes of entering into negotiations relating to the supply of those goods or services (whether or not the </w:t>
      </w:r>
      <w:r>
        <w:rPr>
          <w:sz w:val="22"/>
        </w:rPr>
        <w:lastRenderedPageBreak/>
        <w:t>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w:t>
      </w:r>
      <w:r>
        <w:rPr>
          <w:sz w:val="22"/>
        </w:rPr>
        <w:lastRenderedPageBreak/>
        <w:t>agreement of a kind that the regulations provide are not unsolicited consumer agreements.</w:t>
      </w:r>
    </w:p>
    <w:p>
      <w:pPr>
        <w:pStyle w:val="yHeading5"/>
        <w:spacing w:before="180"/>
      </w:pPr>
      <w:bookmarkStart w:id="403" w:name="_Toc164757991"/>
      <w:r>
        <w:rPr>
          <w:rStyle w:val="CharSClsNo"/>
        </w:rPr>
        <w:t>70</w:t>
      </w:r>
      <w:r>
        <w:t>.</w:t>
      </w:r>
      <w:r>
        <w:tab/>
        <w:t>Presumption that agreements are unsolicited consumer agreements</w:t>
      </w:r>
      <w:bookmarkEnd w:id="403"/>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404" w:name="_Toc164757992"/>
      <w:r>
        <w:rPr>
          <w:rStyle w:val="CharSClsNo"/>
        </w:rPr>
        <w:t>71</w:t>
      </w:r>
      <w:r>
        <w:t>.</w:t>
      </w:r>
      <w:r>
        <w:tab/>
        <w:t xml:space="preserve">Meaning of </w:t>
      </w:r>
      <w:r>
        <w:rPr>
          <w:i/>
          <w:iCs/>
        </w:rPr>
        <w:t>dealer</w:t>
      </w:r>
      <w:bookmarkEnd w:id="404"/>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405" w:name="_Toc164757993"/>
      <w:r>
        <w:rPr>
          <w:rStyle w:val="CharSClsNo"/>
        </w:rPr>
        <w:lastRenderedPageBreak/>
        <w:t>72</w:t>
      </w:r>
      <w:r>
        <w:t>.</w:t>
      </w:r>
      <w:r>
        <w:tab/>
        <w:t xml:space="preserve">Meaning of </w:t>
      </w:r>
      <w:r>
        <w:rPr>
          <w:i/>
          <w:iCs/>
        </w:rPr>
        <w:t>negotiation</w:t>
      </w:r>
      <w:bookmarkEnd w:id="405"/>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406" w:name="_Toc164682367"/>
      <w:bookmarkStart w:id="407" w:name="_Toc164682978"/>
      <w:bookmarkStart w:id="408" w:name="_Toc164757994"/>
      <w:r>
        <w:t>Subdivision B — Negotiating unsolicited consumer agreements</w:t>
      </w:r>
      <w:bookmarkEnd w:id="406"/>
      <w:bookmarkEnd w:id="407"/>
      <w:bookmarkEnd w:id="408"/>
    </w:p>
    <w:p>
      <w:pPr>
        <w:pStyle w:val="yHeading5"/>
      </w:pPr>
      <w:bookmarkStart w:id="409" w:name="_Toc164757995"/>
      <w:r>
        <w:rPr>
          <w:rStyle w:val="CharSClsNo"/>
        </w:rPr>
        <w:t>73</w:t>
      </w:r>
      <w:r>
        <w:t>.</w:t>
      </w:r>
      <w:r>
        <w:tab/>
        <w:t>Permitted hours for negotiating an unsolicited consumer agreement</w:t>
      </w:r>
      <w:bookmarkEnd w:id="409"/>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410" w:name="_Toc164757996"/>
      <w:r>
        <w:rPr>
          <w:rStyle w:val="CharSClsNo"/>
        </w:rPr>
        <w:t>74</w:t>
      </w:r>
      <w:r>
        <w:t>.</w:t>
      </w:r>
      <w:r>
        <w:tab/>
        <w:t>Disclosing purpose and identity</w:t>
      </w:r>
      <w:bookmarkEnd w:id="410"/>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lastRenderedPageBreak/>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1" w:name="_Toc164757997"/>
      <w:r>
        <w:rPr>
          <w:rStyle w:val="CharSClsNo"/>
        </w:rPr>
        <w:t>75</w:t>
      </w:r>
      <w:r>
        <w:t>.</w:t>
      </w:r>
      <w:r>
        <w:tab/>
        <w:t>Ceasing to negotiate on request</w:t>
      </w:r>
      <w:bookmarkEnd w:id="411"/>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lastRenderedPageBreak/>
        <w:tab/>
        <w:t>(b)</w:t>
      </w:r>
      <w:r>
        <w:rPr>
          <w:sz w:val="22"/>
        </w:rPr>
        <w:tab/>
        <w:t>subsection (2) does not apply to the dealer contacting the prospective customer in relation to a supply by another supplier.</w:t>
      </w:r>
    </w:p>
    <w:p>
      <w:pPr>
        <w:pStyle w:val="yHeading5"/>
      </w:pPr>
      <w:bookmarkStart w:id="412" w:name="_Toc164757998"/>
      <w:r>
        <w:rPr>
          <w:rStyle w:val="CharSClsNo"/>
        </w:rPr>
        <w:t>76</w:t>
      </w:r>
      <w:r>
        <w:t>.</w:t>
      </w:r>
      <w:r>
        <w:tab/>
        <w:t>Informing person of termination period etc.</w:t>
      </w:r>
      <w:bookmarkEnd w:id="412"/>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3" w:name="_Toc164757999"/>
      <w:r>
        <w:rPr>
          <w:rStyle w:val="CharSClsNo"/>
        </w:rPr>
        <w:t>77</w:t>
      </w:r>
      <w:r>
        <w:t>.</w:t>
      </w:r>
      <w:r>
        <w:tab/>
        <w:t>Liability of suppliers for contraventions by dealers</w:t>
      </w:r>
      <w:bookmarkEnd w:id="41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414" w:name="_Toc164682373"/>
      <w:bookmarkStart w:id="415" w:name="_Toc164682984"/>
      <w:bookmarkStart w:id="416" w:name="_Toc164758000"/>
      <w:r>
        <w:lastRenderedPageBreak/>
        <w:t>Subdivision C — Requirements for unsolicited consumer agreements etc.</w:t>
      </w:r>
      <w:bookmarkEnd w:id="414"/>
      <w:bookmarkEnd w:id="415"/>
      <w:bookmarkEnd w:id="416"/>
    </w:p>
    <w:p>
      <w:pPr>
        <w:pStyle w:val="yHeading5"/>
      </w:pPr>
      <w:bookmarkStart w:id="417" w:name="_Toc164758001"/>
      <w:r>
        <w:rPr>
          <w:rStyle w:val="CharSClsNo"/>
        </w:rPr>
        <w:t>78</w:t>
      </w:r>
      <w:r>
        <w:t>.</w:t>
      </w:r>
      <w:r>
        <w:tab/>
        <w:t>Requirement to give document to the consumer</w:t>
      </w:r>
      <w:bookmarkEnd w:id="417"/>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418" w:name="_Toc164758002"/>
      <w:r>
        <w:rPr>
          <w:rStyle w:val="CharSClsNo"/>
        </w:rPr>
        <w:t>79</w:t>
      </w:r>
      <w:r>
        <w:t>.</w:t>
      </w:r>
      <w:r>
        <w:tab/>
        <w:t>Requirements for all unsolicited consumer agreements etc.</w:t>
      </w:r>
      <w:bookmarkEnd w:id="418"/>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lastRenderedPageBreak/>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lastRenderedPageBreak/>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9" w:name="_Toc164758003"/>
      <w:r>
        <w:rPr>
          <w:rStyle w:val="CharSClsNo"/>
        </w:rPr>
        <w:t>80</w:t>
      </w:r>
      <w:r>
        <w:t>.</w:t>
      </w:r>
      <w:r>
        <w:tab/>
        <w:t>Additional requirements for unsolicited consumer agreements not negotiated by telephone</w:t>
      </w:r>
      <w:bookmarkEnd w:id="419"/>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20" w:name="_Toc164758004"/>
      <w:r>
        <w:rPr>
          <w:rStyle w:val="CharSClsNo"/>
        </w:rPr>
        <w:t>81</w:t>
      </w:r>
      <w:r>
        <w:t>.</w:t>
      </w:r>
      <w:r>
        <w:tab/>
        <w:t>Requirements for amendments of unsolicited consumer agreements</w:t>
      </w:r>
      <w:bookmarkEnd w:id="420"/>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lastRenderedPageBreak/>
        <w:tab/>
        <w:t>Note:</w:t>
      </w:r>
      <w:r>
        <w:rPr>
          <w:sz w:val="18"/>
        </w:rPr>
        <w:tab/>
        <w:t>A pecuniary penalty may be imposed for a contravention of this section.</w:t>
      </w:r>
    </w:p>
    <w:p>
      <w:pPr>
        <w:pStyle w:val="yHeading4"/>
      </w:pPr>
      <w:bookmarkStart w:id="421" w:name="_Toc164682378"/>
      <w:bookmarkStart w:id="422" w:name="_Toc164682989"/>
      <w:bookmarkStart w:id="423" w:name="_Toc164758005"/>
      <w:r>
        <w:t>Subdivision D — Terminating unsolicited consumer agreements</w:t>
      </w:r>
      <w:bookmarkEnd w:id="421"/>
      <w:bookmarkEnd w:id="422"/>
      <w:bookmarkEnd w:id="423"/>
    </w:p>
    <w:p>
      <w:pPr>
        <w:pStyle w:val="yHeading5"/>
      </w:pPr>
      <w:bookmarkStart w:id="424" w:name="_Toc164758006"/>
      <w:r>
        <w:rPr>
          <w:rStyle w:val="CharSClsNo"/>
        </w:rPr>
        <w:t>82</w:t>
      </w:r>
      <w:r>
        <w:t>.</w:t>
      </w:r>
      <w:r>
        <w:tab/>
        <w:t>Terminating an unsolicited consumer agreement during the termination period</w:t>
      </w:r>
      <w:bookmarkEnd w:id="424"/>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 xml:space="preserve">if the agreement was not negotiated by telephone—the period starting on the day on which the agreement was made and ending </w:t>
      </w:r>
      <w:r>
        <w:rPr>
          <w:sz w:val="22"/>
          <w:szCs w:val="22"/>
        </w:rPr>
        <w:lastRenderedPageBreak/>
        <w:t>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lastRenderedPageBreak/>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425" w:name="_Toc164758007"/>
      <w:r>
        <w:rPr>
          <w:rStyle w:val="CharSClsNo"/>
        </w:rPr>
        <w:t>83</w:t>
      </w:r>
      <w:r>
        <w:t>.</w:t>
      </w:r>
      <w:r>
        <w:tab/>
        <w:t>Effect of termination</w:t>
      </w:r>
      <w:bookmarkEnd w:id="425"/>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lastRenderedPageBreak/>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426" w:name="_Toc164758008"/>
      <w:r>
        <w:rPr>
          <w:rStyle w:val="CharSClsNo"/>
        </w:rPr>
        <w:t>84</w:t>
      </w:r>
      <w:r>
        <w:t>.</w:t>
      </w:r>
      <w:r>
        <w:tab/>
        <w:t>Obligations of suppliers on termination</w:t>
      </w:r>
      <w:bookmarkEnd w:id="426"/>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427" w:name="_Toc164758009"/>
      <w:r>
        <w:rPr>
          <w:rStyle w:val="CharSClsNo"/>
        </w:rPr>
        <w:t>85</w:t>
      </w:r>
      <w:r>
        <w:t>.</w:t>
      </w:r>
      <w:r>
        <w:tab/>
        <w:t>Obligations and rights of consumers on termination</w:t>
      </w:r>
      <w:bookmarkEnd w:id="42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lastRenderedPageBreak/>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the period starting on the day </w:t>
      </w:r>
      <w:r>
        <w:rPr>
          <w:sz w:val="22"/>
        </w:rPr>
        <w:lastRenderedPageBreak/>
        <w:t>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428" w:name="_Toc164758010"/>
      <w:r>
        <w:rPr>
          <w:rStyle w:val="CharSClsNo"/>
        </w:rPr>
        <w:t>86</w:t>
      </w:r>
      <w:r>
        <w:t>.</w:t>
      </w:r>
      <w:r>
        <w:tab/>
        <w:t>Prohibition on supplies etc.</w:t>
      </w:r>
      <w:bookmarkEnd w:id="428"/>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lastRenderedPageBreak/>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429" w:name="_Toc164758011"/>
      <w:r>
        <w:rPr>
          <w:rStyle w:val="CharSClsNo"/>
        </w:rPr>
        <w:t>87</w:t>
      </w:r>
      <w:r>
        <w:t>.</w:t>
      </w:r>
      <w:r>
        <w:tab/>
        <w:t>Repayment of payments received after termination</w:t>
      </w:r>
      <w:bookmarkEnd w:id="429"/>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430" w:name="_Toc164758012"/>
      <w:r>
        <w:rPr>
          <w:rStyle w:val="CharSClsNo"/>
        </w:rPr>
        <w:t>88</w:t>
      </w:r>
      <w:r>
        <w:t>.</w:t>
      </w:r>
      <w:r>
        <w:tab/>
        <w:t>Prohibition on recovering amounts after termination</w:t>
      </w:r>
      <w:bookmarkEnd w:id="430"/>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lastRenderedPageBreak/>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431" w:name="_Toc164682386"/>
      <w:bookmarkStart w:id="432" w:name="_Toc164682997"/>
      <w:bookmarkStart w:id="433" w:name="_Toc164758013"/>
      <w:r>
        <w:t>Subdivision E — Miscellaneous</w:t>
      </w:r>
      <w:bookmarkEnd w:id="431"/>
      <w:bookmarkEnd w:id="432"/>
      <w:bookmarkEnd w:id="433"/>
    </w:p>
    <w:p>
      <w:pPr>
        <w:pStyle w:val="yHeading5"/>
      </w:pPr>
      <w:bookmarkStart w:id="434" w:name="_Toc164758014"/>
      <w:r>
        <w:rPr>
          <w:rStyle w:val="CharSClsNo"/>
        </w:rPr>
        <w:t>89</w:t>
      </w:r>
      <w:r>
        <w:t>.</w:t>
      </w:r>
      <w:r>
        <w:tab/>
        <w:t>Certain provisions of unsolicited consumer agreements void</w:t>
      </w:r>
      <w:bookmarkEnd w:id="434"/>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lastRenderedPageBreak/>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35" w:name="_Toc164758015"/>
      <w:r>
        <w:rPr>
          <w:rStyle w:val="CharSClsNo"/>
        </w:rPr>
        <w:t>90</w:t>
      </w:r>
      <w:r>
        <w:t>.</w:t>
      </w:r>
      <w:r>
        <w:tab/>
        <w:t>Waiver of rights</w:t>
      </w:r>
      <w:bookmarkEnd w:id="435"/>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36" w:name="_Toc164758016"/>
      <w:r>
        <w:rPr>
          <w:rStyle w:val="CharSClsNo"/>
        </w:rPr>
        <w:t>91</w:t>
      </w:r>
      <w:r>
        <w:t>.</w:t>
      </w:r>
      <w:r>
        <w:tab/>
        <w:t>Application of this Division to persons to whom rights of consumers and suppliers are assigned etc.</w:t>
      </w:r>
      <w:bookmarkEnd w:id="436"/>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xml:space="preserve">) under a contract for the supply of goods or services are assigned or </w:t>
      </w:r>
      <w:r>
        <w:rPr>
          <w:sz w:val="22"/>
        </w:rPr>
        <w:lastRenderedPageBreak/>
        <w:t>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437" w:name="_Toc164758017"/>
      <w:r>
        <w:rPr>
          <w:rStyle w:val="CharSClsNo"/>
        </w:rPr>
        <w:t>92</w:t>
      </w:r>
      <w:r>
        <w:t>.</w:t>
      </w:r>
      <w:r>
        <w:tab/>
        <w:t>Application of this Division to supplies to third parties</w:t>
      </w:r>
      <w:bookmarkEnd w:id="437"/>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438" w:name="_Toc164758018"/>
      <w:r>
        <w:rPr>
          <w:rStyle w:val="CharSClsNo"/>
        </w:rPr>
        <w:t>93</w:t>
      </w:r>
      <w:r>
        <w:t>.</w:t>
      </w:r>
      <w:r>
        <w:tab/>
        <w:t>Effect of contravening this Division</w:t>
      </w:r>
      <w:bookmarkEnd w:id="438"/>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439" w:name="_Toc164758019"/>
      <w:r>
        <w:rPr>
          <w:rStyle w:val="CharSClsNo"/>
        </w:rPr>
        <w:t>94</w:t>
      </w:r>
      <w:r>
        <w:t>.</w:t>
      </w:r>
      <w:r>
        <w:tab/>
        <w:t>Regulations may limit the application of this Division</w:t>
      </w:r>
      <w:bookmarkEnd w:id="439"/>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440" w:name="_Toc164758020"/>
      <w:r>
        <w:rPr>
          <w:rStyle w:val="CharSClsNo"/>
        </w:rPr>
        <w:lastRenderedPageBreak/>
        <w:t>95</w:t>
      </w:r>
      <w:r>
        <w:t>.</w:t>
      </w:r>
      <w:r>
        <w:tab/>
        <w:t>Application of this Division to certain conduct covered by the Corporations Act</w:t>
      </w:r>
      <w:bookmarkEnd w:id="44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441" w:name="_Toc164682394"/>
      <w:bookmarkStart w:id="442" w:name="_Toc164683005"/>
      <w:bookmarkStart w:id="443" w:name="_Toc164758021"/>
      <w:r>
        <w:t>Division 3 — Lay</w:t>
      </w:r>
      <w:r>
        <w:noBreakHyphen/>
        <w:t>by agreements</w:t>
      </w:r>
      <w:bookmarkEnd w:id="441"/>
      <w:bookmarkEnd w:id="442"/>
      <w:bookmarkEnd w:id="443"/>
    </w:p>
    <w:p>
      <w:pPr>
        <w:pStyle w:val="yHeading5"/>
      </w:pPr>
      <w:bookmarkStart w:id="444" w:name="_Toc164758022"/>
      <w:r>
        <w:rPr>
          <w:rStyle w:val="CharSClsNo"/>
        </w:rPr>
        <w:t>96</w:t>
      </w:r>
      <w:r>
        <w:t>.</w:t>
      </w:r>
      <w:r>
        <w:tab/>
        <w:t>Lay</w:t>
      </w:r>
      <w:r>
        <w:noBreakHyphen/>
        <w:t>by agreements must be in writing etc.</w:t>
      </w:r>
      <w:bookmarkEnd w:id="444"/>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lastRenderedPageBreak/>
        <w:tab/>
        <w:t>(4)</w:t>
      </w:r>
      <w:r>
        <w:rPr>
          <w:sz w:val="22"/>
        </w:rPr>
        <w:tab/>
        <w:t>For the purposes of subsection (3)(b), any deposit paid by the consumer for the goods is taken to be an instalment.</w:t>
      </w:r>
    </w:p>
    <w:p>
      <w:pPr>
        <w:pStyle w:val="yHeading5"/>
      </w:pPr>
      <w:bookmarkStart w:id="445" w:name="_Toc164758023"/>
      <w:r>
        <w:rPr>
          <w:rStyle w:val="CharSClsNo"/>
        </w:rPr>
        <w:t>97</w:t>
      </w:r>
      <w:r>
        <w:t>.</w:t>
      </w:r>
      <w:r>
        <w:tab/>
        <w:t>Termination of lay</w:t>
      </w:r>
      <w:r>
        <w:noBreakHyphen/>
        <w:t>by agreements by consumers</w:t>
      </w:r>
      <w:bookmarkEnd w:id="445"/>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46" w:name="_Toc164758024"/>
      <w:r>
        <w:rPr>
          <w:rStyle w:val="CharSClsNo"/>
        </w:rPr>
        <w:t>98</w:t>
      </w:r>
      <w:r>
        <w:t>.</w:t>
      </w:r>
      <w:r>
        <w:tab/>
        <w:t>Termination of lay</w:t>
      </w:r>
      <w:r>
        <w:noBreakHyphen/>
        <w:t>by agreements by suppliers</w:t>
      </w:r>
      <w:bookmarkEnd w:id="446"/>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447" w:name="_Toc164758025"/>
      <w:r>
        <w:rPr>
          <w:rStyle w:val="CharSClsNo"/>
        </w:rPr>
        <w:lastRenderedPageBreak/>
        <w:t>99</w:t>
      </w:r>
      <w:r>
        <w:t>.</w:t>
      </w:r>
      <w:r>
        <w:tab/>
        <w:t>Effect of termination</w:t>
      </w:r>
      <w:bookmarkEnd w:id="447"/>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448" w:name="_Toc164682399"/>
      <w:bookmarkStart w:id="449" w:name="_Toc164683010"/>
      <w:bookmarkStart w:id="450" w:name="_Toc164758026"/>
      <w:r>
        <w:rPr>
          <w:rFonts w:eastAsia="Yu Gothic"/>
        </w:rPr>
        <w:t>Division 3A—Gift cards</w:t>
      </w:r>
      <w:bookmarkEnd w:id="448"/>
      <w:bookmarkEnd w:id="449"/>
      <w:bookmarkEnd w:id="450"/>
    </w:p>
    <w:p>
      <w:pPr>
        <w:pStyle w:val="yHeading4"/>
        <w:rPr>
          <w:rFonts w:eastAsia="Yu Gothic"/>
        </w:rPr>
      </w:pPr>
      <w:bookmarkStart w:id="451" w:name="_Toc164682400"/>
      <w:bookmarkStart w:id="452" w:name="_Toc164683011"/>
      <w:bookmarkStart w:id="453" w:name="_Toc164758027"/>
      <w:r>
        <w:rPr>
          <w:rFonts w:eastAsia="Yu Gothic"/>
        </w:rPr>
        <w:t>Subdivision A—Introduction</w:t>
      </w:r>
      <w:bookmarkEnd w:id="451"/>
      <w:bookmarkEnd w:id="452"/>
      <w:bookmarkEnd w:id="453"/>
    </w:p>
    <w:p>
      <w:pPr>
        <w:pStyle w:val="yHeading5"/>
        <w:rPr>
          <w:rFonts w:eastAsia="Yu Gothic"/>
          <w:szCs w:val="22"/>
        </w:rPr>
      </w:pPr>
      <w:bookmarkStart w:id="454" w:name="_Toc164758028"/>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454"/>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455" w:name="_Toc164682402"/>
      <w:bookmarkStart w:id="456" w:name="_Toc164683013"/>
      <w:bookmarkStart w:id="457" w:name="_Toc164758029"/>
      <w:r>
        <w:rPr>
          <w:rFonts w:eastAsia="Yu Gothic"/>
          <w:szCs w:val="22"/>
        </w:rPr>
        <w:lastRenderedPageBreak/>
        <w:t>Subdivision</w:t>
      </w:r>
      <w:r>
        <w:rPr>
          <w:szCs w:val="22"/>
        </w:rPr>
        <w:t xml:space="preserve"> B—Requirements relating to gift cards</w:t>
      </w:r>
      <w:bookmarkEnd w:id="455"/>
      <w:bookmarkEnd w:id="456"/>
      <w:bookmarkEnd w:id="457"/>
    </w:p>
    <w:p>
      <w:pPr>
        <w:pStyle w:val="yHeading5"/>
        <w:rPr>
          <w:szCs w:val="22"/>
        </w:rPr>
      </w:pPr>
      <w:bookmarkStart w:id="458" w:name="_Toc164758030"/>
      <w:r>
        <w:rPr>
          <w:rStyle w:val="CharSClsNo"/>
        </w:rPr>
        <w:t>99B</w:t>
      </w:r>
      <w:r>
        <w:rPr>
          <w:szCs w:val="22"/>
        </w:rPr>
        <w:t>.</w:t>
      </w:r>
      <w:r>
        <w:rPr>
          <w:szCs w:val="22"/>
        </w:rPr>
        <w:tab/>
        <w:t>Gift cards to be redeemable for at least 3 years</w:t>
      </w:r>
      <w:bookmarkEnd w:id="458"/>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459" w:name="_Toc164758031"/>
      <w:r>
        <w:rPr>
          <w:rStyle w:val="CharSClsNo"/>
          <w:szCs w:val="22"/>
        </w:rPr>
        <w:t>99C</w:t>
      </w:r>
      <w:r>
        <w:rPr>
          <w:szCs w:val="22"/>
        </w:rPr>
        <w:t>.</w:t>
      </w:r>
      <w:r>
        <w:rPr>
          <w:szCs w:val="22"/>
        </w:rPr>
        <w:tab/>
        <w:t>When gift card ceases to be redeemable to appear prominently on gift card</w:t>
      </w:r>
      <w:bookmarkEnd w:id="459"/>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lastRenderedPageBreak/>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460" w:name="_Toc164758032"/>
      <w:r>
        <w:rPr>
          <w:rStyle w:val="CharSClsNo"/>
          <w:szCs w:val="22"/>
        </w:rPr>
        <w:t>99D.</w:t>
      </w:r>
      <w:r>
        <w:rPr>
          <w:rStyle w:val="CharSClsNo"/>
          <w:szCs w:val="22"/>
        </w:rPr>
        <w:tab/>
      </w:r>
      <w:r>
        <w:rPr>
          <w:szCs w:val="22"/>
        </w:rPr>
        <w:t>Terms and conditions not to allow post</w:t>
      </w:r>
      <w:r>
        <w:rPr>
          <w:szCs w:val="22"/>
        </w:rPr>
        <w:noBreakHyphen/>
        <w:t>supply fees</w:t>
      </w:r>
      <w:bookmarkEnd w:id="460"/>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461" w:name="_Toc164758033"/>
      <w:r>
        <w:rPr>
          <w:rStyle w:val="CharSClsNo"/>
          <w:szCs w:val="22"/>
        </w:rPr>
        <w:t>99E</w:t>
      </w:r>
      <w:r>
        <w:rPr>
          <w:szCs w:val="22"/>
        </w:rPr>
        <w:t>.</w:t>
      </w:r>
      <w:r>
        <w:rPr>
          <w:rStyle w:val="CharSClsNo"/>
          <w:szCs w:val="22"/>
        </w:rPr>
        <w:tab/>
      </w:r>
      <w:r>
        <w:rPr>
          <w:szCs w:val="22"/>
        </w:rPr>
        <w:t>Post</w:t>
      </w:r>
      <w:r>
        <w:rPr>
          <w:szCs w:val="22"/>
        </w:rPr>
        <w:noBreakHyphen/>
        <w:t>supply fees not to be demanded or received</w:t>
      </w:r>
      <w:bookmarkEnd w:id="461"/>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462" w:name="_Toc164758034"/>
      <w:r>
        <w:rPr>
          <w:rStyle w:val="CharSClsNo"/>
        </w:rPr>
        <w:t>99F</w:t>
      </w:r>
      <w:r>
        <w:rPr>
          <w:szCs w:val="22"/>
        </w:rPr>
        <w:t>.</w:t>
      </w:r>
      <w:r>
        <w:rPr>
          <w:szCs w:val="22"/>
        </w:rPr>
        <w:tab/>
        <w:t>Certain terms and conditions of gift card void</w:t>
      </w:r>
      <w:bookmarkEnd w:id="462"/>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lastRenderedPageBreak/>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463" w:name="_Toc164682408"/>
      <w:bookmarkStart w:id="464" w:name="_Toc164683019"/>
      <w:bookmarkStart w:id="465" w:name="_Toc164758035"/>
      <w:r>
        <w:rPr>
          <w:rFonts w:eastAsia="Yu Gothic"/>
          <w:szCs w:val="22"/>
        </w:rPr>
        <w:t>Subdivision</w:t>
      </w:r>
      <w:r>
        <w:rPr>
          <w:szCs w:val="22"/>
        </w:rPr>
        <w:t xml:space="preserve"> C—Miscellaneous</w:t>
      </w:r>
      <w:bookmarkEnd w:id="463"/>
      <w:bookmarkEnd w:id="464"/>
      <w:bookmarkEnd w:id="465"/>
    </w:p>
    <w:p>
      <w:pPr>
        <w:pStyle w:val="yHeading5"/>
        <w:rPr>
          <w:szCs w:val="22"/>
        </w:rPr>
      </w:pPr>
      <w:bookmarkStart w:id="466" w:name="_Toc164758036"/>
      <w:r>
        <w:rPr>
          <w:rStyle w:val="CharSClsNo"/>
        </w:rPr>
        <w:t>99G</w:t>
      </w:r>
      <w:r>
        <w:rPr>
          <w:szCs w:val="22"/>
        </w:rPr>
        <w:t>.</w:t>
      </w:r>
      <w:r>
        <w:rPr>
          <w:szCs w:val="22"/>
        </w:rPr>
        <w:tab/>
        <w:t>Regulations may limit application of this Division</w:t>
      </w:r>
      <w:bookmarkEnd w:id="466"/>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467" w:name="_Toc164682410"/>
      <w:bookmarkStart w:id="468" w:name="_Toc164683021"/>
      <w:bookmarkStart w:id="469" w:name="_Toc164758037"/>
      <w:r>
        <w:lastRenderedPageBreak/>
        <w:t>Division 4 — Miscellaneous</w:t>
      </w:r>
      <w:bookmarkEnd w:id="467"/>
      <w:bookmarkEnd w:id="468"/>
      <w:bookmarkEnd w:id="469"/>
    </w:p>
    <w:p>
      <w:pPr>
        <w:pStyle w:val="yHeading5"/>
      </w:pPr>
      <w:bookmarkStart w:id="470" w:name="_Toc164758038"/>
      <w:r>
        <w:rPr>
          <w:rStyle w:val="CharSClsNo"/>
        </w:rPr>
        <w:t>100</w:t>
      </w:r>
      <w:r>
        <w:t>.</w:t>
      </w:r>
      <w:r>
        <w:tab/>
        <w:t>Supplier must provide proof of transaction etc.</w:t>
      </w:r>
      <w:bookmarkEnd w:id="47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lastRenderedPageBreak/>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471" w:name="_Toc164758039"/>
      <w:r>
        <w:rPr>
          <w:rStyle w:val="CharSClsNo"/>
        </w:rPr>
        <w:t>101</w:t>
      </w:r>
      <w:r>
        <w:t>.</w:t>
      </w:r>
      <w:r>
        <w:tab/>
        <w:t>Consumer may request an itemised bill</w:t>
      </w:r>
      <w:bookmarkEnd w:id="471"/>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lastRenderedPageBreak/>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472" w:name="_Toc164758040"/>
      <w:r>
        <w:rPr>
          <w:rStyle w:val="CharSClsNo"/>
        </w:rPr>
        <w:t>102</w:t>
      </w:r>
      <w:r>
        <w:t>.</w:t>
      </w:r>
      <w:r>
        <w:tab/>
        <w:t>Prescribed requirements for warranties against defects</w:t>
      </w:r>
      <w:bookmarkEnd w:id="472"/>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lastRenderedPageBreak/>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473" w:name="_Toc164758041"/>
      <w:r>
        <w:rPr>
          <w:rStyle w:val="CharSClsNo"/>
        </w:rPr>
        <w:t>103</w:t>
      </w:r>
      <w:r>
        <w:t>.</w:t>
      </w:r>
      <w:r>
        <w:tab/>
        <w:t>Repairers must comply with prescribed requirements</w:t>
      </w:r>
      <w:bookmarkEnd w:id="473"/>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474" w:name="_Toc164682415"/>
      <w:bookmarkStart w:id="475" w:name="_Toc164683026"/>
      <w:bookmarkStart w:id="476" w:name="_Toc164758042"/>
      <w:r>
        <w:t>Part 3</w:t>
      </w:r>
      <w:r>
        <w:noBreakHyphen/>
        <w:t>3</w:t>
      </w:r>
      <w:r>
        <w:rPr>
          <w:b w:val="0"/>
        </w:rPr>
        <w:t> </w:t>
      </w:r>
      <w:r>
        <w:t>—</w:t>
      </w:r>
      <w:r>
        <w:rPr>
          <w:b w:val="0"/>
        </w:rPr>
        <w:t> </w:t>
      </w:r>
      <w:r>
        <w:t>Safety of consumer goods and product related services</w:t>
      </w:r>
      <w:bookmarkEnd w:id="474"/>
      <w:bookmarkEnd w:id="475"/>
      <w:bookmarkEnd w:id="476"/>
    </w:p>
    <w:p>
      <w:pPr>
        <w:pStyle w:val="yHeading3"/>
        <w:spacing w:before="200"/>
      </w:pPr>
      <w:bookmarkStart w:id="477" w:name="_Toc164682416"/>
      <w:bookmarkStart w:id="478" w:name="_Toc164683027"/>
      <w:bookmarkStart w:id="479" w:name="_Toc164758043"/>
      <w:r>
        <w:t>Division 1 — Safety standards</w:t>
      </w:r>
      <w:bookmarkEnd w:id="477"/>
      <w:bookmarkEnd w:id="478"/>
      <w:bookmarkEnd w:id="479"/>
    </w:p>
    <w:p>
      <w:pPr>
        <w:pStyle w:val="yHeading5"/>
        <w:spacing w:before="180"/>
      </w:pPr>
      <w:bookmarkStart w:id="480" w:name="_Toc164758044"/>
      <w:r>
        <w:rPr>
          <w:rStyle w:val="CharSClsNo"/>
        </w:rPr>
        <w:t>104</w:t>
      </w:r>
      <w:r>
        <w:t>.</w:t>
      </w:r>
      <w:r>
        <w:tab/>
        <w:t>Making safety standards for consumer goods and product related services</w:t>
      </w:r>
      <w:bookmarkEnd w:id="480"/>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 xml:space="preserve">A safety standard for consumer goods of a particular kind may consist of such requirements about the following </w:t>
      </w:r>
      <w:r>
        <w:rPr>
          <w:sz w:val="22"/>
        </w:rPr>
        <w:lastRenderedPageBreak/>
        <w:t>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481" w:name="_Toc164758045"/>
      <w:r>
        <w:rPr>
          <w:rStyle w:val="CharSClsNo"/>
        </w:rPr>
        <w:t>105</w:t>
      </w:r>
      <w:r>
        <w:t>.</w:t>
      </w:r>
      <w:r>
        <w:tab/>
        <w:t>Declaring safety standards for consumer goods and product related services</w:t>
      </w:r>
      <w:bookmarkEnd w:id="481"/>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lastRenderedPageBreak/>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482" w:name="_Toc164758046"/>
      <w:r>
        <w:rPr>
          <w:rStyle w:val="CharSClsNo"/>
        </w:rPr>
        <w:t>106</w:t>
      </w:r>
      <w:r>
        <w:t>.</w:t>
      </w:r>
      <w:r>
        <w:tab/>
        <w:t>Supplying etc. consumer goods that do not comply with safety standards</w:t>
      </w:r>
      <w:bookmarkEnd w:id="482"/>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lastRenderedPageBreak/>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483" w:name="_Toc164758047"/>
      <w:r>
        <w:rPr>
          <w:rStyle w:val="CharSClsNo"/>
        </w:rPr>
        <w:lastRenderedPageBreak/>
        <w:t>107</w:t>
      </w:r>
      <w:r>
        <w:t>.</w:t>
      </w:r>
      <w:r>
        <w:tab/>
        <w:t>Supplying etc. product related services that do not comply with safety standards</w:t>
      </w:r>
      <w:bookmarkEnd w:id="483"/>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484" w:name="_Toc164758048"/>
      <w:r>
        <w:rPr>
          <w:rStyle w:val="CharSClsNo"/>
        </w:rPr>
        <w:lastRenderedPageBreak/>
        <w:t>108</w:t>
      </w:r>
      <w:r>
        <w:t>.</w:t>
      </w:r>
      <w:r>
        <w:tab/>
        <w:t>Requirement to nominate a safety standard</w:t>
      </w:r>
      <w:bookmarkEnd w:id="48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485" w:name="_Toc164682422"/>
      <w:bookmarkStart w:id="486" w:name="_Toc164683033"/>
      <w:bookmarkStart w:id="487" w:name="_Toc164758049"/>
      <w:r>
        <w:t>Division 2 — Bans on consumer goods and product related services</w:t>
      </w:r>
      <w:bookmarkEnd w:id="485"/>
      <w:bookmarkEnd w:id="486"/>
      <w:bookmarkEnd w:id="487"/>
    </w:p>
    <w:p>
      <w:pPr>
        <w:pStyle w:val="yHeading4"/>
        <w:keepLines/>
      </w:pPr>
      <w:bookmarkStart w:id="488" w:name="_Toc164682423"/>
      <w:bookmarkStart w:id="489" w:name="_Toc164683034"/>
      <w:bookmarkStart w:id="490" w:name="_Toc164758050"/>
      <w:r>
        <w:t>Subdivision A — Interim bans</w:t>
      </w:r>
      <w:bookmarkEnd w:id="488"/>
      <w:bookmarkEnd w:id="489"/>
      <w:bookmarkEnd w:id="490"/>
    </w:p>
    <w:p>
      <w:pPr>
        <w:pStyle w:val="yHeading5"/>
      </w:pPr>
      <w:bookmarkStart w:id="491" w:name="_Toc164758051"/>
      <w:r>
        <w:rPr>
          <w:rStyle w:val="CharSClsNo"/>
        </w:rPr>
        <w:t>109</w:t>
      </w:r>
      <w:r>
        <w:t>.</w:t>
      </w:r>
      <w:r>
        <w:tab/>
        <w:t>Interim bans on consumer goods or product related services that will or may cause injury to any person etc.</w:t>
      </w:r>
      <w:bookmarkEnd w:id="491"/>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lastRenderedPageBreak/>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492" w:name="_Toc164758052"/>
      <w:r>
        <w:rPr>
          <w:rStyle w:val="CharSClsNo"/>
        </w:rPr>
        <w:t>110</w:t>
      </w:r>
      <w:r>
        <w:t>.</w:t>
      </w:r>
      <w:r>
        <w:tab/>
        <w:t>Places in which interim bans apply</w:t>
      </w:r>
      <w:bookmarkEnd w:id="492"/>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493" w:name="_Toc164758053"/>
      <w:r>
        <w:rPr>
          <w:rStyle w:val="CharSClsNo"/>
        </w:rPr>
        <w:lastRenderedPageBreak/>
        <w:t>111</w:t>
      </w:r>
      <w:r>
        <w:t>.</w:t>
      </w:r>
      <w:r>
        <w:tab/>
        <w:t>Ban period for interim bans</w:t>
      </w:r>
      <w:bookmarkEnd w:id="493"/>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lastRenderedPageBreak/>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494" w:name="_Toc164758054"/>
      <w:r>
        <w:rPr>
          <w:rStyle w:val="CharSClsNo"/>
        </w:rPr>
        <w:t>112</w:t>
      </w:r>
      <w:r>
        <w:t>.</w:t>
      </w:r>
      <w:r>
        <w:tab/>
        <w:t>Interaction of multiple interim bans</w:t>
      </w:r>
      <w:bookmarkEnd w:id="49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lastRenderedPageBreak/>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495" w:name="_Toc164758055"/>
      <w:r>
        <w:rPr>
          <w:rStyle w:val="CharSClsNo"/>
        </w:rPr>
        <w:t>113</w:t>
      </w:r>
      <w:r>
        <w:t>.</w:t>
      </w:r>
      <w:r>
        <w:tab/>
        <w:t>Revocation of interim bans</w:t>
      </w:r>
      <w:bookmarkEnd w:id="495"/>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496" w:name="_Toc164682429"/>
      <w:bookmarkStart w:id="497" w:name="_Toc164683040"/>
      <w:bookmarkStart w:id="498" w:name="_Toc164758056"/>
      <w:r>
        <w:t>Subdivision B — Permanent bans</w:t>
      </w:r>
      <w:bookmarkEnd w:id="496"/>
      <w:bookmarkEnd w:id="497"/>
      <w:bookmarkEnd w:id="498"/>
    </w:p>
    <w:p>
      <w:pPr>
        <w:pStyle w:val="yHeading5"/>
      </w:pPr>
      <w:bookmarkStart w:id="499" w:name="_Toc164758057"/>
      <w:r>
        <w:rPr>
          <w:rStyle w:val="CharSClsNo"/>
        </w:rPr>
        <w:t>114</w:t>
      </w:r>
      <w:r>
        <w:t>.</w:t>
      </w:r>
      <w:r>
        <w:tab/>
        <w:t>Permanent bans on consumer goods or product related services</w:t>
      </w:r>
      <w:bookmarkEnd w:id="499"/>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lastRenderedPageBreak/>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500" w:name="_Toc164758058"/>
      <w:r>
        <w:rPr>
          <w:rStyle w:val="CharSClsNo"/>
        </w:rPr>
        <w:t>115</w:t>
      </w:r>
      <w:r>
        <w:t>.</w:t>
      </w:r>
      <w:r>
        <w:tab/>
        <w:t>Places in which permanent bans apply</w:t>
      </w:r>
      <w:bookmarkEnd w:id="500"/>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501" w:name="_Toc164758059"/>
      <w:r>
        <w:rPr>
          <w:rStyle w:val="CharSClsNo"/>
        </w:rPr>
        <w:t>116</w:t>
      </w:r>
      <w:r>
        <w:t>.</w:t>
      </w:r>
      <w:r>
        <w:tab/>
        <w:t>When permanent bans come into force</w:t>
      </w:r>
      <w:bookmarkEnd w:id="501"/>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502" w:name="_Toc164758060"/>
      <w:r>
        <w:rPr>
          <w:rStyle w:val="CharSClsNo"/>
        </w:rPr>
        <w:t>117</w:t>
      </w:r>
      <w:r>
        <w:t>.</w:t>
      </w:r>
      <w:r>
        <w:tab/>
        <w:t>Revocation of permanent bans</w:t>
      </w:r>
      <w:bookmarkEnd w:id="502"/>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503" w:name="_Toc164682434"/>
      <w:bookmarkStart w:id="504" w:name="_Toc164683045"/>
      <w:bookmarkStart w:id="505" w:name="_Toc164758061"/>
      <w:r>
        <w:t>Subdivision C — Compliance with interim bans and permanent bans</w:t>
      </w:r>
      <w:bookmarkEnd w:id="503"/>
      <w:bookmarkEnd w:id="504"/>
      <w:bookmarkEnd w:id="505"/>
    </w:p>
    <w:p>
      <w:pPr>
        <w:pStyle w:val="yHeading5"/>
      </w:pPr>
      <w:bookmarkStart w:id="506" w:name="_Toc164758062"/>
      <w:r>
        <w:rPr>
          <w:rStyle w:val="CharSClsNo"/>
        </w:rPr>
        <w:t>118</w:t>
      </w:r>
      <w:r>
        <w:t>.</w:t>
      </w:r>
      <w:r>
        <w:tab/>
        <w:t>Supplying etc. consumer goods covered by a ban</w:t>
      </w:r>
      <w:bookmarkEnd w:id="50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lastRenderedPageBreak/>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lastRenderedPageBreak/>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507" w:name="_Toc164758063"/>
      <w:r>
        <w:rPr>
          <w:rStyle w:val="CharSClsNo"/>
        </w:rPr>
        <w:t>119</w:t>
      </w:r>
      <w:r>
        <w:t>.</w:t>
      </w:r>
      <w:r>
        <w:tab/>
        <w:t>Supplying etc. product related services covered by a ban</w:t>
      </w:r>
      <w:bookmarkEnd w:id="507"/>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lastRenderedPageBreak/>
        <w:tab/>
      </w:r>
      <w:r>
        <w:rPr>
          <w:sz w:val="22"/>
        </w:rPr>
        <w:tab/>
        <w:t>the other person is taken, for the purposes of this Schedule, to have suffered the loss or damage because of that supply.</w:t>
      </w:r>
    </w:p>
    <w:p>
      <w:pPr>
        <w:pStyle w:val="yHeading4"/>
      </w:pPr>
      <w:bookmarkStart w:id="508" w:name="_Toc164682437"/>
      <w:bookmarkStart w:id="509" w:name="_Toc164683048"/>
      <w:bookmarkStart w:id="510" w:name="_Toc164758064"/>
      <w:r>
        <w:t>Subdivision D — Temporary exemption from mutual recognition principles</w:t>
      </w:r>
      <w:bookmarkEnd w:id="508"/>
      <w:bookmarkEnd w:id="509"/>
      <w:bookmarkEnd w:id="510"/>
    </w:p>
    <w:p>
      <w:pPr>
        <w:pStyle w:val="yHeading5"/>
      </w:pPr>
      <w:bookmarkStart w:id="511" w:name="_Toc164758065"/>
      <w:r>
        <w:rPr>
          <w:rStyle w:val="CharSClsNo"/>
        </w:rPr>
        <w:t>120</w:t>
      </w:r>
      <w:r>
        <w:t>.</w:t>
      </w:r>
      <w:r>
        <w:tab/>
        <w:t xml:space="preserve">Temporary exemption under the </w:t>
      </w:r>
      <w:r>
        <w:rPr>
          <w:i/>
          <w:iCs/>
        </w:rPr>
        <w:t>Trans</w:t>
      </w:r>
      <w:r>
        <w:rPr>
          <w:i/>
          <w:iCs/>
        </w:rPr>
        <w:noBreakHyphen/>
        <w:t>Tasman Mutual Recognition Act 1997</w:t>
      </w:r>
      <w:bookmarkEnd w:id="511"/>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512" w:name="_Toc164758066"/>
      <w:r>
        <w:rPr>
          <w:rStyle w:val="CharSClsNo"/>
        </w:rPr>
        <w:t>121</w:t>
      </w:r>
      <w:r>
        <w:t>.</w:t>
      </w:r>
      <w:r>
        <w:tab/>
        <w:t xml:space="preserve">Temporary exemption under the </w:t>
      </w:r>
      <w:r>
        <w:rPr>
          <w:i/>
          <w:iCs/>
        </w:rPr>
        <w:t>Mutual Recognition Act 1992</w:t>
      </w:r>
      <w:bookmarkEnd w:id="51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513" w:name="_Toc164682440"/>
      <w:bookmarkStart w:id="514" w:name="_Toc164683051"/>
      <w:bookmarkStart w:id="515" w:name="_Toc164758067"/>
      <w:r>
        <w:lastRenderedPageBreak/>
        <w:t>Division 3 — Recall of consumer goods</w:t>
      </w:r>
      <w:bookmarkEnd w:id="513"/>
      <w:bookmarkEnd w:id="514"/>
      <w:bookmarkEnd w:id="515"/>
    </w:p>
    <w:p>
      <w:pPr>
        <w:pStyle w:val="yHeading4"/>
      </w:pPr>
      <w:bookmarkStart w:id="516" w:name="_Toc164682441"/>
      <w:bookmarkStart w:id="517" w:name="_Toc164683052"/>
      <w:bookmarkStart w:id="518" w:name="_Toc164758068"/>
      <w:r>
        <w:t>Subdivision A — Compulsory recall of consumer goods</w:t>
      </w:r>
      <w:bookmarkEnd w:id="516"/>
      <w:bookmarkEnd w:id="517"/>
      <w:bookmarkEnd w:id="518"/>
    </w:p>
    <w:p>
      <w:pPr>
        <w:pStyle w:val="yHeading5"/>
      </w:pPr>
      <w:bookmarkStart w:id="519" w:name="_Toc164758069"/>
      <w:r>
        <w:rPr>
          <w:rStyle w:val="CharSClsNo"/>
        </w:rPr>
        <w:t>122</w:t>
      </w:r>
      <w:r>
        <w:t>.</w:t>
      </w:r>
      <w:r>
        <w:tab/>
        <w:t>Compulsory recall of consumer goods</w:t>
      </w:r>
      <w:bookmarkEnd w:id="519"/>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520" w:name="_Toc164758070"/>
      <w:r>
        <w:rPr>
          <w:rStyle w:val="CharSClsNo"/>
        </w:rPr>
        <w:lastRenderedPageBreak/>
        <w:t>123</w:t>
      </w:r>
      <w:r>
        <w:t>.</w:t>
      </w:r>
      <w:r>
        <w:tab/>
        <w:t>Contents of a recall notice</w:t>
      </w:r>
      <w:bookmarkEnd w:id="520"/>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 xml:space="preserve">If the recall notice requires the regulator to take action to recall the consumer goods, the responsible Minister may </w:t>
      </w:r>
      <w:r>
        <w:rPr>
          <w:sz w:val="22"/>
        </w:rPr>
        <w:lastRenderedPageBreak/>
        <w:t>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521" w:name="_Toc164758071"/>
      <w:r>
        <w:rPr>
          <w:rStyle w:val="CharSClsNo"/>
        </w:rPr>
        <w:t>124</w:t>
      </w:r>
      <w:r>
        <w:t>.</w:t>
      </w:r>
      <w:r>
        <w:tab/>
        <w:t>Obligations of a supplier in relation to a recall notice</w:t>
      </w:r>
      <w:bookmarkEnd w:id="521"/>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lastRenderedPageBreak/>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522" w:name="_Toc164758072"/>
      <w:r>
        <w:rPr>
          <w:rStyle w:val="CharSClsNo"/>
        </w:rPr>
        <w:t>125</w:t>
      </w:r>
      <w:r>
        <w:t>.</w:t>
      </w:r>
      <w:r>
        <w:tab/>
        <w:t>Notification by persons who supply consumer goods outside Australia if there is compulsory recall</w:t>
      </w:r>
      <w:bookmarkEnd w:id="522"/>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 xml:space="preserve">A person who is required to give a notice under subsection (1) must, within 10 days after giving the notice, </w:t>
      </w:r>
      <w:r>
        <w:rPr>
          <w:sz w:val="22"/>
        </w:rPr>
        <w:lastRenderedPageBreak/>
        <w:t>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523" w:name="_Toc164758073"/>
      <w:r>
        <w:rPr>
          <w:rStyle w:val="CharSClsNo"/>
        </w:rPr>
        <w:t>126</w:t>
      </w:r>
      <w:r>
        <w:t>.</w:t>
      </w:r>
      <w:r>
        <w:tab/>
        <w:t>Interaction of multiple recall notices</w:t>
      </w:r>
      <w:bookmarkEnd w:id="52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524" w:name="_Toc164758074"/>
      <w:r>
        <w:rPr>
          <w:rStyle w:val="CharSClsNo"/>
        </w:rPr>
        <w:t>127</w:t>
      </w:r>
      <w:r>
        <w:t>.</w:t>
      </w:r>
      <w:r>
        <w:tab/>
        <w:t>Compliance with recall notices</w:t>
      </w:r>
      <w:bookmarkEnd w:id="524"/>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 xml:space="preserve">if the notice identifies a defect in, or a dangerous characteristic of, the consumer goods — supply consumer goods of the kind to which the notice </w:t>
      </w:r>
      <w:r>
        <w:rPr>
          <w:sz w:val="22"/>
        </w:rPr>
        <w:lastRenderedPageBreak/>
        <w:t>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525" w:name="_Toc164682448"/>
      <w:bookmarkStart w:id="526" w:name="_Toc164683059"/>
      <w:bookmarkStart w:id="527" w:name="_Toc164758075"/>
      <w:r>
        <w:t>Subdivision B — Voluntary recall of consumer goods</w:t>
      </w:r>
      <w:bookmarkEnd w:id="525"/>
      <w:bookmarkEnd w:id="526"/>
      <w:bookmarkEnd w:id="527"/>
    </w:p>
    <w:p>
      <w:pPr>
        <w:pStyle w:val="yHeading5"/>
        <w:spacing w:before="160"/>
      </w:pPr>
      <w:bookmarkStart w:id="528" w:name="_Toc164758076"/>
      <w:r>
        <w:rPr>
          <w:rStyle w:val="CharSClsNo"/>
        </w:rPr>
        <w:t>128</w:t>
      </w:r>
      <w:r>
        <w:t>.</w:t>
      </w:r>
      <w:r>
        <w:tab/>
        <w:t>Notification requirements for a voluntary recall of consumer goods</w:t>
      </w:r>
      <w:bookmarkEnd w:id="528"/>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lastRenderedPageBreak/>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 xml:space="preserve">if the consumer goods do not, or it is likely that they do not, comply with a safety standard for the goods </w:t>
      </w:r>
      <w:r>
        <w:rPr>
          <w:sz w:val="22"/>
        </w:rPr>
        <w:lastRenderedPageBreak/>
        <w:t>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529" w:name="_Toc164682450"/>
      <w:bookmarkStart w:id="530" w:name="_Toc164683061"/>
      <w:bookmarkStart w:id="531" w:name="_Toc164758077"/>
      <w:r>
        <w:t>Division 4 — Safety warning notices</w:t>
      </w:r>
      <w:bookmarkEnd w:id="529"/>
      <w:bookmarkEnd w:id="530"/>
      <w:bookmarkEnd w:id="531"/>
    </w:p>
    <w:p>
      <w:pPr>
        <w:pStyle w:val="yHeading5"/>
      </w:pPr>
      <w:bookmarkStart w:id="532" w:name="_Toc164758078"/>
      <w:r>
        <w:rPr>
          <w:rStyle w:val="CharSClsNo"/>
        </w:rPr>
        <w:t>129</w:t>
      </w:r>
      <w:r>
        <w:t>.</w:t>
      </w:r>
      <w:r>
        <w:tab/>
        <w:t>Safety warning notices about consumer goods and product related services</w:t>
      </w:r>
      <w:bookmarkEnd w:id="532"/>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lastRenderedPageBreak/>
        <w:tab/>
        <w:t>(b)</w:t>
      </w:r>
      <w:r>
        <w:rPr>
          <w:sz w:val="22"/>
        </w:rPr>
        <w:tab/>
        <w:t>a warning of possible risks involved in the supply of product related services of a kind specified in the notice.</w:t>
      </w:r>
    </w:p>
    <w:p>
      <w:pPr>
        <w:pStyle w:val="yHeading5"/>
      </w:pPr>
      <w:bookmarkStart w:id="533" w:name="_Toc164758079"/>
      <w:r>
        <w:rPr>
          <w:rStyle w:val="CharSClsNo"/>
        </w:rPr>
        <w:t>130</w:t>
      </w:r>
      <w:r>
        <w:t>.</w:t>
      </w:r>
      <w:r>
        <w:tab/>
        <w:t>Announcement of the results of an investigation etc.</w:t>
      </w:r>
      <w:bookmarkEnd w:id="533"/>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534" w:name="_Toc164682453"/>
      <w:bookmarkStart w:id="535" w:name="_Toc164683064"/>
      <w:bookmarkStart w:id="536" w:name="_Toc164758080"/>
      <w:r>
        <w:lastRenderedPageBreak/>
        <w:t>Division 5 — Consumer goods, or product related services, associated with death or serious injury or illness</w:t>
      </w:r>
      <w:bookmarkEnd w:id="534"/>
      <w:bookmarkEnd w:id="535"/>
      <w:bookmarkEnd w:id="536"/>
    </w:p>
    <w:p>
      <w:pPr>
        <w:pStyle w:val="yHeading5"/>
        <w:spacing w:before="180"/>
      </w:pPr>
      <w:bookmarkStart w:id="537" w:name="_Toc164758081"/>
      <w:r>
        <w:rPr>
          <w:rStyle w:val="CharSClsNo"/>
        </w:rPr>
        <w:t>131</w:t>
      </w:r>
      <w:r>
        <w:t>.</w:t>
      </w:r>
      <w:r>
        <w:tab/>
        <w:t>Suppliers to report consumer goods associated with the death or serious injury or illness of any person</w:t>
      </w:r>
      <w:bookmarkEnd w:id="537"/>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lastRenderedPageBreak/>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lastRenderedPageBreak/>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538" w:name="_Toc164758082"/>
      <w:r>
        <w:rPr>
          <w:rStyle w:val="CharSClsNo"/>
        </w:rPr>
        <w:t>132</w:t>
      </w:r>
      <w:r>
        <w:t>.</w:t>
      </w:r>
      <w:r>
        <w:tab/>
        <w:t>Suppliers to report product related services associated with the death or serious injury or illness of any person</w:t>
      </w:r>
      <w:bookmarkEnd w:id="53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 xml:space="preserve">it is very unlikely that the death or serious injury or illness was caused by the use or foreseeable misuse </w:t>
      </w:r>
      <w:r>
        <w:rPr>
          <w:sz w:val="22"/>
        </w:rPr>
        <w:lastRenderedPageBreak/>
        <w:t>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lastRenderedPageBreak/>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539" w:name="_Toc164758083"/>
      <w:r>
        <w:rPr>
          <w:rStyle w:val="CharSClsNo"/>
        </w:rPr>
        <w:t>132A</w:t>
      </w:r>
      <w:r>
        <w:t>.</w:t>
      </w:r>
      <w:r>
        <w:tab/>
        <w:t>Confidentiality of notices given under this Division</w:t>
      </w:r>
      <w:bookmarkEnd w:id="539"/>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lastRenderedPageBreak/>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540" w:name="_Toc164682457"/>
      <w:bookmarkStart w:id="541" w:name="_Toc164683068"/>
      <w:bookmarkStart w:id="542" w:name="_Toc164758084"/>
      <w:r>
        <w:t>Division 6 — Miscellaneous</w:t>
      </w:r>
      <w:bookmarkEnd w:id="540"/>
      <w:bookmarkEnd w:id="541"/>
      <w:bookmarkEnd w:id="542"/>
    </w:p>
    <w:p>
      <w:pPr>
        <w:pStyle w:val="yHeading5"/>
      </w:pPr>
      <w:bookmarkStart w:id="543" w:name="_Toc164758085"/>
      <w:r>
        <w:rPr>
          <w:rStyle w:val="CharSClsNo"/>
        </w:rPr>
        <w:t>133</w:t>
      </w:r>
      <w:r>
        <w:t>.</w:t>
      </w:r>
      <w:r>
        <w:tab/>
        <w:t>Liability under a contract of insurance</w:t>
      </w:r>
      <w:bookmarkEnd w:id="54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lastRenderedPageBreak/>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544" w:name="_Toc164682459"/>
      <w:bookmarkStart w:id="545" w:name="_Toc164683070"/>
      <w:bookmarkStart w:id="546" w:name="_Toc164758086"/>
      <w:r>
        <w:t>Part 3</w:t>
      </w:r>
      <w:r>
        <w:noBreakHyphen/>
        <w:t>4</w:t>
      </w:r>
      <w:r>
        <w:rPr>
          <w:b w:val="0"/>
        </w:rPr>
        <w:t> — </w:t>
      </w:r>
      <w:r>
        <w:rPr>
          <w:bCs/>
        </w:rPr>
        <w:t>Information standards</w:t>
      </w:r>
      <w:bookmarkEnd w:id="544"/>
      <w:bookmarkEnd w:id="545"/>
      <w:bookmarkEnd w:id="546"/>
    </w:p>
    <w:p>
      <w:pPr>
        <w:pStyle w:val="yHeading5"/>
      </w:pPr>
      <w:bookmarkStart w:id="547" w:name="_Toc164758087"/>
      <w:r>
        <w:rPr>
          <w:rStyle w:val="CharSClsNo"/>
        </w:rPr>
        <w:t>134</w:t>
      </w:r>
      <w:r>
        <w:t>.</w:t>
      </w:r>
      <w:r>
        <w:tab/>
        <w:t>Making information standards for goods and services</w:t>
      </w:r>
      <w:bookmarkEnd w:id="54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lastRenderedPageBreak/>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548" w:name="_Toc164758088"/>
      <w:r>
        <w:rPr>
          <w:rStyle w:val="CharSClsNo"/>
        </w:rPr>
        <w:t>135</w:t>
      </w:r>
      <w:r>
        <w:t>.</w:t>
      </w:r>
      <w:r>
        <w:tab/>
        <w:t>Declaring information standards for goods and services</w:t>
      </w:r>
      <w:bookmarkEnd w:id="548"/>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549" w:name="_Toc164758089"/>
      <w:r>
        <w:rPr>
          <w:rStyle w:val="CharSClsNo"/>
        </w:rPr>
        <w:t>136</w:t>
      </w:r>
      <w:r>
        <w:t>.</w:t>
      </w:r>
      <w:r>
        <w:tab/>
        <w:t>Supplying etc. goods that do not comply with information standards</w:t>
      </w:r>
      <w:bookmarkEnd w:id="549"/>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lastRenderedPageBreak/>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550" w:name="_Toc164758090"/>
      <w:r>
        <w:rPr>
          <w:rStyle w:val="CharSClsNo"/>
        </w:rPr>
        <w:t>137</w:t>
      </w:r>
      <w:r>
        <w:t>.</w:t>
      </w:r>
      <w:r>
        <w:tab/>
        <w:t>Supplying etc. services that do not comply with information standards</w:t>
      </w:r>
      <w:bookmarkEnd w:id="550"/>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551" w:name="_Toc164758091"/>
      <w:r>
        <w:rPr>
          <w:rStyle w:val="CharSClsNo"/>
          <w:szCs w:val="22"/>
        </w:rPr>
        <w:lastRenderedPageBreak/>
        <w:t>137A</w:t>
      </w:r>
      <w:r>
        <w:rPr>
          <w:szCs w:val="22"/>
        </w:rPr>
        <w:t>.</w:t>
      </w:r>
      <w:r>
        <w:rPr>
          <w:szCs w:val="22"/>
        </w:rPr>
        <w:tab/>
        <w:t>Safe harbour for complying with information standards about free range eggs</w:t>
      </w:r>
      <w:bookmarkEnd w:id="551"/>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552" w:name="_Toc164682465"/>
      <w:bookmarkStart w:id="553" w:name="_Toc164683076"/>
      <w:bookmarkStart w:id="554" w:name="_Toc164758092"/>
      <w:r>
        <w:t>Part 3</w:t>
      </w:r>
      <w:r>
        <w:noBreakHyphen/>
        <w:t>5</w:t>
      </w:r>
      <w:r>
        <w:rPr>
          <w:b w:val="0"/>
        </w:rPr>
        <w:t> </w:t>
      </w:r>
      <w:r>
        <w:t>— Liability of manufacturers for goods with safety defects</w:t>
      </w:r>
      <w:bookmarkEnd w:id="552"/>
      <w:bookmarkEnd w:id="553"/>
      <w:bookmarkEnd w:id="554"/>
    </w:p>
    <w:p>
      <w:pPr>
        <w:pStyle w:val="yHeading3"/>
      </w:pPr>
      <w:bookmarkStart w:id="555" w:name="_Toc164682466"/>
      <w:bookmarkStart w:id="556" w:name="_Toc164683077"/>
      <w:bookmarkStart w:id="557" w:name="_Toc164758093"/>
      <w:r>
        <w:t>Division 1 — Actions against manufacturers for goods with safety defects</w:t>
      </w:r>
      <w:bookmarkEnd w:id="555"/>
      <w:bookmarkEnd w:id="556"/>
      <w:bookmarkEnd w:id="557"/>
    </w:p>
    <w:p>
      <w:pPr>
        <w:pStyle w:val="yHeading5"/>
      </w:pPr>
      <w:bookmarkStart w:id="558" w:name="_Toc164758094"/>
      <w:r>
        <w:rPr>
          <w:rStyle w:val="CharSClsNo"/>
        </w:rPr>
        <w:t>138</w:t>
      </w:r>
      <w:r>
        <w:t>.</w:t>
      </w:r>
      <w:r>
        <w:tab/>
        <w:t>Liability for loss or damage suffered by an injured individual</w:t>
      </w:r>
      <w:bookmarkEnd w:id="558"/>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lastRenderedPageBreak/>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559" w:name="_Toc164758095"/>
      <w:r>
        <w:rPr>
          <w:rStyle w:val="CharSClsNo"/>
        </w:rPr>
        <w:t>139</w:t>
      </w:r>
      <w:r>
        <w:t>.</w:t>
      </w:r>
      <w:r>
        <w:tab/>
        <w:t>Liability for loss or damage suffered by a person other than an injured individual</w:t>
      </w:r>
      <w:bookmarkEnd w:id="559"/>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lastRenderedPageBreak/>
        <w:tab/>
        <w:t>(2)</w:t>
      </w:r>
      <w:r>
        <w:rPr>
          <w:sz w:val="22"/>
        </w:rPr>
        <w:tab/>
        <w:t>The person may recover, by action against the manufacturer, the amount of the loss or damage suffered by the person.</w:t>
      </w:r>
    </w:p>
    <w:p>
      <w:pPr>
        <w:pStyle w:val="yHeading5"/>
      </w:pPr>
      <w:bookmarkStart w:id="560" w:name="_Toc164758096"/>
      <w:r>
        <w:rPr>
          <w:rStyle w:val="CharSClsNo"/>
        </w:rPr>
        <w:t>140</w:t>
      </w:r>
      <w:r>
        <w:t>.</w:t>
      </w:r>
      <w:r>
        <w:tab/>
        <w:t>Liability for loss or damage suffered by a person if other goods are destroyed or damaged</w:t>
      </w:r>
      <w:bookmarkEnd w:id="56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561" w:name="_Toc164758097"/>
      <w:r>
        <w:rPr>
          <w:rStyle w:val="CharSClsNo"/>
        </w:rPr>
        <w:t>141</w:t>
      </w:r>
      <w:r>
        <w:t>.</w:t>
      </w:r>
      <w:r>
        <w:tab/>
        <w:t>Liability for loss or damage suffered by a person if land, buildings or fixtures are destroyed or damaged</w:t>
      </w:r>
      <w:bookmarkEnd w:id="561"/>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lastRenderedPageBreak/>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562" w:name="_Toc164758098"/>
      <w:r>
        <w:rPr>
          <w:rStyle w:val="CharSClsNo"/>
        </w:rPr>
        <w:t>142</w:t>
      </w:r>
      <w:r>
        <w:t>.</w:t>
      </w:r>
      <w:r>
        <w:tab/>
        <w:t>Defences to defective goods actions</w:t>
      </w:r>
      <w:bookmarkEnd w:id="562"/>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563" w:name="_Toc164682472"/>
      <w:bookmarkStart w:id="564" w:name="_Toc164683083"/>
      <w:bookmarkStart w:id="565" w:name="_Toc164758099"/>
      <w:r>
        <w:lastRenderedPageBreak/>
        <w:t>Division 2 — Defective goods actions</w:t>
      </w:r>
      <w:bookmarkEnd w:id="563"/>
      <w:bookmarkEnd w:id="564"/>
      <w:bookmarkEnd w:id="565"/>
    </w:p>
    <w:p>
      <w:pPr>
        <w:pStyle w:val="yHeading5"/>
      </w:pPr>
      <w:bookmarkStart w:id="566" w:name="_Toc164758100"/>
      <w:r>
        <w:rPr>
          <w:rStyle w:val="CharSClsNo"/>
        </w:rPr>
        <w:t>143</w:t>
      </w:r>
      <w:r>
        <w:t>.</w:t>
      </w:r>
      <w:r>
        <w:tab/>
        <w:t>Time for commencing defective goods actions</w:t>
      </w:r>
      <w:bookmarkEnd w:id="566"/>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567" w:name="_Toc164758101"/>
      <w:r>
        <w:rPr>
          <w:rStyle w:val="CharSClsNo"/>
        </w:rPr>
        <w:t>144</w:t>
      </w:r>
      <w:r>
        <w:t>.</w:t>
      </w:r>
      <w:r>
        <w:tab/>
        <w:t>Liability joint and several</w:t>
      </w:r>
      <w:bookmarkEnd w:id="567"/>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568" w:name="_Toc164758102"/>
      <w:r>
        <w:rPr>
          <w:rStyle w:val="CharSClsNo"/>
        </w:rPr>
        <w:t>145</w:t>
      </w:r>
      <w:r>
        <w:t>.</w:t>
      </w:r>
      <w:r>
        <w:tab/>
        <w:t>Survival of actions</w:t>
      </w:r>
      <w:bookmarkEnd w:id="568"/>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569" w:name="_Toc164758103"/>
      <w:r>
        <w:rPr>
          <w:rStyle w:val="CharSClsNo"/>
        </w:rPr>
        <w:t>146</w:t>
      </w:r>
      <w:r>
        <w:t>.</w:t>
      </w:r>
      <w:r>
        <w:tab/>
        <w:t>No defective goods action where workers’ compensation law etc. applies</w:t>
      </w:r>
      <w:bookmarkEnd w:id="569"/>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570" w:name="_Toc164758104"/>
      <w:r>
        <w:rPr>
          <w:rStyle w:val="CharSClsNo"/>
        </w:rPr>
        <w:t>147</w:t>
      </w:r>
      <w:r>
        <w:t>.</w:t>
      </w:r>
      <w:r>
        <w:tab/>
        <w:t>Unidentified manufacturer</w:t>
      </w:r>
      <w:bookmarkEnd w:id="570"/>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lastRenderedPageBreak/>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571" w:name="_Toc164758105"/>
      <w:r>
        <w:rPr>
          <w:rStyle w:val="CharSClsNo"/>
        </w:rPr>
        <w:t>148</w:t>
      </w:r>
      <w:r>
        <w:t>.</w:t>
      </w:r>
      <w:r>
        <w:tab/>
        <w:t>Commonwealth liability for goods that are defective only because of compliance with Commonwealth mandatory standard</w:t>
      </w:r>
      <w:bookmarkEnd w:id="571"/>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 xml:space="preserve">the Commonwealth, and not the person (other than the Commonwealth) against which the action is </w:t>
      </w:r>
      <w:r>
        <w:rPr>
          <w:sz w:val="22"/>
        </w:rPr>
        <w:lastRenderedPageBreak/>
        <w:t>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572" w:name="_Toc164758106"/>
      <w:r>
        <w:rPr>
          <w:rStyle w:val="CharSClsNo"/>
        </w:rPr>
        <w:t>149</w:t>
      </w:r>
      <w:r>
        <w:t>.</w:t>
      </w:r>
      <w:r>
        <w:tab/>
        <w:t>Representative actions by the regulator</w:t>
      </w:r>
      <w:bookmarkEnd w:id="572"/>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573" w:name="_Toc164682480"/>
      <w:bookmarkStart w:id="574" w:name="_Toc164683091"/>
      <w:bookmarkStart w:id="575" w:name="_Toc164758107"/>
      <w:r>
        <w:t>Division 3 — Miscellaneous</w:t>
      </w:r>
      <w:bookmarkEnd w:id="573"/>
      <w:bookmarkEnd w:id="574"/>
      <w:bookmarkEnd w:id="575"/>
    </w:p>
    <w:p>
      <w:pPr>
        <w:pStyle w:val="yHeading5"/>
      </w:pPr>
      <w:bookmarkStart w:id="576" w:name="_Toc164758108"/>
      <w:r>
        <w:rPr>
          <w:rStyle w:val="CharSClsNo"/>
        </w:rPr>
        <w:t>150</w:t>
      </w:r>
      <w:r>
        <w:t>.</w:t>
      </w:r>
      <w:r>
        <w:tab/>
        <w:t>Application of all or any provisions of this Part etc. not to be excluded or modified</w:t>
      </w:r>
      <w:bookmarkEnd w:id="576"/>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577" w:name="_Toc164682482"/>
      <w:bookmarkStart w:id="578" w:name="_Toc164683093"/>
      <w:bookmarkStart w:id="579" w:name="_Toc164758109"/>
      <w:r>
        <w:rPr>
          <w:rStyle w:val="CharSDivNo"/>
          <w:sz w:val="28"/>
        </w:rPr>
        <w:lastRenderedPageBreak/>
        <w:t>Chapter 4</w:t>
      </w:r>
      <w:r>
        <w:t> — </w:t>
      </w:r>
      <w:r>
        <w:rPr>
          <w:rStyle w:val="CharSDivText"/>
          <w:sz w:val="28"/>
        </w:rPr>
        <w:t>Offences</w:t>
      </w:r>
      <w:bookmarkEnd w:id="577"/>
      <w:bookmarkEnd w:id="578"/>
      <w:bookmarkEnd w:id="579"/>
    </w:p>
    <w:p>
      <w:pPr>
        <w:pStyle w:val="yHeading2"/>
      </w:pPr>
      <w:bookmarkStart w:id="580" w:name="_Toc164682483"/>
      <w:bookmarkStart w:id="581" w:name="_Toc164683094"/>
      <w:bookmarkStart w:id="582" w:name="_Toc164758110"/>
      <w:r>
        <w:t>Part 4</w:t>
      </w:r>
      <w:r>
        <w:noBreakHyphen/>
        <w:t>1 — Offences relating to unfair practices</w:t>
      </w:r>
      <w:bookmarkEnd w:id="580"/>
      <w:bookmarkEnd w:id="581"/>
      <w:bookmarkEnd w:id="582"/>
    </w:p>
    <w:p>
      <w:pPr>
        <w:pStyle w:val="yHeading3"/>
      </w:pPr>
      <w:bookmarkStart w:id="583" w:name="_Toc164682484"/>
      <w:bookmarkStart w:id="584" w:name="_Toc164683095"/>
      <w:bookmarkStart w:id="585" w:name="_Toc164758111"/>
      <w:r>
        <w:t>Division 1</w:t>
      </w:r>
      <w:r>
        <w:rPr>
          <w:b w:val="0"/>
        </w:rPr>
        <w:t> — </w:t>
      </w:r>
      <w:r>
        <w:t>False or misleading representations etc.</w:t>
      </w:r>
      <w:bookmarkEnd w:id="583"/>
      <w:bookmarkEnd w:id="584"/>
      <w:bookmarkEnd w:id="585"/>
    </w:p>
    <w:p>
      <w:pPr>
        <w:pStyle w:val="yHeading5"/>
      </w:pPr>
      <w:bookmarkStart w:id="586" w:name="_Toc164758112"/>
      <w:r>
        <w:rPr>
          <w:rStyle w:val="CharSClsNo"/>
        </w:rPr>
        <w:t>151</w:t>
      </w:r>
      <w:r>
        <w:t>.</w:t>
      </w:r>
      <w:r>
        <w:tab/>
        <w:t>False or misleading representations about goods or services</w:t>
      </w:r>
      <w:bookmarkEnd w:id="586"/>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 xml:space="preserve">makes a false or misleading representation that goods or services have sponsorship, approval, </w:t>
      </w:r>
      <w:r>
        <w:rPr>
          <w:sz w:val="22"/>
        </w:rPr>
        <w:lastRenderedPageBreak/>
        <w:t>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lastRenderedPageBreak/>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587" w:name="_Toc164758113"/>
      <w:r>
        <w:rPr>
          <w:rStyle w:val="CharSClsNo"/>
        </w:rPr>
        <w:t>152</w:t>
      </w:r>
      <w:r>
        <w:t>.</w:t>
      </w:r>
      <w:r>
        <w:tab/>
        <w:t>False or misleading representations about sale etc. of land</w:t>
      </w:r>
      <w:bookmarkEnd w:id="58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lastRenderedPageBreak/>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lastRenderedPageBreak/>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588" w:name="_Toc164758114"/>
      <w:r>
        <w:rPr>
          <w:rStyle w:val="CharSClsNo"/>
        </w:rPr>
        <w:t>153</w:t>
      </w:r>
      <w:r>
        <w:t>.</w:t>
      </w:r>
      <w:r>
        <w:tab/>
        <w:t>Misleading conduct relating to employment</w:t>
      </w:r>
      <w:bookmarkEnd w:id="588"/>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w:t>
      </w:r>
      <w:r>
        <w:rPr>
          <w:sz w:val="22"/>
          <w:szCs w:val="22"/>
        </w:rPr>
        <w:lastRenderedPageBreak/>
        <w:t>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589" w:name="_Toc164758115"/>
      <w:r>
        <w:rPr>
          <w:rStyle w:val="CharSClsNo"/>
        </w:rPr>
        <w:t>154</w:t>
      </w:r>
      <w:r>
        <w:t>.</w:t>
      </w:r>
      <w:r>
        <w:tab/>
        <w:t>Offering rebates, gifts, prizes etc.</w:t>
      </w:r>
      <w:bookmarkEnd w:id="589"/>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lastRenderedPageBreak/>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w:t>
      </w:r>
      <w:r>
        <w:rPr>
          <w:sz w:val="22"/>
          <w:szCs w:val="22"/>
        </w:rPr>
        <w:lastRenderedPageBreak/>
        <w:t>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590" w:name="_Toc164758116"/>
      <w:r>
        <w:rPr>
          <w:rStyle w:val="CharSClsNo"/>
        </w:rPr>
        <w:t>155</w:t>
      </w:r>
      <w:r>
        <w:t>.</w:t>
      </w:r>
      <w:r>
        <w:tab/>
        <w:t>Misleading conduct as to the nature etc. of goods</w:t>
      </w:r>
      <w:bookmarkEnd w:id="590"/>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lastRenderedPageBreak/>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591" w:name="_Toc164758117"/>
      <w:r>
        <w:rPr>
          <w:rStyle w:val="CharSClsNo"/>
        </w:rPr>
        <w:t>156</w:t>
      </w:r>
      <w:r>
        <w:t>.</w:t>
      </w:r>
      <w:r>
        <w:tab/>
        <w:t>Misleading conduct as to the nature etc. of services</w:t>
      </w:r>
      <w:bookmarkEnd w:id="591"/>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592" w:name="_Toc164758118"/>
      <w:r>
        <w:rPr>
          <w:rStyle w:val="CharSClsNo"/>
        </w:rPr>
        <w:t>157</w:t>
      </w:r>
      <w:r>
        <w:t>.</w:t>
      </w:r>
      <w:r>
        <w:tab/>
        <w:t>Bait advertising</w:t>
      </w:r>
      <w:bookmarkEnd w:id="59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lastRenderedPageBreak/>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lastRenderedPageBreak/>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 xml:space="preserve">in either case, if the offer was accepted by the customer, the defendant proves that he or she has so </w:t>
      </w:r>
      <w:r>
        <w:rPr>
          <w:sz w:val="22"/>
        </w:rPr>
        <w:lastRenderedPageBreak/>
        <w:t>supplied, or procured a third person to supply, the goods or services.</w:t>
      </w:r>
    </w:p>
    <w:p>
      <w:pPr>
        <w:pStyle w:val="yHeading5"/>
      </w:pPr>
      <w:bookmarkStart w:id="593" w:name="_Toc164758119"/>
      <w:r>
        <w:rPr>
          <w:rStyle w:val="CharSClsNo"/>
        </w:rPr>
        <w:t>158</w:t>
      </w:r>
      <w:r>
        <w:t>.</w:t>
      </w:r>
      <w:r>
        <w:tab/>
        <w:t>Wrongly accepting payment</w:t>
      </w:r>
      <w:bookmarkEnd w:id="593"/>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lastRenderedPageBreak/>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w:t>
      </w:r>
      <w:r>
        <w:rPr>
          <w:sz w:val="22"/>
          <w:szCs w:val="22"/>
        </w:rPr>
        <w:lastRenderedPageBreak/>
        <w:t>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594" w:name="_Toc164758120"/>
      <w:r>
        <w:rPr>
          <w:rStyle w:val="CharSClsNo"/>
        </w:rPr>
        <w:t>159</w:t>
      </w:r>
      <w:r>
        <w:t>.</w:t>
      </w:r>
      <w:r>
        <w:tab/>
        <w:t>Misleading representations about certain business activities</w:t>
      </w:r>
      <w:bookmarkEnd w:id="594"/>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lastRenderedPageBreak/>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595" w:name="_Toc164758121"/>
      <w:r>
        <w:rPr>
          <w:rStyle w:val="CharSClsNo"/>
        </w:rPr>
        <w:t>160</w:t>
      </w:r>
      <w:r>
        <w:t>.</w:t>
      </w:r>
      <w:r>
        <w:tab/>
        <w:t>Application of provisions of this Division to information providers</w:t>
      </w:r>
      <w:bookmarkEnd w:id="595"/>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lastRenderedPageBreak/>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 xml:space="preserve">the publicised interests in land were interests of a kind sold or granted by the information provider or, if the information provider is a body corporate, by a </w:t>
      </w:r>
      <w:r>
        <w:rPr>
          <w:sz w:val="22"/>
        </w:rPr>
        <w:lastRenderedPageBreak/>
        <w:t>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596" w:name="_Toc164682495"/>
      <w:bookmarkStart w:id="597" w:name="_Toc164683106"/>
      <w:bookmarkStart w:id="598" w:name="_Toc164758122"/>
      <w:r>
        <w:t>Division 2 — Unsolicited supplies</w:t>
      </w:r>
      <w:bookmarkEnd w:id="596"/>
      <w:bookmarkEnd w:id="597"/>
      <w:bookmarkEnd w:id="598"/>
    </w:p>
    <w:p>
      <w:pPr>
        <w:pStyle w:val="yHeading5"/>
      </w:pPr>
      <w:bookmarkStart w:id="599" w:name="_Toc164758123"/>
      <w:r>
        <w:rPr>
          <w:rStyle w:val="CharSClsNo"/>
        </w:rPr>
        <w:t>161</w:t>
      </w:r>
      <w:r>
        <w:t>.</w:t>
      </w:r>
      <w:r>
        <w:tab/>
        <w:t>Unsolicited cards etc.</w:t>
      </w:r>
      <w:bookmarkEnd w:id="599"/>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lastRenderedPageBreak/>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600" w:name="_Toc164758124"/>
      <w:r>
        <w:rPr>
          <w:rStyle w:val="CharSClsNo"/>
        </w:rPr>
        <w:lastRenderedPageBreak/>
        <w:t>162</w:t>
      </w:r>
      <w:r>
        <w:t>.</w:t>
      </w:r>
      <w:r>
        <w:tab/>
        <w:t>Assertion of right to payment for unsolicited goods or services</w:t>
      </w:r>
      <w:bookmarkEnd w:id="600"/>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the value of that benefit—10% of the annual turnover of the body </w:t>
      </w:r>
      <w:r>
        <w:rPr>
          <w:sz w:val="22"/>
          <w:szCs w:val="22"/>
        </w:rPr>
        <w:lastRenderedPageBreak/>
        <w:t>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601" w:name="_Toc164758125"/>
      <w:r>
        <w:rPr>
          <w:rStyle w:val="CharSClsNo"/>
        </w:rPr>
        <w:t>163</w:t>
      </w:r>
      <w:r>
        <w:t>.</w:t>
      </w:r>
      <w:r>
        <w:tab/>
        <w:t>Assertion of right to payment for unauthorised entries or advertisements</w:t>
      </w:r>
      <w:bookmarkEnd w:id="601"/>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lastRenderedPageBreak/>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lastRenderedPageBreak/>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602" w:name="_Toc164682499"/>
      <w:bookmarkStart w:id="603" w:name="_Toc164683110"/>
      <w:bookmarkStart w:id="604" w:name="_Toc164758126"/>
      <w:r>
        <w:t>Division 3</w:t>
      </w:r>
      <w:r>
        <w:rPr>
          <w:b w:val="0"/>
        </w:rPr>
        <w:t> — </w:t>
      </w:r>
      <w:r>
        <w:t>Pyramid schemes</w:t>
      </w:r>
      <w:bookmarkEnd w:id="602"/>
      <w:bookmarkEnd w:id="603"/>
      <w:bookmarkEnd w:id="604"/>
    </w:p>
    <w:p>
      <w:pPr>
        <w:pStyle w:val="yHeading5"/>
      </w:pPr>
      <w:bookmarkStart w:id="605" w:name="_Toc164758127"/>
      <w:r>
        <w:rPr>
          <w:rStyle w:val="CharSClsNo"/>
        </w:rPr>
        <w:t>164</w:t>
      </w:r>
      <w:r>
        <w:t>.</w:t>
      </w:r>
      <w:r>
        <w:tab/>
        <w:t>Participation in pyramid schemes</w:t>
      </w:r>
      <w:bookmarkEnd w:id="605"/>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lastRenderedPageBreak/>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606" w:name="_Toc164682501"/>
      <w:bookmarkStart w:id="607" w:name="_Toc164683112"/>
      <w:bookmarkStart w:id="608" w:name="_Toc164758128"/>
      <w:r>
        <w:t>Division 4</w:t>
      </w:r>
      <w:r>
        <w:rPr>
          <w:b w:val="0"/>
        </w:rPr>
        <w:t> — </w:t>
      </w:r>
      <w:r>
        <w:t>Pricing</w:t>
      </w:r>
      <w:bookmarkEnd w:id="606"/>
      <w:bookmarkEnd w:id="607"/>
      <w:bookmarkEnd w:id="608"/>
    </w:p>
    <w:p>
      <w:pPr>
        <w:pStyle w:val="yHeading5"/>
      </w:pPr>
      <w:bookmarkStart w:id="609" w:name="_Toc164758129"/>
      <w:r>
        <w:rPr>
          <w:rStyle w:val="CharSClsNo"/>
        </w:rPr>
        <w:t>165</w:t>
      </w:r>
      <w:r>
        <w:t>.</w:t>
      </w:r>
      <w:r>
        <w:tab/>
        <w:t>Multiple pricing</w:t>
      </w:r>
      <w:bookmarkEnd w:id="60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10" w:name="_Toc164758130"/>
      <w:r>
        <w:rPr>
          <w:rStyle w:val="CharSClsNo"/>
        </w:rPr>
        <w:t>166</w:t>
      </w:r>
      <w:r>
        <w:t>.</w:t>
      </w:r>
      <w:r>
        <w:tab/>
        <w:t>Single price to be specified in certain circumstances</w:t>
      </w:r>
      <w:bookmarkEnd w:id="610"/>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 xml:space="preserve">the supply, or possible supply, to another person of goods or services of a kind ordinarily acquired for </w:t>
      </w:r>
      <w:r>
        <w:rPr>
          <w:sz w:val="22"/>
        </w:rPr>
        <w:lastRenderedPageBreak/>
        <w:t>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lastRenderedPageBreak/>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611" w:name="_Toc164682504"/>
      <w:bookmarkStart w:id="612" w:name="_Toc164683115"/>
      <w:bookmarkStart w:id="613" w:name="_Toc164758131"/>
      <w:r>
        <w:lastRenderedPageBreak/>
        <w:t>Division 5</w:t>
      </w:r>
      <w:r>
        <w:rPr>
          <w:b w:val="0"/>
        </w:rPr>
        <w:t> — </w:t>
      </w:r>
      <w:r>
        <w:t>Other unfair practices</w:t>
      </w:r>
      <w:bookmarkEnd w:id="611"/>
      <w:bookmarkEnd w:id="612"/>
      <w:bookmarkEnd w:id="613"/>
    </w:p>
    <w:p>
      <w:pPr>
        <w:pStyle w:val="yHeading5"/>
      </w:pPr>
      <w:bookmarkStart w:id="614" w:name="_Toc164758132"/>
      <w:r>
        <w:rPr>
          <w:rStyle w:val="CharSClsNo"/>
        </w:rPr>
        <w:t>167</w:t>
      </w:r>
      <w:r>
        <w:t>.</w:t>
      </w:r>
      <w:r>
        <w:tab/>
        <w:t>Referral selling</w:t>
      </w:r>
      <w:bookmarkEnd w:id="61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lastRenderedPageBreak/>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615" w:name="_Toc164758133"/>
      <w:r>
        <w:rPr>
          <w:rStyle w:val="CharSClsNo"/>
        </w:rPr>
        <w:t>168</w:t>
      </w:r>
      <w:r>
        <w:t>.</w:t>
      </w:r>
      <w:r>
        <w:tab/>
        <w:t>Harassment and coercion</w:t>
      </w:r>
      <w:bookmarkEnd w:id="61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lastRenderedPageBreak/>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616" w:name="_Toc164682507"/>
      <w:bookmarkStart w:id="617" w:name="_Toc164683118"/>
      <w:bookmarkStart w:id="618" w:name="_Toc164758134"/>
      <w:r>
        <w:lastRenderedPageBreak/>
        <w:t>Part 4</w:t>
      </w:r>
      <w:r>
        <w:noBreakHyphen/>
        <w:t>2 — Offences relating to consumer transactions</w:t>
      </w:r>
      <w:bookmarkEnd w:id="616"/>
      <w:bookmarkEnd w:id="617"/>
      <w:bookmarkEnd w:id="618"/>
    </w:p>
    <w:p>
      <w:pPr>
        <w:pStyle w:val="yHeading3"/>
      </w:pPr>
      <w:bookmarkStart w:id="619" w:name="_Toc164682508"/>
      <w:bookmarkStart w:id="620" w:name="_Toc164683119"/>
      <w:bookmarkStart w:id="621" w:name="_Toc164758135"/>
      <w:r>
        <w:t>Division 1</w:t>
      </w:r>
      <w:r>
        <w:rPr>
          <w:b w:val="0"/>
        </w:rPr>
        <w:t> — </w:t>
      </w:r>
      <w:r>
        <w:t>Consumer guarantees</w:t>
      </w:r>
      <w:bookmarkEnd w:id="619"/>
      <w:bookmarkEnd w:id="620"/>
      <w:bookmarkEnd w:id="621"/>
    </w:p>
    <w:p>
      <w:pPr>
        <w:pStyle w:val="yHeading5"/>
      </w:pPr>
      <w:bookmarkStart w:id="622" w:name="_Toc164758136"/>
      <w:r>
        <w:rPr>
          <w:rStyle w:val="CharSClsNo"/>
        </w:rPr>
        <w:t>169</w:t>
      </w:r>
      <w:r>
        <w:t>.</w:t>
      </w:r>
      <w:r>
        <w:tab/>
        <w:t>Display notices</w:t>
      </w:r>
      <w:bookmarkEnd w:id="62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623" w:name="_Toc164682510"/>
      <w:bookmarkStart w:id="624" w:name="_Toc164683121"/>
      <w:bookmarkStart w:id="625" w:name="_Toc164758137"/>
      <w:r>
        <w:t>Division 2 — Unsolicited consumer agreements</w:t>
      </w:r>
      <w:bookmarkEnd w:id="623"/>
      <w:bookmarkEnd w:id="624"/>
      <w:bookmarkEnd w:id="625"/>
    </w:p>
    <w:p>
      <w:pPr>
        <w:pStyle w:val="yHeading4"/>
      </w:pPr>
      <w:bookmarkStart w:id="626" w:name="_Toc164682511"/>
      <w:bookmarkStart w:id="627" w:name="_Toc164683122"/>
      <w:bookmarkStart w:id="628" w:name="_Toc164758138"/>
      <w:r>
        <w:t>Subdivision A — Negotiating unsolicited consumer agreements</w:t>
      </w:r>
      <w:bookmarkEnd w:id="626"/>
      <w:bookmarkEnd w:id="627"/>
      <w:bookmarkEnd w:id="628"/>
    </w:p>
    <w:p>
      <w:pPr>
        <w:pStyle w:val="yHeading5"/>
      </w:pPr>
      <w:bookmarkStart w:id="629" w:name="_Toc164758139"/>
      <w:r>
        <w:rPr>
          <w:rStyle w:val="CharSClsNo"/>
        </w:rPr>
        <w:t>170</w:t>
      </w:r>
      <w:r>
        <w:t>.</w:t>
      </w:r>
      <w:r>
        <w:tab/>
        <w:t>Permitted hours for negotiating an unsolicited consumer agreement</w:t>
      </w:r>
      <w:bookmarkEnd w:id="629"/>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lastRenderedPageBreak/>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630" w:name="_Toc164758140"/>
      <w:r>
        <w:rPr>
          <w:rStyle w:val="CharSClsNo"/>
        </w:rPr>
        <w:t>171</w:t>
      </w:r>
      <w:r>
        <w:t>.</w:t>
      </w:r>
      <w:r>
        <w:tab/>
        <w:t>Disclosing purpose and identity</w:t>
      </w:r>
      <w:bookmarkEnd w:id="630"/>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31" w:name="_Toc164758141"/>
      <w:r>
        <w:rPr>
          <w:rStyle w:val="CharSClsNo"/>
        </w:rPr>
        <w:t>172</w:t>
      </w:r>
      <w:r>
        <w:t>.</w:t>
      </w:r>
      <w:r>
        <w:tab/>
        <w:t>Ceasing to negotiate on request</w:t>
      </w:r>
      <w:bookmarkEnd w:id="631"/>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 xml:space="preserve">If the dealer is not, or is not to be, the supplier of the goods or services to which the negotiations relate, subsection (2) </w:t>
      </w:r>
      <w:r>
        <w:rPr>
          <w:sz w:val="22"/>
        </w:rPr>
        <w:lastRenderedPageBreak/>
        <w:t>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632" w:name="_Toc164758142"/>
      <w:r>
        <w:rPr>
          <w:rStyle w:val="CharSClsNo"/>
        </w:rPr>
        <w:t>173</w:t>
      </w:r>
      <w:r>
        <w:t>.</w:t>
      </w:r>
      <w:r>
        <w:tab/>
        <w:t>Informing person of termination period etc.</w:t>
      </w:r>
      <w:bookmarkEnd w:id="632"/>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633" w:name="_Toc164682516"/>
      <w:bookmarkStart w:id="634" w:name="_Toc164683127"/>
      <w:bookmarkStart w:id="635" w:name="_Toc164758143"/>
      <w:r>
        <w:t>Subdivision B — Requirements for unsolicited consumer agreements etc.</w:t>
      </w:r>
      <w:bookmarkEnd w:id="633"/>
      <w:bookmarkEnd w:id="634"/>
      <w:bookmarkEnd w:id="635"/>
    </w:p>
    <w:p>
      <w:pPr>
        <w:pStyle w:val="yHeading5"/>
      </w:pPr>
      <w:bookmarkStart w:id="636" w:name="_Toc164758144"/>
      <w:r>
        <w:rPr>
          <w:rStyle w:val="CharSClsNo"/>
        </w:rPr>
        <w:t>174</w:t>
      </w:r>
      <w:r>
        <w:t>.</w:t>
      </w:r>
      <w:r>
        <w:tab/>
        <w:t>Requirement to give document to the consumer</w:t>
      </w:r>
      <w:bookmarkEnd w:id="636"/>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lastRenderedPageBreak/>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637" w:name="_Toc164758145"/>
      <w:r>
        <w:rPr>
          <w:rStyle w:val="CharSClsNo"/>
        </w:rPr>
        <w:t>175</w:t>
      </w:r>
      <w:r>
        <w:t>.</w:t>
      </w:r>
      <w:r>
        <w:tab/>
        <w:t>Requirements for all unsolicited consumer agreements etc.</w:t>
      </w:r>
      <w:bookmarkEnd w:id="63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lastRenderedPageBreak/>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38" w:name="_Toc164758146"/>
      <w:r>
        <w:rPr>
          <w:rStyle w:val="CharSClsNo"/>
        </w:rPr>
        <w:t>176</w:t>
      </w:r>
      <w:r>
        <w:t>.</w:t>
      </w:r>
      <w:r>
        <w:tab/>
        <w:t>Additional requirements for unsolicited consumer agreements not negotiated by telephone</w:t>
      </w:r>
      <w:bookmarkEnd w:id="638"/>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lastRenderedPageBreak/>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639" w:name="_Toc164758147"/>
      <w:r>
        <w:rPr>
          <w:rStyle w:val="CharSClsNo"/>
        </w:rPr>
        <w:t>177</w:t>
      </w:r>
      <w:r>
        <w:t>.</w:t>
      </w:r>
      <w:r>
        <w:tab/>
        <w:t>Requirements for amendments of unsolicited consumer agreements</w:t>
      </w:r>
      <w:bookmarkEnd w:id="639"/>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640" w:name="_Toc164682521"/>
      <w:bookmarkStart w:id="641" w:name="_Toc164683132"/>
      <w:bookmarkStart w:id="642" w:name="_Toc164758148"/>
      <w:r>
        <w:t>Subdivision C — Terminating unsolicited consumer agreements</w:t>
      </w:r>
      <w:bookmarkEnd w:id="640"/>
      <w:bookmarkEnd w:id="641"/>
      <w:bookmarkEnd w:id="642"/>
    </w:p>
    <w:p>
      <w:pPr>
        <w:pStyle w:val="yHeading5"/>
        <w:spacing w:before="180"/>
      </w:pPr>
      <w:bookmarkStart w:id="643" w:name="_Toc164758149"/>
      <w:r>
        <w:rPr>
          <w:rStyle w:val="CharSClsNo"/>
        </w:rPr>
        <w:t>178</w:t>
      </w:r>
      <w:r>
        <w:t>.</w:t>
      </w:r>
      <w:r>
        <w:tab/>
        <w:t>Obligations of suppliers on termination</w:t>
      </w:r>
      <w:bookmarkEnd w:id="64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lastRenderedPageBreak/>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644" w:name="_Toc164758150"/>
      <w:r>
        <w:rPr>
          <w:rStyle w:val="CharSClsNo"/>
        </w:rPr>
        <w:t>179</w:t>
      </w:r>
      <w:r>
        <w:t>.</w:t>
      </w:r>
      <w:r>
        <w:tab/>
        <w:t>Prohibition on supplies etc.</w:t>
      </w:r>
      <w:bookmarkEnd w:id="644"/>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 xml:space="preserve">the period starting on the </w:t>
      </w:r>
      <w:r>
        <w:rPr>
          <w:szCs w:val="24"/>
        </w:rPr>
        <w:lastRenderedPageBreak/>
        <w:t>day on which the agreement was made 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645" w:name="_Toc164758151"/>
      <w:r>
        <w:rPr>
          <w:rStyle w:val="CharSClsNo"/>
        </w:rPr>
        <w:t>180</w:t>
      </w:r>
      <w:r>
        <w:t>.</w:t>
      </w:r>
      <w:r>
        <w:tab/>
        <w:t>Repayment of payments received after termination</w:t>
      </w:r>
      <w:bookmarkEnd w:id="64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46" w:name="_Toc164758152"/>
      <w:r>
        <w:rPr>
          <w:rStyle w:val="CharSClsNo"/>
        </w:rPr>
        <w:t>181</w:t>
      </w:r>
      <w:r>
        <w:t>.</w:t>
      </w:r>
      <w:r>
        <w:tab/>
        <w:t>Prohibition on recovering amounts after termination</w:t>
      </w:r>
      <w:bookmarkEnd w:id="64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lastRenderedPageBreak/>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647" w:name="_Toc164682526"/>
      <w:bookmarkStart w:id="648" w:name="_Toc164683137"/>
      <w:bookmarkStart w:id="649" w:name="_Toc164758153"/>
      <w:r>
        <w:lastRenderedPageBreak/>
        <w:t>Subdivision D — Miscellaneous</w:t>
      </w:r>
      <w:bookmarkEnd w:id="647"/>
      <w:bookmarkEnd w:id="648"/>
      <w:bookmarkEnd w:id="649"/>
    </w:p>
    <w:p>
      <w:pPr>
        <w:pStyle w:val="yHeading5"/>
        <w:spacing w:before="180"/>
      </w:pPr>
      <w:bookmarkStart w:id="650" w:name="_Toc164758154"/>
      <w:r>
        <w:rPr>
          <w:rStyle w:val="CharSClsNo"/>
        </w:rPr>
        <w:t>182</w:t>
      </w:r>
      <w:r>
        <w:t>.</w:t>
      </w:r>
      <w:r>
        <w:tab/>
        <w:t>Certain provisions of unsolicited consumer agreements void</w:t>
      </w:r>
      <w:bookmarkEnd w:id="65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651" w:name="_Toc164758155"/>
      <w:r>
        <w:rPr>
          <w:rStyle w:val="CharSClsNo"/>
        </w:rPr>
        <w:t>183</w:t>
      </w:r>
      <w:r>
        <w:t>.</w:t>
      </w:r>
      <w:r>
        <w:tab/>
        <w:t>Waiver of rights</w:t>
      </w:r>
      <w:bookmarkEnd w:id="65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652" w:name="_Toc164758156"/>
      <w:r>
        <w:rPr>
          <w:rStyle w:val="CharSClsNo"/>
        </w:rPr>
        <w:t>184</w:t>
      </w:r>
      <w:r>
        <w:t>.</w:t>
      </w:r>
      <w:r>
        <w:rPr>
          <w:rStyle w:val="CharSClsNo"/>
        </w:rPr>
        <w:tab/>
      </w:r>
      <w:r>
        <w:t>Application of this Division to persons to whom rights of consumers and suppliers are assigned etc.</w:t>
      </w:r>
      <w:bookmarkEnd w:id="652"/>
    </w:p>
    <w:p>
      <w:pPr>
        <w:tabs>
          <w:tab w:val="left" w:pos="1276"/>
          <w:tab w:val="left" w:pos="1843"/>
        </w:tabs>
        <w:spacing w:before="120"/>
        <w:ind w:left="1843" w:hanging="1843"/>
        <w:rPr>
          <w:sz w:val="22"/>
        </w:rPr>
      </w:pPr>
      <w:r>
        <w:rPr>
          <w:sz w:val="22"/>
        </w:rPr>
        <w:tab/>
        <w:t>(1)</w:t>
      </w:r>
      <w:r>
        <w:rPr>
          <w:sz w:val="22"/>
        </w:rPr>
        <w:tab/>
        <w:t xml:space="preserve">This Division applies in relation to a person to whom the rights of a consumer (the original consumer) under a contract for the supply of goods or services are assigned or transferred, or pass by operation of law, (whether from the </w:t>
      </w:r>
      <w:r>
        <w:rPr>
          <w:sz w:val="22"/>
        </w:rPr>
        <w:lastRenderedPageBreak/>
        <w:t>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653" w:name="_Toc164758157"/>
      <w:r>
        <w:rPr>
          <w:rStyle w:val="CharSClsNo"/>
        </w:rPr>
        <w:t>185</w:t>
      </w:r>
      <w:r>
        <w:t>.</w:t>
      </w:r>
      <w:r>
        <w:tab/>
        <w:t>Application of this Division to supplies to third parties</w:t>
      </w:r>
      <w:bookmarkEnd w:id="653"/>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654" w:name="_Toc164758158"/>
      <w:r>
        <w:rPr>
          <w:rStyle w:val="CharSClsNo"/>
        </w:rPr>
        <w:t>186</w:t>
      </w:r>
      <w:r>
        <w:t>.</w:t>
      </w:r>
      <w:r>
        <w:tab/>
        <w:t>Regulations may limit the application of this Division</w:t>
      </w:r>
      <w:bookmarkEnd w:id="654"/>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655" w:name="_Toc164758159"/>
      <w:r>
        <w:rPr>
          <w:rStyle w:val="CharSClsNo"/>
        </w:rPr>
        <w:t>187</w:t>
      </w:r>
      <w:r>
        <w:t>.</w:t>
      </w:r>
      <w:r>
        <w:tab/>
        <w:t>Application of this Division to certain conduct covered by the Corporations Act</w:t>
      </w:r>
      <w:bookmarkEnd w:id="655"/>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656" w:name="_Toc164682533"/>
      <w:bookmarkStart w:id="657" w:name="_Toc164683144"/>
      <w:bookmarkStart w:id="658" w:name="_Toc164758160"/>
      <w:r>
        <w:lastRenderedPageBreak/>
        <w:t>Division 3 — Lay</w:t>
      </w:r>
      <w:r>
        <w:noBreakHyphen/>
        <w:t>by agreements</w:t>
      </w:r>
      <w:bookmarkEnd w:id="656"/>
      <w:bookmarkEnd w:id="657"/>
      <w:bookmarkEnd w:id="658"/>
    </w:p>
    <w:p>
      <w:pPr>
        <w:pStyle w:val="yHeading5"/>
      </w:pPr>
      <w:bookmarkStart w:id="659" w:name="_Toc164758161"/>
      <w:r>
        <w:rPr>
          <w:rStyle w:val="CharSClsNo"/>
        </w:rPr>
        <w:t>188</w:t>
      </w:r>
      <w:r>
        <w:t>.</w:t>
      </w:r>
      <w:r>
        <w:tab/>
        <w:t>Lay</w:t>
      </w:r>
      <w:r>
        <w:noBreakHyphen/>
        <w:t>by agreements must be in writing etc.</w:t>
      </w:r>
      <w:bookmarkEnd w:id="659"/>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60" w:name="_Toc164758162"/>
      <w:r>
        <w:rPr>
          <w:rStyle w:val="CharSClsNo"/>
        </w:rPr>
        <w:t>189</w:t>
      </w:r>
      <w:r>
        <w:t>.</w:t>
      </w:r>
      <w:r>
        <w:tab/>
        <w:t>Termination charges</w:t>
      </w:r>
      <w:bookmarkEnd w:id="660"/>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lastRenderedPageBreak/>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661" w:name="_Toc164758163"/>
      <w:r>
        <w:rPr>
          <w:rStyle w:val="CharSClsNo"/>
        </w:rPr>
        <w:t>190</w:t>
      </w:r>
      <w:r>
        <w:t>.</w:t>
      </w:r>
      <w:r>
        <w:tab/>
        <w:t>Termination of lay</w:t>
      </w:r>
      <w:r>
        <w:noBreakHyphen/>
        <w:t>by agreements by suppliers</w:t>
      </w:r>
      <w:bookmarkEnd w:id="661"/>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662" w:name="_Toc164758164"/>
      <w:r>
        <w:rPr>
          <w:rStyle w:val="CharSClsNo"/>
        </w:rPr>
        <w:t>191</w:t>
      </w:r>
      <w:r>
        <w:t>.</w:t>
      </w:r>
      <w:r>
        <w:tab/>
        <w:t>Refund of amounts</w:t>
      </w:r>
      <w:bookmarkEnd w:id="662"/>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663" w:name="_Toc164682538"/>
      <w:bookmarkStart w:id="664" w:name="_Toc164683149"/>
      <w:bookmarkStart w:id="665" w:name="_Toc164758165"/>
      <w:r>
        <w:rPr>
          <w:szCs w:val="24"/>
        </w:rPr>
        <w:lastRenderedPageBreak/>
        <w:t>Division 3A—Gift cards</w:t>
      </w:r>
      <w:bookmarkEnd w:id="663"/>
      <w:bookmarkEnd w:id="664"/>
      <w:bookmarkEnd w:id="665"/>
    </w:p>
    <w:p>
      <w:pPr>
        <w:pStyle w:val="yHeading5"/>
        <w:rPr>
          <w:szCs w:val="22"/>
        </w:rPr>
      </w:pPr>
      <w:bookmarkStart w:id="666" w:name="_Toc164758166"/>
      <w:r>
        <w:rPr>
          <w:rStyle w:val="CharSClsNo"/>
        </w:rPr>
        <w:t>191A</w:t>
      </w:r>
      <w:r>
        <w:rPr>
          <w:szCs w:val="22"/>
        </w:rPr>
        <w:t>.</w:t>
      </w:r>
      <w:r>
        <w:rPr>
          <w:szCs w:val="22"/>
        </w:rPr>
        <w:tab/>
        <w:t>Gift cards to be redeemable for at least 3 years</w:t>
      </w:r>
      <w:bookmarkEnd w:id="666"/>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667" w:name="_Toc164758167"/>
      <w:r>
        <w:rPr>
          <w:rStyle w:val="CharSClsNo"/>
        </w:rPr>
        <w:t>191B</w:t>
      </w:r>
      <w:r>
        <w:t>.</w:t>
      </w:r>
      <w:r>
        <w:rPr>
          <w:rStyle w:val="CharSClsNo"/>
        </w:rPr>
        <w:tab/>
      </w:r>
      <w:r>
        <w:rPr>
          <w:szCs w:val="22"/>
        </w:rPr>
        <w:t>When gift card ceases to be redeemable to appear prominently on gift card</w:t>
      </w:r>
      <w:bookmarkEnd w:id="667"/>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lastRenderedPageBreak/>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668" w:name="_Toc164758168"/>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668"/>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669" w:name="_Toc164758169"/>
      <w:r>
        <w:rPr>
          <w:rStyle w:val="CharSClsNo"/>
        </w:rPr>
        <w:t>191D</w:t>
      </w:r>
      <w:r>
        <w:rPr>
          <w:szCs w:val="22"/>
        </w:rPr>
        <w:t>.</w:t>
      </w:r>
      <w:r>
        <w:rPr>
          <w:szCs w:val="22"/>
        </w:rPr>
        <w:tab/>
        <w:t>Post</w:t>
      </w:r>
      <w:r>
        <w:rPr>
          <w:szCs w:val="22"/>
        </w:rPr>
        <w:noBreakHyphen/>
        <w:t>supply fees not to be demanded or received</w:t>
      </w:r>
      <w:bookmarkEnd w:id="669"/>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670" w:name="_Toc164758170"/>
      <w:r>
        <w:rPr>
          <w:rStyle w:val="CharSClsNo"/>
        </w:rPr>
        <w:t>191E</w:t>
      </w:r>
      <w:r>
        <w:t>.</w:t>
      </w:r>
      <w:r>
        <w:rPr>
          <w:rStyle w:val="CharSClsNo"/>
        </w:rPr>
        <w:tab/>
      </w:r>
      <w:r>
        <w:rPr>
          <w:szCs w:val="22"/>
        </w:rPr>
        <w:t>Regulations may limit the application of this Division</w:t>
      </w:r>
      <w:bookmarkEnd w:id="670"/>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lastRenderedPageBreak/>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671" w:name="_Toc164682544"/>
      <w:bookmarkStart w:id="672" w:name="_Toc164683155"/>
      <w:bookmarkStart w:id="673" w:name="_Toc164758171"/>
      <w:r>
        <w:t>Division 4 — Miscellaneous</w:t>
      </w:r>
      <w:bookmarkEnd w:id="671"/>
      <w:bookmarkEnd w:id="672"/>
      <w:bookmarkEnd w:id="673"/>
    </w:p>
    <w:p>
      <w:pPr>
        <w:pStyle w:val="yHeading5"/>
      </w:pPr>
      <w:bookmarkStart w:id="674" w:name="_Toc164758172"/>
      <w:r>
        <w:rPr>
          <w:rStyle w:val="CharSClsNo"/>
        </w:rPr>
        <w:t>192</w:t>
      </w:r>
      <w:r>
        <w:t>.</w:t>
      </w:r>
      <w:r>
        <w:tab/>
        <w:t>Prescribed requirements for warranties against defects</w:t>
      </w:r>
      <w:bookmarkEnd w:id="674"/>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75" w:name="_Toc164758173"/>
      <w:r>
        <w:rPr>
          <w:rStyle w:val="CharSClsNo"/>
        </w:rPr>
        <w:t>193</w:t>
      </w:r>
      <w:r>
        <w:t>.</w:t>
      </w:r>
      <w:r>
        <w:tab/>
        <w:t>Repairers must comply with prescribed requirements</w:t>
      </w:r>
      <w:bookmarkEnd w:id="675"/>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lastRenderedPageBreak/>
        <w:tab/>
        <w:t>(2)</w:t>
      </w:r>
      <w:r>
        <w:rPr>
          <w:sz w:val="22"/>
        </w:rPr>
        <w:tab/>
        <w:t>Subsection (1) is an offence of strict liability.</w:t>
      </w:r>
    </w:p>
    <w:p>
      <w:pPr>
        <w:pStyle w:val="yHeading2"/>
      </w:pPr>
      <w:bookmarkStart w:id="676" w:name="_Toc164682547"/>
      <w:bookmarkStart w:id="677" w:name="_Toc164683158"/>
      <w:bookmarkStart w:id="678" w:name="_Toc164758174"/>
      <w:r>
        <w:t>Part 4</w:t>
      </w:r>
      <w:r>
        <w:noBreakHyphen/>
        <w:t>3</w:t>
      </w:r>
      <w:r>
        <w:rPr>
          <w:b w:val="0"/>
        </w:rPr>
        <w:t> — </w:t>
      </w:r>
      <w:r>
        <w:t>Offences relating to safety of consumer goods and product related services</w:t>
      </w:r>
      <w:bookmarkEnd w:id="676"/>
      <w:bookmarkEnd w:id="677"/>
      <w:bookmarkEnd w:id="678"/>
    </w:p>
    <w:p>
      <w:pPr>
        <w:pStyle w:val="yHeading3"/>
      </w:pPr>
      <w:bookmarkStart w:id="679" w:name="_Toc164682548"/>
      <w:bookmarkStart w:id="680" w:name="_Toc164683159"/>
      <w:bookmarkStart w:id="681" w:name="_Toc164758175"/>
      <w:r>
        <w:t>Division 1</w:t>
      </w:r>
      <w:r>
        <w:rPr>
          <w:b w:val="0"/>
        </w:rPr>
        <w:t> — </w:t>
      </w:r>
      <w:r>
        <w:t>Safety standards</w:t>
      </w:r>
      <w:bookmarkEnd w:id="679"/>
      <w:bookmarkEnd w:id="680"/>
      <w:bookmarkEnd w:id="681"/>
    </w:p>
    <w:p>
      <w:pPr>
        <w:pStyle w:val="yHeading5"/>
        <w:spacing w:before="180"/>
      </w:pPr>
      <w:bookmarkStart w:id="682" w:name="_Toc164758176"/>
      <w:r>
        <w:rPr>
          <w:rStyle w:val="CharSClsNo"/>
        </w:rPr>
        <w:t>194</w:t>
      </w:r>
      <w:r>
        <w:t>.</w:t>
      </w:r>
      <w:r>
        <w:tab/>
        <w:t>Supplying etc. consumer goods that do not comply with safety standards</w:t>
      </w:r>
      <w:bookmarkEnd w:id="682"/>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lastRenderedPageBreak/>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683" w:name="_Toc164758177"/>
      <w:r>
        <w:rPr>
          <w:rStyle w:val="CharSClsNo"/>
        </w:rPr>
        <w:t>195</w:t>
      </w:r>
      <w:r>
        <w:t>.</w:t>
      </w:r>
      <w:r>
        <w:tab/>
        <w:t>Supplying etc. product related services that do not comply with safety standards</w:t>
      </w:r>
      <w:bookmarkEnd w:id="68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lastRenderedPageBreak/>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684" w:name="_Toc164758178"/>
      <w:r>
        <w:rPr>
          <w:rStyle w:val="CharSClsNo"/>
        </w:rPr>
        <w:lastRenderedPageBreak/>
        <w:t>196</w:t>
      </w:r>
      <w:r>
        <w:t>.</w:t>
      </w:r>
      <w:r>
        <w:tab/>
        <w:t>Requirement to nominate a safety standard</w:t>
      </w:r>
      <w:bookmarkEnd w:id="684"/>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685" w:name="_Toc164682552"/>
      <w:bookmarkStart w:id="686" w:name="_Toc164683163"/>
      <w:bookmarkStart w:id="687" w:name="_Toc164758179"/>
      <w:r>
        <w:t>Division 2</w:t>
      </w:r>
      <w:r>
        <w:rPr>
          <w:b w:val="0"/>
        </w:rPr>
        <w:t> — </w:t>
      </w:r>
      <w:r>
        <w:t>Bans on consumer goods and product related services</w:t>
      </w:r>
      <w:bookmarkEnd w:id="685"/>
      <w:bookmarkEnd w:id="686"/>
      <w:bookmarkEnd w:id="687"/>
    </w:p>
    <w:p>
      <w:pPr>
        <w:pStyle w:val="yHeading5"/>
      </w:pPr>
      <w:bookmarkStart w:id="688" w:name="_Toc164758180"/>
      <w:r>
        <w:rPr>
          <w:rStyle w:val="CharSClsNo"/>
        </w:rPr>
        <w:t>197</w:t>
      </w:r>
      <w:r>
        <w:t>.</w:t>
      </w:r>
      <w:r>
        <w:tab/>
        <w:t>Supplying etc. consumer goods covered by a ban</w:t>
      </w:r>
      <w:bookmarkEnd w:id="688"/>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lastRenderedPageBreak/>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689" w:name="_Toc164758181"/>
      <w:r>
        <w:rPr>
          <w:rStyle w:val="CharSClsNo"/>
        </w:rPr>
        <w:lastRenderedPageBreak/>
        <w:t>198</w:t>
      </w:r>
      <w:r>
        <w:t>.</w:t>
      </w:r>
      <w:r>
        <w:tab/>
        <w:t>Supplying etc. product related services covered by a ban</w:t>
      </w:r>
      <w:bookmarkEnd w:id="68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lastRenderedPageBreak/>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690" w:name="_Toc164682555"/>
      <w:bookmarkStart w:id="691" w:name="_Toc164683166"/>
      <w:bookmarkStart w:id="692" w:name="_Toc164758182"/>
      <w:r>
        <w:t>Division 3 — Recall of consumer goods</w:t>
      </w:r>
      <w:bookmarkEnd w:id="690"/>
      <w:bookmarkEnd w:id="691"/>
      <w:bookmarkEnd w:id="692"/>
    </w:p>
    <w:p>
      <w:pPr>
        <w:pStyle w:val="yHeading5"/>
      </w:pPr>
      <w:bookmarkStart w:id="693" w:name="_Toc164758183"/>
      <w:r>
        <w:rPr>
          <w:rStyle w:val="CharSClsNo"/>
        </w:rPr>
        <w:t>199</w:t>
      </w:r>
      <w:r>
        <w:t>.</w:t>
      </w:r>
      <w:r>
        <w:tab/>
        <w:t>Compliance with recall orders</w:t>
      </w:r>
      <w:bookmarkEnd w:id="693"/>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w:t>
      </w:r>
      <w:r>
        <w:rPr>
          <w:sz w:val="22"/>
          <w:szCs w:val="22"/>
        </w:rPr>
        <w:lastRenderedPageBreak/>
        <w:t>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694" w:name="_Toc164758184"/>
      <w:r>
        <w:rPr>
          <w:rStyle w:val="CharSClsNo"/>
        </w:rPr>
        <w:t>200</w:t>
      </w:r>
      <w:r>
        <w:t>.</w:t>
      </w:r>
      <w:r>
        <w:tab/>
        <w:t>Notification by persons who supply consumer goods outside Australia if there is compulsory recall</w:t>
      </w:r>
      <w:bookmarkEnd w:id="694"/>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695" w:name="_Toc164758185"/>
      <w:r>
        <w:rPr>
          <w:rStyle w:val="CharSClsNo"/>
        </w:rPr>
        <w:t>201</w:t>
      </w:r>
      <w:r>
        <w:t>.</w:t>
      </w:r>
      <w:r>
        <w:tab/>
        <w:t>Notification requirements for a voluntary recall of consumer goods</w:t>
      </w:r>
      <w:bookmarkEnd w:id="69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lastRenderedPageBreak/>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696" w:name="_Toc164682559"/>
      <w:bookmarkStart w:id="697" w:name="_Toc164683170"/>
      <w:bookmarkStart w:id="698" w:name="_Toc164758186"/>
      <w:r>
        <w:t>Division 4</w:t>
      </w:r>
      <w:r>
        <w:rPr>
          <w:b w:val="0"/>
        </w:rPr>
        <w:t> — </w:t>
      </w:r>
      <w:r>
        <w:t>Consumer goods, or product related services, associated with death or serious injury or illness</w:t>
      </w:r>
      <w:bookmarkEnd w:id="696"/>
      <w:bookmarkEnd w:id="697"/>
      <w:bookmarkEnd w:id="698"/>
    </w:p>
    <w:p>
      <w:pPr>
        <w:pStyle w:val="yHeading5"/>
        <w:spacing w:before="160"/>
      </w:pPr>
      <w:bookmarkStart w:id="699" w:name="_Toc164758187"/>
      <w:r>
        <w:rPr>
          <w:rStyle w:val="CharSClsNo"/>
        </w:rPr>
        <w:t>202</w:t>
      </w:r>
      <w:r>
        <w:t>.</w:t>
      </w:r>
      <w:r>
        <w:tab/>
        <w:t>Suppliers to report consumer goods etc. associated with the death or serious injury or illness of any person</w:t>
      </w:r>
      <w:bookmarkEnd w:id="69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700" w:name="_Toc164682561"/>
      <w:bookmarkStart w:id="701" w:name="_Toc164683172"/>
      <w:bookmarkStart w:id="702" w:name="_Toc164758188"/>
      <w:r>
        <w:t>Part 4</w:t>
      </w:r>
      <w:r>
        <w:noBreakHyphen/>
        <w:t>4 — Offences relating to information standards</w:t>
      </w:r>
      <w:bookmarkEnd w:id="700"/>
      <w:bookmarkEnd w:id="701"/>
      <w:bookmarkEnd w:id="702"/>
    </w:p>
    <w:p>
      <w:pPr>
        <w:pStyle w:val="yHeading5"/>
      </w:pPr>
      <w:bookmarkStart w:id="703" w:name="_Toc164758189"/>
      <w:r>
        <w:rPr>
          <w:rStyle w:val="CharSClsNo"/>
        </w:rPr>
        <w:t>203</w:t>
      </w:r>
      <w:r>
        <w:t>.</w:t>
      </w:r>
      <w:r>
        <w:tab/>
        <w:t>Supplying etc. goods that do not comply with information standards</w:t>
      </w:r>
      <w:bookmarkEnd w:id="70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lastRenderedPageBreak/>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lastRenderedPageBreak/>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704" w:name="_Toc164758190"/>
      <w:r>
        <w:rPr>
          <w:rStyle w:val="CharSClsNo"/>
        </w:rPr>
        <w:t>204</w:t>
      </w:r>
      <w:r>
        <w:t>.</w:t>
      </w:r>
      <w:r>
        <w:tab/>
        <w:t>Supplying etc. services that do not comply with information standards</w:t>
      </w:r>
      <w:bookmarkEnd w:id="70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lastRenderedPageBreak/>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705" w:name="_Toc164682564"/>
      <w:bookmarkStart w:id="706" w:name="_Toc164683175"/>
      <w:bookmarkStart w:id="707" w:name="_Toc164758191"/>
      <w:r>
        <w:t>Part 4</w:t>
      </w:r>
      <w:r>
        <w:noBreakHyphen/>
        <w:t>5 — Offences relating to substantiation notices</w:t>
      </w:r>
      <w:bookmarkEnd w:id="705"/>
      <w:bookmarkEnd w:id="706"/>
      <w:bookmarkEnd w:id="707"/>
    </w:p>
    <w:p>
      <w:pPr>
        <w:pStyle w:val="yHeading5"/>
        <w:spacing w:before="180"/>
      </w:pPr>
      <w:bookmarkStart w:id="708" w:name="_Toc164758192"/>
      <w:r>
        <w:rPr>
          <w:rStyle w:val="CharSClsNo"/>
        </w:rPr>
        <w:t>205</w:t>
      </w:r>
      <w:r>
        <w:t>.</w:t>
      </w:r>
      <w:r>
        <w:tab/>
        <w:t>Compliance with substantiation notices</w:t>
      </w:r>
      <w:bookmarkEnd w:id="708"/>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lastRenderedPageBreak/>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709" w:name="_Toc164758193"/>
      <w:r>
        <w:rPr>
          <w:rStyle w:val="CharSClsNo"/>
        </w:rPr>
        <w:t>206</w:t>
      </w:r>
      <w:r>
        <w:t>.</w:t>
      </w:r>
      <w:r>
        <w:tab/>
        <w:t>False or misleading information etc.</w:t>
      </w:r>
      <w:bookmarkEnd w:id="709"/>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 xml:space="preserve">the production to the regulator of a document containing false or misleading information if the </w:t>
      </w:r>
      <w:r>
        <w:rPr>
          <w:sz w:val="22"/>
        </w:rPr>
        <w:lastRenderedPageBreak/>
        <w:t>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710" w:name="_Toc164682567"/>
      <w:bookmarkStart w:id="711" w:name="_Toc164683178"/>
      <w:bookmarkStart w:id="712" w:name="_Toc164758194"/>
      <w:r>
        <w:t>Part 4</w:t>
      </w:r>
      <w:r>
        <w:noBreakHyphen/>
        <w:t>6 — Defences</w:t>
      </w:r>
      <w:bookmarkEnd w:id="710"/>
      <w:bookmarkEnd w:id="711"/>
      <w:bookmarkEnd w:id="712"/>
    </w:p>
    <w:p>
      <w:pPr>
        <w:pStyle w:val="yHeading5"/>
      </w:pPr>
      <w:bookmarkStart w:id="713" w:name="_Toc164758195"/>
      <w:r>
        <w:rPr>
          <w:rStyle w:val="CharSClsNo"/>
        </w:rPr>
        <w:t>207</w:t>
      </w:r>
      <w:r>
        <w:t>.</w:t>
      </w:r>
      <w:r>
        <w:tab/>
        <w:t>Reasonable mistake of fact</w:t>
      </w:r>
      <w:bookmarkEnd w:id="71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714" w:name="_Toc164758196"/>
      <w:r>
        <w:rPr>
          <w:rStyle w:val="CharSClsNo"/>
          <w:szCs w:val="22"/>
        </w:rPr>
        <w:t>208</w:t>
      </w:r>
      <w:r>
        <w:rPr>
          <w:szCs w:val="22"/>
        </w:rPr>
        <w:t>.</w:t>
      </w:r>
      <w:r>
        <w:rPr>
          <w:szCs w:val="22"/>
        </w:rPr>
        <w:tab/>
        <w:t>Act or default of another person etc.</w:t>
      </w:r>
      <w:bookmarkEnd w:id="714"/>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lastRenderedPageBreak/>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715" w:name="_Toc164758197"/>
      <w:r>
        <w:rPr>
          <w:rStyle w:val="CharSClsNo"/>
        </w:rPr>
        <w:t>209</w:t>
      </w:r>
      <w:r>
        <w:t>.</w:t>
      </w:r>
      <w:r>
        <w:tab/>
        <w:t>Publication of advertisements in the ordinary course of business</w:t>
      </w:r>
      <w:bookmarkEnd w:id="715"/>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716" w:name="_Toc164758198"/>
      <w:r>
        <w:rPr>
          <w:rStyle w:val="CharSClsNo"/>
        </w:rPr>
        <w:lastRenderedPageBreak/>
        <w:t>210</w:t>
      </w:r>
      <w:r>
        <w:t>.</w:t>
      </w:r>
      <w:r>
        <w:tab/>
        <w:t>Supplying goods acquired for the purpose of re</w:t>
      </w:r>
      <w:r>
        <w:noBreakHyphen/>
        <w:t>supply</w:t>
      </w:r>
      <w:bookmarkEnd w:id="716"/>
    </w:p>
    <w:p>
      <w:pPr>
        <w:keepNext/>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lastRenderedPageBreak/>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717" w:name="_Toc164758199"/>
      <w:r>
        <w:rPr>
          <w:rStyle w:val="CharSClsNo"/>
        </w:rPr>
        <w:t>211</w:t>
      </w:r>
      <w:r>
        <w:t>.</w:t>
      </w:r>
      <w:r>
        <w:tab/>
        <w:t>Supplying services acquired for the purpose of re</w:t>
      </w:r>
      <w:r>
        <w:noBreakHyphen/>
        <w:t>supply</w:t>
      </w:r>
      <w:bookmarkEnd w:id="71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lastRenderedPageBreak/>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718" w:name="_Toc164682573"/>
      <w:bookmarkStart w:id="719" w:name="_Toc164683184"/>
      <w:bookmarkStart w:id="720" w:name="_Toc164758200"/>
      <w:r>
        <w:t>Part 4</w:t>
      </w:r>
      <w:r>
        <w:noBreakHyphen/>
        <w:t>7 — Miscellaneous</w:t>
      </w:r>
      <w:bookmarkEnd w:id="718"/>
      <w:bookmarkEnd w:id="719"/>
      <w:bookmarkEnd w:id="720"/>
    </w:p>
    <w:p>
      <w:pPr>
        <w:pStyle w:val="yHeading5"/>
      </w:pPr>
      <w:bookmarkStart w:id="721" w:name="_Toc164758201"/>
      <w:r>
        <w:rPr>
          <w:rStyle w:val="CharSClsNo"/>
        </w:rPr>
        <w:t>212</w:t>
      </w:r>
      <w:r>
        <w:t>.</w:t>
      </w:r>
      <w:r>
        <w:tab/>
        <w:t>Prosecutions to be commenced within 3 years</w:t>
      </w:r>
      <w:bookmarkEnd w:id="721"/>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722" w:name="_Toc164758202"/>
      <w:r>
        <w:rPr>
          <w:rStyle w:val="CharSClsNo"/>
        </w:rPr>
        <w:t>213</w:t>
      </w:r>
      <w:r>
        <w:t>.</w:t>
      </w:r>
      <w:r>
        <w:tab/>
        <w:t>Preference must be given to compensation for victims</w:t>
      </w:r>
      <w:bookmarkEnd w:id="722"/>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lastRenderedPageBreak/>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723" w:name="_Toc164758203"/>
      <w:r>
        <w:rPr>
          <w:rStyle w:val="CharSClsNo"/>
        </w:rPr>
        <w:t>214</w:t>
      </w:r>
      <w:r>
        <w:t>.</w:t>
      </w:r>
      <w:r>
        <w:tab/>
        <w:t>Penalties for contraventions of the same nature etc.</w:t>
      </w:r>
      <w:bookmarkEnd w:id="723"/>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724" w:name="_Toc164758204"/>
      <w:r>
        <w:rPr>
          <w:rStyle w:val="CharSClsNo"/>
        </w:rPr>
        <w:lastRenderedPageBreak/>
        <w:t>215</w:t>
      </w:r>
      <w:r>
        <w:t>.</w:t>
      </w:r>
      <w:r>
        <w:tab/>
        <w:t>Penalties for previous contraventions of the same nature etc.</w:t>
      </w:r>
      <w:bookmarkEnd w:id="724"/>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725" w:name="_Toc164758205"/>
      <w:r>
        <w:rPr>
          <w:rStyle w:val="CharSClsNo"/>
        </w:rPr>
        <w:t>216</w:t>
      </w:r>
      <w:r>
        <w:t>.</w:t>
      </w:r>
      <w:r>
        <w:tab/>
        <w:t>Granting of injunctions etc.</w:t>
      </w:r>
      <w:bookmarkEnd w:id="725"/>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lastRenderedPageBreak/>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726" w:name="_Toc164758206"/>
      <w:r>
        <w:rPr>
          <w:rStyle w:val="CharSClsNo"/>
        </w:rPr>
        <w:t>217</w:t>
      </w:r>
      <w:r>
        <w:t>.</w:t>
      </w:r>
      <w:r>
        <w:tab/>
        <w:t>Criminal proceedings not to be brought for contraventions of Chapter 2 or 3</w:t>
      </w:r>
      <w:bookmarkEnd w:id="726"/>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727" w:name="_Toc164682580"/>
      <w:bookmarkStart w:id="728" w:name="_Toc164683191"/>
      <w:bookmarkStart w:id="729" w:name="_Toc164758207"/>
      <w:r>
        <w:rPr>
          <w:rStyle w:val="CharSDivNo"/>
          <w:sz w:val="28"/>
        </w:rPr>
        <w:t>Chapter 5</w:t>
      </w:r>
      <w:r>
        <w:t> — </w:t>
      </w:r>
      <w:r>
        <w:rPr>
          <w:rStyle w:val="CharSDivText"/>
          <w:sz w:val="28"/>
        </w:rPr>
        <w:t>Enforcement and remedies</w:t>
      </w:r>
      <w:bookmarkEnd w:id="727"/>
      <w:bookmarkEnd w:id="728"/>
      <w:bookmarkEnd w:id="729"/>
    </w:p>
    <w:p>
      <w:pPr>
        <w:pStyle w:val="yHeading2"/>
        <w:spacing w:before="120"/>
      </w:pPr>
      <w:bookmarkStart w:id="730" w:name="_Toc164682581"/>
      <w:bookmarkStart w:id="731" w:name="_Toc164683192"/>
      <w:bookmarkStart w:id="732" w:name="_Toc164758208"/>
      <w:r>
        <w:t>Part 5</w:t>
      </w:r>
      <w:r>
        <w:noBreakHyphen/>
        <w:t>1</w:t>
      </w:r>
      <w:r>
        <w:rPr>
          <w:b w:val="0"/>
        </w:rPr>
        <w:t> — </w:t>
      </w:r>
      <w:r>
        <w:t>Enforcement</w:t>
      </w:r>
      <w:bookmarkEnd w:id="730"/>
      <w:bookmarkEnd w:id="731"/>
      <w:bookmarkEnd w:id="732"/>
    </w:p>
    <w:p>
      <w:pPr>
        <w:pStyle w:val="yHeading3"/>
        <w:spacing w:before="120"/>
      </w:pPr>
      <w:bookmarkStart w:id="733" w:name="_Toc164682582"/>
      <w:bookmarkStart w:id="734" w:name="_Toc164683193"/>
      <w:bookmarkStart w:id="735" w:name="_Toc164758209"/>
      <w:r>
        <w:t>Division 1</w:t>
      </w:r>
      <w:r>
        <w:rPr>
          <w:b w:val="0"/>
        </w:rPr>
        <w:t> — </w:t>
      </w:r>
      <w:r>
        <w:t>Undertakings</w:t>
      </w:r>
      <w:bookmarkEnd w:id="733"/>
      <w:bookmarkEnd w:id="734"/>
      <w:bookmarkEnd w:id="735"/>
    </w:p>
    <w:p>
      <w:pPr>
        <w:pStyle w:val="yHeading5"/>
      </w:pPr>
      <w:bookmarkStart w:id="736" w:name="_Toc164758210"/>
      <w:r>
        <w:rPr>
          <w:rStyle w:val="CharSClsNo"/>
        </w:rPr>
        <w:t>218</w:t>
      </w:r>
      <w:r>
        <w:t>.</w:t>
      </w:r>
      <w:r>
        <w:tab/>
        <w:t>Regulator may accept undertakings</w:t>
      </w:r>
      <w:bookmarkEnd w:id="736"/>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lastRenderedPageBreak/>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737" w:name="_Toc164682584"/>
      <w:bookmarkStart w:id="738" w:name="_Toc164683195"/>
      <w:bookmarkStart w:id="739" w:name="_Toc164758211"/>
      <w:r>
        <w:t>Division 2</w:t>
      </w:r>
      <w:r>
        <w:rPr>
          <w:b w:val="0"/>
        </w:rPr>
        <w:t> — </w:t>
      </w:r>
      <w:r>
        <w:t>Substantiation notices</w:t>
      </w:r>
      <w:bookmarkEnd w:id="737"/>
      <w:bookmarkEnd w:id="738"/>
      <w:bookmarkEnd w:id="739"/>
    </w:p>
    <w:p>
      <w:pPr>
        <w:pStyle w:val="yHeading5"/>
      </w:pPr>
      <w:bookmarkStart w:id="740" w:name="_Toc164758212"/>
      <w:r>
        <w:rPr>
          <w:rStyle w:val="CharSClsNo"/>
        </w:rPr>
        <w:t>219</w:t>
      </w:r>
      <w:r>
        <w:t>.</w:t>
      </w:r>
      <w:r>
        <w:tab/>
        <w:t>Regulator may require claims to be substantiated etc.</w:t>
      </w:r>
      <w:bookmarkEnd w:id="740"/>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lastRenderedPageBreak/>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lastRenderedPageBreak/>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741" w:name="_Toc164758213"/>
      <w:r>
        <w:rPr>
          <w:rStyle w:val="CharSClsNo"/>
        </w:rPr>
        <w:t>220</w:t>
      </w:r>
      <w:r>
        <w:t>.</w:t>
      </w:r>
      <w:r>
        <w:tab/>
        <w:t>Extending periods for complying with substantiation notices</w:t>
      </w:r>
      <w:bookmarkEnd w:id="741"/>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742" w:name="_Toc164758214"/>
      <w:r>
        <w:rPr>
          <w:rStyle w:val="CharSClsNo"/>
        </w:rPr>
        <w:t>221</w:t>
      </w:r>
      <w:r>
        <w:t>.</w:t>
      </w:r>
      <w:r>
        <w:tab/>
        <w:t>Compliance with substantiation notices</w:t>
      </w:r>
      <w:bookmarkEnd w:id="742"/>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743" w:name="_Toc164758215"/>
      <w:r>
        <w:rPr>
          <w:rStyle w:val="CharSClsNo"/>
        </w:rPr>
        <w:t>222</w:t>
      </w:r>
      <w:r>
        <w:t>.</w:t>
      </w:r>
      <w:r>
        <w:tab/>
        <w:t>False or misleading information etc.</w:t>
      </w:r>
      <w:bookmarkEnd w:id="743"/>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744" w:name="_Toc164682589"/>
      <w:bookmarkStart w:id="745" w:name="_Toc164683200"/>
      <w:bookmarkStart w:id="746" w:name="_Toc164758216"/>
      <w:r>
        <w:lastRenderedPageBreak/>
        <w:t>Division 3</w:t>
      </w:r>
      <w:r>
        <w:rPr>
          <w:b w:val="0"/>
        </w:rPr>
        <w:t> — </w:t>
      </w:r>
      <w:r>
        <w:t>Public warning notices</w:t>
      </w:r>
      <w:bookmarkEnd w:id="744"/>
      <w:bookmarkEnd w:id="745"/>
      <w:bookmarkEnd w:id="746"/>
    </w:p>
    <w:p>
      <w:pPr>
        <w:pStyle w:val="yHeading5"/>
      </w:pPr>
      <w:bookmarkStart w:id="747" w:name="_Toc164758217"/>
      <w:r>
        <w:rPr>
          <w:rStyle w:val="CharSClsNo"/>
        </w:rPr>
        <w:t>223</w:t>
      </w:r>
      <w:r>
        <w:t>.</w:t>
      </w:r>
      <w:r>
        <w:tab/>
        <w:t>Regulator may issue a public warning notice</w:t>
      </w:r>
      <w:bookmarkEnd w:id="747"/>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748" w:name="_Toc164682591"/>
      <w:bookmarkStart w:id="749" w:name="_Toc164683202"/>
      <w:bookmarkStart w:id="750" w:name="_Toc164758218"/>
      <w:r>
        <w:t>Part 5</w:t>
      </w:r>
      <w:r>
        <w:noBreakHyphen/>
        <w:t>2</w:t>
      </w:r>
      <w:r>
        <w:rPr>
          <w:b w:val="0"/>
        </w:rPr>
        <w:t> — </w:t>
      </w:r>
      <w:r>
        <w:rPr>
          <w:bCs/>
        </w:rPr>
        <w:t>Remedies</w:t>
      </w:r>
      <w:bookmarkEnd w:id="748"/>
      <w:bookmarkEnd w:id="749"/>
      <w:bookmarkEnd w:id="750"/>
    </w:p>
    <w:p>
      <w:pPr>
        <w:pStyle w:val="yHeading3"/>
      </w:pPr>
      <w:bookmarkStart w:id="751" w:name="_Toc164682592"/>
      <w:bookmarkStart w:id="752" w:name="_Toc164683203"/>
      <w:bookmarkStart w:id="753" w:name="_Toc164758219"/>
      <w:r>
        <w:t>Division 1</w:t>
      </w:r>
      <w:r>
        <w:rPr>
          <w:b w:val="0"/>
        </w:rPr>
        <w:t> — </w:t>
      </w:r>
      <w:r>
        <w:t>Pecuniary penalties</w:t>
      </w:r>
      <w:bookmarkEnd w:id="751"/>
      <w:bookmarkEnd w:id="752"/>
      <w:bookmarkEnd w:id="753"/>
    </w:p>
    <w:p>
      <w:pPr>
        <w:pStyle w:val="yHeading5"/>
      </w:pPr>
      <w:bookmarkStart w:id="754" w:name="_Toc164758220"/>
      <w:r>
        <w:rPr>
          <w:rStyle w:val="CharSClsNo"/>
        </w:rPr>
        <w:t>224</w:t>
      </w:r>
      <w:r>
        <w:t>.</w:t>
      </w:r>
      <w:r>
        <w:tab/>
        <w:t>Pecuniary penalties</w:t>
      </w:r>
      <w:bookmarkEnd w:id="754"/>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lastRenderedPageBreak/>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lastRenderedPageBreak/>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lastRenderedPageBreak/>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755" w:name="_Toc164758221"/>
      <w:r>
        <w:rPr>
          <w:rStyle w:val="CharSClsNo"/>
        </w:rPr>
        <w:lastRenderedPageBreak/>
        <w:t>225</w:t>
      </w:r>
      <w:r>
        <w:t>.</w:t>
      </w:r>
      <w:r>
        <w:tab/>
        <w:t>Pecuniary penalties and offences</w:t>
      </w:r>
      <w:bookmarkEnd w:id="755"/>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 xml:space="preserve">the individual previously gave the evidence or produced the documents in proceedings for an order under section 224 against the individual in relation </w:t>
      </w:r>
      <w:r>
        <w:rPr>
          <w:sz w:val="22"/>
        </w:rPr>
        <w:lastRenderedPageBreak/>
        <w:t>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756" w:name="_Toc164758222"/>
      <w:r>
        <w:rPr>
          <w:rStyle w:val="CharSClsNo"/>
        </w:rPr>
        <w:t>226</w:t>
      </w:r>
      <w:r>
        <w:t>.</w:t>
      </w:r>
      <w:r>
        <w:tab/>
        <w:t>Defence</w:t>
      </w:r>
      <w:bookmarkEnd w:id="756"/>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757" w:name="_Toc164758223"/>
      <w:r>
        <w:rPr>
          <w:rStyle w:val="CharSClsNo"/>
        </w:rPr>
        <w:t>227</w:t>
      </w:r>
      <w:r>
        <w:t>.</w:t>
      </w:r>
      <w:r>
        <w:tab/>
        <w:t>Preference must be given to compensation for victims</w:t>
      </w:r>
      <w:bookmarkEnd w:id="757"/>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lastRenderedPageBreak/>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758" w:name="_Toc164758224"/>
      <w:r>
        <w:rPr>
          <w:rStyle w:val="CharSClsNo"/>
        </w:rPr>
        <w:t>228</w:t>
      </w:r>
      <w:r>
        <w:t>.</w:t>
      </w:r>
      <w:r>
        <w:tab/>
        <w:t>Civil action for recovery of pecuniary penalties</w:t>
      </w:r>
      <w:bookmarkEnd w:id="758"/>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759" w:name="_Toc164758225"/>
      <w:r>
        <w:rPr>
          <w:rStyle w:val="CharSClsNo"/>
        </w:rPr>
        <w:t>229</w:t>
      </w:r>
      <w:r>
        <w:t>.</w:t>
      </w:r>
      <w:r>
        <w:tab/>
        <w:t>Indemnification of officers</w:t>
      </w:r>
      <w:bookmarkEnd w:id="759"/>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760" w:name="_Toc164758226"/>
      <w:r>
        <w:rPr>
          <w:rStyle w:val="CharSClsNo"/>
        </w:rPr>
        <w:lastRenderedPageBreak/>
        <w:t>230</w:t>
      </w:r>
      <w:r>
        <w:t>.</w:t>
      </w:r>
      <w:r>
        <w:tab/>
        <w:t>Certain indemnities not authorised and certain documents void</w:t>
      </w:r>
      <w:bookmarkEnd w:id="760"/>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761" w:name="_Toc164682600"/>
      <w:bookmarkStart w:id="762" w:name="_Toc164683211"/>
      <w:bookmarkStart w:id="763" w:name="_Toc164758227"/>
      <w:r>
        <w:t>Division 2</w:t>
      </w:r>
      <w:r>
        <w:rPr>
          <w:b w:val="0"/>
        </w:rPr>
        <w:t> — </w:t>
      </w:r>
      <w:r>
        <w:t>Injunctions</w:t>
      </w:r>
      <w:bookmarkEnd w:id="761"/>
      <w:bookmarkEnd w:id="762"/>
      <w:bookmarkEnd w:id="763"/>
    </w:p>
    <w:p>
      <w:pPr>
        <w:pStyle w:val="yHeading5"/>
      </w:pPr>
      <w:bookmarkStart w:id="764" w:name="_Toc164758228"/>
      <w:r>
        <w:rPr>
          <w:rStyle w:val="CharSClsNo"/>
        </w:rPr>
        <w:t>232</w:t>
      </w:r>
      <w:r>
        <w:t>.</w:t>
      </w:r>
      <w:r>
        <w:tab/>
        <w:t>Injunctions</w:t>
      </w:r>
      <w:bookmarkEnd w:id="764"/>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lastRenderedPageBreak/>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lastRenderedPageBreak/>
        <w:tab/>
        <w:t>(c)</w:t>
      </w:r>
      <w:r>
        <w:rPr>
          <w:sz w:val="22"/>
        </w:rPr>
        <w:tab/>
        <w:t>whether or not there is an imminent danger of substantial damage to any other person if the person refuses or fails to do that act or thing.</w:t>
      </w:r>
    </w:p>
    <w:p>
      <w:pPr>
        <w:pStyle w:val="yHeading5"/>
        <w:spacing w:before="180"/>
      </w:pPr>
      <w:bookmarkStart w:id="765" w:name="_Toc164758229"/>
      <w:r>
        <w:rPr>
          <w:rStyle w:val="CharSClsNo"/>
        </w:rPr>
        <w:t>233</w:t>
      </w:r>
      <w:r>
        <w:t>.</w:t>
      </w:r>
      <w:r>
        <w:tab/>
        <w:t>Consent injunctions</w:t>
      </w:r>
      <w:bookmarkEnd w:id="765"/>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766" w:name="_Toc164758230"/>
      <w:r>
        <w:rPr>
          <w:rStyle w:val="CharSClsNo"/>
        </w:rPr>
        <w:t>234</w:t>
      </w:r>
      <w:r>
        <w:t>.</w:t>
      </w:r>
      <w:r>
        <w:tab/>
        <w:t>Interim injunctions</w:t>
      </w:r>
      <w:bookmarkEnd w:id="766"/>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767" w:name="_Toc164758231"/>
      <w:r>
        <w:rPr>
          <w:rStyle w:val="CharSClsNo"/>
        </w:rPr>
        <w:t>235</w:t>
      </w:r>
      <w:r>
        <w:t>.</w:t>
      </w:r>
      <w:r>
        <w:tab/>
        <w:t>Variation and discharge of injunctions</w:t>
      </w:r>
      <w:bookmarkEnd w:id="767"/>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768" w:name="_Toc164682605"/>
      <w:bookmarkStart w:id="769" w:name="_Toc164683216"/>
      <w:bookmarkStart w:id="770" w:name="_Toc164758232"/>
      <w:r>
        <w:lastRenderedPageBreak/>
        <w:t>Division 3</w:t>
      </w:r>
      <w:r>
        <w:rPr>
          <w:b w:val="0"/>
        </w:rPr>
        <w:t> — </w:t>
      </w:r>
      <w:r>
        <w:t>Damages</w:t>
      </w:r>
      <w:bookmarkEnd w:id="768"/>
      <w:bookmarkEnd w:id="769"/>
      <w:bookmarkEnd w:id="770"/>
    </w:p>
    <w:p>
      <w:pPr>
        <w:pStyle w:val="yHeading5"/>
        <w:spacing w:before="180"/>
      </w:pPr>
      <w:bookmarkStart w:id="771" w:name="_Toc164758233"/>
      <w:r>
        <w:rPr>
          <w:rStyle w:val="CharSClsNo"/>
        </w:rPr>
        <w:t>236</w:t>
      </w:r>
      <w:r>
        <w:t>.</w:t>
      </w:r>
      <w:r>
        <w:tab/>
        <w:t>Actions for damages</w:t>
      </w:r>
      <w:bookmarkEnd w:id="77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772" w:name="_Toc164682607"/>
      <w:bookmarkStart w:id="773" w:name="_Toc164683218"/>
      <w:bookmarkStart w:id="774" w:name="_Toc164758234"/>
      <w:r>
        <w:t>Division 4</w:t>
      </w:r>
      <w:r>
        <w:rPr>
          <w:b w:val="0"/>
        </w:rPr>
        <w:t> — </w:t>
      </w:r>
      <w:r>
        <w:t>Compensation orders etc. for injured persons and orders for non</w:t>
      </w:r>
      <w:r>
        <w:noBreakHyphen/>
        <w:t>party consumers</w:t>
      </w:r>
      <w:bookmarkEnd w:id="772"/>
      <w:bookmarkEnd w:id="773"/>
      <w:bookmarkEnd w:id="774"/>
    </w:p>
    <w:p>
      <w:pPr>
        <w:pStyle w:val="yHeading4"/>
        <w:spacing w:before="200"/>
      </w:pPr>
      <w:bookmarkStart w:id="775" w:name="_Toc164682608"/>
      <w:bookmarkStart w:id="776" w:name="_Toc164683219"/>
      <w:bookmarkStart w:id="777" w:name="_Toc164758235"/>
      <w:r>
        <w:t>Subdivision A — Compensation orders etc. for injured persons</w:t>
      </w:r>
      <w:bookmarkEnd w:id="775"/>
      <w:bookmarkEnd w:id="776"/>
      <w:bookmarkEnd w:id="777"/>
    </w:p>
    <w:p>
      <w:pPr>
        <w:pStyle w:val="yHeading5"/>
        <w:spacing w:before="180"/>
      </w:pPr>
      <w:bookmarkStart w:id="778" w:name="_Toc164758236"/>
      <w:r>
        <w:rPr>
          <w:rStyle w:val="CharSClsNo"/>
        </w:rPr>
        <w:t>237</w:t>
      </w:r>
      <w:r>
        <w:t>.</w:t>
      </w:r>
      <w:r>
        <w:tab/>
        <w:t>Compensation orders etc. on application by an injured person or the regulator</w:t>
      </w:r>
      <w:bookmarkEnd w:id="778"/>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lastRenderedPageBreak/>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779" w:name="_Toc164758237"/>
      <w:r>
        <w:rPr>
          <w:rStyle w:val="CharSClsNo"/>
        </w:rPr>
        <w:t>238</w:t>
      </w:r>
      <w:r>
        <w:t>.</w:t>
      </w:r>
      <w:r>
        <w:tab/>
        <w:t>Compensation orders etc. arising out of other proceedings</w:t>
      </w:r>
      <w:bookmarkEnd w:id="779"/>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lastRenderedPageBreak/>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780" w:name="_Toc164682611"/>
      <w:bookmarkStart w:id="781" w:name="_Toc164683222"/>
      <w:bookmarkStart w:id="782" w:name="_Toc164758238"/>
      <w:r>
        <w:t>Subdivision B — Orders for non</w:t>
      </w:r>
      <w:r>
        <w:noBreakHyphen/>
        <w:t>party consumers</w:t>
      </w:r>
      <w:bookmarkEnd w:id="780"/>
      <w:bookmarkEnd w:id="781"/>
      <w:bookmarkEnd w:id="782"/>
    </w:p>
    <w:p>
      <w:pPr>
        <w:pStyle w:val="yHeading5"/>
      </w:pPr>
      <w:bookmarkStart w:id="783" w:name="_Toc164758239"/>
      <w:r>
        <w:rPr>
          <w:rStyle w:val="CharSClsNo"/>
        </w:rPr>
        <w:t>239</w:t>
      </w:r>
      <w:r>
        <w:t>.</w:t>
      </w:r>
      <w:r>
        <w:tab/>
        <w:t>Orders to redress etc. loss or damage suffered by non</w:t>
      </w:r>
      <w:r>
        <w:noBreakHyphen/>
        <w:t>party consumers</w:t>
      </w:r>
      <w:bookmarkEnd w:id="78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lastRenderedPageBreak/>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784" w:name="_Toc164758240"/>
      <w:r>
        <w:rPr>
          <w:rStyle w:val="CharSClsNo"/>
        </w:rPr>
        <w:t>240</w:t>
      </w:r>
      <w:r>
        <w:t>.</w:t>
      </w:r>
      <w:r>
        <w:tab/>
        <w:t>Determining whether to make a redress order etc. for non</w:t>
      </w:r>
      <w:r>
        <w:noBreakHyphen/>
        <w:t>party consumers</w:t>
      </w:r>
      <w:bookmarkEnd w:id="784"/>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lastRenderedPageBreak/>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785" w:name="_Toc164758241"/>
      <w:r>
        <w:rPr>
          <w:rStyle w:val="CharSClsNo"/>
        </w:rPr>
        <w:t>241</w:t>
      </w:r>
      <w:r>
        <w:t>.</w:t>
      </w:r>
      <w:r>
        <w:tab/>
        <w:t>When a non</w:t>
      </w:r>
      <w:r>
        <w:noBreakHyphen/>
        <w:t>party consumer is bound by a redress order etc.</w:t>
      </w:r>
      <w:bookmarkEnd w:id="785"/>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786" w:name="_Toc164682615"/>
      <w:bookmarkStart w:id="787" w:name="_Toc164683226"/>
      <w:bookmarkStart w:id="788" w:name="_Toc164758242"/>
      <w:r>
        <w:t>Subdivision C — Miscellaneous</w:t>
      </w:r>
      <w:bookmarkEnd w:id="786"/>
      <w:bookmarkEnd w:id="787"/>
      <w:bookmarkEnd w:id="788"/>
    </w:p>
    <w:p>
      <w:pPr>
        <w:pStyle w:val="yHeading5"/>
      </w:pPr>
      <w:bookmarkStart w:id="789" w:name="_Toc164758243"/>
      <w:r>
        <w:rPr>
          <w:rStyle w:val="CharSClsNo"/>
        </w:rPr>
        <w:t>242</w:t>
      </w:r>
      <w:r>
        <w:t>.</w:t>
      </w:r>
      <w:r>
        <w:tab/>
        <w:t>Applications for orders</w:t>
      </w:r>
      <w:bookmarkEnd w:id="789"/>
    </w:p>
    <w:p>
      <w:pPr>
        <w:tabs>
          <w:tab w:val="left" w:pos="1276"/>
          <w:tab w:val="left" w:pos="1843"/>
        </w:tabs>
        <w:spacing w:before="180"/>
        <w:ind w:left="1843" w:hanging="1843"/>
        <w:rPr>
          <w:sz w:val="22"/>
        </w:rPr>
      </w:pPr>
      <w:r>
        <w:rPr>
          <w:sz w:val="22"/>
        </w:rPr>
        <w:tab/>
        <w:t>(1)</w:t>
      </w:r>
      <w:r>
        <w:rPr>
          <w:sz w:val="22"/>
        </w:rPr>
        <w:tab/>
        <w:t xml:space="preserve">An application may be made under section 237(1) or 239(1) even if an enforcement proceeding in relation to </w:t>
      </w:r>
      <w:r>
        <w:rPr>
          <w:sz w:val="22"/>
        </w:rPr>
        <w:lastRenderedPageBreak/>
        <w:t>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790" w:name="_Toc164758244"/>
      <w:r>
        <w:rPr>
          <w:rStyle w:val="CharSClsNo"/>
        </w:rPr>
        <w:t>243</w:t>
      </w:r>
      <w:r>
        <w:t>.</w:t>
      </w:r>
      <w:r>
        <w:tab/>
        <w:t>Kinds of orders that may be made</w:t>
      </w:r>
      <w:bookmarkEnd w:id="790"/>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lastRenderedPageBreak/>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791" w:name="_Toc164758245"/>
      <w:r>
        <w:rPr>
          <w:rStyle w:val="CharSClsNo"/>
        </w:rPr>
        <w:t>244</w:t>
      </w:r>
      <w:r>
        <w:t>.</w:t>
      </w:r>
      <w:r>
        <w:tab/>
        <w:t>Power of a court to make orders</w:t>
      </w:r>
      <w:bookmarkEnd w:id="791"/>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792" w:name="_Toc164758246"/>
      <w:r>
        <w:rPr>
          <w:rStyle w:val="CharSClsNo"/>
        </w:rPr>
        <w:t>245</w:t>
      </w:r>
      <w:r>
        <w:t>.</w:t>
      </w:r>
      <w:r>
        <w:tab/>
        <w:t>Interaction with other provisions</w:t>
      </w:r>
      <w:bookmarkEnd w:id="792"/>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793" w:name="_Toc164682620"/>
      <w:bookmarkStart w:id="794" w:name="_Toc164683231"/>
      <w:bookmarkStart w:id="795" w:name="_Toc164758247"/>
      <w:r>
        <w:lastRenderedPageBreak/>
        <w:t>Division 5 — Other remedies</w:t>
      </w:r>
      <w:bookmarkEnd w:id="793"/>
      <w:bookmarkEnd w:id="794"/>
      <w:bookmarkEnd w:id="795"/>
    </w:p>
    <w:p>
      <w:pPr>
        <w:pStyle w:val="yHeading5"/>
      </w:pPr>
      <w:bookmarkStart w:id="796" w:name="_Toc164758248"/>
      <w:r>
        <w:rPr>
          <w:rStyle w:val="CharSClsNo"/>
        </w:rPr>
        <w:t>246</w:t>
      </w:r>
      <w:r>
        <w:t>.</w:t>
      </w:r>
      <w:r>
        <w:tab/>
        <w:t>Non</w:t>
      </w:r>
      <w:r>
        <w:noBreakHyphen/>
        <w:t>punitive orders</w:t>
      </w:r>
      <w:bookmarkEnd w:id="796"/>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 xml:space="preserve">an order directing the person to establish an education and training program for employees or other persons involved in the </w:t>
      </w:r>
      <w:r>
        <w:rPr>
          <w:sz w:val="22"/>
        </w:rPr>
        <w:lastRenderedPageBreak/>
        <w:t>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797" w:name="_Toc164758249"/>
      <w:r>
        <w:rPr>
          <w:rStyle w:val="CharSClsNo"/>
        </w:rPr>
        <w:t>247</w:t>
      </w:r>
      <w:r>
        <w:t>.</w:t>
      </w:r>
      <w:r>
        <w:tab/>
        <w:t>Adverse publicity orders</w:t>
      </w:r>
      <w:bookmarkEnd w:id="797"/>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lastRenderedPageBreak/>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798" w:name="_Toc164758250"/>
      <w:r>
        <w:rPr>
          <w:rStyle w:val="CharSClsNo"/>
        </w:rPr>
        <w:t>248</w:t>
      </w:r>
      <w:r>
        <w:t>.</w:t>
      </w:r>
      <w:r>
        <w:tab/>
        <w:t>Order disqualifying a person from managing corporations</w:t>
      </w:r>
      <w:bookmarkEnd w:id="798"/>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lastRenderedPageBreak/>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799" w:name="_Toc164758251"/>
      <w:r>
        <w:rPr>
          <w:rStyle w:val="CharSClsNo"/>
        </w:rPr>
        <w:t>249</w:t>
      </w:r>
      <w:r>
        <w:t>.</w:t>
      </w:r>
      <w:r>
        <w:tab/>
        <w:t>Privilege against exposure to penalty or forfeiture — disqualification from managing corporations</w:t>
      </w:r>
      <w:bookmarkEnd w:id="799"/>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lastRenderedPageBreak/>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800" w:name="_Toc164758252"/>
      <w:r>
        <w:rPr>
          <w:rStyle w:val="CharSClsNo"/>
        </w:rPr>
        <w:t>250</w:t>
      </w:r>
      <w:r>
        <w:t>.</w:t>
      </w:r>
      <w:r>
        <w:tab/>
        <w:t>Declarations relating to consumer contracts and small business contracts</w:t>
      </w:r>
      <w:bookmarkEnd w:id="800"/>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lastRenderedPageBreak/>
        <w:tab/>
        <w:t>(5)</w:t>
      </w:r>
      <w:r>
        <w:rPr>
          <w:sz w:val="22"/>
          <w:szCs w:val="22"/>
        </w:rPr>
        <w:tab/>
        <w:t>Subsections (1) and (2) do not limit any other power of the court to make declarations.</w:t>
      </w:r>
    </w:p>
    <w:p>
      <w:pPr>
        <w:pStyle w:val="yHeading3"/>
      </w:pPr>
      <w:bookmarkStart w:id="801" w:name="_Toc164682626"/>
      <w:bookmarkStart w:id="802" w:name="_Toc164683237"/>
      <w:bookmarkStart w:id="803" w:name="_Toc164758253"/>
      <w:r>
        <w:t>Division 6</w:t>
      </w:r>
      <w:r>
        <w:rPr>
          <w:b w:val="0"/>
        </w:rPr>
        <w:t> — </w:t>
      </w:r>
      <w:r>
        <w:t>Defences</w:t>
      </w:r>
      <w:bookmarkEnd w:id="801"/>
      <w:bookmarkEnd w:id="802"/>
      <w:bookmarkEnd w:id="803"/>
    </w:p>
    <w:p>
      <w:pPr>
        <w:pStyle w:val="yHeading5"/>
        <w:spacing w:before="180"/>
      </w:pPr>
      <w:bookmarkStart w:id="804" w:name="_Toc164758254"/>
      <w:r>
        <w:rPr>
          <w:rStyle w:val="CharSClsNo"/>
        </w:rPr>
        <w:t>251</w:t>
      </w:r>
      <w:r>
        <w:t>.</w:t>
      </w:r>
      <w:r>
        <w:tab/>
        <w:t>Publication of advertisement in the ordinary course of business</w:t>
      </w:r>
      <w:bookmarkEnd w:id="804"/>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805" w:name="_Toc164758255"/>
      <w:r>
        <w:rPr>
          <w:rStyle w:val="CharSClsNo"/>
        </w:rPr>
        <w:t>252</w:t>
      </w:r>
      <w:r>
        <w:t>.</w:t>
      </w:r>
      <w:r>
        <w:tab/>
        <w:t>Supplying consumer goods for the purpose of re</w:t>
      </w:r>
      <w:r>
        <w:noBreakHyphen/>
        <w:t>supply</w:t>
      </w:r>
      <w:bookmarkEnd w:id="805"/>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 xml:space="preserve">the consumer goods were so acquired from a person who carried on in Australia a business of supplying </w:t>
      </w:r>
      <w:r>
        <w:rPr>
          <w:sz w:val="22"/>
        </w:rPr>
        <w:lastRenderedPageBreak/>
        <w:t>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806" w:name="_Toc164758256"/>
      <w:r>
        <w:rPr>
          <w:rStyle w:val="CharSClsNo"/>
        </w:rPr>
        <w:t>253</w:t>
      </w:r>
      <w:r>
        <w:t>.</w:t>
      </w:r>
      <w:r>
        <w:tab/>
        <w:t>Supplying product related services for the purpose of re</w:t>
      </w:r>
      <w:r>
        <w:noBreakHyphen/>
        <w:t>supply</w:t>
      </w:r>
      <w:bookmarkEnd w:id="806"/>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lastRenderedPageBreak/>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807" w:name="_Toc164682630"/>
      <w:bookmarkStart w:id="808" w:name="_Toc164683241"/>
      <w:bookmarkStart w:id="809" w:name="_Toc164758257"/>
      <w:r>
        <w:t>Part 5</w:t>
      </w:r>
      <w:r>
        <w:noBreakHyphen/>
        <w:t>3</w:t>
      </w:r>
      <w:r>
        <w:rPr>
          <w:b w:val="0"/>
        </w:rPr>
        <w:t> — </w:t>
      </w:r>
      <w:r>
        <w:t>Country of origin representations</w:t>
      </w:r>
      <w:bookmarkEnd w:id="807"/>
      <w:bookmarkEnd w:id="808"/>
      <w:bookmarkEnd w:id="809"/>
    </w:p>
    <w:p>
      <w:pPr>
        <w:pStyle w:val="yHeading5"/>
      </w:pPr>
      <w:bookmarkStart w:id="810" w:name="_Toc164758258"/>
      <w:r>
        <w:rPr>
          <w:rStyle w:val="CharSClsNo"/>
        </w:rPr>
        <w:t>254</w:t>
      </w:r>
      <w:r>
        <w:t>.</w:t>
      </w:r>
      <w:r>
        <w:tab/>
        <w:t>Overview</w:t>
      </w:r>
      <w:bookmarkEnd w:id="810"/>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lastRenderedPageBreak/>
        <w:tab/>
        <w:t>(b)</w:t>
      </w:r>
      <w:r>
        <w:rPr>
          <w:sz w:val="22"/>
        </w:rPr>
        <w:tab/>
        <w:t>section 29(1)(a) or (k) or 151(1)(a) or (k) (which deal with false or misleading representations).</w:t>
      </w:r>
    </w:p>
    <w:p>
      <w:pPr>
        <w:pStyle w:val="yHeading5"/>
      </w:pPr>
      <w:bookmarkStart w:id="811" w:name="_Toc164758259"/>
      <w:r>
        <w:rPr>
          <w:rStyle w:val="CharSClsNo"/>
        </w:rPr>
        <w:t>255</w:t>
      </w:r>
      <w:r>
        <w:t>.</w:t>
      </w:r>
      <w:r>
        <w:tab/>
        <w:t>Country of origin representations do not contravene certain provisions</w:t>
      </w:r>
      <w:bookmarkEnd w:id="811"/>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lastRenderedPageBreak/>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 or</w:t>
      </w:r>
    </w:p>
    <w:p>
      <w:pPr>
        <w:tabs>
          <w:tab w:val="left" w:pos="1985"/>
          <w:tab w:val="left" w:pos="2410"/>
        </w:tabs>
        <w:spacing w:before="80"/>
        <w:ind w:left="2410" w:hanging="2410"/>
        <w:rPr>
          <w:sz w:val="22"/>
          <w:szCs w:val="22"/>
        </w:rPr>
      </w:pPr>
      <w:r>
        <w:rPr>
          <w:sz w:val="22"/>
          <w:szCs w:val="22"/>
        </w:rPr>
        <w:tab/>
        <w:t>(c)</w:t>
      </w:r>
      <w:r>
        <w:rPr>
          <w:sz w:val="22"/>
          <w:szCs w:val="22"/>
        </w:rPr>
        <w:tab/>
        <w:t>the goods underwent in that country one or more processes prescribed by the regulations.</w:t>
      </w:r>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lastRenderedPageBreak/>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812" w:name="_Toc164758260"/>
      <w:r>
        <w:rPr>
          <w:rStyle w:val="CharSClsNo"/>
        </w:rPr>
        <w:t>258</w:t>
      </w:r>
      <w:r>
        <w:t>.</w:t>
      </w:r>
      <w:r>
        <w:tab/>
        <w:t>Proceedings relating to false, misleading or deceptive conduct or representations</w:t>
      </w:r>
      <w:bookmarkEnd w:id="81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813" w:name="_Toc164682634"/>
      <w:bookmarkStart w:id="814" w:name="_Toc164683245"/>
      <w:bookmarkStart w:id="815" w:name="_Toc164758261"/>
      <w:r>
        <w:lastRenderedPageBreak/>
        <w:t>Part 5</w:t>
      </w:r>
      <w:r>
        <w:noBreakHyphen/>
        <w:t>4</w:t>
      </w:r>
      <w:r>
        <w:rPr>
          <w:b w:val="0"/>
        </w:rPr>
        <w:t> — </w:t>
      </w:r>
      <w:r>
        <w:t>Remedies relating to guarantees</w:t>
      </w:r>
      <w:bookmarkEnd w:id="813"/>
      <w:bookmarkEnd w:id="814"/>
      <w:bookmarkEnd w:id="815"/>
    </w:p>
    <w:p>
      <w:pPr>
        <w:pStyle w:val="yHeading3"/>
      </w:pPr>
      <w:bookmarkStart w:id="816" w:name="_Toc164682635"/>
      <w:bookmarkStart w:id="817" w:name="_Toc164683246"/>
      <w:bookmarkStart w:id="818" w:name="_Toc164758262"/>
      <w:r>
        <w:t>Division 1</w:t>
      </w:r>
      <w:r>
        <w:rPr>
          <w:b w:val="0"/>
        </w:rPr>
        <w:t> — </w:t>
      </w:r>
      <w:r>
        <w:t>Action against suppliers</w:t>
      </w:r>
      <w:bookmarkEnd w:id="816"/>
      <w:bookmarkEnd w:id="817"/>
      <w:bookmarkEnd w:id="818"/>
    </w:p>
    <w:p>
      <w:pPr>
        <w:pStyle w:val="yHeading4"/>
      </w:pPr>
      <w:bookmarkStart w:id="819" w:name="_Toc164682636"/>
      <w:bookmarkStart w:id="820" w:name="_Toc164683247"/>
      <w:bookmarkStart w:id="821" w:name="_Toc164758263"/>
      <w:r>
        <w:t>Subdivision A — Action against suppliers of goods</w:t>
      </w:r>
      <w:bookmarkEnd w:id="819"/>
      <w:bookmarkEnd w:id="820"/>
      <w:bookmarkEnd w:id="821"/>
    </w:p>
    <w:p>
      <w:pPr>
        <w:pStyle w:val="yHeading5"/>
      </w:pPr>
      <w:bookmarkStart w:id="822" w:name="_Toc164758264"/>
      <w:r>
        <w:rPr>
          <w:rStyle w:val="CharSClsNo"/>
        </w:rPr>
        <w:t>259</w:t>
      </w:r>
      <w:r>
        <w:t>.</w:t>
      </w:r>
      <w:r>
        <w:tab/>
        <w:t>Action against suppliers of goods</w:t>
      </w:r>
      <w:bookmarkEnd w:id="82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lastRenderedPageBreak/>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823" w:name="_Toc164758265"/>
      <w:r>
        <w:rPr>
          <w:rStyle w:val="CharSClsNo"/>
        </w:rPr>
        <w:t>260</w:t>
      </w:r>
      <w:r>
        <w:t>.</w:t>
      </w:r>
      <w:r>
        <w:tab/>
        <w:t>When a failure to comply with a guarantee is a major failure</w:t>
      </w:r>
      <w:bookmarkEnd w:id="823"/>
    </w:p>
    <w:p>
      <w:pPr>
        <w:tabs>
          <w:tab w:val="left" w:pos="1276"/>
          <w:tab w:val="left" w:pos="1843"/>
        </w:tabs>
        <w:spacing w:before="160"/>
        <w:ind w:left="1843" w:hanging="1843"/>
        <w:rPr>
          <w:sz w:val="22"/>
        </w:rPr>
      </w:pPr>
      <w:r>
        <w:rPr>
          <w:sz w:val="22"/>
        </w:rPr>
        <w:tab/>
        <w:t>(1)</w:t>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lastRenderedPageBreak/>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tabs>
          <w:tab w:val="left" w:pos="1276"/>
          <w:tab w:val="left" w:pos="1843"/>
        </w:tabs>
        <w:spacing w:before="160"/>
        <w:ind w:left="1843" w:hanging="1843"/>
        <w:rPr>
          <w:sz w:val="22"/>
        </w:rPr>
      </w:pPr>
      <w:r>
        <w:rPr>
          <w:sz w:val="22"/>
        </w:rPr>
        <w:tab/>
        <w:t>(2)</w:t>
      </w:r>
      <w:r>
        <w:rPr>
          <w:sz w:val="22"/>
        </w:rPr>
        <w:tab/>
        <w:t xml:space="preserve">A failure to comply with a guarantee referred to in section 259(1)(b) that applies to a supply of goods is also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failure is one of 2 or more failures to comply with a guarantee referred to in section 259(1)(b) that apply to the supply; and</w:t>
      </w:r>
    </w:p>
    <w:p>
      <w:pPr>
        <w:tabs>
          <w:tab w:val="left" w:pos="1985"/>
          <w:tab w:val="left" w:pos="2410"/>
        </w:tabs>
        <w:spacing w:before="80"/>
        <w:ind w:left="2410" w:hanging="2410"/>
        <w:rPr>
          <w:sz w:val="22"/>
        </w:rPr>
      </w:pPr>
      <w:r>
        <w:rPr>
          <w:sz w:val="22"/>
        </w:rPr>
        <w:tab/>
        <w:t>(b)</w:t>
      </w:r>
      <w:r>
        <w:rPr>
          <w:sz w:val="22"/>
        </w:rPr>
        <w:tab/>
        <w:t>the goods would not have been acquired by a reasonable consumer fully acquainted with the nature and extent of those failures, taken as a whole.</w:t>
      </w:r>
    </w:p>
    <w:p>
      <w:pPr>
        <w:tabs>
          <w:tab w:val="left" w:pos="1843"/>
        </w:tabs>
        <w:spacing w:before="122"/>
        <w:ind w:left="2693" w:hanging="2693"/>
        <w:rPr>
          <w:sz w:val="18"/>
        </w:rPr>
      </w:pPr>
      <w:r>
        <w:rPr>
          <w:sz w:val="18"/>
        </w:rPr>
        <w:tab/>
        <w:t>Note:</w:t>
      </w:r>
      <w:r>
        <w:rPr>
          <w:sz w:val="18"/>
        </w:rPr>
        <w:tab/>
        <w:t>The multiple failures do not need to relate to the same guarantee.</w:t>
      </w:r>
    </w:p>
    <w:p>
      <w:pPr>
        <w:tabs>
          <w:tab w:val="left" w:pos="1985"/>
          <w:tab w:val="left" w:pos="2410"/>
        </w:tabs>
        <w:spacing w:before="80"/>
        <w:ind w:left="2410" w:hanging="2410"/>
        <w:rPr>
          <w:sz w:val="22"/>
        </w:rPr>
      </w:pPr>
      <w:r>
        <w:rPr>
          <w:sz w:val="22"/>
        </w:rPr>
        <w:tab/>
        <w:t>(3)</w:t>
      </w:r>
      <w:r>
        <w:rPr>
          <w:sz w:val="22"/>
        </w:rPr>
        <w:tab/>
        <w:t>Subsection (2) applies regardless of whether the consumer has taken action under section 259 in relation to any of the failures.</w:t>
      </w:r>
    </w:p>
    <w:p>
      <w:pPr>
        <w:pStyle w:val="yHeading5"/>
      </w:pPr>
      <w:bookmarkStart w:id="824" w:name="_Toc164758266"/>
      <w:r>
        <w:rPr>
          <w:rStyle w:val="CharSClsNo"/>
        </w:rPr>
        <w:t>261</w:t>
      </w:r>
      <w:r>
        <w:t>.</w:t>
      </w:r>
      <w:r>
        <w:tab/>
        <w:t>How suppliers may remedy a failure to comply with a guarantee</w:t>
      </w:r>
      <w:bookmarkEnd w:id="824"/>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lastRenderedPageBreak/>
        <w:tab/>
        <w:t>(ii)</w:t>
      </w:r>
      <w:r>
        <w:rPr>
          <w:sz w:val="22"/>
        </w:rPr>
        <w:tab/>
        <w:t>an amount that is equal to the value of any other consideration provided by the consumer for the goods.</w:t>
      </w:r>
    </w:p>
    <w:p>
      <w:pPr>
        <w:pStyle w:val="yHeading5"/>
      </w:pPr>
      <w:bookmarkStart w:id="825" w:name="_Toc164758267"/>
      <w:r>
        <w:rPr>
          <w:rStyle w:val="CharSClsNo"/>
        </w:rPr>
        <w:t>262</w:t>
      </w:r>
      <w:r>
        <w:t>.</w:t>
      </w:r>
      <w:r>
        <w:tab/>
        <w:t>When consumers are not entitled to reject goods</w:t>
      </w:r>
      <w:bookmarkEnd w:id="825"/>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826" w:name="_Toc164758268"/>
      <w:r>
        <w:rPr>
          <w:rStyle w:val="CharSClsNo"/>
        </w:rPr>
        <w:t>263</w:t>
      </w:r>
      <w:r>
        <w:t>.</w:t>
      </w:r>
      <w:r>
        <w:tab/>
        <w:t>Consequences of rejecting goods</w:t>
      </w:r>
      <w:bookmarkEnd w:id="826"/>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lastRenderedPageBreak/>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827" w:name="_Toc164758269"/>
      <w:r>
        <w:rPr>
          <w:rStyle w:val="CharSClsNo"/>
        </w:rPr>
        <w:t>264</w:t>
      </w:r>
      <w:r>
        <w:t>.</w:t>
      </w:r>
      <w:r>
        <w:tab/>
        <w:t>Replaced goods</w:t>
      </w:r>
      <w:bookmarkEnd w:id="827"/>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lastRenderedPageBreak/>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828" w:name="_Toc164758270"/>
      <w:r>
        <w:rPr>
          <w:rStyle w:val="CharSClsNo"/>
        </w:rPr>
        <w:t>265</w:t>
      </w:r>
      <w:r>
        <w:t>.</w:t>
      </w:r>
      <w:r>
        <w:tab/>
        <w:t>Termination of contracts for the supply of services that are connected with rejected goods</w:t>
      </w:r>
      <w:bookmarkEnd w:id="82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lastRenderedPageBreak/>
        <w:tab/>
      </w:r>
      <w:r>
        <w:rPr>
          <w:sz w:val="22"/>
        </w:rPr>
        <w:tab/>
        <w:t>to the extent that the consumer has not already consumed the services at the time the termination takes effect.</w:t>
      </w:r>
    </w:p>
    <w:p>
      <w:pPr>
        <w:pStyle w:val="yHeading5"/>
        <w:spacing w:before="180"/>
      </w:pPr>
      <w:bookmarkStart w:id="829" w:name="_Toc164758271"/>
      <w:r>
        <w:rPr>
          <w:rStyle w:val="CharSClsNo"/>
        </w:rPr>
        <w:t>266</w:t>
      </w:r>
      <w:r>
        <w:t>.</w:t>
      </w:r>
      <w:r>
        <w:tab/>
        <w:t>Rights of gift recipients</w:t>
      </w:r>
      <w:bookmarkEnd w:id="829"/>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830" w:name="_Toc164682645"/>
      <w:bookmarkStart w:id="831" w:name="_Toc164683256"/>
      <w:bookmarkStart w:id="832" w:name="_Toc164758272"/>
      <w:r>
        <w:t>Subdivision B — Action against suppliers of services</w:t>
      </w:r>
      <w:bookmarkEnd w:id="830"/>
      <w:bookmarkEnd w:id="831"/>
      <w:bookmarkEnd w:id="832"/>
    </w:p>
    <w:p>
      <w:pPr>
        <w:pStyle w:val="yHeading5"/>
      </w:pPr>
      <w:bookmarkStart w:id="833" w:name="_Toc164758273"/>
      <w:r>
        <w:rPr>
          <w:rStyle w:val="CharSClsNo"/>
        </w:rPr>
        <w:t>267</w:t>
      </w:r>
      <w:r>
        <w:t>.</w:t>
      </w:r>
      <w:r>
        <w:tab/>
        <w:t>Action against suppliers of services</w:t>
      </w:r>
      <w:bookmarkEnd w:id="833"/>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lastRenderedPageBreak/>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834" w:name="_Toc164758274"/>
      <w:r>
        <w:rPr>
          <w:rStyle w:val="CharSClsNo"/>
        </w:rPr>
        <w:lastRenderedPageBreak/>
        <w:t>268</w:t>
      </w:r>
      <w:r>
        <w:t>.</w:t>
      </w:r>
      <w:r>
        <w:tab/>
        <w:t>When a failure to comply with a guarantee is a major failure</w:t>
      </w:r>
      <w:bookmarkEnd w:id="834"/>
    </w:p>
    <w:p>
      <w:pPr>
        <w:keepNext/>
        <w:keepLines/>
        <w:tabs>
          <w:tab w:val="left" w:pos="1276"/>
          <w:tab w:val="left" w:pos="1843"/>
        </w:tabs>
        <w:spacing w:before="180"/>
        <w:ind w:left="1843" w:hanging="1843"/>
        <w:rPr>
          <w:sz w:val="22"/>
        </w:rPr>
      </w:pPr>
      <w:r>
        <w:rPr>
          <w:sz w:val="22"/>
        </w:rPr>
        <w:tab/>
        <w:t>(1)</w:t>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keepNext/>
        <w:keepLines/>
        <w:tabs>
          <w:tab w:val="left" w:pos="1276"/>
          <w:tab w:val="left" w:pos="1843"/>
        </w:tabs>
        <w:spacing w:before="180"/>
        <w:ind w:left="1843" w:hanging="1843"/>
        <w:rPr>
          <w:sz w:val="22"/>
        </w:rPr>
      </w:pPr>
      <w:r>
        <w:rPr>
          <w:sz w:val="22"/>
        </w:rPr>
        <w:lastRenderedPageBreak/>
        <w:tab/>
        <w:t>(2)</w:t>
      </w:r>
      <w:r>
        <w:rPr>
          <w:sz w:val="22"/>
        </w:rPr>
        <w:tab/>
        <w:t xml:space="preserve">A failure to comply with a guarantee referred to in section 267(1)(b) that applies to a supply of services is also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failure is one of 2 or more failures to comply with a guarantee referred to in section 267(1)(b) that apply to the supply; and</w:t>
      </w:r>
    </w:p>
    <w:p>
      <w:pPr>
        <w:tabs>
          <w:tab w:val="left" w:pos="1985"/>
          <w:tab w:val="left" w:pos="2410"/>
        </w:tabs>
        <w:spacing w:before="80"/>
        <w:ind w:left="2410" w:hanging="2410"/>
        <w:rPr>
          <w:sz w:val="22"/>
        </w:rPr>
      </w:pPr>
      <w:r>
        <w:rPr>
          <w:sz w:val="22"/>
        </w:rPr>
        <w:tab/>
        <w:t>(b)</w:t>
      </w:r>
      <w:r>
        <w:rPr>
          <w:sz w:val="22"/>
        </w:rPr>
        <w:tab/>
        <w:t>the services would not have been acquired by a reasonable consumer fully acquainted with the nature and extent of those failures, taken as a whole.</w:t>
      </w:r>
    </w:p>
    <w:p>
      <w:pPr>
        <w:tabs>
          <w:tab w:val="left" w:pos="1843"/>
        </w:tabs>
        <w:spacing w:before="122"/>
        <w:ind w:left="2693" w:hanging="2693"/>
        <w:rPr>
          <w:sz w:val="18"/>
        </w:rPr>
      </w:pPr>
      <w:r>
        <w:rPr>
          <w:sz w:val="18"/>
        </w:rPr>
        <w:tab/>
        <w:t>Note:</w:t>
      </w:r>
      <w:r>
        <w:rPr>
          <w:sz w:val="18"/>
        </w:rPr>
        <w:tab/>
        <w:t>The multiple failures do not need to relate to the same guarantee.</w:t>
      </w:r>
    </w:p>
    <w:p>
      <w:pPr>
        <w:tabs>
          <w:tab w:val="left" w:pos="1985"/>
          <w:tab w:val="left" w:pos="2410"/>
        </w:tabs>
        <w:spacing w:before="80"/>
        <w:ind w:left="2410" w:hanging="2410"/>
        <w:rPr>
          <w:sz w:val="22"/>
        </w:rPr>
      </w:pPr>
      <w:r>
        <w:rPr>
          <w:sz w:val="22"/>
        </w:rPr>
        <w:tab/>
        <w:t>(3)</w:t>
      </w:r>
      <w:r>
        <w:rPr>
          <w:sz w:val="22"/>
        </w:rPr>
        <w:tab/>
        <w:t>Subsection (2) applies regardless of whether the consumer has taken action under section 267 in relation to any of the failures.</w:t>
      </w:r>
    </w:p>
    <w:p>
      <w:pPr>
        <w:pStyle w:val="yHeading5"/>
        <w:keepNext w:val="0"/>
      </w:pPr>
      <w:bookmarkStart w:id="835" w:name="_Toc164758275"/>
      <w:r>
        <w:rPr>
          <w:rStyle w:val="CharSClsNo"/>
        </w:rPr>
        <w:t>269</w:t>
      </w:r>
      <w:r>
        <w:t>.</w:t>
      </w:r>
      <w:r>
        <w:tab/>
        <w:t>Termination of contracts for the supply of services</w:t>
      </w:r>
      <w:bookmarkEnd w:id="835"/>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lastRenderedPageBreak/>
        <w:tab/>
      </w:r>
      <w:r>
        <w:rPr>
          <w:sz w:val="22"/>
        </w:rPr>
        <w:tab/>
        <w:t>to the extent that the consumer has not already consumed the services at the time the termination takes effect.</w:t>
      </w:r>
    </w:p>
    <w:p>
      <w:pPr>
        <w:pStyle w:val="yHeading5"/>
        <w:keepNext w:val="0"/>
      </w:pPr>
      <w:bookmarkStart w:id="836" w:name="_Toc164758276"/>
      <w:r>
        <w:rPr>
          <w:rStyle w:val="CharSClsNo"/>
        </w:rPr>
        <w:t>270</w:t>
      </w:r>
      <w:r>
        <w:t>.</w:t>
      </w:r>
      <w:r>
        <w:tab/>
        <w:t>Termination of contracts for the supply of goods that are connected with terminated services</w:t>
      </w:r>
      <w:bookmarkEnd w:id="83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837" w:name="_Toc164682650"/>
      <w:bookmarkStart w:id="838" w:name="_Toc164683261"/>
      <w:bookmarkStart w:id="839" w:name="_Toc164758277"/>
      <w:r>
        <w:lastRenderedPageBreak/>
        <w:t>Division 2</w:t>
      </w:r>
      <w:r>
        <w:rPr>
          <w:b w:val="0"/>
        </w:rPr>
        <w:t> — </w:t>
      </w:r>
      <w:r>
        <w:t>Action for damages against manufacturers of goods</w:t>
      </w:r>
      <w:bookmarkEnd w:id="837"/>
      <w:bookmarkEnd w:id="838"/>
      <w:bookmarkEnd w:id="839"/>
    </w:p>
    <w:p>
      <w:pPr>
        <w:pStyle w:val="yHeading5"/>
      </w:pPr>
      <w:bookmarkStart w:id="840" w:name="_Toc164758278"/>
      <w:r>
        <w:rPr>
          <w:rStyle w:val="CharSClsNo"/>
        </w:rPr>
        <w:t>271</w:t>
      </w:r>
      <w:r>
        <w:t>.</w:t>
      </w:r>
      <w:r>
        <w:tab/>
        <w:t>Action for damages against manufacturers of goods</w:t>
      </w:r>
      <w:bookmarkEnd w:id="84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lastRenderedPageBreak/>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841" w:name="_Toc164758279"/>
      <w:r>
        <w:rPr>
          <w:rStyle w:val="CharSClsNo"/>
        </w:rPr>
        <w:lastRenderedPageBreak/>
        <w:t>272</w:t>
      </w:r>
      <w:r>
        <w:t>.</w:t>
      </w:r>
      <w:r>
        <w:tab/>
        <w:t>Damages that may be recovered by action against manufacturers of goods</w:t>
      </w:r>
      <w:bookmarkEnd w:id="841"/>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842" w:name="_Toc164758280"/>
      <w:r>
        <w:rPr>
          <w:rStyle w:val="CharSClsNo"/>
        </w:rPr>
        <w:t>273</w:t>
      </w:r>
      <w:r>
        <w:t>.</w:t>
      </w:r>
      <w:r>
        <w:tab/>
        <w:t>Time limit for actions against manufacturers of goods</w:t>
      </w:r>
      <w:bookmarkEnd w:id="842"/>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843" w:name="_Toc164682654"/>
      <w:bookmarkStart w:id="844" w:name="_Toc164683265"/>
      <w:bookmarkStart w:id="845" w:name="_Toc164758281"/>
      <w:r>
        <w:lastRenderedPageBreak/>
        <w:t>Division 3</w:t>
      </w:r>
      <w:r>
        <w:rPr>
          <w:b w:val="0"/>
        </w:rPr>
        <w:t> — </w:t>
      </w:r>
      <w:r>
        <w:t>Miscellaneous</w:t>
      </w:r>
      <w:bookmarkEnd w:id="843"/>
      <w:bookmarkEnd w:id="844"/>
      <w:bookmarkEnd w:id="845"/>
    </w:p>
    <w:p>
      <w:pPr>
        <w:pStyle w:val="yHeading5"/>
      </w:pPr>
      <w:bookmarkStart w:id="846" w:name="_Toc164758282"/>
      <w:r>
        <w:rPr>
          <w:rStyle w:val="CharSClsNo"/>
        </w:rPr>
        <w:t>274</w:t>
      </w:r>
      <w:r>
        <w:t>.</w:t>
      </w:r>
      <w:r>
        <w:tab/>
        <w:t>Indemnification of suppliers by manufacturers</w:t>
      </w:r>
      <w:bookmarkEnd w:id="846"/>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 xml:space="preserve">The supplier may, with respect to the manufacturer’s liability to indemnify the supplier, commence an action against the manufacturer in a court of competent </w:t>
      </w:r>
      <w:r>
        <w:rPr>
          <w:sz w:val="22"/>
        </w:rPr>
        <w:lastRenderedPageBreak/>
        <w:t>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847" w:name="_Toc164758283"/>
      <w:r>
        <w:rPr>
          <w:rStyle w:val="CharSClsNo"/>
        </w:rPr>
        <w:t>275</w:t>
      </w:r>
      <w:r>
        <w:t>.</w:t>
      </w:r>
      <w:r>
        <w:tab/>
        <w:t>Limitation of liability etc.</w:t>
      </w:r>
      <w:bookmarkEnd w:id="84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848" w:name="_Toc164758284"/>
      <w:r>
        <w:rPr>
          <w:rStyle w:val="CharSClsNo"/>
        </w:rPr>
        <w:t>276</w:t>
      </w:r>
      <w:r>
        <w:t>.</w:t>
      </w:r>
      <w:r>
        <w:tab/>
        <w:t>This Part not to be excluded etc. by contract</w:t>
      </w:r>
      <w:bookmarkEnd w:id="848"/>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lastRenderedPageBreak/>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849" w:name="_Toc164758285"/>
      <w:r>
        <w:rPr>
          <w:rStyle w:val="CharSClsNo"/>
        </w:rPr>
        <w:t>276A</w:t>
      </w:r>
      <w:r>
        <w:t>.</w:t>
      </w:r>
      <w:r>
        <w:tab/>
        <w:t>Limitation in certain circumstances of liability of manufacturer to seller</w:t>
      </w:r>
      <w:bookmarkEnd w:id="849"/>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lastRenderedPageBreak/>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850" w:name="_Toc164758286"/>
      <w:r>
        <w:rPr>
          <w:rStyle w:val="CharSClsNo"/>
        </w:rPr>
        <w:t>277</w:t>
      </w:r>
      <w:r>
        <w:t>.</w:t>
      </w:r>
      <w:r>
        <w:tab/>
        <w:t>Representative actions by the regulator</w:t>
      </w:r>
      <w:bookmarkEnd w:id="850"/>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851" w:name="_Toc164682660"/>
      <w:bookmarkStart w:id="852" w:name="_Toc164683271"/>
      <w:bookmarkStart w:id="853" w:name="_Toc164758287"/>
      <w:r>
        <w:t>Part 5</w:t>
      </w:r>
      <w:r>
        <w:noBreakHyphen/>
        <w:t>5</w:t>
      </w:r>
      <w:r>
        <w:rPr>
          <w:b w:val="0"/>
        </w:rPr>
        <w:t> — </w:t>
      </w:r>
      <w:r>
        <w:t>Liability of suppliers and credit providers</w:t>
      </w:r>
      <w:bookmarkEnd w:id="851"/>
      <w:bookmarkEnd w:id="852"/>
      <w:bookmarkEnd w:id="853"/>
    </w:p>
    <w:p>
      <w:pPr>
        <w:pStyle w:val="yHeading3"/>
      </w:pPr>
      <w:bookmarkStart w:id="854" w:name="_Toc164682661"/>
      <w:bookmarkStart w:id="855" w:name="_Toc164683272"/>
      <w:bookmarkStart w:id="856" w:name="_Toc164758288"/>
      <w:r>
        <w:t>Division 1</w:t>
      </w:r>
      <w:r>
        <w:rPr>
          <w:b w:val="0"/>
        </w:rPr>
        <w:t> — </w:t>
      </w:r>
      <w:r>
        <w:t>Linked credit contracts</w:t>
      </w:r>
      <w:bookmarkEnd w:id="854"/>
      <w:bookmarkEnd w:id="855"/>
      <w:bookmarkEnd w:id="856"/>
    </w:p>
    <w:p>
      <w:pPr>
        <w:pStyle w:val="yHeading5"/>
        <w:spacing w:before="240"/>
      </w:pPr>
      <w:bookmarkStart w:id="857" w:name="_Toc164758289"/>
      <w:r>
        <w:rPr>
          <w:rStyle w:val="CharSClsNo"/>
        </w:rPr>
        <w:t>278</w:t>
      </w:r>
      <w:r>
        <w:t>.</w:t>
      </w:r>
      <w:r>
        <w:tab/>
        <w:t>Liability of suppliers and linked credit providers relating to linked credit contracts</w:t>
      </w:r>
      <w:bookmarkEnd w:id="857"/>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lastRenderedPageBreak/>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858" w:name="_Toc164758290"/>
      <w:r>
        <w:rPr>
          <w:rStyle w:val="CharSClsNo"/>
        </w:rPr>
        <w:t>279</w:t>
      </w:r>
      <w:r>
        <w:t>.</w:t>
      </w:r>
      <w:r>
        <w:tab/>
        <w:t>Action by consumer to recover amount of loss or damage</w:t>
      </w:r>
      <w:bookmarkEnd w:id="858"/>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 xml:space="preserve">in the opinion of the court in which the action is taken, it is not reasonably likely </w:t>
      </w:r>
      <w:r>
        <w:rPr>
          <w:sz w:val="22"/>
        </w:rPr>
        <w:lastRenderedPageBreak/>
        <w:t>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859" w:name="_Toc164758291"/>
      <w:r>
        <w:rPr>
          <w:rStyle w:val="CharSClsNo"/>
        </w:rPr>
        <w:t>280</w:t>
      </w:r>
      <w:r>
        <w:t>.</w:t>
      </w:r>
      <w:r>
        <w:tab/>
        <w:t>Cases where a linked credit provider is not liable</w:t>
      </w:r>
      <w:bookmarkEnd w:id="859"/>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lastRenderedPageBreak/>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lastRenderedPageBreak/>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860" w:name="_Toc164758292"/>
      <w:r>
        <w:rPr>
          <w:rStyle w:val="CharSClsNo"/>
        </w:rPr>
        <w:t>281</w:t>
      </w:r>
      <w:r>
        <w:t>.</w:t>
      </w:r>
      <w:r>
        <w:tab/>
        <w:t>Amount of liability of linked credit providers</w:t>
      </w:r>
      <w:bookmarkEnd w:id="860"/>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861" w:name="_Toc164758293"/>
      <w:r>
        <w:rPr>
          <w:rStyle w:val="CharSClsNo"/>
        </w:rPr>
        <w:t>282</w:t>
      </w:r>
      <w:r>
        <w:t>.</w:t>
      </w:r>
      <w:r>
        <w:tab/>
        <w:t>Counter</w:t>
      </w:r>
      <w:r>
        <w:noBreakHyphen/>
        <w:t>claims and offsets</w:t>
      </w:r>
      <w:bookmarkEnd w:id="861"/>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lastRenderedPageBreak/>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862" w:name="_Toc164758294"/>
      <w:r>
        <w:rPr>
          <w:rStyle w:val="CharSClsNo"/>
        </w:rPr>
        <w:t>283</w:t>
      </w:r>
      <w:r>
        <w:t>.</w:t>
      </w:r>
      <w:r>
        <w:tab/>
        <w:t>Enforcement of judgments etc.</w:t>
      </w:r>
      <w:bookmarkEnd w:id="862"/>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lastRenderedPageBreak/>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 xml:space="preserve">If a judgment given in joint liability proceedings is enforced against a linked credit provider of a supplier, the </w:t>
      </w:r>
      <w:r>
        <w:rPr>
          <w:sz w:val="22"/>
        </w:rPr>
        <w:lastRenderedPageBreak/>
        <w:t>credit provider is subrogated to the extent of the enforced judgment to any rights that the consumer would have had but for the judgment against the supplier or any other person.</w:t>
      </w:r>
    </w:p>
    <w:p>
      <w:pPr>
        <w:pStyle w:val="yHeading5"/>
        <w:tabs>
          <w:tab w:val="left" w:pos="4678"/>
        </w:tabs>
      </w:pPr>
      <w:bookmarkStart w:id="863" w:name="_Toc164758295"/>
      <w:r>
        <w:rPr>
          <w:rStyle w:val="CharSClsNo"/>
        </w:rPr>
        <w:t>284</w:t>
      </w:r>
      <w:r>
        <w:t>.</w:t>
      </w:r>
      <w:r>
        <w:tab/>
        <w:t>Award of interest to consumers</w:t>
      </w:r>
      <w:bookmarkEnd w:id="863"/>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864" w:name="_Toc164758296"/>
      <w:r>
        <w:rPr>
          <w:rStyle w:val="CharSClsNo"/>
        </w:rPr>
        <w:lastRenderedPageBreak/>
        <w:t>285</w:t>
      </w:r>
      <w:r>
        <w:t>.</w:t>
      </w:r>
      <w:r>
        <w:tab/>
        <w:t>Liability of suppliers to linked credit providers, and of linked credit providers to suppliers</w:t>
      </w:r>
      <w:bookmarkEnd w:id="864"/>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865" w:name="_Toc164758297"/>
      <w:r>
        <w:rPr>
          <w:rStyle w:val="CharSClsNo"/>
        </w:rPr>
        <w:t>286</w:t>
      </w:r>
      <w:r>
        <w:t>.</w:t>
      </w:r>
      <w:r>
        <w:tab/>
        <w:t>Joint liability proceedings and recovery under section 135 of the National Credit Code</w:t>
      </w:r>
      <w:bookmarkEnd w:id="865"/>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lastRenderedPageBreak/>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866" w:name="_Toc164682671"/>
      <w:bookmarkStart w:id="867" w:name="_Toc164683282"/>
      <w:bookmarkStart w:id="868" w:name="_Toc164758298"/>
      <w:r>
        <w:t>Division 2</w:t>
      </w:r>
      <w:r>
        <w:rPr>
          <w:b w:val="0"/>
        </w:rPr>
        <w:t> — </w:t>
      </w:r>
      <w:r>
        <w:t>Non</w:t>
      </w:r>
      <w:r>
        <w:noBreakHyphen/>
        <w:t>linked credit contracts</w:t>
      </w:r>
      <w:bookmarkEnd w:id="866"/>
      <w:bookmarkEnd w:id="867"/>
      <w:bookmarkEnd w:id="868"/>
    </w:p>
    <w:p>
      <w:pPr>
        <w:pStyle w:val="yHeading5"/>
        <w:tabs>
          <w:tab w:val="left" w:pos="4678"/>
        </w:tabs>
      </w:pPr>
      <w:bookmarkStart w:id="869" w:name="_Toc164758299"/>
      <w:r>
        <w:rPr>
          <w:rStyle w:val="CharSClsNo"/>
        </w:rPr>
        <w:t>287</w:t>
      </w:r>
      <w:r>
        <w:t>.</w:t>
      </w:r>
      <w:r>
        <w:tab/>
        <w:t>Liability of suppliers and credit providers relating to non</w:t>
      </w:r>
      <w:r>
        <w:noBreakHyphen/>
        <w:t>linked credit contracts</w:t>
      </w:r>
      <w:bookmarkEnd w:id="869"/>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lastRenderedPageBreak/>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870" w:name="_Toc164682673"/>
      <w:bookmarkStart w:id="871" w:name="_Toc164683284"/>
      <w:bookmarkStart w:id="872" w:name="_Toc164758300"/>
      <w:r>
        <w:rPr>
          <w:rStyle w:val="CharSDivNo"/>
          <w:bCs/>
          <w:sz w:val="28"/>
        </w:rPr>
        <w:lastRenderedPageBreak/>
        <w:t>Chapter 6</w:t>
      </w:r>
      <w:r>
        <w:rPr>
          <w:szCs w:val="28"/>
        </w:rPr>
        <w:t>—</w:t>
      </w:r>
      <w:r>
        <w:rPr>
          <w:rStyle w:val="CharSDivText"/>
          <w:sz w:val="28"/>
        </w:rPr>
        <w:t>Application and transitional provisions</w:t>
      </w:r>
      <w:bookmarkEnd w:id="870"/>
      <w:bookmarkEnd w:id="871"/>
      <w:bookmarkEnd w:id="872"/>
    </w:p>
    <w:p>
      <w:pPr>
        <w:pStyle w:val="yHeading2"/>
        <w:keepLines/>
        <w:rPr>
          <w:szCs w:val="28"/>
        </w:rPr>
      </w:pPr>
      <w:bookmarkStart w:id="873" w:name="_Toc164682674"/>
      <w:bookmarkStart w:id="874" w:name="_Toc164683285"/>
      <w:bookmarkStart w:id="875" w:name="_Toc164758301"/>
      <w:r>
        <w:rPr>
          <w:szCs w:val="28"/>
        </w:rPr>
        <w:t xml:space="preserve">Part 1—Application and transitional provisions relating to the </w:t>
      </w:r>
      <w:r>
        <w:rPr>
          <w:i/>
          <w:szCs w:val="28"/>
        </w:rPr>
        <w:t>Consumer Credit Legislation Amendment (Enhancements) Act 2012</w:t>
      </w:r>
      <w:bookmarkEnd w:id="873"/>
      <w:bookmarkEnd w:id="874"/>
      <w:bookmarkEnd w:id="875"/>
    </w:p>
    <w:p>
      <w:pPr>
        <w:pStyle w:val="yHeading5"/>
        <w:tabs>
          <w:tab w:val="left" w:pos="4678"/>
        </w:tabs>
        <w:rPr>
          <w:szCs w:val="22"/>
        </w:rPr>
      </w:pPr>
      <w:bookmarkStart w:id="876" w:name="_Toc164758302"/>
      <w:r>
        <w:rPr>
          <w:rStyle w:val="CharSClsNo"/>
        </w:rPr>
        <w:t>288</w:t>
      </w:r>
      <w:r>
        <w:rPr>
          <w:szCs w:val="22"/>
        </w:rPr>
        <w:t>.</w:t>
      </w:r>
      <w:r>
        <w:rPr>
          <w:szCs w:val="22"/>
        </w:rPr>
        <w:tab/>
        <w:t>Application of amendments relating to lay</w:t>
      </w:r>
      <w:r>
        <w:rPr>
          <w:szCs w:val="22"/>
        </w:rPr>
        <w:noBreakHyphen/>
        <w:t>by agreements</w:t>
      </w:r>
      <w:bookmarkEnd w:id="876"/>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877" w:name="_Toc164758303"/>
      <w:r>
        <w:rPr>
          <w:rStyle w:val="CharSClsNo"/>
        </w:rPr>
        <w:t>289</w:t>
      </w:r>
      <w:r>
        <w:t>.</w:t>
      </w:r>
      <w:r>
        <w:tab/>
      </w:r>
      <w:r>
        <w:rPr>
          <w:szCs w:val="22"/>
        </w:rPr>
        <w:t>Application of amendment relating to repairs</w:t>
      </w:r>
      <w:bookmarkEnd w:id="877"/>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878" w:name="_Toc164758304"/>
      <w:r>
        <w:rPr>
          <w:rStyle w:val="CharSClsNo"/>
        </w:rPr>
        <w:t>290</w:t>
      </w:r>
      <w:r>
        <w:rPr>
          <w:szCs w:val="22"/>
        </w:rPr>
        <w:t>.</w:t>
      </w:r>
      <w:r>
        <w:rPr>
          <w:szCs w:val="22"/>
        </w:rPr>
        <w:tab/>
        <w:t>Saving of regulations relating to repairs</w:t>
      </w:r>
      <w:bookmarkEnd w:id="878"/>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879" w:name="_Toc164682678"/>
      <w:bookmarkStart w:id="880" w:name="_Toc164683289"/>
      <w:bookmarkStart w:id="881" w:name="_Toc164758305"/>
      <w:r>
        <w:rPr>
          <w:szCs w:val="28"/>
        </w:rPr>
        <w:lastRenderedPageBreak/>
        <w:t xml:space="preserve">Part 1A—Application provision relating to the </w:t>
      </w:r>
      <w:r>
        <w:rPr>
          <w:i/>
          <w:szCs w:val="28"/>
        </w:rPr>
        <w:t>Treasury Legislation Amendment (Small Business and Unfair Contract Terms) Act 2015</w:t>
      </w:r>
      <w:bookmarkEnd w:id="879"/>
      <w:bookmarkEnd w:id="880"/>
      <w:bookmarkEnd w:id="881"/>
    </w:p>
    <w:p>
      <w:pPr>
        <w:pStyle w:val="yHeading5"/>
        <w:tabs>
          <w:tab w:val="left" w:pos="4678"/>
        </w:tabs>
        <w:rPr>
          <w:rFonts w:eastAsia="Yu Gothic"/>
          <w:szCs w:val="22"/>
        </w:rPr>
      </w:pPr>
      <w:bookmarkStart w:id="882" w:name="_Toc164758306"/>
      <w:r>
        <w:rPr>
          <w:rStyle w:val="CharSClsNo"/>
          <w:rFonts w:eastAsia="Yu Gothic"/>
          <w:szCs w:val="22"/>
        </w:rPr>
        <w:t>290A</w:t>
      </w:r>
      <w:r>
        <w:rPr>
          <w:rFonts w:eastAsia="Yu Gothic"/>
          <w:szCs w:val="22"/>
        </w:rPr>
        <w:t>.</w:t>
      </w:r>
      <w:r>
        <w:rPr>
          <w:rFonts w:eastAsia="Yu Gothic"/>
          <w:szCs w:val="22"/>
        </w:rPr>
        <w:tab/>
        <w:t>Application</w:t>
      </w:r>
      <w:bookmarkEnd w:id="882"/>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883" w:name="_Toc164682680"/>
      <w:bookmarkStart w:id="884" w:name="_Toc164683291"/>
      <w:bookmarkStart w:id="885" w:name="_Toc164758307"/>
      <w:r>
        <w:rPr>
          <w:szCs w:val="28"/>
        </w:rPr>
        <w:lastRenderedPageBreak/>
        <w:t xml:space="preserve">Part 2—Application and transitional provisions relating to the </w:t>
      </w:r>
      <w:r>
        <w:rPr>
          <w:i/>
          <w:szCs w:val="28"/>
        </w:rPr>
        <w:t>Competition and Consumer Amendment (Competition Policy Review) Act 2017</w:t>
      </w:r>
      <w:bookmarkEnd w:id="883"/>
      <w:bookmarkEnd w:id="884"/>
      <w:bookmarkEnd w:id="885"/>
    </w:p>
    <w:p>
      <w:pPr>
        <w:pStyle w:val="yHeading5"/>
        <w:tabs>
          <w:tab w:val="left" w:pos="4678"/>
        </w:tabs>
        <w:rPr>
          <w:szCs w:val="22"/>
        </w:rPr>
      </w:pPr>
      <w:bookmarkStart w:id="886" w:name="_Toc164758308"/>
      <w:r>
        <w:rPr>
          <w:rStyle w:val="CharSClsNo"/>
          <w:rFonts w:eastAsia="Yu Gothic"/>
          <w:szCs w:val="22"/>
        </w:rPr>
        <w:t>291</w:t>
      </w:r>
      <w:r>
        <w:rPr>
          <w:szCs w:val="22"/>
        </w:rPr>
        <w:t>.</w:t>
      </w:r>
      <w:r>
        <w:rPr>
          <w:szCs w:val="22"/>
        </w:rPr>
        <w:tab/>
        <w:t>Application of amendments relating to confidentiality of notices</w:t>
      </w:r>
      <w:bookmarkEnd w:id="886"/>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887" w:name="_Toc164758309"/>
      <w:r>
        <w:rPr>
          <w:rStyle w:val="CharSClsNo"/>
        </w:rPr>
        <w:t>292</w:t>
      </w:r>
      <w:r>
        <w:rPr>
          <w:szCs w:val="22"/>
        </w:rPr>
        <w:t>.</w:t>
      </w:r>
      <w:r>
        <w:rPr>
          <w:szCs w:val="22"/>
        </w:rPr>
        <w:tab/>
        <w:t>Application of amendments relating to prohibition on supplies</w:t>
      </w:r>
      <w:bookmarkEnd w:id="88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888" w:name="_Toc164682683"/>
      <w:bookmarkStart w:id="889" w:name="_Toc164683294"/>
      <w:bookmarkStart w:id="890" w:name="_Toc164758310"/>
      <w:r>
        <w:rPr>
          <w:szCs w:val="28"/>
        </w:rPr>
        <w:t xml:space="preserve">Part 3—Application provision relating to the </w:t>
      </w:r>
      <w:r>
        <w:rPr>
          <w:i/>
          <w:szCs w:val="28"/>
        </w:rPr>
        <w:t>Treasury Laws Amendment (2018 Measures No. 3) Act 2018</w:t>
      </w:r>
      <w:bookmarkEnd w:id="888"/>
      <w:bookmarkEnd w:id="889"/>
      <w:bookmarkEnd w:id="890"/>
    </w:p>
    <w:p>
      <w:pPr>
        <w:pStyle w:val="yHeading5"/>
        <w:tabs>
          <w:tab w:val="left" w:pos="4678"/>
        </w:tabs>
        <w:rPr>
          <w:szCs w:val="22"/>
        </w:rPr>
      </w:pPr>
      <w:bookmarkStart w:id="891" w:name="_Toc164758311"/>
      <w:r>
        <w:rPr>
          <w:rStyle w:val="CharSClsNo"/>
          <w:szCs w:val="22"/>
        </w:rPr>
        <w:t>295</w:t>
      </w:r>
      <w:r>
        <w:t>.</w:t>
      </w:r>
      <w:r>
        <w:rPr>
          <w:rStyle w:val="CharSClsNo"/>
          <w:szCs w:val="22"/>
        </w:rPr>
        <w:tab/>
      </w:r>
      <w:r>
        <w:rPr>
          <w:szCs w:val="22"/>
        </w:rPr>
        <w:t>Application of amendments</w:t>
      </w:r>
      <w:bookmarkEnd w:id="891"/>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892" w:name="_Toc164682685"/>
      <w:bookmarkStart w:id="893" w:name="_Toc164683296"/>
      <w:bookmarkStart w:id="894" w:name="_Toc164758312"/>
      <w:r>
        <w:rPr>
          <w:szCs w:val="28"/>
        </w:rPr>
        <w:t xml:space="preserve">Part 4—Application provisions relating to the </w:t>
      </w:r>
      <w:r>
        <w:rPr>
          <w:i/>
          <w:szCs w:val="28"/>
        </w:rPr>
        <w:t>Treasury Laws Amendment (Australian Consumer Law Review) Act 2018</w:t>
      </w:r>
      <w:bookmarkEnd w:id="892"/>
      <w:bookmarkEnd w:id="893"/>
      <w:bookmarkEnd w:id="894"/>
    </w:p>
    <w:p>
      <w:pPr>
        <w:pStyle w:val="yHeading5"/>
        <w:tabs>
          <w:tab w:val="left" w:pos="4678"/>
        </w:tabs>
        <w:rPr>
          <w:szCs w:val="22"/>
        </w:rPr>
      </w:pPr>
      <w:bookmarkStart w:id="895" w:name="_Toc164758313"/>
      <w:r>
        <w:rPr>
          <w:rStyle w:val="CharSClsNo"/>
        </w:rPr>
        <w:t>296</w:t>
      </w:r>
      <w:r>
        <w:t>.</w:t>
      </w:r>
      <w:r>
        <w:rPr>
          <w:rStyle w:val="CharSClsNo"/>
        </w:rPr>
        <w:tab/>
      </w:r>
      <w:r>
        <w:rPr>
          <w:szCs w:val="22"/>
        </w:rPr>
        <w:t>Application—listed public companies</w:t>
      </w:r>
      <w:bookmarkEnd w:id="89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896" w:name="_Toc164758314"/>
      <w:r>
        <w:rPr>
          <w:rStyle w:val="CharSClsNo"/>
        </w:rPr>
        <w:lastRenderedPageBreak/>
        <w:t>297</w:t>
      </w:r>
      <w:r>
        <w:t>.</w:t>
      </w:r>
      <w:r>
        <w:rPr>
          <w:rStyle w:val="CharSClsNo"/>
        </w:rPr>
        <w:tab/>
      </w:r>
      <w:r>
        <w:rPr>
          <w:szCs w:val="22"/>
        </w:rPr>
        <w:t>Application—unsolicited supplies</w:t>
      </w:r>
      <w:bookmarkEnd w:id="896"/>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897" w:name="_Toc164758315"/>
      <w:r>
        <w:rPr>
          <w:rStyle w:val="CharSClsNo"/>
        </w:rPr>
        <w:t>298</w:t>
      </w:r>
      <w:r>
        <w:rPr>
          <w:szCs w:val="22"/>
        </w:rPr>
        <w:t>.</w:t>
      </w:r>
      <w:r>
        <w:rPr>
          <w:szCs w:val="22"/>
        </w:rPr>
        <w:tab/>
        <w:t>Application—unsolicited consumer agreements</w:t>
      </w:r>
      <w:bookmarkEnd w:id="897"/>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898" w:name="_Toc164758316"/>
      <w:r>
        <w:rPr>
          <w:rStyle w:val="CharSClsNo"/>
        </w:rPr>
        <w:t>299</w:t>
      </w:r>
      <w:r>
        <w:rPr>
          <w:szCs w:val="22"/>
        </w:rPr>
        <w:t>.</w:t>
      </w:r>
      <w:r>
        <w:rPr>
          <w:szCs w:val="22"/>
        </w:rPr>
        <w:tab/>
        <w:t>Application—single price</w:t>
      </w:r>
      <w:bookmarkEnd w:id="898"/>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899" w:name="_Toc164758317"/>
      <w:r>
        <w:rPr>
          <w:rStyle w:val="CharSClsNo"/>
          <w:szCs w:val="22"/>
        </w:rPr>
        <w:t>300</w:t>
      </w:r>
      <w:r>
        <w:t>.</w:t>
      </w:r>
      <w:r>
        <w:rPr>
          <w:rStyle w:val="CharSClsNo"/>
          <w:szCs w:val="22"/>
        </w:rPr>
        <w:tab/>
      </w:r>
      <w:r>
        <w:rPr>
          <w:szCs w:val="22"/>
        </w:rPr>
        <w:t>Application—non</w:t>
      </w:r>
      <w:r>
        <w:rPr>
          <w:szCs w:val="22"/>
        </w:rPr>
        <w:noBreakHyphen/>
        <w:t>punitive orders</w:t>
      </w:r>
      <w:bookmarkEnd w:id="899"/>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900" w:name="_Toc164758318"/>
      <w:r>
        <w:rPr>
          <w:rStyle w:val="CharSClsNo"/>
        </w:rPr>
        <w:t>301</w:t>
      </w:r>
      <w:r>
        <w:t>.</w:t>
      </w:r>
      <w:r>
        <w:rPr>
          <w:rStyle w:val="CharSClsNo"/>
        </w:rPr>
        <w:tab/>
      </w:r>
      <w:r>
        <w:rPr>
          <w:szCs w:val="22"/>
        </w:rPr>
        <w:t>Application—guarantees relating to the supply of services</w:t>
      </w:r>
      <w:bookmarkEnd w:id="90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901" w:name="_Toc164682692"/>
      <w:bookmarkStart w:id="902" w:name="_Toc164683303"/>
      <w:bookmarkStart w:id="903" w:name="_Toc164758319"/>
      <w:r>
        <w:rPr>
          <w:szCs w:val="28"/>
        </w:rPr>
        <w:lastRenderedPageBreak/>
        <w:t xml:space="preserve">Part 5—Application and transitional provisions relating to the </w:t>
      </w:r>
      <w:r>
        <w:rPr>
          <w:i/>
          <w:szCs w:val="28"/>
        </w:rPr>
        <w:t>Treasury Laws Amendment (Gift Cards) Act 2018</w:t>
      </w:r>
      <w:bookmarkEnd w:id="901"/>
      <w:bookmarkEnd w:id="902"/>
      <w:bookmarkEnd w:id="903"/>
    </w:p>
    <w:p>
      <w:pPr>
        <w:pStyle w:val="yHeading5"/>
        <w:tabs>
          <w:tab w:val="left" w:pos="4678"/>
        </w:tabs>
        <w:rPr>
          <w:szCs w:val="22"/>
        </w:rPr>
      </w:pPr>
      <w:bookmarkStart w:id="904" w:name="_Toc164758320"/>
      <w:r>
        <w:rPr>
          <w:rStyle w:val="CharSClsNo"/>
        </w:rPr>
        <w:t>302</w:t>
      </w:r>
      <w:r>
        <w:t>.</w:t>
      </w:r>
      <w:r>
        <w:rPr>
          <w:rStyle w:val="CharSClsNo"/>
        </w:rPr>
        <w:tab/>
      </w:r>
      <w:r>
        <w:rPr>
          <w:szCs w:val="22"/>
        </w:rPr>
        <w:t>Application of amendments relating to gift cards</w:t>
      </w:r>
      <w:bookmarkEnd w:id="904"/>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yHeading2"/>
        <w:rPr>
          <w:szCs w:val="28"/>
        </w:rPr>
      </w:pPr>
      <w:bookmarkStart w:id="905" w:name="_Toc164682694"/>
      <w:bookmarkStart w:id="906" w:name="_Toc164683305"/>
      <w:bookmarkStart w:id="907" w:name="_Toc164758321"/>
      <w:r>
        <w:rPr>
          <w:szCs w:val="28"/>
        </w:rPr>
        <w:t xml:space="preserve">Part 6—Application and transitional provisions relating to the </w:t>
      </w:r>
      <w:r>
        <w:rPr>
          <w:i/>
          <w:szCs w:val="28"/>
        </w:rPr>
        <w:t>Treasury Laws Amendment (2020 Measures No. 6) Act 2020</w:t>
      </w:r>
      <w:bookmarkEnd w:id="905"/>
      <w:bookmarkEnd w:id="906"/>
      <w:bookmarkEnd w:id="907"/>
    </w:p>
    <w:p>
      <w:pPr>
        <w:pStyle w:val="yHeading5"/>
        <w:tabs>
          <w:tab w:val="left" w:pos="4678"/>
        </w:tabs>
        <w:rPr>
          <w:szCs w:val="22"/>
        </w:rPr>
      </w:pPr>
      <w:r>
        <w:rPr>
          <w:szCs w:val="22"/>
        </w:rPr>
        <w:t xml:space="preserve"> </w:t>
      </w:r>
      <w:bookmarkStart w:id="908" w:name="_Toc164758322"/>
      <w:r>
        <w:rPr>
          <w:rStyle w:val="CharSClsNo"/>
        </w:rPr>
        <w:t>303</w:t>
      </w:r>
      <w:r>
        <w:rPr>
          <w:szCs w:val="22"/>
        </w:rPr>
        <w:t>.</w:t>
      </w:r>
      <w:r>
        <w:rPr>
          <w:szCs w:val="22"/>
        </w:rPr>
        <w:tab/>
        <w:t>Application of amendments relating to multiple non major consumer guarantee failures</w:t>
      </w:r>
      <w:bookmarkEnd w:id="908"/>
    </w:p>
    <w:p>
      <w:pPr>
        <w:tabs>
          <w:tab w:val="left" w:pos="1276"/>
          <w:tab w:val="left" w:pos="1843"/>
        </w:tabs>
        <w:spacing w:before="180"/>
        <w:ind w:left="1843" w:hanging="1843"/>
        <w:rPr>
          <w:sz w:val="22"/>
          <w:szCs w:val="22"/>
        </w:rPr>
      </w:pPr>
      <w:r>
        <w:rPr>
          <w:sz w:val="22"/>
          <w:szCs w:val="22"/>
        </w:rPr>
        <w:tab/>
        <w:t>(1)</w:t>
      </w:r>
      <w:r>
        <w:rPr>
          <w:sz w:val="22"/>
          <w:szCs w:val="22"/>
        </w:rPr>
        <w:tab/>
        <w:t xml:space="preserve">The amendments made by Part 1 of Schedule 4 to the </w:t>
      </w:r>
      <w:r>
        <w:rPr>
          <w:i/>
          <w:sz w:val="22"/>
          <w:szCs w:val="22"/>
        </w:rPr>
        <w:t>Treasury Laws Amendment (2020 Measures No. 6) Act 2020 apply</w:t>
      </w:r>
      <w:r>
        <w:rPr>
          <w:sz w:val="22"/>
          <w:szCs w:val="22"/>
        </w:rPr>
        <w:t xml:space="preserve"> in relation to goods supplied under a contract entered into on or after the day that that Part commences.</w:t>
      </w:r>
    </w:p>
    <w:p>
      <w:pPr>
        <w:tabs>
          <w:tab w:val="left" w:pos="1276"/>
          <w:tab w:val="left" w:pos="1843"/>
        </w:tabs>
        <w:spacing w:before="180"/>
        <w:ind w:left="1843" w:hanging="1843"/>
        <w:rPr>
          <w:sz w:val="22"/>
          <w:szCs w:val="22"/>
        </w:rPr>
      </w:pPr>
      <w:r>
        <w:rPr>
          <w:sz w:val="22"/>
          <w:szCs w:val="22"/>
        </w:rPr>
        <w:tab/>
        <w:t>(2)</w:t>
      </w:r>
      <w:r>
        <w:rPr>
          <w:sz w:val="22"/>
          <w:szCs w:val="22"/>
        </w:rPr>
        <w:tab/>
        <w:t xml:space="preserve">The amendments made by Part 1 of Schedule 4 to the </w:t>
      </w:r>
      <w:r>
        <w:rPr>
          <w:i/>
          <w:sz w:val="22"/>
          <w:szCs w:val="22"/>
        </w:rPr>
        <w:t>Treasury Laws Amendment (2020 Measures No. 6) Act 2020</w:t>
      </w:r>
      <w:r>
        <w:rPr>
          <w:sz w:val="22"/>
          <w:szCs w:val="22"/>
        </w:rPr>
        <w:t xml:space="preserve"> apply in relation to a services supplied under a contract entered into on or after the day that that Part commences.</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544" w:gutter="0"/>
          <w:cols w:space="720"/>
          <w:noEndnote/>
          <w:docGrid w:linePitch="326"/>
        </w:sectPr>
      </w:pPr>
    </w:p>
    <w:p>
      <w:pPr>
        <w:pStyle w:val="nHeading2"/>
        <w:rPr>
          <w:sz w:val="28"/>
        </w:rPr>
      </w:pPr>
      <w:bookmarkStart w:id="909" w:name="_Toc164682696"/>
      <w:bookmarkStart w:id="910" w:name="_Toc164683307"/>
      <w:bookmarkStart w:id="911" w:name="_Toc164758323"/>
      <w:r>
        <w:rPr>
          <w:sz w:val="28"/>
        </w:rPr>
        <w:lastRenderedPageBreak/>
        <w:t>Defined terms</w:t>
      </w:r>
      <w:bookmarkEnd w:id="909"/>
      <w:bookmarkEnd w:id="910"/>
      <w:bookmarkEnd w:id="9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amend</w:t>
      </w:r>
      <w:r>
        <w:tab/>
        <w:t>17(1)</w:t>
      </w:r>
    </w:p>
    <w:p>
      <w:pPr>
        <w:pStyle w:val="DefinedTerms"/>
      </w:pPr>
      <w:r>
        <w:t>amending law</w:t>
      </w:r>
      <w:r>
        <w:tab/>
        <w:t>17(1)</w:t>
      </w:r>
    </w:p>
    <w:p>
      <w:pPr>
        <w:pStyle w:val="DefinedTerms"/>
      </w:pPr>
      <w:r>
        <w:t>amending provision</w:t>
      </w:r>
      <w:r>
        <w:tab/>
        <w:t>19C(1)</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text</w:t>
      </w:r>
      <w:r>
        <w:tab/>
        <w:t>17(1)</w:t>
      </w:r>
    </w:p>
    <w:p>
      <w:pPr>
        <w:pStyle w:val="DefinedTerms"/>
      </w:pPr>
      <w:r>
        <w:t>Australian Consumer Law (WA)</w:t>
      </w:r>
      <w:r>
        <w:tab/>
        <w:t>6, 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commencement day</w:t>
      </w:r>
      <w:r>
        <w:tab/>
        <w:t>19D</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disallowance period</w:t>
      </w:r>
      <w:r>
        <w:tab/>
        <w:t>19B(1)</w:t>
      </w:r>
    </w:p>
    <w:p>
      <w:pPr>
        <w:pStyle w:val="DefinedTerms"/>
      </w:pPr>
      <w:r>
        <w:t>disallowance resolution</w:t>
      </w:r>
      <w:r>
        <w:tab/>
        <w:t>19B(1)</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 115(1)</w:t>
      </w:r>
    </w:p>
    <w:p>
      <w:pPr>
        <w:pStyle w:val="DefinedTerms"/>
      </w:pPr>
      <w:r>
        <w:t>modifications</w:t>
      </w:r>
      <w:r>
        <w:tab/>
        <w:t>17(1)</w:t>
      </w:r>
    </w:p>
    <w:p>
      <w:pPr>
        <w:pStyle w:val="DefinedTerms"/>
      </w:pPr>
      <w:r>
        <w:t>motor vehicle</w:t>
      </w:r>
      <w:r>
        <w:tab/>
        <w:t>63</w:t>
      </w:r>
    </w:p>
    <w:p>
      <w:pPr>
        <w:pStyle w:val="DefinedTerms"/>
      </w:pPr>
      <w:r>
        <w:t>notice period</w:t>
      </w:r>
      <w:r>
        <w:tab/>
        <w:t>19B(1)</w:t>
      </w:r>
    </w:p>
    <w:p>
      <w:pPr>
        <w:pStyle w:val="DefinedTerms"/>
      </w:pPr>
      <w:r>
        <w:t>other jurisdiction</w:t>
      </w:r>
      <w:r>
        <w:tab/>
        <w:t>27</w:t>
      </w:r>
    </w:p>
    <w:p>
      <w:pPr>
        <w:pStyle w:val="DefinedTerms"/>
      </w:pPr>
      <w:r>
        <w:lastRenderedPageBreak/>
        <w:t>parliamentary committee</w:t>
      </w:r>
      <w:r>
        <w:tab/>
        <w:t>19E(1)</w:t>
      </w:r>
    </w:p>
    <w:p>
      <w:pPr>
        <w:pStyle w:val="DefinedTerms"/>
      </w:pPr>
      <w:r>
        <w:t>participating jurisdiction</w:t>
      </w:r>
      <w:r>
        <w:tab/>
        <w:t>17(1), 27</w:t>
      </w:r>
    </w:p>
    <w:p>
      <w:pPr>
        <w:pStyle w:val="DefinedTerms"/>
      </w:pPr>
      <w:r>
        <w:t>person A</w:t>
      </w:r>
      <w:r>
        <w:tab/>
        <w:t>95(4), 99(2)</w:t>
      </w:r>
    </w:p>
    <w:p>
      <w:pPr>
        <w:pStyle w:val="DefinedTerms"/>
      </w:pPr>
      <w:r>
        <w:t>personal information</w:t>
      </w:r>
      <w:r>
        <w:tab/>
        <w:t>112(1)</w:t>
      </w:r>
    </w:p>
    <w:p>
      <w:pPr>
        <w:pStyle w:val="DefinedTerms"/>
      </w:pPr>
      <w:r>
        <w:t>person B</w:t>
      </w:r>
      <w:r>
        <w:tab/>
        <w:t>95(4)</w:t>
      </w:r>
    </w:p>
    <w:p>
      <w:pPr>
        <w:pStyle w:val="DefinedTerms"/>
      </w:pPr>
      <w:r>
        <w:t>President</w:t>
      </w:r>
      <w:r>
        <w:tab/>
        <w:t>83(5)</w:t>
      </w:r>
    </w:p>
    <w:p>
      <w:pPr>
        <w:pStyle w:val="DefinedTerms"/>
      </w:pPr>
      <w:r>
        <w:t>principal</w:t>
      </w:r>
      <w:r>
        <w:tab/>
        <w:t>111(1) and (2)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w:t>
      </w:r>
    </w:p>
    <w:p>
      <w:pPr>
        <w:pStyle w:val="DefinedTerms"/>
      </w:pPr>
      <w:r>
        <w:t>respondent</w:t>
      </w:r>
      <w:r>
        <w:tab/>
        <w:t>106(4)</w:t>
      </w:r>
    </w:p>
    <w:p>
      <w:pPr>
        <w:pStyle w:val="DefinedTerms"/>
      </w:pPr>
      <w:r>
        <w:t>re-supply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cccxcvi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cccxcv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1" w:name="Schedule"/>
    <w:bookmarkEnd w:id="2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8" w:name="Compilation"/>
    <w:bookmarkEnd w:id="26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2" w:name="DefinedTerms"/>
    <w:bookmarkEnd w:id="9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13" w:name="Coversheet"/>
    <w:bookmarkEnd w:id="9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2123720"/>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 w:name="WAFER_2020110916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0254_GUID" w:val="3104e332-4fe4-40d3-8d2c-92e3dbbd1e2a"/>
    <w:docVar w:name="WAFER_202203041633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63344_GUID" w:val="846fe0c0-ba58-4ada-91b3-9f8a707c8530"/>
    <w:docVar w:name="WAFER_20220317164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37_GUID" w:val="f0b1e115-dfce-48de-9516-ac2f13c51fee"/>
    <w:docVar w:name="WAFER_202204081523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52306_GUID" w:val="4d0262c8-d0db-40b7-af8c-2e408d964ab0"/>
    <w:docVar w:name="WAFER_202206281620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2005_GUID" w:val="d439358f-7af5-4002-8f57-f6811d198902"/>
    <w:docVar w:name="WAFER_20221027145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259_GUID" w:val="cb6c00fc-0c02-447a-83db-6a418a85bf96"/>
    <w:docVar w:name="WAFER_202404221237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422123720_GUID" w:val="91e52646-05a1-4c70-a82d-68c10e5246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1A9FD19D-2572-495C-9595-2D00C26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5DFE-C39F-455B-8DF1-2DD3E8F0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103161</Words>
  <Characters>499302</Characters>
  <Application>Microsoft Office Word</Application>
  <DocSecurity>0</DocSecurity>
  <Lines>14265</Lines>
  <Paragraphs>7530</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594933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2010 - 02-j0-00</dc:title>
  <dc:subject/>
  <dc:creator/>
  <cp:keywords/>
  <dc:description/>
  <cp:lastModifiedBy>Master Repository Process</cp:lastModifiedBy>
  <cp:revision>4</cp:revision>
  <cp:lastPrinted>2020-01-10T07:53:00Z</cp:lastPrinted>
  <dcterms:created xsi:type="dcterms:W3CDTF">2024-04-23T08:05:00Z</dcterms:created>
  <dcterms:modified xsi:type="dcterms:W3CDTF">2024-04-23T08:05:00Z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AsAtDate">
    <vt:lpwstr>22 Apr 2024</vt:lpwstr>
  </property>
  <property fmtid="{D5CDD505-2E9C-101B-9397-08002B2CF9AE}" pid="9" name="Suffix">
    <vt:lpwstr>02-j0-00</vt:lpwstr>
  </property>
  <property fmtid="{D5CDD505-2E9C-101B-9397-08002B2CF9AE}" pid="10" name="Official">
    <vt:lpwstr/>
  </property>
  <property fmtid="{D5CDD505-2E9C-101B-9397-08002B2CF9AE}" pid="11" name="CommencementDate">
    <vt:lpwstr>20240422</vt:lpwstr>
  </property>
  <property fmtid="{D5CDD505-2E9C-101B-9397-08002B2CF9AE}" pid="12" name="CommencementAsAt">
    <vt:filetime>2024-04-21T16:00:00Z</vt:filetime>
  </property>
  <property fmtid="{D5CDD505-2E9C-101B-9397-08002B2CF9AE}" pid="13" name="CommencementYear">
    <vt:lpwstr>2024</vt:lpwstr>
  </property>
</Properties>
</file>