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(Miscellaneous Provisions) (Offensive Trades) Proclamation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(Miscellaneous Provisions) (Offensive Trades)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_Toc165372160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_Toc165372161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 xml:space="preserve">Health (Miscellaneous Provisions) Act 1911 </w:t>
      </w:r>
      <w:r>
        <w:t>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Act amended</w:t>
      </w:r>
      <w:r>
        <w:tab/>
      </w:r>
      <w:r>
        <w:fldChar w:fldCharType="begin"/>
      </w:r>
      <w:r>
        <w:instrText xml:space="preserve"> PAGEREF _Toc165372163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2 amended</w:t>
      </w:r>
      <w:r>
        <w:tab/>
      </w:r>
      <w:r>
        <w:fldChar w:fldCharType="begin"/>
      </w:r>
      <w:r>
        <w:instrText xml:space="preserve"> PAGEREF _Toc165372164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Proclamations cancelled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Cancellation of proclamations declaring trades to be offensive</w:t>
      </w:r>
      <w:r>
        <w:tab/>
      </w:r>
      <w:r>
        <w:fldChar w:fldCharType="begin"/>
      </w:r>
      <w:r>
        <w:instrText xml:space="preserve"> PAGEREF _Toc165372166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(Miscellaneous Provisions) Act 1911</w:t>
      </w:r>
    </w:p>
    <w:p>
      <w:pPr>
        <w:pStyle w:val="NameofActReg"/>
      </w:pPr>
      <w:r>
        <w:t>Health (Miscellaneous Provisions) (Offensive Trades)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Health (Miscellaneous Provisions) Act 1911</w:t>
      </w:r>
      <w:r>
        <w:t xml:space="preserve"> sections 186(2)(a) and (3) and 348A(1)(a) by the Governor in Executive Council.</w:t>
      </w:r>
    </w:p>
    <w:p>
      <w:pPr>
        <w:pStyle w:val="Heading2"/>
        <w:pageBreakBefore w:val="0"/>
        <w:spacing w:before="360"/>
      </w:pPr>
      <w:bookmarkStart w:id="2" w:name="_Toc165033161"/>
      <w:bookmarkStart w:id="3" w:name="_Toc165033246"/>
      <w:bookmarkStart w:id="4" w:name="_Toc165033409"/>
      <w:bookmarkStart w:id="5" w:name="_Toc16537215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</w:p>
    <w:p>
      <w:pPr>
        <w:pStyle w:val="Heading5"/>
      </w:pPr>
      <w:bookmarkStart w:id="6" w:name="_Toc165033162"/>
      <w:bookmarkStart w:id="7" w:name="_Toc165372160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Health (Miscellaneous Provisions) (Offensive Trades) Proclamation 2024</w:t>
      </w:r>
      <w:r>
        <w:t>.</w:t>
      </w:r>
    </w:p>
    <w:p>
      <w:pPr>
        <w:pStyle w:val="Heading5"/>
      </w:pPr>
      <w:bookmarkStart w:id="8" w:name="_Toc165033163"/>
      <w:bookmarkStart w:id="9" w:name="_Toc165372161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This proclamation comes into operation as follows — </w:t>
      </w:r>
    </w:p>
    <w:p>
      <w:pPr>
        <w:pStyle w:val="Indenta"/>
      </w:pPr>
      <w:r>
        <w:tab/>
        <w:t>(a)</w:t>
      </w:r>
      <w:r>
        <w:tab/>
        <w:t>Part 1 — on the day on which this proclamation is published on the WA legislation website;</w:t>
      </w:r>
    </w:p>
    <w:p>
      <w:pPr>
        <w:pStyle w:val="Indenta"/>
      </w:pPr>
      <w:r>
        <w:tab/>
        <w:t>(b)</w:t>
      </w:r>
      <w:r>
        <w:tab/>
        <w:t>the rest of the proclamation — on 4 June 2024.</w:t>
      </w:r>
    </w:p>
    <w:p>
      <w:pPr>
        <w:pStyle w:val="Heading2"/>
      </w:pPr>
      <w:bookmarkStart w:id="10" w:name="_Toc165033164"/>
      <w:bookmarkStart w:id="11" w:name="_Toc165033249"/>
      <w:bookmarkStart w:id="12" w:name="_Toc165033412"/>
      <w:bookmarkStart w:id="13" w:name="_Toc165372162"/>
      <w:r>
        <w:rPr>
          <w:rStyle w:val="CharPartNo"/>
        </w:rPr>
        <w:lastRenderedPageBreak/>
        <w:t>Part 2</w:t>
      </w:r>
      <w:r>
        <w:t> — </w:t>
      </w:r>
      <w:r>
        <w:rPr>
          <w:i/>
        </w:rPr>
        <w:t xml:space="preserve">Health (Miscellaneous Provisions) Act 1911 </w:t>
      </w:r>
      <w:r>
        <w:t>amended</w:t>
      </w:r>
      <w:bookmarkEnd w:id="10"/>
      <w:bookmarkEnd w:id="11"/>
      <w:bookmarkEnd w:id="12"/>
      <w:bookmarkEnd w:id="13"/>
    </w:p>
    <w:p>
      <w:pPr>
        <w:pStyle w:val="Heading5"/>
      </w:pPr>
      <w:bookmarkStart w:id="14" w:name="_Toc165033165"/>
      <w:bookmarkStart w:id="15" w:name="_Toc165372163"/>
      <w:r>
        <w:rPr>
          <w:rStyle w:val="CharSectno"/>
        </w:rPr>
        <w:t>3</w:t>
      </w:r>
      <w:r>
        <w:t>.</w:t>
      </w:r>
      <w:r>
        <w:tab/>
        <w:t>Act amended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Health (Miscellaneous Provisions) Act 1911</w:t>
      </w:r>
      <w:r>
        <w:t>.</w:t>
      </w:r>
    </w:p>
    <w:p>
      <w:pPr>
        <w:pStyle w:val="Heading5"/>
      </w:pPr>
      <w:bookmarkStart w:id="16" w:name="_Toc165033166"/>
      <w:bookmarkStart w:id="17" w:name="_Toc165372164"/>
      <w:r>
        <w:rPr>
          <w:rStyle w:val="CharSectno"/>
        </w:rPr>
        <w:t>4</w:t>
      </w:r>
      <w:r>
        <w:t>.</w:t>
      </w:r>
      <w:r>
        <w:tab/>
        <w:t>Schedule 2 amended</w:t>
      </w:r>
      <w:bookmarkEnd w:id="16"/>
      <w:bookmarkEnd w:id="17"/>
    </w:p>
    <w:p>
      <w:pPr>
        <w:pStyle w:val="Subsection"/>
      </w:pPr>
      <w:r>
        <w:tab/>
      </w:r>
      <w:r>
        <w:tab/>
        <w:t>In Schedule 2 delete the passage that begins with “</w:t>
      </w:r>
      <w:r>
        <w:rPr>
          <w:sz w:val="22"/>
          <w:szCs w:val="18"/>
        </w:rPr>
        <w:t>Abattoirs</w:t>
      </w:r>
      <w:r>
        <w:t>” and ends with “</w:t>
      </w:r>
      <w:r>
        <w:rPr>
          <w:sz w:val="22"/>
          <w:szCs w:val="18"/>
        </w:rPr>
        <w:t>offal.</w:t>
      </w:r>
      <w:r>
        <w:t>”.</w:t>
      </w:r>
    </w:p>
    <w:p>
      <w:pPr>
        <w:pStyle w:val="Heading2"/>
        <w:rPr>
          <w:rStyle w:val="CharDivText"/>
        </w:rPr>
      </w:pPr>
      <w:bookmarkStart w:id="18" w:name="_Toc165033167"/>
      <w:bookmarkStart w:id="19" w:name="_Toc165033252"/>
      <w:bookmarkStart w:id="20" w:name="_Toc165033415"/>
      <w:bookmarkStart w:id="21" w:name="_Toc165372165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Proclamations </w:t>
      </w:r>
      <w:r>
        <w:rPr>
          <w:rStyle w:val="CharDivText"/>
        </w:rPr>
        <w:t>cancelled</w:t>
      </w:r>
      <w:bookmarkEnd w:id="18"/>
      <w:bookmarkEnd w:id="19"/>
      <w:bookmarkEnd w:id="20"/>
      <w:bookmarkEnd w:id="21"/>
    </w:p>
    <w:p>
      <w:pPr>
        <w:pStyle w:val="Heading5"/>
      </w:pPr>
      <w:bookmarkStart w:id="22" w:name="_Toc165033168"/>
      <w:bookmarkStart w:id="23" w:name="_Toc165372166"/>
      <w:r>
        <w:rPr>
          <w:rStyle w:val="CharSectno"/>
        </w:rPr>
        <w:t>5</w:t>
      </w:r>
      <w:r>
        <w:t>.</w:t>
      </w:r>
      <w:r>
        <w:tab/>
        <w:t>Cancellation of proclamations declaring trades to be offensive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For the purposes of sections 186(3) and 348A(1)(a) of the Act, the proclamations published in the </w:t>
      </w:r>
      <w:r>
        <w:rPr>
          <w:i/>
          <w:iCs/>
        </w:rPr>
        <w:t>Gazette</w:t>
      </w:r>
      <w:r>
        <w:t xml:space="preserve"> on the following dates, at the specified pages, are cancelled — </w:t>
      </w:r>
    </w:p>
    <w:p>
      <w:pPr>
        <w:pStyle w:val="Indenta"/>
      </w:pPr>
      <w:r>
        <w:tab/>
        <w:t>(a)</w:t>
      </w:r>
      <w:r>
        <w:tab/>
        <w:t>9 April 1948 p. 727;</w:t>
      </w:r>
    </w:p>
    <w:p>
      <w:pPr>
        <w:pStyle w:val="Indenta"/>
      </w:pPr>
      <w:r>
        <w:tab/>
        <w:t>(b)</w:t>
      </w:r>
      <w:r>
        <w:tab/>
        <w:t>10 February 1950 p. 235</w:t>
      </w:r>
      <w:r>
        <w:noBreakHyphen/>
        <w:t>6;</w:t>
      </w:r>
    </w:p>
    <w:p>
      <w:pPr>
        <w:pStyle w:val="Indenta"/>
      </w:pPr>
      <w:r>
        <w:tab/>
        <w:t>(c)</w:t>
      </w:r>
      <w:r>
        <w:tab/>
        <w:t>30 May 1952 p. 1333;</w:t>
      </w:r>
    </w:p>
    <w:p>
      <w:pPr>
        <w:pStyle w:val="Indenta"/>
      </w:pPr>
      <w:r>
        <w:tab/>
        <w:t>(d)</w:t>
      </w:r>
      <w:r>
        <w:tab/>
        <w:t>11 January 1957 p. 21;</w:t>
      </w:r>
    </w:p>
    <w:p>
      <w:pPr>
        <w:pStyle w:val="Indenta"/>
      </w:pPr>
      <w:r>
        <w:tab/>
        <w:t>(e)</w:t>
      </w:r>
      <w:r>
        <w:tab/>
        <w:t>28 February 1969 p. 683;</w:t>
      </w:r>
    </w:p>
    <w:p>
      <w:pPr>
        <w:pStyle w:val="Indenta"/>
      </w:pPr>
      <w:r>
        <w:tab/>
        <w:t>(f)</w:t>
      </w:r>
      <w:r>
        <w:tab/>
        <w:t>25 August 1989 p. 2833;</w:t>
      </w:r>
    </w:p>
    <w:p>
      <w:pPr>
        <w:pStyle w:val="Indenta"/>
      </w:pPr>
      <w:r>
        <w:tab/>
        <w:t>(g)</w:t>
      </w:r>
      <w:r>
        <w:tab/>
        <w:t>28 June 1996 p. 3013.</w:t>
      </w:r>
    </w:p>
    <w:p>
      <w:pPr>
        <w:pStyle w:val="ByCommand"/>
        <w:keepNext/>
      </w:pPr>
      <w:r>
        <w:t>C. DAWSON, Governor</w:t>
      </w:r>
      <w:r>
        <w:tab/>
        <w:t>L.S.</w:t>
      </w:r>
    </w:p>
    <w:p>
      <w:pPr>
        <w:pStyle w:val="ByCommand"/>
      </w:pPr>
      <w:r>
        <w:t>A. SANDERSON, Minister for Health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412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53DAB74" w14:textId="77F8F068" w:rsidR="00F7401E" w:rsidRDefault="00F7401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C1706A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9E7840A" w14:textId="77777777" w:rsidR="00F7401E" w:rsidRDefault="00F7401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1C15A10" w14:textId="3B578329" w:rsidR="00F7401E" w:rsidRDefault="00F7401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C1706A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1A8D6E8" w14:textId="77777777" w:rsidR="00F7401E" w:rsidRDefault="00F7401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851" w:right="1701" w:bottom="85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(Miscellaneous Provisions) (Offensive Trades)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(Miscellaneous Provisions) (Offensive Trades)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(Miscellaneous Provisions) (Offensive Trades)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(Miscellaneous Provisions) (Offensive Trades)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41144"/>
    <w:docVar w:name="WAFER_20150206084922" w:val="334d040a-f121-4df3-b70e-eeac8d609a03"/>
    <w:docVar w:name="WAFER_20150206084922_GUID" w:val="UpdateStyles,UsedStyles"/>
    <w:docVar w:name="WAFER_20151019092132" w:val="7ce444c3-0469-4382-9180-17125bea3977"/>
    <w:docVar w:name="WAFER_20151019092132_GUID" w:val="UpdateStyles,UsedStyles"/>
    <w:docVar w:name="WAFER_20151019113744" w:val="46fa5cae-abf4-43a0-a62a-d6c429a42a66"/>
    <w:docVar w:name="WAFER_20151019113744_GUID" w:val="UpdateStyles"/>
    <w:docVar w:name="WAFER_20151102150220" w:val="d8215ca2-0766-4860-a767-6ce7cf832b68"/>
    <w:docVar w:name="WAFER_20151102150220_GUID" w:val="UpdateStyles"/>
    <w:docVar w:name="WAFER_20170522141606" w:val="b655bcf4-3bd0-4d30-8a68-cdd9b6ec021e"/>
    <w:docVar w:name="WAFER_20170522141606_GUID" w:val="UpdateStyles"/>
    <w:docVar w:name="WAFER_20190213151257" w:val="38a2928e-2495-4161-8fc0-5e3235a19c38"/>
    <w:docVar w:name="WAFER_20190213151257_GUID" w:val="UpdateStyles"/>
    <w:docVar w:name="WAFER_20190227114931" w:val="e2d877ad-6cfa-46ff-a45d-f90237dfdd4a"/>
    <w:docVar w:name="WAFER_20190227114931_GUID" w:val="UpdateStyles.ProcessFixes,UpdateStyles.ProcessFixes,RemoveIncorrectStyles.ProcessStyles,RemoveIncorrectStyles.ProcessStyles"/>
    <w:docVar w:name="WAFER_20191031155923" w:val="af10c1cb-49b2-4d75-9c3b-2ada5c2c54f3"/>
    <w:docVar w:name="WAFER_20191031155923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"/>
    <w:docVar w:name="WAFER_20200207103029" w:val="6e9ff55e-c20b-4682-a4c1-0023a3c10cce"/>
    <w:docVar w:name="WAFER_20200207103029_GUID" w:val="6e9ff55e-c20b-4682-a4c1-0023a3c10cce"/>
    <w:docVar w:name="WAFER_20230512114356" w:val="6e9ff55e-c20b-4682-a4c1-0023a3c10cce"/>
    <w:docVar w:name="WAFER_20230512114356_GUID" w:val="6e9ff55e-c20b-4682-a4c1-0023a3c10cce"/>
    <w:docVar w:name="WAFER_202403271336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327133657_GUID" w:val="fc9b37a6-42b5-4f3c-b161-8c677f90ab8d"/>
    <w:docVar w:name="WAFER_202404040958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04095859_GUID" w:val="70f03a2b-076c-4b7f-b424-76ce8757eef8"/>
    <w:docVar w:name="WAFER_202404261411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41144_GUID" w:val="33cbce15-d417-451a-9e8f-c132e040deb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AB0BE717-2A2B-4B02-91E6-85E1428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BE30-BC54-41FD-9118-F4B0F8C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2078</Characters>
  <Application>Microsoft Office Word</Application>
  <DocSecurity>0</DocSecurity>
  <Lines>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(Miscellaneous Provisions) (Offensive Trades)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2024-04-30T06:59:00Z</dcterms:created>
  <dcterms:modified xsi:type="dcterms:W3CDTF">2024-04-30T06:59:00Z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54775</vt:lpwstr>
  </property>
  <property fmtid="{D5CDD505-2E9C-101B-9397-08002B2CF9AE}" pid="3" name="ActNo">
    <vt:lpwstr>34</vt:lpwstr>
  </property>
  <property fmtid="{D5CDD505-2E9C-101B-9397-08002B2CF9AE}" pid="4" name="DocumentType">
    <vt:lpwstr>Reg</vt:lpwstr>
  </property>
  <property fmtid="{D5CDD505-2E9C-101B-9397-08002B2CF9AE}" pid="5" name="AsAtDate">
    <vt:lpwstr>01 May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2024/53</vt:lpwstr>
  </property>
  <property fmtid="{D5CDD505-2E9C-101B-9397-08002B2CF9AE}" pid="9" name="PublishDate">
    <vt:lpwstr>1 May 2024</vt:lpwstr>
  </property>
  <property fmtid="{D5CDD505-2E9C-101B-9397-08002B2CF9AE}" pid="10" name="CommencementDate">
    <vt:lpwstr>20240501</vt:lpwstr>
  </property>
  <property fmtid="{D5CDD505-2E9C-101B-9397-08002B2CF9AE}" pid="11" name="CommencementAsAt">
    <vt:filetime>2024-04-30T16:00:00Z</vt:filetime>
  </property>
  <property fmtid="{D5CDD505-2E9C-101B-9397-08002B2CF9AE}" pid="12" name="CommencementYear">
    <vt:lpwstr>2024</vt:lpwstr>
  </property>
</Properties>
</file>