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Metropolitan Redevelopment Authority Act 2011</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Metropolitan Redevelopment Authority Amendment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Metropolitan Redevelopment Authority Amendment Regulations 2024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_Toc165377763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_Toc165377764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_Toc165377765 \h </w:instrText>
      </w:r>
      <w:r>
        <w:fldChar w:fldCharType="separate"/>
      </w:r>
      <w:r>
        <w:t>1</w:t>
      </w:r>
      <w:r>
        <w:fldChar w:fldCharType="end"/>
      </w:r>
    </w:p>
    <w:p>
      <w:pPr>
        <w:pStyle w:val="TOC8"/>
        <w:rPr>
          <w:rFonts w:asciiTheme="minorHAnsi" w:eastAsiaTheme="minorEastAsia" w:hAnsiTheme="minorHAnsi" w:cstheme="minorBidi"/>
          <w:szCs w:val="22"/>
        </w:rPr>
      </w:pPr>
      <w:r>
        <w:t>4.</w:t>
      </w:r>
      <w:r>
        <w:tab/>
        <w:t>Regulation 10A inserted</w:t>
      </w:r>
      <w:r>
        <w:tab/>
      </w:r>
      <w:r>
        <w:fldChar w:fldCharType="begin"/>
      </w:r>
      <w:r>
        <w:instrText xml:space="preserve"> PAGEREF _Toc165377766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10A.</w:t>
      </w:r>
      <w:r>
        <w:rPr>
          <w:noProof/>
        </w:rPr>
        <w:tab/>
        <w:t>Bentley redevelopment area</w:t>
      </w:r>
      <w:r>
        <w:rPr>
          <w:noProof/>
        </w:rPr>
        <w:tab/>
      </w:r>
      <w:r>
        <w:rPr>
          <w:noProof/>
        </w:rPr>
        <w:fldChar w:fldCharType="begin"/>
      </w:r>
      <w:r>
        <w:rPr>
          <w:noProof/>
        </w:rPr>
        <w:instrText xml:space="preserve"> PAGEREF _Toc165377767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5.</w:t>
      </w:r>
      <w:r>
        <w:tab/>
        <w:t>Schedule 1A inserted</w:t>
      </w:r>
      <w:r>
        <w:tab/>
      </w:r>
      <w:r>
        <w:fldChar w:fldCharType="begin"/>
      </w:r>
      <w:r>
        <w:instrText xml:space="preserve"> PAGEREF _Toc165377768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Schedule 1A — Bentley redevelopment area</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Metropolitan Redevelopment Authority Act 2011</w:t>
      </w:r>
    </w:p>
    <w:p>
      <w:pPr>
        <w:pStyle w:val="NameofActReg"/>
      </w:pPr>
      <w:r>
        <w:t>Metropolitan Redevelopment Authority Amendment Regulations 2024</w:t>
      </w:r>
    </w:p>
    <w:p>
      <w:pPr>
        <w:pStyle w:val="MadeBy"/>
      </w:pPr>
      <w:r>
        <w:t>Made by the Governor in Executive Council.</w:t>
      </w:r>
    </w:p>
    <w:p>
      <w:pPr>
        <w:pStyle w:val="Heading5"/>
      </w:pPr>
      <w:bookmarkStart w:id="2" w:name="_Toc165036688"/>
      <w:bookmarkStart w:id="3" w:name="_Toc165377763"/>
      <w:r>
        <w:rPr>
          <w:rStyle w:val="CharSectno"/>
        </w:rPr>
        <w:t>1</w:t>
      </w:r>
      <w:r>
        <w:t>.</w:t>
      </w:r>
      <w:r>
        <w:tab/>
        <w:t>Citation</w:t>
      </w:r>
      <w:bookmarkEnd w:id="2"/>
      <w:bookmarkEnd w:id="3"/>
    </w:p>
    <w:p>
      <w:pPr>
        <w:pStyle w:val="Subsection"/>
      </w:pPr>
      <w:r>
        <w:tab/>
      </w:r>
      <w:r>
        <w:tab/>
      </w:r>
      <w:bookmarkStart w:id="4" w:name="Start_Cursor"/>
      <w:bookmarkEnd w:id="4"/>
      <w:r>
        <w:t xml:space="preserve">These </w:t>
      </w:r>
      <w:r>
        <w:rPr>
          <w:spacing w:val="-2"/>
        </w:rPr>
        <w:t>regulations</w:t>
      </w:r>
      <w:r>
        <w:t xml:space="preserve"> are the </w:t>
      </w:r>
      <w:r>
        <w:rPr>
          <w:i/>
        </w:rPr>
        <w:t>Metropolitan Redevelopment Authority Amendment Regulations 2024</w:t>
      </w:r>
      <w:r>
        <w:t>.</w:t>
      </w:r>
    </w:p>
    <w:p>
      <w:pPr>
        <w:pStyle w:val="Heading5"/>
        <w:rPr>
          <w:spacing w:val="-2"/>
        </w:rPr>
      </w:pPr>
      <w:bookmarkStart w:id="5" w:name="_Toc165036689"/>
      <w:bookmarkStart w:id="6" w:name="_Toc165377764"/>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the day after that day.</w:t>
      </w:r>
    </w:p>
    <w:p>
      <w:pPr>
        <w:pStyle w:val="Heading5"/>
        <w:rPr>
          <w:snapToGrid w:val="0"/>
        </w:rPr>
      </w:pPr>
      <w:bookmarkStart w:id="7" w:name="_Toc165036690"/>
      <w:bookmarkStart w:id="8" w:name="_Toc165377765"/>
      <w:r>
        <w:rPr>
          <w:rStyle w:val="CharSectno"/>
        </w:rPr>
        <w:t>3</w:t>
      </w:r>
      <w:r>
        <w:rPr>
          <w:snapToGrid w:val="0"/>
        </w:rPr>
        <w:t>.</w:t>
      </w:r>
      <w:r>
        <w:rPr>
          <w:snapToGrid w:val="0"/>
        </w:rPr>
        <w:tab/>
        <w:t>Regulations amended</w:t>
      </w:r>
      <w:bookmarkEnd w:id="7"/>
      <w:bookmarkEnd w:id="8"/>
    </w:p>
    <w:p>
      <w:pPr>
        <w:pStyle w:val="Subsection"/>
      </w:pPr>
      <w:r>
        <w:tab/>
      </w:r>
      <w:r>
        <w:tab/>
        <w:t xml:space="preserve">These </w:t>
      </w:r>
      <w:r>
        <w:rPr>
          <w:spacing w:val="-2"/>
        </w:rPr>
        <w:t>regulations amend</w:t>
      </w:r>
      <w:r>
        <w:t xml:space="preserve"> the </w:t>
      </w:r>
      <w:r>
        <w:rPr>
          <w:i/>
        </w:rPr>
        <w:t>Metropolitan Redevelopment Authority Regulations 2011</w:t>
      </w:r>
      <w:r>
        <w:t>.</w:t>
      </w:r>
    </w:p>
    <w:p>
      <w:pPr>
        <w:pStyle w:val="Heading5"/>
      </w:pPr>
      <w:bookmarkStart w:id="9" w:name="_Toc165036691"/>
      <w:bookmarkStart w:id="10" w:name="_Toc165377766"/>
      <w:r>
        <w:rPr>
          <w:rStyle w:val="CharSectno"/>
        </w:rPr>
        <w:t>4</w:t>
      </w:r>
      <w:r>
        <w:t>.</w:t>
      </w:r>
      <w:r>
        <w:tab/>
        <w:t>Regulation 10A inserted</w:t>
      </w:r>
      <w:bookmarkEnd w:id="9"/>
      <w:bookmarkEnd w:id="10"/>
    </w:p>
    <w:p>
      <w:pPr>
        <w:pStyle w:val="Subsection"/>
      </w:pPr>
      <w:r>
        <w:tab/>
      </w:r>
      <w:r>
        <w:tab/>
        <w:t>After regulation 10 insert:</w:t>
      </w:r>
    </w:p>
    <w:p>
      <w:pPr>
        <w:pStyle w:val="BlankOpen"/>
      </w:pPr>
    </w:p>
    <w:p>
      <w:pPr>
        <w:pStyle w:val="zHeading5"/>
      </w:pPr>
      <w:bookmarkStart w:id="11" w:name="_Toc165036692"/>
      <w:bookmarkStart w:id="12" w:name="_Toc165377767"/>
      <w:r>
        <w:t>10A.</w:t>
      </w:r>
      <w:r>
        <w:tab/>
        <w:t>Bentley redevelopment area</w:t>
      </w:r>
      <w:bookmarkEnd w:id="11"/>
      <w:bookmarkEnd w:id="12"/>
    </w:p>
    <w:p>
      <w:pPr>
        <w:pStyle w:val="zSubsection"/>
      </w:pPr>
      <w:r>
        <w:tab/>
        <w:t>(1)</w:t>
      </w:r>
      <w:r>
        <w:tab/>
        <w:t xml:space="preserve">In this regulation — </w:t>
      </w:r>
    </w:p>
    <w:p>
      <w:pPr>
        <w:pStyle w:val="zDefstart"/>
        <w:keepNext/>
        <w:keepLines/>
      </w:pPr>
      <w:r>
        <w:lastRenderedPageBreak/>
        <w:tab/>
      </w:r>
      <w:r>
        <w:rPr>
          <w:rStyle w:val="CharDefText"/>
        </w:rPr>
        <w:t>relevant plan</w:t>
      </w:r>
      <w:r>
        <w:t xml:space="preserve"> means the plan entitled “Bentley Redevelopment Area” held at the office of the Authority, that plan being certified by the Minister as the plan prepared for the purpose of defining the Bentley redevelopment area.</w:t>
      </w:r>
    </w:p>
    <w:p>
      <w:pPr>
        <w:pStyle w:val="zSubsection"/>
      </w:pPr>
      <w:r>
        <w:tab/>
        <w:t>(2)</w:t>
      </w:r>
      <w:r>
        <w:tab/>
        <w:t>All of the land in the area outlined in bold on the relevant plan is declared to be a redevelopment area.</w:t>
      </w:r>
    </w:p>
    <w:p>
      <w:pPr>
        <w:pStyle w:val="zSubsection"/>
      </w:pPr>
      <w:r>
        <w:tab/>
        <w:t>(3)</w:t>
      </w:r>
      <w:r>
        <w:tab/>
        <w:t>The name of the redevelopment area is the Bentley redevelopment area.</w:t>
      </w:r>
    </w:p>
    <w:p>
      <w:pPr>
        <w:pStyle w:val="zSubsection"/>
      </w:pPr>
      <w:r>
        <w:tab/>
        <w:t>(4)</w:t>
      </w:r>
      <w:r>
        <w:tab/>
        <w:t>For guidance, a plan depicting the Bentley redevelopment area is set out in Schedule 1A.</w:t>
      </w:r>
    </w:p>
    <w:p>
      <w:pPr>
        <w:pStyle w:val="BlankClose"/>
      </w:pPr>
    </w:p>
    <w:p>
      <w:pPr>
        <w:pStyle w:val="Heading5"/>
      </w:pPr>
      <w:bookmarkStart w:id="13" w:name="_Toc165036693"/>
      <w:bookmarkStart w:id="14" w:name="_Toc165377768"/>
      <w:r>
        <w:rPr>
          <w:rStyle w:val="CharSectno"/>
        </w:rPr>
        <w:t>5</w:t>
      </w:r>
      <w:r>
        <w:t>.</w:t>
      </w:r>
      <w:r>
        <w:tab/>
        <w:t>Schedule 1A inserted</w:t>
      </w:r>
      <w:bookmarkEnd w:id="13"/>
      <w:bookmarkEnd w:id="14"/>
    </w:p>
    <w:p>
      <w:pPr>
        <w:pStyle w:val="Subsection"/>
      </w:pPr>
      <w:r>
        <w:tab/>
      </w:r>
      <w:r>
        <w:tab/>
        <w:t>After Schedule 1 insert:</w:t>
      </w:r>
    </w:p>
    <w:p>
      <w:pPr>
        <w:pStyle w:val="BlankOpen"/>
      </w:pPr>
    </w:p>
    <w:p>
      <w:pPr>
        <w:pStyle w:val="zyHeading2"/>
      </w:pPr>
      <w:bookmarkStart w:id="15" w:name="_Toc165036694"/>
      <w:bookmarkStart w:id="16" w:name="_Toc165036770"/>
      <w:bookmarkStart w:id="17" w:name="_Toc165036854"/>
      <w:bookmarkStart w:id="18" w:name="_Toc165377769"/>
      <w:r>
        <w:t>Schedule 1A — Bentley redevelopment area</w:t>
      </w:r>
      <w:bookmarkEnd w:id="15"/>
      <w:bookmarkEnd w:id="16"/>
      <w:bookmarkEnd w:id="17"/>
      <w:bookmarkEnd w:id="18"/>
    </w:p>
    <w:p>
      <w:pPr>
        <w:pStyle w:val="zyShoulderClause"/>
      </w:pPr>
      <w:r>
        <w:t>[r. 10A(4)]</w:t>
      </w:r>
    </w:p>
    <w:p>
      <w:pPr>
        <w:pStyle w:val="zyMiscellaneousBody"/>
      </w:pPr>
      <w:r>
        <w:rPr>
          <w:noProof/>
        </w:rPr>
        <w:lastRenderedPageBreak/>
        <w:drawing>
          <wp:inline distT="0" distB="0" distL="0" distR="0">
            <wp:extent cx="3919391" cy="513552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19391" cy="5135526"/>
                    </a:xfrm>
                    <a:prstGeom prst="rect">
                      <a:avLst/>
                    </a:prstGeom>
                  </pic:spPr>
                </pic:pic>
              </a:graphicData>
            </a:graphic>
          </wp:inline>
        </w:drawing>
      </w:r>
    </w:p>
    <w:p>
      <w:pPr>
        <w:pStyle w:val="BlankClose"/>
      </w:pPr>
    </w:p>
    <w:p>
      <w:pPr>
        <w:pStyle w:val="ByCommand"/>
        <w:spacing w:before="600"/>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r>
        <w:rPr>
          <w:noProof/>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7469579</wp:posOffset>
                </wp:positionV>
                <wp:extent cx="127000" cy="682188"/>
                <wp:effectExtent l="0" t="0" r="1905" b="3810"/>
                <wp:wrapNone/>
                <wp:docPr id="2" name="Authority"/>
                <wp:cNvGraphicFramePr/>
                <a:graphic xmlns:a="http://schemas.openxmlformats.org/drawingml/2006/main">
                  <a:graphicData uri="http://schemas.microsoft.com/office/word/2010/wordprocessingShape">
                    <wps:wsp>
                      <wps:cNvSpPr txBox="1"/>
                      <wps:spPr>
                        <a:xfrm>
                          <a:off x="0" y="0"/>
                          <a:ext cx="127000" cy="682188"/>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06AE9274" id="_x0000_t202" coordsize="21600,21600" o:spt="202" path="m,l,21600r21600,l21600,xe">
                <v:stroke joinstyle="miter"/>
                <v:path gradientshapeok="t" o:connecttype="rect"/>
              </v:shapetype>
              <v:shape id="Authority" o:spid="_x0000_s1026" type="#_x0000_t202" style="position:absolute;margin-left:0;margin-top:588.15pt;width:10pt;height:53.7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avPwIAAHgEAAAOAAAAZHJzL2Uyb0RvYy54bWysVFFv2jAQfp+0/2D5fSRktKURoWJUTJOq&#10;thKd+mwcGyw5Ps82JOzX7+wEyro9TePBnH3n7/x9d5fZXddochDOKzAVHY9ySoThUCuzrej3l9Wn&#10;KSU+MFMzDUZU9Cg8vZt//DBrbSkK2IGuhSMIYnzZ2oruQrBllnm+Ew3zI7DCoFOCa1jArdtmtWMt&#10;ojc6K/L8OmvB1dYBF97j6X3vpPOEL6Xg4UlKLwLRFcW3hbS6tG7ims1nrNw6ZneKD89g//CKhimD&#10;Sc9Q9ywwsnfqD6hGcQceZBhxaDKQUnGROCCbcf6OzXrHrEhcUBxvzzL5/wfLHw/Pjqi6ogUlhjVY&#10;osU+7MCpcIzitNaXGLO2GBW6L9BhkU/nHg8j5066Jv4jG4J+lPl4llZ0gfB4qbjJc/RwdF1Pi/F0&#10;GlGyt8vW+fBVQEOiUVGHlUuCssODD33oKSTm8qBVvVJap43bbpbakQPDKq/Sb0D/LUwb0mL2z1d5&#10;QjYQ7/fQ2uBjIteeU7RCt+kGATZQH5G/g759vOUrha98YD48M4f9gsRwBsITLlIDJoHBogSl/Pm3&#10;8xiPZUQvJS32X0X9jz1zghL9zWCBb8eTSWzYtJlc3RS4cZeezaXH7JslIPkxTpvlyYzxQZ9M6aB5&#10;xVFZxKzoYoZj7oqGk7kM/VTgqHGxWKQgbFHLwoNZWx6ho9SxBi/dK3N2KFTACj/CqVNZ+a5efWy8&#10;aQAbC6RKxYwC96oOumN7p3YYRjHOz+U+Rb19MOa/AAAA//8DAFBLAwQUAAYACAAAACEABfOQmt4A&#10;AAAJAQAADwAAAGRycy9kb3ducmV2LnhtbEyPwU7DMBBE70j8g7VI3KjTRrRRGqeqkDhVPRCgcHTj&#10;bRI1XgfbacPfs5zguDOrmTfFZrK9uKAPnSMF81kCAql2pqNGwdvr80MGIkRNRveOUME3BtiUtzeF&#10;zo270gteqtgIDqGQawVtjEMuZahbtDrM3IDE3sl5qyOfvpHG6yuH214ukmQpre6IG1o94FOL9bka&#10;rYLPffe4P+y2H1mVjNX717Q7pwev1P3dtF2DiDjFv2f4xWd0KJnp6EYyQfQKeEhkdb5apiDY5zYQ&#10;R1YWWboCWRby/4LyBwAA//8DAFBLAQItABQABgAIAAAAIQC2gziS/gAAAOEBAAATAAAAAAAAAAAA&#10;AAAAAAAAAABbQ29udGVudF9UeXBlc10ueG1sUEsBAi0AFAAGAAgAAAAhADj9If/WAAAAlAEAAAsA&#10;AAAAAAAAAAAAAAAALwEAAF9yZWxzLy5yZWxzUEsBAi0AFAAGAAgAAAAhAAfNFq8/AgAAeAQAAA4A&#10;AAAAAAAAAAAAAAAALgIAAGRycy9lMm9Eb2MueG1sUEsBAi0AFAAGAAgAAAAhAAXzkJreAAAACQEA&#10;AA8AAAAAAAAAAAAAAAAAmQQAAGRycy9kb3ducmV2LnhtbFBLBQYAAAAABAAEAPMAAACkBQAAAAA=&#10;" stroked="f" strokeweight=".5pt">
                <v:textbox>
                  <w:txbxContent>
                    <w:p w14:paraId="16912517" w14:textId="1ACE3CC9" w:rsidR="0051747D" w:rsidRDefault="0051747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5D5A70">
                        <w:rPr>
                          <w:sz w:val="16"/>
                        </w:rPr>
                        <w:t>2024</w:t>
                      </w:r>
                      <w:r>
                        <w:rPr>
                          <w:sz w:val="16"/>
                        </w:rPr>
                        <w:fldChar w:fldCharType="end"/>
                      </w:r>
                      <w:r>
                        <w:rPr>
                          <w:sz w:val="16"/>
                        </w:rPr>
                        <w:t>.</w:t>
                      </w:r>
                    </w:p>
                    <w:p w14:paraId="5948B0FB" w14:textId="77777777" w:rsidR="0051747D" w:rsidRDefault="0051747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4BA6DEA" w14:textId="1CA40CD0" w:rsidR="0051747D" w:rsidRDefault="0051747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5D5A70">
                        <w:rPr>
                          <w:sz w:val="16"/>
                        </w:rPr>
                        <w:t>2024</w:t>
                      </w:r>
                      <w:r>
                        <w:rPr>
                          <w:sz w:val="16"/>
                        </w:rPr>
                        <w:fldChar w:fldCharType="end"/>
                      </w:r>
                      <w:r>
                        <w:rPr>
                          <w:sz w:val="16"/>
                        </w:rPr>
                        <w:t>.</w:t>
                      </w:r>
                    </w:p>
                    <w:p w14:paraId="0F1796F5" w14:textId="77777777" w:rsidR="0051747D" w:rsidRDefault="0051747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r>
        <w:t>K. COLLERAN, Clerk of the Executive Council</w:t>
      </w: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2024/59</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2024/59</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2024/59</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2024/59</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2024/59</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2024/59</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Amendment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Amendment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Amendment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Metropolitan Redevelopment Authority Amendment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 w:numId="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426151041"/>
    <w:docVar w:name="WAFER_20150206084300" w:val="b265764f-9cc9-4051-b597-28966bcc0033"/>
    <w:docVar w:name="WAFER_20150206084300_GUID" w:val="UsedStyles"/>
    <w:docVar w:name="WAFER_20151016170500" w:val="65b8bf31-20ff-4e33-a7f5-3e8a982d38e1"/>
    <w:docVar w:name="WAFER_20151016170500_GUID" w:val="UpdateStyles"/>
    <w:docVar w:name="WAFER_20151016171156" w:val="6c2db7ef-daac-4b3e-9dc6-438f5d0ef0de"/>
    <w:docVar w:name="WAFER_20151016171156_GUID" w:val="UpdateStyles,UsedStyles"/>
    <w:docVar w:name="WAFER_20151016171216" w:val="94d94bff-48d8-4137-a72c-5fd727eea17c"/>
    <w:docVar w:name="WAFER_20151016171216_GUID" w:val="UpdateStyles,UsedStyles"/>
    <w:docVar w:name="WAFER_20151019113755" w:val="2391df09-cb41-4aa3-adeb-85763481adf4"/>
    <w:docVar w:name="WAFER_20151019113755_GUID" w:val="UpdateStyles"/>
    <w:docVar w:name="WAFER_20151102150240" w:val="b5d22a23-aebe-4a72-ade9-c7eb5fe3ff91"/>
    <w:docVar w:name="WAFER_20151102150240_GUID" w:val="UpdateStyles"/>
    <w:docVar w:name="WAFER_20190125160029" w:val="5f5bd124-b00b-412a-a7b5-01fcf0a689e4"/>
    <w:docVar w:name="WAFER_20190125160029_GUID" w:val="UpdateStyles"/>
    <w:docVar w:name="WAFER_20190213151332" w:val="ba422db1-9a36-4369-9917-270567d09a43"/>
    <w:docVar w:name="WAFER_20190213151332_GUID" w:val="UpdateStyles"/>
    <w:docVar w:name="WAFER_20190214104147" w:val="462c59b5-9a0c-4a8b-a415-d2eeb9a467c9"/>
    <w:docVar w:name="WAFER_20190214104147_GUID" w:val="UpdateStyles"/>
    <w:docVar w:name="WAFER_20190227114746" w:val="b6cf0004-89c3-4ce4-92f2-c7ba61597248"/>
    <w:docVar w:name="WAFER_20190227114746_GUID" w:val="UpdateStyles.ProcessFixes,UpdateStyles.ProcessFixes,RemoveIncorrectStyles.ProcessStyles,RemoveIncorrectStyles.ProcessStyles"/>
    <w:docVar w:name="WAFER_20191031134536" w:val="22d86058-aa5d-4625-8196-006bb3c08a21"/>
    <w:docVar w:name="WAFER_20191031134536_GUID"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00207102504" w:val="6a1c105a-3450-41aa-9a46-e934e904a723"/>
    <w:docVar w:name="WAFER_20200207102504_GUID" w:val="6a1c105a-3450-41aa-9a46-e934e904a723"/>
    <w:docVar w:name="WAFER_20230403110444" w:val="6a1c105a-3450-41aa-9a46-e934e904a723"/>
    <w:docVar w:name="WAFER_20230403110444_GUID" w:val="6a1c105a-3450-41aa-9a46-e934e904a723"/>
    <w:docVar w:name="WAFER_202403131535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13153501_GUID" w:val="de958541-2ce6-4609-ba02-9a7a23fd64cc"/>
    <w:docVar w:name="WAFER_202403280956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328095618_GUID" w:val="6c6b5b5c-8409-45bf-b803-1e4b089d189f"/>
    <w:docVar w:name="WAFER_202404261510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426151041_GUID" w:val="7bf8cfcc-4404-4485-a2cb-2a85a1eca7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D86D9EB7-B45A-4121-ABEB-77537D63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3AD0A-1845-4554-BCAE-54384942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2045</Characters>
  <Application>Microsoft Office Word</Application>
  <DocSecurity>0</DocSecurity>
  <Lines>81</Lines>
  <Paragraphs>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Redevelopment Authority Amendment Regulations 2024 - 00-00-00</dc:title>
  <dc:subject/>
  <dc:creator/>
  <cp:keywords/>
  <dc:description/>
  <cp:lastModifiedBy>Master Repository Process</cp:lastModifiedBy>
  <cp:revision>4</cp:revision>
  <cp:lastPrinted>2021-03-14T07:59:00Z</cp:lastPrinted>
  <dcterms:created xsi:type="dcterms:W3CDTF">2024-04-30T07:01:00Z</dcterms:created>
  <dcterms:modified xsi:type="dcterms:W3CDTF">2024-04-30T07:01:00Z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54743</vt:lpwstr>
  </property>
  <property fmtid="{D5CDD505-2E9C-101B-9397-08002B2CF9AE}" pid="3" name="DocumentType">
    <vt:lpwstr>Reg</vt:lpwstr>
  </property>
  <property fmtid="{D5CDD505-2E9C-101B-9397-08002B2CF9AE}" pid="4" name="AsAtDate">
    <vt:lpwstr>01 May 2024</vt:lpwstr>
  </property>
  <property fmtid="{D5CDD505-2E9C-101B-9397-08002B2CF9AE}" pid="5" name="Suffix">
    <vt:lpwstr>00-00-00</vt:lpwstr>
  </property>
  <property fmtid="{D5CDD505-2E9C-101B-9397-08002B2CF9AE}" pid="6" name="Official">
    <vt:lpwstr/>
  </property>
  <property fmtid="{D5CDD505-2E9C-101B-9397-08002B2CF9AE}" pid="7" name="SLAPId">
    <vt:lpwstr>2024/59</vt:lpwstr>
  </property>
  <property fmtid="{D5CDD505-2E9C-101B-9397-08002B2CF9AE}" pid="8" name="PublishDate">
    <vt:lpwstr>1 May 2024</vt:lpwstr>
  </property>
  <property fmtid="{D5CDD505-2E9C-101B-9397-08002B2CF9AE}" pid="9" name="CommencementDate">
    <vt:lpwstr>20240501</vt:lpwstr>
  </property>
  <property fmtid="{D5CDD505-2E9C-101B-9397-08002B2CF9AE}" pid="10" name="CommencementAsAt">
    <vt:filetime>2024-04-30T16:00:00Z</vt:filetime>
  </property>
  <property fmtid="{D5CDD505-2E9C-101B-9397-08002B2CF9AE}" pid="11" name="CommencementYear">
    <vt:lpwstr>2024</vt:lpwstr>
  </property>
</Properties>
</file>