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Jetties Act 1926</w:t>
      </w:r>
      <w:r>
        <w:rPr>
          <w:noProof/>
        </w:rPr>
        <w:br/>
        <w:t>Marine and Harbours Act 1981</w:t>
      </w:r>
      <w:r>
        <w:rPr>
          <w:noProof/>
        </w:rPr>
        <w:br/>
        <w:t>Shipping and Pilotage Act 1967</w:t>
      </w:r>
      <w:r>
        <w:rPr>
          <w:noProof/>
        </w:rPr>
        <w:br/>
        <w:t>Transport Co-ordination Act 1966</w:t>
      </w:r>
      <w:r>
        <w:rPr>
          <w:noProof/>
        </w:rPr>
        <w:br/>
        <w:t>Western Australian Marine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Regulations Amendment (Fees and Charges) Regulations (No. 2)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Transport Regulations Amendment (Fees and Charges) Regulations (No. 2)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_Toc165035745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_Toc165035746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  <w:iCs/>
        </w:rPr>
        <w:t>Marine and Harbours (Departmental Areas) Regulations 1998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_Toc165035748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3A amended</w:t>
      </w:r>
      <w:r>
        <w:tab/>
      </w:r>
      <w:r>
        <w:fldChar w:fldCharType="begin"/>
      </w:r>
      <w:r>
        <w:instrText xml:space="preserve"> PAGEREF _Toc165035749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  <w:iCs/>
        </w:rPr>
        <w:t>Mooring Regulations 1998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_Toc165035751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3 replaced</w:t>
      </w:r>
      <w:r>
        <w:tab/>
      </w:r>
      <w:r>
        <w:fldChar w:fldCharType="begin"/>
      </w:r>
      <w:r>
        <w:instrText xml:space="preserve"> PAGEREF _Toc165035752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  <w:iCs/>
        </w:rPr>
        <w:t>Navigable Waters Regulations</w:t>
      </w:r>
      <w:r>
        <w:t> </w:t>
      </w:r>
      <w:r>
        <w:rPr>
          <w:i/>
          <w:iCs/>
        </w:rPr>
        <w:t>1958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_Toc165035755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Various fees amended</w:t>
      </w:r>
      <w:r>
        <w:tab/>
      </w:r>
      <w:r>
        <w:fldChar w:fldCharType="begin"/>
      </w:r>
      <w:r>
        <w:instrText xml:space="preserve"> PAGEREF _Toc165035756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 — </w:t>
      </w:r>
      <w:r>
        <w:rPr>
          <w:i/>
          <w:iCs/>
        </w:rPr>
        <w:t>Shipping and Pilotage (Ports and Harbours) Regulations 1966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_Toc165035758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10.</w:t>
      </w:r>
      <w:r>
        <w:tab/>
        <w:t>Various fees amended</w:t>
      </w:r>
      <w:r>
        <w:tab/>
      </w:r>
      <w:r>
        <w:fldChar w:fldCharType="begin"/>
      </w:r>
      <w:r>
        <w:instrText xml:space="preserve"> PAGEREF _Toc165035759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 — </w:t>
      </w:r>
      <w:r>
        <w:rPr>
          <w:i/>
          <w:iCs/>
        </w:rPr>
        <w:t>Transport Co</w:t>
      </w:r>
      <w:r>
        <w:rPr>
          <w:i/>
          <w:iCs/>
        </w:rPr>
        <w:noBreakHyphen/>
        <w:t>ordination Regulations 1985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Regulations amended</w:t>
      </w:r>
      <w:r>
        <w:tab/>
      </w:r>
      <w:r>
        <w:fldChar w:fldCharType="begin"/>
      </w:r>
      <w:r>
        <w:instrText xml:space="preserve"> PAGEREF _Toc165035761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Regulation 8A amended</w:t>
      </w:r>
      <w:r>
        <w:tab/>
      </w:r>
      <w:r>
        <w:fldChar w:fldCharType="begin"/>
      </w:r>
      <w:r>
        <w:instrText xml:space="preserve"> PAGEREF _Toc165035762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rPr>
          <w:iCs/>
        </w:rPr>
      </w:pPr>
      <w:r>
        <w:lastRenderedPageBreak/>
        <w:t>Jetties Act 1926</w:t>
      </w:r>
      <w:r>
        <w:br/>
      </w:r>
      <w:r>
        <w:rPr>
          <w:iCs/>
        </w:rPr>
        <w:t>Marine and Harbours Act 1981</w:t>
      </w:r>
      <w:r>
        <w:rPr>
          <w:iCs/>
        </w:rPr>
        <w:br/>
      </w:r>
      <w:r>
        <w:t>Shipping and Pilotage Act 1967</w:t>
      </w:r>
      <w:r>
        <w:br/>
      </w:r>
      <w:r>
        <w:rPr>
          <w:iCs/>
        </w:rPr>
        <w:t>Transport Co</w:t>
      </w:r>
      <w:r>
        <w:rPr>
          <w:iCs/>
        </w:rPr>
        <w:noBreakHyphen/>
        <w:t>ordination Act 1966</w:t>
      </w:r>
      <w:r>
        <w:rPr>
          <w:iCs/>
        </w:rPr>
        <w:br/>
        <w:t>Western Australian Marine Act 1982</w:t>
      </w:r>
    </w:p>
    <w:p>
      <w:pPr>
        <w:pStyle w:val="NameofActReg"/>
      </w:pPr>
      <w:r>
        <w:t>Transport Regulations Amendment (Fees and Charges) Regulations (No. 2) 2024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220"/>
      </w:pPr>
      <w:bookmarkStart w:id="2" w:name="_Toc165035619"/>
      <w:bookmarkStart w:id="3" w:name="_Toc165035659"/>
      <w:bookmarkStart w:id="4" w:name="_Toc16503574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</w:p>
    <w:p>
      <w:pPr>
        <w:pStyle w:val="Heading5"/>
      </w:pPr>
      <w:bookmarkStart w:id="5" w:name="_Toc165035620"/>
      <w:bookmarkStart w:id="6" w:name="_Toc165035745"/>
      <w:r>
        <w:rPr>
          <w:rStyle w:val="CharSectno"/>
        </w:rPr>
        <w:t>1</w:t>
      </w:r>
      <w:r>
        <w:t>.</w:t>
      </w:r>
      <w:r>
        <w:tab/>
        <w:t>Citation</w:t>
      </w:r>
      <w:bookmarkEnd w:id="5"/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Transport Regulations Amendment (Fees and Charges) Regulations (No. 2) 2024</w:t>
      </w:r>
      <w:r>
        <w:t>.</w:t>
      </w:r>
    </w:p>
    <w:p>
      <w:pPr>
        <w:pStyle w:val="Heading5"/>
        <w:rPr>
          <w:spacing w:val="-2"/>
        </w:rPr>
      </w:pPr>
      <w:bookmarkStart w:id="8" w:name="_Toc165035621"/>
      <w:bookmarkStart w:id="9" w:name="_Toc16503574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Part 1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2024.</w:t>
      </w:r>
    </w:p>
    <w:p>
      <w:pPr>
        <w:pStyle w:val="Heading2"/>
      </w:pPr>
      <w:bookmarkStart w:id="10" w:name="_Toc165035622"/>
      <w:bookmarkStart w:id="11" w:name="_Toc165035662"/>
      <w:bookmarkStart w:id="12" w:name="_Toc165035747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Marine and Harbours (Departmental Areas) Regulations 1998</w:t>
      </w:r>
      <w:r>
        <w:rPr>
          <w:rStyle w:val="CharPartText"/>
        </w:rPr>
        <w:t xml:space="preserve"> amended</w:t>
      </w:r>
      <w:bookmarkEnd w:id="10"/>
      <w:bookmarkEnd w:id="11"/>
      <w:bookmarkEnd w:id="12"/>
    </w:p>
    <w:p>
      <w:pPr>
        <w:pStyle w:val="Heading5"/>
      </w:pPr>
      <w:bookmarkStart w:id="13" w:name="_Toc165035623"/>
      <w:bookmarkStart w:id="14" w:name="_Toc165035748"/>
      <w:r>
        <w:rPr>
          <w:rStyle w:val="CharSectno"/>
        </w:rPr>
        <w:t>3</w:t>
      </w:r>
      <w:r>
        <w:t>.</w:t>
      </w:r>
      <w:r>
        <w:tab/>
        <w:t>Regulations amended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Marine and Harbours (Departmental Areas) Regulations 1998</w:t>
      </w:r>
      <w:r>
        <w:t>.</w:t>
      </w:r>
    </w:p>
    <w:p>
      <w:pPr>
        <w:pStyle w:val="Heading5"/>
      </w:pPr>
      <w:bookmarkStart w:id="15" w:name="_Toc165035624"/>
      <w:bookmarkStart w:id="16" w:name="_Toc165035749"/>
      <w:r>
        <w:rPr>
          <w:rStyle w:val="CharSectno"/>
        </w:rPr>
        <w:t>4</w:t>
      </w:r>
      <w:r>
        <w:t>.</w:t>
      </w:r>
      <w:r>
        <w:tab/>
        <w:t>Regulation 3A amended</w:t>
      </w:r>
      <w:bookmarkEnd w:id="15"/>
      <w:bookmarkEnd w:id="16"/>
    </w:p>
    <w:p>
      <w:pPr>
        <w:pStyle w:val="Subsection"/>
      </w:pPr>
      <w:r>
        <w:tab/>
      </w:r>
      <w:r>
        <w:tab/>
        <w:t>In regulation 3A:</w:t>
      </w:r>
    </w:p>
    <w:p>
      <w:pPr>
        <w:pStyle w:val="Indenta"/>
      </w:pPr>
      <w:r>
        <w:tab/>
        <w:t>(a)</w:t>
      </w:r>
      <w:r>
        <w:tab/>
        <w:t>in paragraph (a) delete “$9.80;”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$10.10;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(b) delete “$155.35.”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$160.00.</w:t>
      </w:r>
    </w:p>
    <w:p>
      <w:pPr>
        <w:pStyle w:val="BlankClose"/>
      </w:pPr>
    </w:p>
    <w:p>
      <w:pPr>
        <w:pStyle w:val="Heading2"/>
      </w:pPr>
      <w:bookmarkStart w:id="17" w:name="_Toc165035625"/>
      <w:bookmarkStart w:id="18" w:name="_Toc165035665"/>
      <w:bookmarkStart w:id="19" w:name="_Toc165035750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Mooring Regulations 1998</w:t>
      </w:r>
      <w:r>
        <w:rPr>
          <w:rStyle w:val="CharPartText"/>
        </w:rPr>
        <w:t xml:space="preserve"> amended</w:t>
      </w:r>
      <w:bookmarkEnd w:id="17"/>
      <w:bookmarkEnd w:id="18"/>
      <w:bookmarkEnd w:id="19"/>
    </w:p>
    <w:p>
      <w:pPr>
        <w:pStyle w:val="Heading5"/>
      </w:pPr>
      <w:bookmarkStart w:id="20" w:name="_Toc165035626"/>
      <w:bookmarkStart w:id="21" w:name="_Toc165035751"/>
      <w:r>
        <w:rPr>
          <w:rStyle w:val="CharSectno"/>
        </w:rPr>
        <w:t>5</w:t>
      </w:r>
      <w:r>
        <w:t>.</w:t>
      </w:r>
      <w:r>
        <w:tab/>
        <w:t>Regulations amended</w:t>
      </w:r>
      <w:bookmarkEnd w:id="20"/>
      <w:bookmarkEnd w:id="2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Mooring Regulations 1998</w:t>
      </w:r>
      <w:r>
        <w:t>.</w:t>
      </w:r>
    </w:p>
    <w:p>
      <w:pPr>
        <w:pStyle w:val="Heading5"/>
      </w:pPr>
      <w:bookmarkStart w:id="22" w:name="_Toc165035627"/>
      <w:bookmarkStart w:id="23" w:name="_Toc165035752"/>
      <w:r>
        <w:rPr>
          <w:rStyle w:val="CharSectno"/>
        </w:rPr>
        <w:t>6</w:t>
      </w:r>
      <w:r>
        <w:t>.</w:t>
      </w:r>
      <w:r>
        <w:tab/>
        <w:t>Schedule 3 replaced</w:t>
      </w:r>
      <w:bookmarkEnd w:id="22"/>
      <w:bookmarkEnd w:id="23"/>
    </w:p>
    <w:p>
      <w:pPr>
        <w:pStyle w:val="Subsection"/>
      </w:pPr>
      <w:r>
        <w:tab/>
      </w:r>
      <w:r>
        <w:tab/>
        <w:t>Delete Schedule 3 and insert:</w:t>
      </w:r>
    </w:p>
    <w:p>
      <w:pPr>
        <w:pStyle w:val="BlankOpen"/>
      </w:pPr>
    </w:p>
    <w:p>
      <w:pPr>
        <w:pStyle w:val="zyHeading2"/>
      </w:pPr>
      <w:bookmarkStart w:id="24" w:name="_Toc165035628"/>
      <w:bookmarkStart w:id="25" w:name="_Toc165035668"/>
      <w:bookmarkStart w:id="26" w:name="_Toc165035753"/>
      <w:r>
        <w:t>Schedule 3 — Fees</w:t>
      </w:r>
      <w:bookmarkEnd w:id="24"/>
      <w:bookmarkEnd w:id="25"/>
      <w:bookmarkEnd w:id="26"/>
    </w:p>
    <w:p>
      <w:pPr>
        <w:pStyle w:val="zyShoulderClause"/>
      </w:pPr>
      <w:r>
        <w:t>[r. 7D, 7F, 8, 12, 13, 15, 25 and 27]</w:t>
      </w:r>
    </w:p>
    <w:p>
      <w:pPr>
        <w:pStyle w:val="zyTHeadingNAm"/>
      </w:pPr>
      <w:r>
        <w:t>Table</w:t>
      </w:r>
    </w:p>
    <w:tbl>
      <w:tblPr>
        <w:tblW w:w="6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1588"/>
      </w:tblGrid>
      <w:tr>
        <w:trPr>
          <w:tblHeader/>
        </w:trPr>
        <w:tc>
          <w:tcPr>
            <w:tcW w:w="1276" w:type="dxa"/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88" w:type="dxa"/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1.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rStyle w:val="DraftersNotes"/>
              </w:rPr>
            </w:pPr>
            <w:r>
              <w:t>Shared</w:t>
            </w:r>
            <w:r>
              <w:noBreakHyphen/>
              <w:t>use mooring authorisation for 12 months (r. 7D(3)(b))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$111.70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2.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rStyle w:val="DraftersNotes"/>
              </w:rPr>
            </w:pPr>
            <w:r>
              <w:t>Rental mooring site authorisation for each day of rental period (r. 7F(4)(b))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$35.10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3.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for mooring licence (r. 8(2)(g)(i))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$124.50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4.</w:t>
            </w:r>
          </w:p>
        </w:tc>
        <w:tc>
          <w:tcPr>
            <w:tcW w:w="4111" w:type="dxa"/>
            <w:noWrap/>
          </w:tcPr>
          <w:p>
            <w:pPr>
              <w:pStyle w:val="zyTableNAm"/>
              <w:rPr>
                <w:rStyle w:val="DraftersNotes"/>
                <w:b w:val="0"/>
                <w:i w:val="0"/>
                <w:sz w:val="22"/>
              </w:rPr>
            </w:pPr>
            <w:r>
              <w:t>Annual mooring licence for recreational mooring site (exclusive use) (r. 12(1)(c) and 13(1))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$697.65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5.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Annual mooring licence for recreational mooring site (shared use) (r. 12(1)(c) and 13(1))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$359.45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6.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Annual mooring licence for commercial general mooring site (r. 12(1)(c) and 13(1))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$898.65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lastRenderedPageBreak/>
              <w:t>7.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Annual mooring licence for commercial resources mooring site (r. 12(1)(c) and 13(1))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$2 921.40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8.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Annual mooring licence late payment (r. 13(3))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$124.50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9.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Exchange of registered mooring sites (r. 15(2)(b))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$124.50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10.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Substitution of licensed vessel (r. 25(5)(b))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$124.50</w:t>
            </w:r>
          </w:p>
        </w:tc>
      </w:tr>
      <w:tr>
        <w:tc>
          <w:tcPr>
            <w:tcW w:w="1276" w:type="dxa"/>
            <w:noWrap/>
          </w:tcPr>
          <w:p>
            <w:pPr>
              <w:pStyle w:val="zyTableNAm"/>
              <w:jc w:val="center"/>
            </w:pPr>
            <w:r>
              <w:t>11.</w:t>
            </w:r>
          </w:p>
        </w:tc>
        <w:tc>
          <w:tcPr>
            <w:tcW w:w="4111" w:type="dxa"/>
            <w:noWrap/>
          </w:tcPr>
          <w:p>
            <w:pPr>
              <w:pStyle w:val="zyTableNAm"/>
            </w:pPr>
            <w:r>
              <w:t>Application to register additional vessel (r. 27(1)(e))</w:t>
            </w:r>
          </w:p>
        </w:tc>
        <w:tc>
          <w:tcPr>
            <w:tcW w:w="1588" w:type="dxa"/>
            <w:noWrap/>
            <w:vAlign w:val="bottom"/>
          </w:tcPr>
          <w:p>
            <w:pPr>
              <w:pStyle w:val="zyTableNAm"/>
              <w:tabs>
                <w:tab w:val="clear" w:pos="567"/>
              </w:tabs>
              <w:ind w:right="180"/>
              <w:jc w:val="right"/>
            </w:pPr>
            <w:r>
              <w:t>$124.50</w:t>
            </w:r>
          </w:p>
        </w:tc>
      </w:tr>
    </w:tbl>
    <w:p>
      <w:pPr>
        <w:pStyle w:val="BlankClose"/>
      </w:pPr>
    </w:p>
    <w:p>
      <w:pPr>
        <w:pStyle w:val="Heading2"/>
      </w:pPr>
      <w:bookmarkStart w:id="27" w:name="_Toc165035629"/>
      <w:bookmarkStart w:id="28" w:name="_Toc165035669"/>
      <w:bookmarkStart w:id="29" w:name="_Toc165035754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Navigable Waters Regulations</w:t>
      </w:r>
      <w:r>
        <w:rPr>
          <w:rStyle w:val="CharPartText"/>
        </w:rPr>
        <w:t> </w:t>
      </w:r>
      <w:r>
        <w:rPr>
          <w:rStyle w:val="CharPartText"/>
          <w:i/>
          <w:iCs/>
        </w:rPr>
        <w:t>1958</w:t>
      </w:r>
      <w:r>
        <w:rPr>
          <w:rStyle w:val="CharPartText"/>
        </w:rPr>
        <w:t xml:space="preserve"> amended</w:t>
      </w:r>
      <w:bookmarkEnd w:id="27"/>
      <w:bookmarkEnd w:id="28"/>
      <w:bookmarkEnd w:id="29"/>
    </w:p>
    <w:p>
      <w:pPr>
        <w:pStyle w:val="Heading5"/>
      </w:pPr>
      <w:bookmarkStart w:id="30" w:name="_Toc165035630"/>
      <w:bookmarkStart w:id="31" w:name="_Toc165035755"/>
      <w:r>
        <w:rPr>
          <w:rStyle w:val="CharSectno"/>
        </w:rPr>
        <w:t>7</w:t>
      </w:r>
      <w:r>
        <w:t>.</w:t>
      </w:r>
      <w:r>
        <w:tab/>
        <w:t>Regulations amended</w:t>
      </w:r>
      <w:bookmarkEnd w:id="30"/>
      <w:bookmarkEnd w:id="3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Navigable Waters Regulations 1958</w:t>
      </w:r>
      <w:r>
        <w:t>.</w:t>
      </w:r>
    </w:p>
    <w:p>
      <w:pPr>
        <w:pStyle w:val="Heading5"/>
      </w:pPr>
      <w:bookmarkStart w:id="32" w:name="_Toc165035631"/>
      <w:bookmarkStart w:id="33" w:name="_Toc165035756"/>
      <w:r>
        <w:rPr>
          <w:rStyle w:val="CharSectno"/>
        </w:rPr>
        <w:t>8</w:t>
      </w:r>
      <w:r>
        <w:t>.</w:t>
      </w:r>
      <w:r>
        <w:tab/>
        <w:t>Various fees amended</w:t>
      </w:r>
      <w:bookmarkEnd w:id="32"/>
      <w:bookmarkEnd w:id="33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  <w:ind w:left="993"/>
      </w:pPr>
      <w:r>
        <w:t>Table</w:t>
      </w:r>
    </w:p>
    <w:tbl>
      <w:tblPr>
        <w:tblW w:w="4306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23"/>
        <w:gridCol w:w="1936"/>
        <w:gridCol w:w="1936"/>
      </w:tblGrid>
      <w:tr>
        <w:trPr>
          <w:trHeight w:val="397"/>
          <w:tblHeader/>
        </w:trPr>
        <w:tc>
          <w:tcPr>
            <w:tcW w:w="1666" w:type="pct"/>
            <w:noWrap/>
          </w:tcPr>
          <w:p>
            <w:pPr>
              <w:pStyle w:val="TableAm"/>
              <w:keepNext/>
              <w:jc w:val="center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  <w:jc w:val="center"/>
              <w:rPr>
                <w:b/>
              </w:rPr>
            </w:pPr>
            <w:r>
              <w:rPr>
                <w:b/>
              </w:rPr>
              <w:t>Delete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  <w:jc w:val="center"/>
              <w:rPr>
                <w:b/>
              </w:rPr>
            </w:pPr>
            <w:r>
              <w:rPr>
                <w:b/>
              </w:rPr>
              <w:t>Insert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  <w:keepNext/>
            </w:pPr>
            <w:r>
              <w:t>r. 45AA(3)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</w:pPr>
            <w:r>
              <w:t>$416.60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</w:pPr>
            <w:r>
              <w:t>$429.10</w:t>
            </w:r>
          </w:p>
        </w:tc>
      </w:tr>
      <w:tr>
        <w:trPr>
          <w:trHeight w:val="384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45AB(3)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$115.60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$119.05</w:t>
            </w:r>
          </w:p>
        </w:tc>
      </w:tr>
      <w:tr>
        <w:trPr>
          <w:trHeight w:val="384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45B(3a)(b) Table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147.50</w:t>
            </w:r>
          </w:p>
          <w:p>
            <w:pPr>
              <w:pStyle w:val="TableAm"/>
            </w:pPr>
            <w:r>
              <w:t>313.10</w:t>
            </w:r>
          </w:p>
          <w:p>
            <w:pPr>
              <w:pStyle w:val="TableAm"/>
            </w:pPr>
            <w:r>
              <w:t>628.00</w:t>
            </w:r>
          </w:p>
          <w:p>
            <w:pPr>
              <w:pStyle w:val="TableAm"/>
            </w:pPr>
            <w:r>
              <w:t>918.45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154.85</w:t>
            </w:r>
          </w:p>
          <w:p>
            <w:pPr>
              <w:pStyle w:val="TableAm"/>
            </w:pPr>
            <w:r>
              <w:t>328.75</w:t>
            </w:r>
          </w:p>
          <w:p>
            <w:pPr>
              <w:pStyle w:val="TableAm"/>
            </w:pPr>
            <w:r>
              <w:t>659.40</w:t>
            </w:r>
          </w:p>
          <w:p>
            <w:pPr>
              <w:pStyle w:val="TableAm"/>
            </w:pPr>
            <w:r>
              <w:t>964.35</w:t>
            </w:r>
          </w:p>
        </w:tc>
      </w:tr>
      <w:tr>
        <w:trPr>
          <w:trHeight w:val="384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45B(4)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$32.55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$34.15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45B(6A)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$13.90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$14.35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45BAA(4A)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$32.55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$34.15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45BAA(4A) Table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4.45</w:t>
            </w:r>
          </w:p>
          <w:p>
            <w:pPr>
              <w:pStyle w:val="TableAm"/>
            </w:pPr>
            <w:r>
              <w:t>8.25</w:t>
            </w:r>
          </w:p>
          <w:p>
            <w:pPr>
              <w:pStyle w:val="TableAm"/>
            </w:pPr>
            <w:r>
              <w:t>10.75</w:t>
            </w:r>
          </w:p>
          <w:p>
            <w:pPr>
              <w:pStyle w:val="TableAm"/>
            </w:pPr>
            <w:r>
              <w:t>21.45</w:t>
            </w:r>
          </w:p>
          <w:p>
            <w:pPr>
              <w:pStyle w:val="TableAm"/>
            </w:pPr>
            <w:r>
              <w:t>42.75</w:t>
            </w:r>
          </w:p>
          <w:p>
            <w:pPr>
              <w:pStyle w:val="TableAm"/>
            </w:pPr>
            <w:r>
              <w:t>85.60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4.65</w:t>
            </w:r>
          </w:p>
          <w:p>
            <w:pPr>
              <w:pStyle w:val="TableAm"/>
            </w:pPr>
            <w:r>
              <w:t>8.65</w:t>
            </w:r>
          </w:p>
          <w:p>
            <w:pPr>
              <w:pStyle w:val="TableAm"/>
            </w:pPr>
            <w:r>
              <w:t>11.25</w:t>
            </w:r>
          </w:p>
          <w:p>
            <w:pPr>
              <w:pStyle w:val="TableAm"/>
            </w:pPr>
            <w:r>
              <w:t>22.50</w:t>
            </w:r>
          </w:p>
          <w:p>
            <w:pPr>
              <w:pStyle w:val="TableAm"/>
            </w:pPr>
            <w:r>
              <w:t>44.85</w:t>
            </w:r>
          </w:p>
          <w:p>
            <w:pPr>
              <w:pStyle w:val="TableAm"/>
            </w:pPr>
            <w:r>
              <w:t>89.85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lastRenderedPageBreak/>
              <w:t>r. 45BAB(2)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$1.90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$2.00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45BA(2)(a)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$404.10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$416.20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45BA(2)(b)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$168.90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$173.95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45BA(3)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$306.80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$316.00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45BA(6a)(b)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$168.90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$173.95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45E(2)(a)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$32.55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$34.15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47C(3)(ba)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$32.55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$34.15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47C(5)(b)(ii)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$24.60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$25.35</w:t>
            </w:r>
          </w:p>
        </w:tc>
      </w:tr>
    </w:tbl>
    <w:p>
      <w:pPr>
        <w:pStyle w:val="Heading2"/>
      </w:pPr>
      <w:bookmarkStart w:id="34" w:name="_Toc165035632"/>
      <w:bookmarkStart w:id="35" w:name="_Toc165035672"/>
      <w:bookmarkStart w:id="36" w:name="_Toc165035757"/>
      <w:r>
        <w:rPr>
          <w:rStyle w:val="CharPartNo"/>
        </w:rPr>
        <w:lastRenderedPageBreak/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Shipping and Pilotage (Ports and Harbours) Regulations 1966</w:t>
      </w:r>
      <w:r>
        <w:rPr>
          <w:rStyle w:val="CharPartText"/>
        </w:rPr>
        <w:t xml:space="preserve"> amended</w:t>
      </w:r>
      <w:bookmarkEnd w:id="34"/>
      <w:bookmarkEnd w:id="35"/>
      <w:bookmarkEnd w:id="36"/>
    </w:p>
    <w:p>
      <w:pPr>
        <w:pStyle w:val="Heading5"/>
        <w:rPr>
          <w:snapToGrid w:val="0"/>
        </w:rPr>
      </w:pPr>
      <w:bookmarkStart w:id="37" w:name="_Toc165035633"/>
      <w:bookmarkStart w:id="38" w:name="_Toc165035758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37"/>
      <w:bookmarkEnd w:id="38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Shipping and Pilotage (Ports and Harbours) Regulations 1966</w:t>
      </w:r>
      <w:r>
        <w:t>.</w:t>
      </w:r>
    </w:p>
    <w:p>
      <w:pPr>
        <w:pStyle w:val="Heading5"/>
      </w:pPr>
      <w:bookmarkStart w:id="39" w:name="_Toc165035634"/>
      <w:bookmarkStart w:id="40" w:name="_Toc165035759"/>
      <w:r>
        <w:rPr>
          <w:rStyle w:val="CharSectno"/>
        </w:rPr>
        <w:t>10</w:t>
      </w:r>
      <w:r>
        <w:t>.</w:t>
      </w:r>
      <w:r>
        <w:tab/>
        <w:t>Various fees amended</w:t>
      </w:r>
      <w:bookmarkEnd w:id="39"/>
      <w:bookmarkEnd w:id="40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  <w:ind w:left="993"/>
      </w:pPr>
      <w:r>
        <w:t>Table</w:t>
      </w:r>
    </w:p>
    <w:tbl>
      <w:tblPr>
        <w:tblW w:w="4306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031"/>
        <w:gridCol w:w="2032"/>
        <w:gridCol w:w="2032"/>
      </w:tblGrid>
      <w:tr>
        <w:trPr>
          <w:trHeight w:val="397"/>
          <w:tblHeader/>
        </w:trPr>
        <w:tc>
          <w:tcPr>
            <w:tcW w:w="1666" w:type="pct"/>
            <w:noWrap/>
          </w:tcPr>
          <w:p>
            <w:pPr>
              <w:pStyle w:val="TableAm"/>
              <w:keepNext/>
              <w:jc w:val="center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  <w:jc w:val="center"/>
              <w:rPr>
                <w:b/>
              </w:rPr>
            </w:pPr>
            <w:r>
              <w:rPr>
                <w:b/>
              </w:rPr>
              <w:t>Delete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  <w:jc w:val="center"/>
              <w:rPr>
                <w:b/>
              </w:rPr>
            </w:pPr>
            <w:r>
              <w:rPr>
                <w:b/>
              </w:rPr>
              <w:t>Insert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  <w:keepNext/>
            </w:pPr>
            <w:r>
              <w:t>r. 9B(2)(b)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</w:pPr>
            <w:r>
              <w:t>$593.30</w:t>
            </w:r>
          </w:p>
        </w:tc>
        <w:tc>
          <w:tcPr>
            <w:tcW w:w="1667" w:type="pct"/>
            <w:noWrap/>
          </w:tcPr>
          <w:p>
            <w:pPr>
              <w:pStyle w:val="TableAm"/>
              <w:keepNext/>
            </w:pPr>
            <w:r>
              <w:t>$611.10</w:t>
            </w:r>
          </w:p>
        </w:tc>
      </w:tr>
      <w:tr>
        <w:trPr>
          <w:trHeight w:val="384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9F(2)(c)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$383.80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$395.30</w:t>
            </w:r>
          </w:p>
        </w:tc>
      </w:tr>
      <w:tr>
        <w:trPr>
          <w:trHeight w:val="384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9J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$217.00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$223.50</w:t>
            </w:r>
          </w:p>
        </w:tc>
      </w:tr>
      <w:tr>
        <w:trPr>
          <w:trHeight w:val="397"/>
        </w:trPr>
        <w:tc>
          <w:tcPr>
            <w:tcW w:w="1666" w:type="pct"/>
            <w:noWrap/>
          </w:tcPr>
          <w:p>
            <w:pPr>
              <w:pStyle w:val="TableAm"/>
            </w:pPr>
            <w:r>
              <w:t>r. 16(d)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$785.70</w:t>
            </w:r>
          </w:p>
        </w:tc>
        <w:tc>
          <w:tcPr>
            <w:tcW w:w="1667" w:type="pct"/>
            <w:noWrap/>
          </w:tcPr>
          <w:p>
            <w:pPr>
              <w:pStyle w:val="TableAm"/>
            </w:pPr>
            <w:r>
              <w:t>$809.25</w:t>
            </w:r>
          </w:p>
        </w:tc>
      </w:tr>
    </w:tbl>
    <w:p>
      <w:pPr>
        <w:pStyle w:val="Heading2"/>
      </w:pPr>
      <w:bookmarkStart w:id="41" w:name="_Toc165035635"/>
      <w:bookmarkStart w:id="42" w:name="_Toc165035675"/>
      <w:bookmarkStart w:id="43" w:name="_Toc165035760"/>
      <w:r>
        <w:rPr>
          <w:rStyle w:val="CharPartNo"/>
        </w:rPr>
        <w:lastRenderedPageBreak/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  <w:iCs/>
        </w:rPr>
        <w:t>Transport Co</w:t>
      </w:r>
      <w:r>
        <w:rPr>
          <w:rStyle w:val="CharPartText"/>
          <w:i/>
          <w:iCs/>
        </w:rPr>
        <w:noBreakHyphen/>
        <w:t>ordination Regulations 1985</w:t>
      </w:r>
      <w:r>
        <w:rPr>
          <w:rStyle w:val="CharPartText"/>
        </w:rPr>
        <w:t xml:space="preserve"> amended</w:t>
      </w:r>
      <w:bookmarkEnd w:id="41"/>
      <w:bookmarkEnd w:id="42"/>
      <w:bookmarkEnd w:id="43"/>
    </w:p>
    <w:p>
      <w:pPr>
        <w:pStyle w:val="Heading5"/>
      </w:pPr>
      <w:bookmarkStart w:id="44" w:name="_Toc165035636"/>
      <w:bookmarkStart w:id="45" w:name="_Toc165035761"/>
      <w:r>
        <w:rPr>
          <w:rStyle w:val="CharSectno"/>
        </w:rPr>
        <w:t>11</w:t>
      </w:r>
      <w:r>
        <w:t>.</w:t>
      </w:r>
      <w:r>
        <w:tab/>
        <w:t>Regulations amended</w:t>
      </w:r>
      <w:bookmarkEnd w:id="44"/>
      <w:bookmarkEnd w:id="45"/>
    </w:p>
    <w:p>
      <w:pPr>
        <w:pStyle w:val="Subsection"/>
        <w:rPr>
          <w:iCs/>
        </w:rPr>
      </w:pPr>
      <w:r>
        <w:tab/>
      </w:r>
      <w:r>
        <w:tab/>
        <w:t xml:space="preserve">This Part amends the </w:t>
      </w:r>
      <w:r>
        <w:rPr>
          <w:i/>
        </w:rPr>
        <w:t>Transport Co</w:t>
      </w:r>
      <w:r>
        <w:rPr>
          <w:i/>
        </w:rPr>
        <w:noBreakHyphen/>
        <w:t>ordination Regulations 1985</w:t>
      </w:r>
      <w:r>
        <w:rPr>
          <w:iCs/>
        </w:rPr>
        <w:t>.</w:t>
      </w:r>
    </w:p>
    <w:p>
      <w:pPr>
        <w:pStyle w:val="Heading5"/>
      </w:pPr>
      <w:bookmarkStart w:id="46" w:name="_Toc165035637"/>
      <w:bookmarkStart w:id="47" w:name="_Toc165035762"/>
      <w:r>
        <w:rPr>
          <w:rStyle w:val="CharSectno"/>
        </w:rPr>
        <w:t>12</w:t>
      </w:r>
      <w:r>
        <w:t>.</w:t>
      </w:r>
      <w:r>
        <w:tab/>
        <w:t>Regulation 8A amended</w:t>
      </w:r>
      <w:bookmarkEnd w:id="46"/>
      <w:bookmarkEnd w:id="47"/>
    </w:p>
    <w:p>
      <w:pPr>
        <w:pStyle w:val="Subsection"/>
      </w:pPr>
      <w:r>
        <w:tab/>
      </w:r>
      <w:r>
        <w:tab/>
        <w:t>In regulation 8A(d) delete “$2.95.”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$3.05.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D07AD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83CB6E6" w14:textId="73C9E376" w:rsidR="000778F2" w:rsidRDefault="000778F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181E0F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C41717F" w14:textId="77777777" w:rsidR="000778F2" w:rsidRDefault="000778F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5ABC3BE" w14:textId="178A95FA" w:rsidR="000778F2" w:rsidRDefault="000778F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181E0F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981291C" w14:textId="77777777" w:rsidR="000778F2" w:rsidRDefault="000778F2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2024/57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2024/57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398"/>
      <w:gridCol w:w="317"/>
    </w:tblGrid>
    <w:tr>
      <w:trPr>
        <w:gridAfter w:val="1"/>
        <w:wAfter w:w="317" w:type="dxa"/>
        <w:cantSplit/>
        <w:jc w:val="center"/>
      </w:trPr>
      <w:tc>
        <w:tcPr>
          <w:tcW w:w="6946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79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26"/>
      <w:gridCol w:w="5005"/>
      <w:gridCol w:w="1548"/>
    </w:tblGrid>
    <w:tr>
      <w:trPr>
        <w:cantSplit/>
        <w:jc w:val="center"/>
      </w:trPr>
      <w:tc>
        <w:tcPr>
          <w:tcW w:w="6979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Transport Regulations Amendment (Fees and Charges) Regulations (No. 2) 2024</w:t>
          </w:r>
          <w:r>
            <w:rPr>
              <w:b/>
              <w:i/>
            </w:rPr>
            <w:fldChar w:fldCharType="end"/>
          </w:r>
        </w:p>
      </w:tc>
    </w:tr>
    <w:tr>
      <w:trPr>
        <w:gridBefore w:val="1"/>
        <w:wBefore w:w="426" w:type="dxa"/>
        <w:jc w:val="center"/>
      </w:trPr>
      <w:tc>
        <w:tcPr>
          <w:tcW w:w="500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431" w:type="dxa"/>
          <w:gridSpan w:val="2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6979" w:type="dxa"/>
          <w:gridSpan w:val="3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D44600D"/>
    <w:multiLevelType w:val="hybridMultilevel"/>
    <w:tmpl w:val="2CE49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9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20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9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45301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3070859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307085936_GUID" w:val="8d1f3bea-6c81-4607-a53d-dea983e7c7a5"/>
    <w:docVar w:name="WAFER_202404020922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02092217_GUID" w:val="2ae506e0-9b16-4cfd-b2fc-8006219d512f"/>
    <w:docVar w:name="WAFER_2024042614530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45301_GUID" w:val="7e890d43-11b4-4b42-b4fd-1231c836ba2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6ADA4EDC-C309-4680-B593-78BCB88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4538</Characters>
  <Application>Microsoft Office Word</Application>
  <DocSecurity>0</DocSecurity>
  <Lines>302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Regulations Amendment (Fees and Charges) Regulations (No. 2) 2024 - 00-00-00</dc:title>
  <dc:subject/>
  <dc:creator/>
  <cp:keywords/>
  <dc:description/>
  <cp:lastModifiedBy>Master Repository Process</cp:lastModifiedBy>
  <cp:revision>4</cp:revision>
  <cp:lastPrinted>2024-03-06T08:31:00Z</cp:lastPrinted>
  <dcterms:created xsi:type="dcterms:W3CDTF">2024-04-30T07:03:00Z</dcterms:created>
  <dcterms:modified xsi:type="dcterms:W3CDTF">2024-04-30T07:03:00Z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54749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2024/57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