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(Cloth Materials)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(Cloth Materials)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_Toc165293387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_Toc165293388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_Toc165293389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Worn clothing to be cleaned</w:t>
      </w:r>
      <w:r>
        <w:tab/>
      </w:r>
      <w:r>
        <w:fldChar w:fldCharType="begin"/>
      </w:r>
      <w:r>
        <w:instrText xml:space="preserve"> PAGEREF _Toc165293390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or label to the effect that clothing is “</w:t>
      </w:r>
      <w:r>
        <w:t>used</w:t>
      </w:r>
      <w:r>
        <w:rPr>
          <w:snapToGrid w:val="0"/>
        </w:rPr>
        <w:t>”</w:t>
      </w:r>
      <w:r>
        <w:tab/>
      </w:r>
      <w:r>
        <w:fldChar w:fldCharType="begin"/>
      </w:r>
      <w:r>
        <w:instrText xml:space="preserve"> PAGEREF _Toc165293391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Precautions against infections</w:t>
      </w:r>
      <w:r>
        <w:tab/>
      </w:r>
      <w:r>
        <w:fldChar w:fldCharType="begin"/>
      </w:r>
      <w:r>
        <w:instrText xml:space="preserve"> PAGEREF _Toc165293392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Used furnishings to be cleaned</w:t>
      </w:r>
      <w:r>
        <w:tab/>
      </w:r>
      <w:r>
        <w:fldChar w:fldCharType="begin"/>
      </w:r>
      <w:r>
        <w:instrText xml:space="preserve"> PAGEREF _Toc165293393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Used filling material to be cleansed</w:t>
      </w:r>
      <w:r>
        <w:tab/>
      </w:r>
      <w:r>
        <w:fldChar w:fldCharType="begin"/>
      </w:r>
      <w:r>
        <w:instrText xml:space="preserve"> PAGEREF _Toc165293394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Trading in rags</w:t>
      </w:r>
      <w:r>
        <w:tab/>
      </w:r>
      <w:r>
        <w:fldChar w:fldCharType="begin"/>
      </w:r>
      <w:r>
        <w:instrText xml:space="preserve"> PAGEREF _Toc165293395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local authority</w:t>
      </w:r>
      <w:r>
        <w:tab/>
      </w:r>
      <w:r>
        <w:fldChar w:fldCharType="begin"/>
      </w:r>
      <w:r>
        <w:instrText xml:space="preserve"> PAGEREF _Toc165293396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Cleansed materials to be kept separate</w:t>
      </w:r>
      <w:r>
        <w:tab/>
      </w:r>
      <w:r>
        <w:fldChar w:fldCharType="begin"/>
      </w:r>
      <w:r>
        <w:instrText xml:space="preserve"> PAGEREF _Toc165293397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Prohibition in relation to refuse sites, etc.</w:t>
      </w:r>
      <w:r>
        <w:tab/>
      </w:r>
      <w:r>
        <w:fldChar w:fldCharType="begin"/>
      </w:r>
      <w:r>
        <w:instrText xml:space="preserve"> PAGEREF _Toc165293398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Authorised officer may act</w:t>
      </w:r>
      <w:r>
        <w:tab/>
      </w:r>
      <w:r>
        <w:fldChar w:fldCharType="begin"/>
      </w:r>
      <w:r>
        <w:instrText xml:space="preserve"> PAGEREF _Toc165293399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_Toc165293400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_Toc165293402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_Toc165293403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(Miscellaneous Provisions) Act 1911</w:t>
      </w:r>
    </w:p>
    <w:p>
      <w:pPr>
        <w:pStyle w:val="NameofActReg"/>
      </w:pPr>
      <w:r>
        <w:t>Health (Cloth Materials) Regulations 1985</w:t>
      </w:r>
    </w:p>
    <w:p>
      <w:pPr>
        <w:pStyle w:val="Heading5"/>
        <w:rPr>
          <w:snapToGrid w:val="0"/>
        </w:rPr>
      </w:pPr>
      <w:bookmarkStart w:id="2" w:name="_Toc16529338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rPr>
        <w:t>.</w:t>
      </w:r>
    </w:p>
    <w:p>
      <w:pPr>
        <w:pStyle w:val="Heading5"/>
        <w:rPr>
          <w:snapToGrid w:val="0"/>
        </w:rPr>
      </w:pPr>
      <w:bookmarkStart w:id="3" w:name="_Toc165293388"/>
      <w:r>
        <w:rPr>
          <w:rStyle w:val="CharSectno"/>
        </w:rPr>
        <w:t>2</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4" w:name="_Toc165293389"/>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in relation to headcoverings, hats and headgear — rendered visibly clean and disinfected by a method approved in writing by the Chief Health Officer;</w:t>
      </w:r>
    </w:p>
    <w:p>
      <w:pPr>
        <w:pStyle w:val="Defpara"/>
      </w:pPr>
      <w:r>
        <w:lastRenderedPageBreak/>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keepNex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w:t>
      </w:r>
      <w:r>
        <w:lastRenderedPageBreak/>
        <w:t>disinfected clothing that a purchaser or hirer has worn for a brief period to ensure correct fit.</w:t>
      </w:r>
    </w:p>
    <w:p>
      <w:pPr>
        <w:pStyle w:val="Footnotesection"/>
      </w:pPr>
      <w:r>
        <w:tab/>
        <w:t>[Regulation 3 amended: Gazette 10 Jan 2017 p. 263.]</w:t>
      </w:r>
    </w:p>
    <w:p>
      <w:pPr>
        <w:pStyle w:val="Heading5"/>
        <w:rPr>
          <w:snapToGrid w:val="0"/>
        </w:rPr>
      </w:pPr>
      <w:bookmarkStart w:id="5" w:name="_Toc165293390"/>
      <w:r>
        <w:rPr>
          <w:rStyle w:val="CharSectno"/>
        </w:rPr>
        <w:t>4</w:t>
      </w:r>
      <w:r>
        <w:rPr>
          <w:snapToGrid w:val="0"/>
        </w:rPr>
        <w:t>.</w:t>
      </w:r>
      <w:r>
        <w:rPr>
          <w:snapToGrid w:val="0"/>
        </w:rPr>
        <w:tab/>
        <w:t>Worn clothing to be cleaned</w:t>
      </w:r>
      <w:bookmarkEnd w:id="5"/>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6" w:name="_Toc165293391"/>
      <w:r>
        <w:rPr>
          <w:rStyle w:val="CharSectno"/>
        </w:rPr>
        <w:t>5</w:t>
      </w:r>
      <w:r>
        <w:rPr>
          <w:snapToGrid w:val="0"/>
        </w:rPr>
        <w:t>.</w:t>
      </w:r>
      <w:r>
        <w:rPr>
          <w:snapToGrid w:val="0"/>
        </w:rPr>
        <w:tab/>
        <w:t>Notice or label to the effect that clothing is “</w:t>
      </w:r>
      <w:r>
        <w:t>used</w:t>
      </w:r>
      <w:r>
        <w:rPr>
          <w:snapToGrid w:val="0"/>
        </w:rPr>
        <w:t>”</w:t>
      </w:r>
      <w:bookmarkEnd w:id="6"/>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keepNext/>
        <w:rPr>
          <w:snapToGrid w:val="0"/>
        </w:rPr>
      </w:pPr>
      <w:r>
        <w:rPr>
          <w:snapToGrid w:val="0"/>
        </w:rPr>
        <w:tab/>
        <w:t>(2)</w:t>
      </w:r>
      <w:r>
        <w:rPr>
          <w:snapToGrid w:val="0"/>
        </w:rPr>
        <w:tab/>
        <w:t>The notice referred to in subregulation (1)(a) — </w:t>
      </w:r>
    </w:p>
    <w:p>
      <w:pPr>
        <w:pStyle w:val="Indenta"/>
        <w:keepNext/>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lastRenderedPageBreak/>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 Gazette 14 Oct 1988 p. 4161</w:t>
      </w:r>
      <w:r>
        <w:noBreakHyphen/>
        <w:t xml:space="preserve">2.] </w:t>
      </w:r>
    </w:p>
    <w:p>
      <w:pPr>
        <w:pStyle w:val="Heading5"/>
        <w:rPr>
          <w:snapToGrid w:val="0"/>
        </w:rPr>
      </w:pPr>
      <w:bookmarkStart w:id="7" w:name="_Toc165293392"/>
      <w:r>
        <w:rPr>
          <w:rStyle w:val="CharSectno"/>
        </w:rPr>
        <w:t>6</w:t>
      </w:r>
      <w:r>
        <w:rPr>
          <w:snapToGrid w:val="0"/>
        </w:rPr>
        <w:t>.</w:t>
      </w:r>
      <w:r>
        <w:rPr>
          <w:snapToGrid w:val="0"/>
        </w:rPr>
        <w:tab/>
        <w:t>Precautions against infections</w:t>
      </w:r>
      <w:bookmarkEnd w:id="7"/>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8" w:name="_Toc165293393"/>
      <w:r>
        <w:rPr>
          <w:rStyle w:val="CharSectno"/>
        </w:rPr>
        <w:t>7</w:t>
      </w:r>
      <w:r>
        <w:rPr>
          <w:snapToGrid w:val="0"/>
        </w:rPr>
        <w:t>.</w:t>
      </w:r>
      <w:r>
        <w:rPr>
          <w:snapToGrid w:val="0"/>
        </w:rPr>
        <w:tab/>
        <w:t>Used furnishings to be cleaned</w:t>
      </w:r>
      <w:bookmarkEnd w:id="8"/>
      <w:r>
        <w:rPr>
          <w:snapToGrid w:val="0"/>
        </w:rPr>
        <w:t xml:space="preserve"> </w:t>
      </w:r>
    </w:p>
    <w:p>
      <w:pPr>
        <w:pStyle w:val="Subsection"/>
        <w:rPr>
          <w:snapToGrid w:val="0"/>
        </w:rPr>
      </w:pPr>
      <w:r>
        <w:rPr>
          <w:snapToGrid w:val="0"/>
        </w:rPr>
        <w:tab/>
        <w:t>(1)</w:t>
      </w:r>
      <w:r>
        <w:rPr>
          <w:snapToGrid w:val="0"/>
        </w:rPr>
        <w:tab/>
        <w:t xml:space="preserve">Used bedding, upholstery, carpets, curtains, soft floor coverings, cushions and similar articles shall not be sold or hired out for the purpose of trade by a secondhand dealer if they have previously been used for any purpose until they have been </w:t>
      </w:r>
      <w:r>
        <w:rPr>
          <w:snapToGrid w:val="0"/>
        </w:rPr>
        <w:lastRenderedPageBreak/>
        <w:t>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9" w:name="_Toc165293394"/>
      <w:r>
        <w:rPr>
          <w:rStyle w:val="CharSectno"/>
        </w:rPr>
        <w:t>8</w:t>
      </w:r>
      <w:r>
        <w:rPr>
          <w:snapToGrid w:val="0"/>
        </w:rPr>
        <w:t>.</w:t>
      </w:r>
      <w:r>
        <w:rPr>
          <w:snapToGrid w:val="0"/>
        </w:rPr>
        <w:tab/>
        <w:t>Used filling material to be cleansed</w:t>
      </w:r>
      <w:bookmarkEnd w:id="9"/>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10" w:name="_Toc165293395"/>
      <w:r>
        <w:rPr>
          <w:rStyle w:val="CharSectno"/>
        </w:rPr>
        <w:t>9</w:t>
      </w:r>
      <w:r>
        <w:rPr>
          <w:snapToGrid w:val="0"/>
        </w:rPr>
        <w:t>.</w:t>
      </w:r>
      <w:r>
        <w:rPr>
          <w:snapToGrid w:val="0"/>
        </w:rPr>
        <w:tab/>
        <w:t>Trading in rags</w:t>
      </w:r>
      <w:bookmarkEnd w:id="10"/>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 xml:space="preserve">A rag merchant shall cause all rags, worn clothing, textile fabrics, used bedding and other materials of similar description, acquired in the course of his trade, to be immediately cleansed or disinfected and rendered visibly clean, if they had not been so </w:t>
      </w:r>
      <w:r>
        <w:rPr>
          <w:snapToGrid w:val="0"/>
        </w:rPr>
        <w:lastRenderedPageBreak/>
        <w:t>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11" w:name="_Toc165293396"/>
      <w:r>
        <w:rPr>
          <w:rStyle w:val="CharSectno"/>
        </w:rPr>
        <w:t>10</w:t>
      </w:r>
      <w:r>
        <w:rPr>
          <w:snapToGrid w:val="0"/>
        </w:rPr>
        <w:t>.</w:t>
      </w:r>
      <w:r>
        <w:rPr>
          <w:snapToGrid w:val="0"/>
        </w:rPr>
        <w:tab/>
        <w:t>Directions by local authority</w:t>
      </w:r>
      <w:bookmarkEnd w:id="11"/>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12" w:name="_Toc165293397"/>
      <w:r>
        <w:rPr>
          <w:rStyle w:val="CharSectno"/>
        </w:rPr>
        <w:t>11</w:t>
      </w:r>
      <w:r>
        <w:rPr>
          <w:snapToGrid w:val="0"/>
        </w:rPr>
        <w:t>.</w:t>
      </w:r>
      <w:r>
        <w:rPr>
          <w:snapToGrid w:val="0"/>
        </w:rPr>
        <w:tab/>
        <w:t>Cleansed materials to be kept separate</w:t>
      </w:r>
      <w:bookmarkEnd w:id="12"/>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 xml:space="preserve">[Regulation 11 amended: Gazette 14 Oct 1988 p. 4162.] </w:t>
      </w:r>
    </w:p>
    <w:p>
      <w:pPr>
        <w:pStyle w:val="Heading5"/>
        <w:rPr>
          <w:snapToGrid w:val="0"/>
        </w:rPr>
      </w:pPr>
      <w:bookmarkStart w:id="13" w:name="_Toc165293398"/>
      <w:r>
        <w:rPr>
          <w:rStyle w:val="CharSectno"/>
        </w:rPr>
        <w:t>12</w:t>
      </w:r>
      <w:r>
        <w:rPr>
          <w:snapToGrid w:val="0"/>
        </w:rPr>
        <w:t>.</w:t>
      </w:r>
      <w:r>
        <w:rPr>
          <w:snapToGrid w:val="0"/>
        </w:rPr>
        <w:tab/>
        <w:t>Prohibition in relation to refuse sites, etc.</w:t>
      </w:r>
      <w:bookmarkEnd w:id="13"/>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14" w:name="_Toc165293399"/>
      <w:r>
        <w:rPr>
          <w:rStyle w:val="CharSectno"/>
        </w:rPr>
        <w:lastRenderedPageBreak/>
        <w:t>13</w:t>
      </w:r>
      <w:r>
        <w:rPr>
          <w:snapToGrid w:val="0"/>
        </w:rPr>
        <w:t>.</w:t>
      </w:r>
      <w:r>
        <w:rPr>
          <w:snapToGrid w:val="0"/>
        </w:rPr>
        <w:tab/>
      </w:r>
      <w:r>
        <w:t>Authorised officer may act</w:t>
      </w:r>
      <w:bookmarkEnd w:id="14"/>
      <w:r>
        <w:rPr>
          <w:snapToGrid w:val="0"/>
        </w:rPr>
        <w:t xml:space="preserve"> </w:t>
      </w:r>
    </w:p>
    <w:p>
      <w:pPr>
        <w:pStyle w:val="Subsection"/>
        <w:rPr>
          <w:snapToGrid w:val="0"/>
        </w:rPr>
      </w:pPr>
      <w:r>
        <w:rPr>
          <w:snapToGrid w:val="0"/>
        </w:rPr>
        <w:tab/>
      </w:r>
      <w:r>
        <w:rPr>
          <w:snapToGrid w:val="0"/>
        </w:rPr>
        <w:tab/>
      </w:r>
      <w:r>
        <w:t>An authorised officer</w:t>
      </w:r>
      <w:r>
        <w:rPr>
          <w:snapToGrid w:val="0"/>
        </w:rPr>
        <w:t xml:space="preserve">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Footnotesection"/>
      </w:pPr>
      <w:r>
        <w:tab/>
        <w:t>[Regulation 13 amended: Gazette 10 Jan 2017 p. 263.]</w:t>
      </w:r>
    </w:p>
    <w:p>
      <w:pPr>
        <w:pStyle w:val="Heading5"/>
        <w:rPr>
          <w:snapToGrid w:val="0"/>
        </w:rPr>
      </w:pPr>
      <w:bookmarkStart w:id="15" w:name="_Toc165293400"/>
      <w:r>
        <w:rPr>
          <w:rStyle w:val="CharSectno"/>
        </w:rPr>
        <w:t>14</w:t>
      </w:r>
      <w:r>
        <w:rPr>
          <w:snapToGrid w:val="0"/>
        </w:rPr>
        <w:t>.</w:t>
      </w:r>
      <w:r>
        <w:rPr>
          <w:snapToGrid w:val="0"/>
        </w:rPr>
        <w:tab/>
        <w:t>Offences and penalties</w:t>
      </w:r>
      <w:bookmarkEnd w:id="15"/>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Gazette 14 Oct 1988 p. 4162.] </w:t>
      </w:r>
    </w:p>
    <w:p>
      <w:pPr>
        <w:pStyle w:val="Ednotesection"/>
      </w:pPr>
      <w:r>
        <w:t>[</w:t>
      </w:r>
      <w:r>
        <w:rPr>
          <w:b/>
        </w:rPr>
        <w:t>15.</w:t>
      </w:r>
      <w:r>
        <w:rPr>
          <w:b/>
        </w:rPr>
        <w:tab/>
      </w:r>
      <w:r>
        <w:tab/>
        <w:t>Omitted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16" w:name="_Toc165291576"/>
      <w:bookmarkStart w:id="17" w:name="_Toc165291601"/>
      <w:bookmarkStart w:id="18" w:name="_Toc165293401"/>
      <w:bookmarkStart w:id="19" w:name="_Toc165289514"/>
      <w:bookmarkStart w:id="20" w:name="_Toc165289544"/>
      <w:r>
        <w:lastRenderedPageBreak/>
        <w:t>Notes</w:t>
      </w:r>
      <w:bookmarkEnd w:id="16"/>
      <w:bookmarkEnd w:id="17"/>
      <w:bookmarkEnd w:id="18"/>
    </w:p>
    <w:p>
      <w:pPr>
        <w:pStyle w:val="nStatement"/>
      </w:pPr>
      <w:r>
        <w:t xml:space="preserve">This is a compilation of the </w:t>
      </w:r>
      <w:r>
        <w:rPr>
          <w:i/>
          <w:noProof/>
        </w:rPr>
        <w:t>Health (Cloth Materials)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165293402"/>
      <w:r>
        <w:t>Compilation table</w:t>
      </w:r>
      <w:bookmarkEnd w:id="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Health (Cloth Materials) Regulations 1985</w:t>
            </w:r>
          </w:p>
        </w:tc>
        <w:tc>
          <w:tcPr>
            <w:tcW w:w="1276" w:type="dxa"/>
            <w:tcBorders>
              <w:bottom w:val="nil"/>
            </w:tcBorders>
          </w:tcPr>
          <w:p>
            <w:pPr>
              <w:pStyle w:val="nTable"/>
              <w:spacing w:after="40"/>
            </w:pPr>
            <w:r>
              <w:t>15 Mar 1985 p. 954</w:t>
            </w:r>
            <w:r>
              <w:noBreakHyphen/>
              <w:t>6</w:t>
            </w:r>
          </w:p>
        </w:tc>
        <w:tc>
          <w:tcPr>
            <w:tcW w:w="2693" w:type="dxa"/>
            <w:tcBorders>
              <w:bottom w:val="nil"/>
            </w:tcBorders>
          </w:tcPr>
          <w:p>
            <w:pPr>
              <w:pStyle w:val="nTable"/>
              <w:spacing w:after="40"/>
            </w:pPr>
            <w:r>
              <w:t>15 Mar 1985</w:t>
            </w:r>
          </w:p>
        </w:tc>
      </w:tr>
      <w:tr>
        <w:tc>
          <w:tcPr>
            <w:tcW w:w="3118" w:type="dxa"/>
            <w:tcBorders>
              <w:top w:val="nil"/>
              <w:bottom w:val="nil"/>
            </w:tcBorders>
          </w:tcPr>
          <w:p>
            <w:pPr>
              <w:pStyle w:val="nTable"/>
              <w:spacing w:after="40"/>
              <w:rPr>
                <w:i/>
              </w:rPr>
            </w:pPr>
            <w:r>
              <w:rPr>
                <w:i/>
              </w:rPr>
              <w:t>Health (Offences and Penalties) Amendment Regulations 1988</w:t>
            </w:r>
            <w:r>
              <w:t xml:space="preserve"> Pt. 9</w:t>
            </w:r>
          </w:p>
        </w:tc>
        <w:tc>
          <w:tcPr>
            <w:tcW w:w="1276" w:type="dxa"/>
            <w:tcBorders>
              <w:top w:val="nil"/>
              <w:bottom w:val="nil"/>
            </w:tcBorders>
          </w:tcPr>
          <w:p>
            <w:pPr>
              <w:pStyle w:val="nTable"/>
              <w:spacing w:after="40"/>
              <w:rPr>
                <w:highlight w:val="yellow"/>
              </w:rPr>
            </w:pPr>
            <w:r>
              <w:t>14 Oct 1988 p. 4160</w:t>
            </w:r>
            <w:r>
              <w:noBreakHyphen/>
              <w:t>3</w:t>
            </w:r>
          </w:p>
        </w:tc>
        <w:tc>
          <w:tcPr>
            <w:tcW w:w="2693" w:type="dxa"/>
            <w:tcBorders>
              <w:top w:val="nil"/>
              <w:bottom w:val="nil"/>
            </w:tcBorders>
          </w:tcPr>
          <w:p>
            <w:pPr>
              <w:pStyle w:val="nTable"/>
              <w:spacing w:after="40"/>
              <w:rPr>
                <w:highlight w:val="yellow"/>
              </w:rPr>
            </w:pPr>
            <w:r>
              <w:t>14 Oct 1988</w:t>
            </w:r>
          </w:p>
        </w:tc>
      </w:tr>
      <w:tr>
        <w:tc>
          <w:tcPr>
            <w:tcW w:w="7087" w:type="dxa"/>
            <w:gridSpan w:val="3"/>
            <w:tcBorders>
              <w:top w:val="nil"/>
              <w:bottom w:val="nil"/>
            </w:tcBorders>
          </w:tcPr>
          <w:p>
            <w:pPr>
              <w:pStyle w:val="nTable"/>
              <w:spacing w:after="40"/>
            </w:pPr>
            <w:r>
              <w:rPr>
                <w:b/>
              </w:rPr>
              <w:t xml:space="preserve">Reprint of the </w:t>
            </w:r>
            <w:r>
              <w:rPr>
                <w:b/>
                <w:i/>
              </w:rPr>
              <w:t>Health (Cloth Materials) Regulations 1985</w:t>
            </w:r>
            <w:r>
              <w:rPr>
                <w:b/>
              </w:rPr>
              <w:t xml:space="preserve"> as at 25 Jan 2002</w:t>
            </w:r>
            <w:r>
              <w:rPr>
                <w:b/>
              </w:rPr>
              <w:br/>
            </w:r>
            <w:r>
              <w:t>(includes amendments listed above)</w:t>
            </w:r>
          </w:p>
        </w:tc>
      </w:tr>
      <w:tr>
        <w:tc>
          <w:tcPr>
            <w:tcW w:w="3118" w:type="dxa"/>
            <w:tcBorders>
              <w:top w:val="nil"/>
            </w:tcBorders>
          </w:tcPr>
          <w:p>
            <w:pPr>
              <w:pStyle w:val="nTable"/>
              <w:spacing w:after="40"/>
              <w:rPr>
                <w:i/>
              </w:rPr>
            </w:pPr>
            <w:r>
              <w:rPr>
                <w:i/>
              </w:rPr>
              <w:t>Health Regulations Amendment (Public Health) Regulations 2016</w:t>
            </w:r>
            <w:r>
              <w:t xml:space="preserve"> Pt. 11</w:t>
            </w:r>
          </w:p>
        </w:tc>
        <w:tc>
          <w:tcPr>
            <w:tcW w:w="1276" w:type="dxa"/>
            <w:tcBorders>
              <w:top w:val="nil"/>
            </w:tcBorders>
          </w:tcPr>
          <w:p>
            <w:pPr>
              <w:pStyle w:val="nTable"/>
              <w:spacing w:after="40"/>
            </w:pPr>
            <w:r>
              <w:t>10 Jan 2017 p. 237</w:t>
            </w:r>
            <w:r>
              <w:noBreakHyphen/>
              <w:t>308</w:t>
            </w:r>
          </w:p>
        </w:tc>
        <w:tc>
          <w:tcPr>
            <w:tcW w:w="2693" w:type="dxa"/>
            <w:tcBorders>
              <w:top w:val="nil"/>
            </w:tcBorders>
          </w:tcPr>
          <w:p>
            <w:pPr>
              <w:pStyle w:val="nTable"/>
              <w:spacing w:after="40"/>
            </w:pPr>
            <w:r>
              <w:t xml:space="preserve">24 Jan 2017 (see r. 2(b) and </w:t>
            </w:r>
            <w:r>
              <w:rPr>
                <w:i/>
              </w:rPr>
              <w:t>Gazette</w:t>
            </w:r>
            <w:r>
              <w:t xml:space="preserve"> 10 Jan 2017 p. 165)</w:t>
            </w:r>
          </w:p>
        </w:tc>
      </w:tr>
    </w:tbl>
    <w:p>
      <w:pPr>
        <w:pStyle w:val="nHeading3"/>
      </w:pPr>
      <w:bookmarkStart w:id="22" w:name="_Toc165293403"/>
      <w:r>
        <w:t>Uncommenced provisions table</w:t>
      </w:r>
      <w:bookmarkEnd w:id="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Repeal Regulations 2024</w:t>
            </w:r>
            <w:r>
              <w:rPr>
                <w:iCs/>
                <w:noProof/>
              </w:rPr>
              <w:t xml:space="preserve"> r. 3(b)</w:t>
            </w:r>
          </w:p>
        </w:tc>
        <w:tc>
          <w:tcPr>
            <w:tcW w:w="1276" w:type="dxa"/>
          </w:tcPr>
          <w:p>
            <w:pPr>
              <w:pStyle w:val="nTable"/>
              <w:spacing w:after="40"/>
            </w:pPr>
            <w:r>
              <w:t>SL 2024/71 1 May 2024</w:t>
            </w:r>
          </w:p>
        </w:tc>
        <w:tc>
          <w:tcPr>
            <w:tcW w:w="2693" w:type="dxa"/>
          </w:tcPr>
          <w:p>
            <w:pPr>
              <w:pStyle w:val="nTable"/>
              <w:spacing w:after="40"/>
            </w:pPr>
            <w:r>
              <w:t>4 Jun 2024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24" w:name="_Toc165291579"/>
      <w:bookmarkStart w:id="25" w:name="_Toc165291604"/>
      <w:bookmarkStart w:id="26" w:name="_Toc165293404"/>
      <w:r>
        <w:rPr>
          <w:sz w:val="28"/>
        </w:rPr>
        <w:lastRenderedPageBreak/>
        <w:t>Defined terms</w:t>
      </w:r>
      <w:bookmarkEnd w:id="19"/>
      <w:bookmarkEnd w:id="20"/>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process of cleansing and disinfection</w:t>
      </w:r>
      <w:r>
        <w:tab/>
        <w:t>3</w:t>
      </w:r>
    </w:p>
    <w:p>
      <w:pPr>
        <w:pStyle w:val="DefinedTerms"/>
      </w:pPr>
      <w:r>
        <w:t>filling material</w:t>
      </w:r>
      <w:r>
        <w:tab/>
        <w:t>3</w:t>
      </w:r>
    </w:p>
    <w:p>
      <w:pPr>
        <w:pStyle w:val="DefinedTerms"/>
      </w:pPr>
      <w:r>
        <w:t>headgear</w:t>
      </w:r>
      <w:r>
        <w:tab/>
        <w:t>3</w:t>
      </w:r>
    </w:p>
    <w:p>
      <w:pPr>
        <w:pStyle w:val="DefinedTerms"/>
      </w:pPr>
      <w:r>
        <w:t>premises</w:t>
      </w:r>
      <w:r>
        <w:tab/>
        <w:t>3</w:t>
      </w:r>
    </w:p>
    <w:p>
      <w:pPr>
        <w:pStyle w:val="DefinedTerms"/>
      </w:pPr>
      <w:r>
        <w:t>rag merchant</w:t>
      </w:r>
      <w:r>
        <w:tab/>
        <w:t>3</w:t>
      </w:r>
    </w:p>
    <w:p>
      <w:pPr>
        <w:pStyle w:val="DefinedTerms"/>
      </w:pPr>
      <w:r>
        <w:t>secondhand dealer</w:t>
      </w:r>
      <w:r>
        <w:tab/>
        <w:t>3</w:t>
      </w:r>
    </w:p>
    <w:p>
      <w:pPr>
        <w:pStyle w:val="DefinedTerms"/>
      </w:pPr>
      <w:r>
        <w:t>worn clothing</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32300"/>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 w:name="WAFER_20240429132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32300_GUID" w:val="24610930-23ad-489c-a229-252b95600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2266</Words>
  <Characters>11516</Characters>
  <Application>Microsoft Office Word</Application>
  <DocSecurity>0</DocSecurity>
  <Lines>319</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1985 - 01-d0-00</dc:title>
  <dc:subject/>
  <dc:creator/>
  <cp:keywords/>
  <dc:description/>
  <cp:lastModifiedBy>Master Repository Process</cp:lastModifiedBy>
  <cp:revision>4</cp:revision>
  <cp:lastPrinted>2002-02-04T00:15:00Z</cp:lastPrinted>
  <dcterms:created xsi:type="dcterms:W3CDTF">2024-04-30T08:27:00Z</dcterms:created>
  <dcterms:modified xsi:type="dcterms:W3CDTF">2024-04-30T08:27:00Z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DocumentType">
    <vt:lpwstr>Reg</vt:lpwstr>
  </property>
  <property fmtid="{D5CDD505-2E9C-101B-9397-08002B2CF9AE}" pid="4" name="CommencementDate">
    <vt:lpwstr>20240501</vt:lpwstr>
  </property>
  <property fmtid="{D5CDD505-2E9C-101B-9397-08002B2CF9AE}" pid="5" name="CommencementAsAt">
    <vt:filetime>2024-04-30T16:00:00Z</vt:filetime>
  </property>
  <property fmtid="{D5CDD505-2E9C-101B-9397-08002B2CF9AE}" pid="6" name="CommencementYear">
    <vt:lpwstr>2024</vt:lpwstr>
  </property>
  <property fmtid="{D5CDD505-2E9C-101B-9397-08002B2CF9AE}" pid="7" name="AsAtDate">
    <vt:lpwstr>01 May 2024</vt:lpwstr>
  </property>
  <property fmtid="{D5CDD505-2E9C-101B-9397-08002B2CF9AE}" pid="8" name="Suffix">
    <vt:lpwstr>01-d0-00</vt:lpwstr>
  </property>
  <property fmtid="{D5CDD505-2E9C-101B-9397-08002B2CF9AE}" pid="9" name="Official">
    <vt:lpwstr/>
  </property>
</Properties>
</file>