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Act (Carbon Monoxide) Regulations 1975</w:t>
      </w:r>
      <w:r>
        <w:fldChar w:fldCharType="end"/>
      </w:r>
    </w:p>
    <w:p>
      <w:pPr>
        <w:pStyle w:val="Subsection"/>
      </w:pP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Act (Carbon Monoxide)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_Toc165360617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concentration of carbon monoxide</w:t>
      </w:r>
      <w:r>
        <w:tab/>
      </w:r>
      <w:r>
        <w:fldChar w:fldCharType="begin"/>
      </w:r>
      <w:r>
        <w:instrText xml:space="preserve"> PAGEREF _Toc165360618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_Toc165360620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_Toc165360621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Health (Miscellaneous Provisions) Act 1911</w:t>
      </w:r>
    </w:p>
    <w:p>
      <w:pPr>
        <w:pStyle w:val="NameofActReg"/>
      </w:pPr>
      <w:r>
        <w:t>Health Act (Carbon Monoxide) Regulations 1975</w:t>
      </w:r>
    </w:p>
    <w:p>
      <w:pPr>
        <w:pStyle w:val="Heading5"/>
        <w:rPr>
          <w:snapToGrid w:val="0"/>
        </w:rPr>
      </w:pPr>
      <w:bookmarkStart w:id="2" w:name="_Toc165360617"/>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Health Act (Carbon Monoxide) Regulations 1975</w:t>
      </w:r>
      <w:r>
        <w:rPr>
          <w:snapToGrid w:val="0"/>
        </w:rPr>
        <w:t>.</w:t>
      </w:r>
    </w:p>
    <w:p>
      <w:pPr>
        <w:pStyle w:val="Heading5"/>
        <w:rPr>
          <w:snapToGrid w:val="0"/>
        </w:rPr>
      </w:pPr>
      <w:bookmarkStart w:id="3" w:name="_Toc165360618"/>
      <w:r>
        <w:rPr>
          <w:rStyle w:val="CharSectno"/>
        </w:rPr>
        <w:t>2</w:t>
      </w:r>
      <w:r>
        <w:rPr>
          <w:snapToGrid w:val="0"/>
        </w:rPr>
        <w:t>.</w:t>
      </w:r>
      <w:r>
        <w:rPr>
          <w:snapToGrid w:val="0"/>
        </w:rPr>
        <w:tab/>
        <w:t>Prescribed concentration of carbon monoxide</w:t>
      </w:r>
      <w:bookmarkEnd w:id="3"/>
    </w:p>
    <w:p>
      <w:pPr>
        <w:pStyle w:val="Subsection"/>
        <w:rPr>
          <w:snapToGrid w:val="0"/>
        </w:rPr>
      </w:pPr>
      <w:r>
        <w:rPr>
          <w:snapToGrid w:val="0"/>
        </w:rPr>
        <w:tab/>
      </w:r>
      <w:r>
        <w:rPr>
          <w:snapToGrid w:val="0"/>
        </w:rPr>
        <w:tab/>
        <w:t>The concentration of carbon monoxide prescribed for the purposes of section 182(13) of the Act is 50 parts per million measured over one hour.</w:t>
      </w:r>
    </w:p>
    <w:p>
      <w:pPr>
        <w:rPr>
          <w:rStyle w:val="CharDivText"/>
        </w:rPr>
      </w:pP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nHeading2"/>
      </w:pPr>
      <w:bookmarkStart w:id="4" w:name="_Toc165299001"/>
      <w:bookmarkStart w:id="5" w:name="_Toc165360619"/>
      <w:r>
        <w:lastRenderedPageBreak/>
        <w:t>Notes</w:t>
      </w:r>
      <w:bookmarkEnd w:id="4"/>
      <w:bookmarkEnd w:id="5"/>
    </w:p>
    <w:p>
      <w:pPr>
        <w:pStyle w:val="nStatement"/>
      </w:pPr>
      <w:r>
        <w:t xml:space="preserve">This is a compilation of the </w:t>
      </w:r>
      <w:r>
        <w:rPr>
          <w:i/>
          <w:noProof/>
        </w:rPr>
        <w:t>Health Act (Carbon Monoxide) Regulations 1975</w:t>
      </w:r>
      <w:r>
        <w:t>. For provisions that have come into operation, and for information about any reprints, see the compilation table. For provisions that have not yet come into operation see the uncommenced provisions table.</w:t>
      </w:r>
    </w:p>
    <w:p>
      <w:pPr>
        <w:pStyle w:val="nHeading3"/>
      </w:pPr>
      <w:bookmarkStart w:id="6" w:name="_Toc165360620"/>
      <w:r>
        <w:t>Compilation table</w:t>
      </w:r>
      <w:bookmarkEnd w:id="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Health Act (Carbon Monoxide) Regulations 1975</w:t>
            </w:r>
          </w:p>
        </w:tc>
        <w:tc>
          <w:tcPr>
            <w:tcW w:w="1276" w:type="dxa"/>
            <w:tcBorders>
              <w:top w:val="single" w:sz="4" w:space="0" w:color="auto"/>
              <w:bottom w:val="nil"/>
            </w:tcBorders>
          </w:tcPr>
          <w:p>
            <w:pPr>
              <w:pStyle w:val="nTable"/>
              <w:spacing w:after="40"/>
            </w:pPr>
            <w:r>
              <w:t>19 Sep 1975 p. 3601</w:t>
            </w:r>
          </w:p>
        </w:tc>
        <w:tc>
          <w:tcPr>
            <w:tcW w:w="2693" w:type="dxa"/>
            <w:tcBorders>
              <w:top w:val="single" w:sz="4" w:space="0" w:color="auto"/>
              <w:bottom w:val="nil"/>
            </w:tcBorders>
          </w:tcPr>
          <w:p>
            <w:pPr>
              <w:pStyle w:val="nTable"/>
              <w:spacing w:after="40"/>
            </w:pPr>
            <w:r>
              <w:t>19 Sep 1975</w:t>
            </w:r>
          </w:p>
        </w:tc>
      </w:tr>
      <w:tr>
        <w:tc>
          <w:tcPr>
            <w:tcW w:w="7087" w:type="dxa"/>
            <w:gridSpan w:val="3"/>
            <w:tcBorders>
              <w:top w:val="nil"/>
              <w:bottom w:val="single" w:sz="4" w:space="0" w:color="auto"/>
            </w:tcBorders>
          </w:tcPr>
          <w:p>
            <w:pPr>
              <w:pStyle w:val="nTable"/>
              <w:spacing w:after="40"/>
            </w:pPr>
            <w:r>
              <w:rPr>
                <w:b/>
              </w:rPr>
              <w:t>Reprint 1: The</w:t>
            </w:r>
            <w:r>
              <w:rPr>
                <w:b/>
                <w:i/>
              </w:rPr>
              <w:t xml:space="preserve"> Health Act (Carbon Monoxide) Regulations 1975 </w:t>
            </w:r>
            <w:r>
              <w:rPr>
                <w:b/>
              </w:rPr>
              <w:t>as at 12 Mar 2004</w:t>
            </w:r>
          </w:p>
        </w:tc>
      </w:tr>
    </w:tbl>
    <w:p>
      <w:pPr>
        <w:pStyle w:val="nHeading3"/>
      </w:pPr>
      <w:bookmarkStart w:id="7" w:name="_Toc165360621"/>
      <w:r>
        <w:t>Uncommenced provisions table</w:t>
      </w:r>
      <w:bookmarkEnd w:id="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Health Regulations Repeal Regulations (No. 2) 2024</w:t>
            </w:r>
            <w:r>
              <w:rPr>
                <w:iCs/>
              </w:rPr>
              <w:t xml:space="preserve"> r. 3(a)</w:t>
            </w:r>
          </w:p>
        </w:tc>
        <w:tc>
          <w:tcPr>
            <w:tcW w:w="1276" w:type="dxa"/>
          </w:tcPr>
          <w:p>
            <w:pPr>
              <w:pStyle w:val="nTable"/>
              <w:spacing w:after="40"/>
            </w:pPr>
            <w:r>
              <w:t>SL 2024/66 1 May 2024</w:t>
            </w:r>
          </w:p>
        </w:tc>
        <w:tc>
          <w:tcPr>
            <w:tcW w:w="2693" w:type="dxa"/>
          </w:tcPr>
          <w:p>
            <w:pPr>
              <w:pStyle w:val="nTable"/>
              <w:spacing w:after="40"/>
            </w:pPr>
            <w:r>
              <w:t>4 Jun 2024 (see r. 2(b))</w:t>
            </w:r>
          </w:p>
        </w:tc>
      </w:tr>
    </w:tbl>
    <w:p/>
    <w:p>
      <w:pPr>
        <w:sectPr>
          <w:headerReference w:type="even" r:id="rId23"/>
          <w:headerReference w:type="default" r:id="rId24"/>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1C25C4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08B44F9" w14:textId="051B3FA0" w:rsidR="00F63927" w:rsidRDefault="00F6392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DB7216">
                        <w:rPr>
                          <w:sz w:val="16"/>
                        </w:rPr>
                        <w:t>2024</w:t>
                      </w:r>
                      <w:r>
                        <w:rPr>
                          <w:sz w:val="16"/>
                        </w:rPr>
                        <w:fldChar w:fldCharType="end"/>
                      </w:r>
                      <w:r>
                        <w:rPr>
                          <w:sz w:val="16"/>
                        </w:rPr>
                        <w:t>.</w:t>
                      </w:r>
                    </w:p>
                    <w:p w14:paraId="59E1DEBF" w14:textId="77777777" w:rsidR="00F63927" w:rsidRDefault="00F6392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92B1A81" w14:textId="0185E804" w:rsidR="00F63927" w:rsidRDefault="00F6392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DB7216">
                        <w:rPr>
                          <w:sz w:val="16"/>
                        </w:rPr>
                        <w:t>2024</w:t>
                      </w:r>
                      <w:r>
                        <w:rPr>
                          <w:sz w:val="16"/>
                        </w:rPr>
                        <w:fldChar w:fldCharType="end"/>
                      </w:r>
                      <w:r>
                        <w:rPr>
                          <w:sz w:val="16"/>
                        </w:rPr>
                        <w:t>.</w:t>
                      </w:r>
                    </w:p>
                    <w:p w14:paraId="15A4ADE5" w14:textId="77777777" w:rsidR="00F63927" w:rsidRDefault="00F6392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(Carbon Monoxide) Regulations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(Carbon Monoxide) Regulations 1975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 w:name="Compilation"/>
    <w:bookmarkEnd w:id="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 w:name="Coversheet"/>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(Carbon Monoxide) Regulations 1975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(Carbon Monoxide) Regulations 1975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(Carbon Monoxide) Regulations 1975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(Carbon Monoxide) Regulations 1975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53120"/>
    <w:docVar w:name="WAFER_20140129091158" w:val="RemoveTocBookmarks,RemoveUnusedBookmarks,RemoveLanguageTags,UsedStyles,ResetPageSize,UpdateArrangement"/>
    <w:docVar w:name="WAFER_20140129091158_GUID" w:val="a74a7dca-4a0c-4add-b3ee-b5baafa65f8f"/>
    <w:docVar w:name="WAFER_20140129091204" w:val="RemoveTocBookmarks,RunningHeaders"/>
    <w:docVar w:name="WAFER_20140129091204_GUID" w:val="c387fff2-aef8-4f6d-a181-3a961a9fe388"/>
    <w:docVar w:name="WAFER_20150515104028" w:val="ResetPageSize,UpdateArrangement,UpdateNTable"/>
    <w:docVar w:name="WAFER_20150515104028_GUID" w:val="b203f5fc-43db-4592-8bca-1ff31e221347"/>
    <w:docVar w:name="WAFER_20151105150151" w:val="UpdateStyles,UsedStyles"/>
    <w:docVar w:name="WAFER_20151105150151_GUID" w:val="c386f004-944d-440c-997b-3f0c6921da26"/>
    <w:docVar w:name="WAFER_202404291453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29145334_GUID" w:val="07f8d359-e808-46ab-b684-8ee8a8cb575c"/>
    <w:docVar w:name="WAFER_20240429153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9153120_GUID" w:val="f4f3517f-b9ff-4c25-90bd-642f7f3903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E322E0-530A-4DE0-8B1C-288CB05E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rPr>
      <w:i/>
    </w:rPr>
  </w:style>
  <w:style w:type="paragraph" w:customStyle="1" w:styleId="nzEdnotepara">
    <w:name w:val="nzEdnote(par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1725</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1971</CharactersWithSpaces>
  <SharedDoc>false</SharedDoc>
  <HLinks>
    <vt:vector size="12" baseType="variant">
      <vt:variant>
        <vt:i4>65542</vt:i4>
      </vt:variant>
      <vt:variant>
        <vt:i4>1660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(Carbon Monoxide) Regulations 1975 - 01-b0-00</dc:title>
  <dc:subject/>
  <dc:creator/>
  <cp:keywords/>
  <dc:description/>
  <cp:lastModifiedBy>Master Repository Process</cp:lastModifiedBy>
  <cp:revision>4</cp:revision>
  <cp:lastPrinted>2004-03-18T03:54:00Z</cp:lastPrinted>
  <dcterms:created xsi:type="dcterms:W3CDTF">2024-04-30T08:30:00Z</dcterms:created>
  <dcterms:modified xsi:type="dcterms:W3CDTF">2024-04-30T08:30:00Z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September 1975 p.3601</vt:lpwstr>
  </property>
  <property fmtid="{D5CDD505-2E9C-101B-9397-08002B2CF9AE}" pid="3" name="DocumentType">
    <vt:lpwstr>Reg</vt:lpwstr>
  </property>
  <property fmtid="{D5CDD505-2E9C-101B-9397-08002B2CF9AE}" pid="4" name="OwlsUID">
    <vt:i4>4498</vt:i4>
  </property>
  <property fmtid="{D5CDD505-2E9C-101B-9397-08002B2CF9AE}" pid="5" name="AsAtDate">
    <vt:lpwstr>01 May 2024</vt:lpwstr>
  </property>
  <property fmtid="{D5CDD505-2E9C-101B-9397-08002B2CF9AE}" pid="6" name="Suffix">
    <vt:lpwstr>01-b0-00</vt:lpwstr>
  </property>
  <property fmtid="{D5CDD505-2E9C-101B-9397-08002B2CF9AE}" pid="7" name="Official">
    <vt:lpwstr/>
  </property>
  <property fmtid="{D5CDD505-2E9C-101B-9397-08002B2CF9AE}" pid="8" name="CommencementDate">
    <vt:lpwstr>20240501</vt:lpwstr>
  </property>
  <property fmtid="{D5CDD505-2E9C-101B-9397-08002B2CF9AE}" pid="9" name="CommencementAsAt">
    <vt:filetime>2024-04-30T16:00:00Z</vt:filetime>
  </property>
  <property fmtid="{D5CDD505-2E9C-101B-9397-08002B2CF9AE}" pid="10" name="CommencementYear">
    <vt:lpwstr>2024</vt:lpwstr>
  </property>
</Properties>
</file>