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
        <w:spacing w:before="3760" w:after="4200"/>
      </w:pPr>
      <w:r>
        <w:rPr>
          <w:noProof/>
        </w:rPr>
        <w:t>Workers’ Compensation and Injury Management (Scales of Fees) Regulations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March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_Toc130871673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_Toc130871674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_Toc130871675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_Toc130871676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_Toc130871677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Scale of fees — clinical psychologists</w:t>
      </w:r>
      <w:r>
        <w:tab/>
      </w:r>
      <w:r>
        <w:fldChar w:fldCharType="begin"/>
      </w:r>
      <w:r>
        <w:instrText xml:space="preserve"> PAGEREF _Toc130871678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_Toc130871679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_Toc130871680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_Toc130871681 \h </w:instrText>
      </w:r>
      <w:r>
        <w:fldChar w:fldCharType="separate"/>
      </w:r>
      <w:r>
        <w:t>3</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_Toc130871682 \h </w:instrText>
      </w:r>
      <w:r>
        <w:fldChar w:fldCharType="separate"/>
      </w:r>
      <w:r>
        <w:t>4</w:t>
      </w:r>
      <w:r>
        <w:fldChar w:fldCharType="end"/>
      </w:r>
    </w:p>
    <w:p>
      <w:pPr>
        <w:pStyle w:val="TOC2"/>
        <w:keepNext w:val="0"/>
        <w:tabs>
          <w:tab w:val="right" w:leader="dot" w:pos="7078"/>
        </w:tabs>
        <w:rPr>
          <w:b w:val="0"/>
          <w:sz w:val="24"/>
          <w:szCs w:val="24"/>
        </w:rPr>
      </w:pPr>
      <w:r>
        <w:rPr>
          <w:szCs w:val="28"/>
        </w:rPr>
        <w:t>Schedule 1</w:t>
      </w:r>
    </w:p>
    <w:p>
      <w:pPr>
        <w:pStyle w:val="TOC2"/>
        <w:keepNext w:val="0"/>
        <w:tabs>
          <w:tab w:val="right" w:leader="dot" w:pos="7078"/>
        </w:tabs>
        <w:rPr>
          <w:b w:val="0"/>
          <w:sz w:val="24"/>
          <w:szCs w:val="24"/>
        </w:rPr>
      </w:pPr>
      <w:r>
        <w:rPr>
          <w:szCs w:val="28"/>
        </w:rPr>
        <w:t>Scales of fees — medical specialists and other medical practitioners</w:t>
      </w:r>
    </w:p>
    <w:p>
      <w:pPr>
        <w:pStyle w:val="TOC4"/>
        <w:keepNext w:val="0"/>
        <w:tabs>
          <w:tab w:val="right" w:leader="dot" w:pos="7078"/>
        </w:tabs>
        <w:rPr>
          <w:b w:val="0"/>
          <w:sz w:val="24"/>
          <w:szCs w:val="24"/>
        </w:rPr>
      </w:pPr>
      <w:r>
        <w:rPr>
          <w:bCs/>
          <w:sz w:val="28"/>
          <w:szCs w:val="24"/>
        </w:rPr>
        <w:t>Part 1 — Medical specialists and other medical practitioners</w:t>
      </w:r>
    </w:p>
    <w:p>
      <w:pPr>
        <w:pStyle w:val="TOC4"/>
        <w:keepNext w:val="0"/>
        <w:tabs>
          <w:tab w:val="right" w:leader="dot" w:pos="7078"/>
        </w:tabs>
        <w:rPr>
          <w:b w:val="0"/>
          <w:sz w:val="24"/>
          <w:szCs w:val="24"/>
        </w:rPr>
      </w:pPr>
      <w:r>
        <w:rPr>
          <w:sz w:val="28"/>
          <w:szCs w:val="24"/>
        </w:rPr>
        <w:t>Part 2</w:t>
      </w:r>
      <w:r>
        <w:rPr>
          <w:szCs w:val="24"/>
        </w:rPr>
        <w:t> — </w:t>
      </w:r>
      <w:r>
        <w:rPr>
          <w:sz w:val="28"/>
          <w:szCs w:val="24"/>
        </w:rPr>
        <w:t>Medical procedures</w:t>
      </w:r>
    </w:p>
    <w:p>
      <w:pPr>
        <w:pStyle w:val="TOC4"/>
        <w:keepNext w:val="0"/>
        <w:tabs>
          <w:tab w:val="right" w:leader="dot" w:pos="7078"/>
        </w:tabs>
        <w:rPr>
          <w:b w:val="0"/>
          <w:sz w:val="24"/>
          <w:szCs w:val="24"/>
        </w:rPr>
      </w:pPr>
      <w:r>
        <w:rPr>
          <w:sz w:val="28"/>
          <w:szCs w:val="24"/>
        </w:rPr>
        <w:t>Part 3 </w:t>
      </w:r>
      <w:r>
        <w:rPr>
          <w:szCs w:val="24"/>
        </w:rPr>
        <w:t>— </w:t>
      </w:r>
      <w:r>
        <w:rPr>
          <w:sz w:val="28"/>
          <w:szCs w:val="24"/>
        </w:rPr>
        <w:t>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napToGrid w:val="0"/>
          <w:sz w:val="28"/>
          <w:szCs w:val="24"/>
        </w:rPr>
        <w:t>Part 1</w:t>
      </w:r>
      <w:r>
        <w:rPr>
          <w:b w:val="0"/>
          <w:szCs w:val="24"/>
        </w:rPr>
        <w:t> — </w:t>
      </w:r>
      <w:r>
        <w:rPr>
          <w:sz w:val="28"/>
          <w:szCs w:val="24"/>
        </w:rPr>
        <w:t>General</w:t>
      </w:r>
    </w:p>
    <w:p>
      <w:pPr>
        <w:pStyle w:val="TOC4"/>
        <w:tabs>
          <w:tab w:val="right" w:leader="dot" w:pos="7078"/>
        </w:tabs>
        <w:rPr>
          <w:b w:val="0"/>
          <w:sz w:val="24"/>
          <w:szCs w:val="24"/>
        </w:rPr>
      </w:pPr>
      <w:r>
        <w:rPr>
          <w:snapToGrid w:val="0"/>
          <w:sz w:val="28"/>
          <w:szCs w:val="24"/>
        </w:rPr>
        <w:t>Part 2</w:t>
      </w:r>
      <w:r>
        <w:rPr>
          <w:szCs w:val="24"/>
        </w:rPr>
        <w:t xml:space="preserve"> — </w:t>
      </w:r>
      <w:r>
        <w:rPr>
          <w:sz w:val="28"/>
          <w:szCs w:val="24"/>
        </w:rPr>
        <w:t>Exercise</w:t>
      </w:r>
      <w:r>
        <w:rPr>
          <w:sz w:val="28"/>
          <w:szCs w:val="24"/>
        </w:rPr>
        <w:noBreakHyphen/>
        <w:t>based programs</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Scale of fees — chiropractors</w:t>
      </w:r>
    </w:p>
    <w:p>
      <w:pPr>
        <w:pStyle w:val="TOC2"/>
        <w:tabs>
          <w:tab w:val="right" w:leader="dot" w:pos="7078"/>
        </w:tabs>
        <w:rPr>
          <w:b w:val="0"/>
          <w:sz w:val="24"/>
          <w:szCs w:val="24"/>
        </w:rPr>
      </w:pPr>
      <w:r>
        <w:rPr>
          <w:szCs w:val="28"/>
        </w:rPr>
        <w:t>Schedule 4 — Scale of fees — occupational therapists</w:t>
      </w:r>
    </w:p>
    <w:p>
      <w:pPr>
        <w:pStyle w:val="TOC2"/>
        <w:tabs>
          <w:tab w:val="right" w:leader="dot" w:pos="7078"/>
        </w:tabs>
        <w:rPr>
          <w:b w:val="0"/>
          <w:sz w:val="24"/>
          <w:szCs w:val="24"/>
        </w:rPr>
      </w:pPr>
      <w:r>
        <w:rPr>
          <w:szCs w:val="28"/>
        </w:rPr>
        <w:t>Schedule 5 — Scale of fees — speech pathologists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napToGrid w:val="0"/>
          <w:sz w:val="28"/>
          <w:szCs w:val="24"/>
        </w:rPr>
        <w:t>Part 1</w:t>
      </w:r>
      <w:r>
        <w:rPr>
          <w:b w:val="0"/>
          <w:szCs w:val="24"/>
        </w:rPr>
        <w:t xml:space="preserve"> — </w:t>
      </w:r>
      <w:r>
        <w:rPr>
          <w:sz w:val="28"/>
          <w:szCs w:val="24"/>
        </w:rPr>
        <w:t>Assessments</w:t>
      </w:r>
    </w:p>
    <w:p>
      <w:pPr>
        <w:pStyle w:val="TOC4"/>
        <w:tabs>
          <w:tab w:val="right" w:leader="dot" w:pos="7078"/>
        </w:tabs>
        <w:rPr>
          <w:b w:val="0"/>
          <w:sz w:val="24"/>
          <w:szCs w:val="24"/>
        </w:rPr>
      </w:pPr>
      <w:r>
        <w:rPr>
          <w:snapToGrid w:val="0"/>
          <w:sz w:val="28"/>
          <w:szCs w:val="24"/>
        </w:rPr>
        <w:t>Part 2</w:t>
      </w:r>
      <w:r>
        <w:rPr>
          <w:b w:val="0"/>
          <w:szCs w:val="24"/>
        </w:rPr>
        <w:t> — </w:t>
      </w:r>
      <w:r>
        <w:rPr>
          <w:sz w:val="28"/>
          <w:szCs w:val="24"/>
        </w:rPr>
        <w:t>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_Toc130871698 \h </w:instrText>
      </w:r>
      <w:r>
        <w:fldChar w:fldCharType="separate"/>
      </w:r>
      <w:r>
        <w:t>69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March 2006</w:t>
            </w:r>
          </w:p>
        </w:tc>
      </w:tr>
    </w:tbl>
    <w:p>
      <w:pPr>
        <w:pStyle w:val="WA"/>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2" w:name="_Toc532976964"/>
      <w:bookmarkStart w:id="3" w:name="_Toc2571975"/>
      <w:bookmarkStart w:id="4" w:name="_Toc36356129"/>
      <w:bookmarkStart w:id="5" w:name="_Toc86727076"/>
      <w:bookmarkStart w:id="6" w:name="_Toc94408663"/>
      <w:bookmarkStart w:id="7" w:name="_Toc119464638"/>
      <w:bookmarkStart w:id="8" w:name="_Toc130871673"/>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130871674"/>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injuries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p>
    <w:p>
      <w:pPr>
        <w:pStyle w:val="Heading5"/>
        <w:rPr>
          <w:snapToGrid w:val="0"/>
        </w:rPr>
      </w:pPr>
      <w:bookmarkStart w:id="16" w:name="_Toc532976966"/>
      <w:bookmarkStart w:id="17" w:name="_Toc2571977"/>
      <w:bookmarkStart w:id="18" w:name="_Toc36356131"/>
      <w:bookmarkStart w:id="19" w:name="_Toc86727078"/>
      <w:bookmarkStart w:id="20" w:name="_Toc94408665"/>
      <w:bookmarkStart w:id="21" w:name="_Toc119464640"/>
      <w:bookmarkStart w:id="22" w:name="_Toc130871675"/>
      <w:r>
        <w:rPr>
          <w:rStyle w:val="CharSectno"/>
        </w:rPr>
        <w:t>3</w:t>
      </w:r>
      <w:r>
        <w:rPr>
          <w:snapToGrid w:val="0"/>
        </w:rPr>
        <w:t>.</w:t>
      </w:r>
      <w:r>
        <w:rPr>
          <w:snapToGrid w:val="0"/>
        </w:rPr>
        <w:tab/>
        <w:t>Scale of fees — physiotherapists</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injuries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w:t>
      </w:r>
    </w:p>
    <w:p>
      <w:pPr>
        <w:pStyle w:val="Heading5"/>
        <w:rPr>
          <w:snapToGrid w:val="0"/>
        </w:rPr>
      </w:pPr>
      <w:bookmarkStart w:id="23" w:name="_Toc532976967"/>
      <w:bookmarkStart w:id="24" w:name="_Toc2571978"/>
      <w:bookmarkStart w:id="25" w:name="_Toc36356132"/>
      <w:bookmarkStart w:id="26" w:name="_Toc86727079"/>
      <w:bookmarkStart w:id="27" w:name="_Toc94408666"/>
      <w:bookmarkStart w:id="28" w:name="_Toc119464641"/>
      <w:bookmarkStart w:id="29" w:name="_Toc130871676"/>
      <w:r>
        <w:rPr>
          <w:rStyle w:val="CharSectno"/>
        </w:rPr>
        <w:t>4</w:t>
      </w:r>
      <w:r>
        <w:rPr>
          <w:snapToGrid w:val="0"/>
        </w:rPr>
        <w:t>.</w:t>
      </w:r>
      <w:r>
        <w:rPr>
          <w:snapToGrid w:val="0"/>
        </w:rPr>
        <w:tab/>
        <w:t>Scale of fees — chiropractors</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injuries</w:t>
      </w:r>
      <w:r>
        <w:rPr>
          <w:snapToGrid w:val="0"/>
        </w:rPr>
        <w:t xml:space="preserve"> that are compensable under the Act.</w:t>
      </w:r>
    </w:p>
    <w:p>
      <w:pPr>
        <w:pStyle w:val="Footnotesection"/>
      </w:pPr>
      <w:r>
        <w:tab/>
        <w:t>[Regulation 4 amended in Gazette 11 Nov 2005 p. 5569 and 5570.]</w:t>
      </w:r>
    </w:p>
    <w:p>
      <w:pPr>
        <w:pStyle w:val="Heading5"/>
        <w:rPr>
          <w:snapToGrid w:val="0"/>
        </w:rPr>
      </w:pPr>
      <w:bookmarkStart w:id="30" w:name="_Toc532976968"/>
      <w:bookmarkStart w:id="31" w:name="_Toc2571979"/>
      <w:bookmarkStart w:id="32" w:name="_Toc36356133"/>
      <w:bookmarkStart w:id="33" w:name="_Toc86727080"/>
      <w:bookmarkStart w:id="34" w:name="_Toc94408667"/>
      <w:bookmarkStart w:id="35" w:name="_Toc119464642"/>
      <w:bookmarkStart w:id="36" w:name="_Toc130871677"/>
      <w:r>
        <w:rPr>
          <w:rStyle w:val="CharSectno"/>
        </w:rPr>
        <w:t>5</w:t>
      </w:r>
      <w:r>
        <w:rPr>
          <w:snapToGrid w:val="0"/>
        </w:rPr>
        <w:t>.</w:t>
      </w:r>
      <w:r>
        <w:rPr>
          <w:snapToGrid w:val="0"/>
        </w:rPr>
        <w:tab/>
        <w:t>Scale of fees — occupational therapists</w:t>
      </w:r>
      <w:bookmarkEnd w:id="30"/>
      <w:bookmarkEnd w:id="31"/>
      <w:bookmarkEnd w:id="32"/>
      <w:bookmarkEnd w:id="33"/>
      <w:bookmarkEnd w:id="34"/>
      <w:bookmarkEnd w:id="35"/>
      <w:bookmarkEnd w:id="36"/>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injuries</w:t>
      </w:r>
      <w:r>
        <w:rPr>
          <w:snapToGrid w:val="0"/>
          <w:spacing w:val="-4"/>
        </w:rPr>
        <w:t xml:space="preserve"> that are compensable under the Act.</w:t>
      </w:r>
    </w:p>
    <w:p>
      <w:pPr>
        <w:pStyle w:val="Footnotesection"/>
      </w:pPr>
      <w:bookmarkStart w:id="37" w:name="_Toc532976969"/>
      <w:bookmarkStart w:id="38" w:name="_Toc2571980"/>
      <w:bookmarkStart w:id="39" w:name="_Toc36356134"/>
      <w:bookmarkStart w:id="40" w:name="_Toc86727081"/>
      <w:bookmarkStart w:id="41" w:name="_Toc94408668"/>
      <w:r>
        <w:tab/>
        <w:t>[Regulation 5 amended in Gazette 11 Nov 2005 p. 5569 and 5570.]</w:t>
      </w:r>
    </w:p>
    <w:p>
      <w:pPr>
        <w:pStyle w:val="Heading5"/>
        <w:rPr>
          <w:snapToGrid w:val="0"/>
        </w:rPr>
      </w:pPr>
      <w:bookmarkStart w:id="42" w:name="_Toc119464643"/>
      <w:bookmarkStart w:id="43" w:name="_Toc130871678"/>
      <w:r>
        <w:rPr>
          <w:rStyle w:val="CharSectno"/>
        </w:rPr>
        <w:t>6</w:t>
      </w:r>
      <w:r>
        <w:rPr>
          <w:snapToGrid w:val="0"/>
        </w:rPr>
        <w:t>.</w:t>
      </w:r>
      <w:r>
        <w:rPr>
          <w:snapToGrid w:val="0"/>
        </w:rPr>
        <w:tab/>
        <w:t>Scale of fees — clinical psychologists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Under section </w:t>
      </w:r>
      <w:r>
        <w:t>292(2)(a)(vi)</w:t>
      </w:r>
      <w:r>
        <w:rPr>
          <w:snapToGrid w:val="0"/>
        </w:rPr>
        <w:t xml:space="preserve"> of the Act, the hourly rate of </w:t>
      </w:r>
      <w:r>
        <w:t xml:space="preserve">$165.20 </w:t>
      </w:r>
      <w:r>
        <w:rPr>
          <w:snapToGrid w:val="0"/>
        </w:rPr>
        <w:t xml:space="preserve">per hour is prescribed as the fee to be paid to clinical psychologists for attendance on, and treatment of, workers suffering </w:t>
      </w:r>
      <w:r>
        <w:t>injuries</w:t>
      </w:r>
      <w:r>
        <w:rPr>
          <w:snapToGrid w:val="0"/>
        </w:rPr>
        <w:t xml:space="preserve"> that are compensable under the Act.</w:t>
      </w:r>
    </w:p>
    <w:p>
      <w:pPr>
        <w:pStyle w:val="Footnotesection"/>
        <w:keepLines w:val="0"/>
        <w:ind w:left="890" w:hanging="890"/>
      </w:pPr>
      <w:r>
        <w:tab/>
        <w:t>[Regulation 6 amended in Gazette 20 Jul 1999 p. 3249; 21 Dec 2000 p. 7625; 14 Dec 2001 p. 6417; 9 May 2003 p. 1626; 9 Jan 2004 p. 99; 21 Jan 2005 p. 278; 11 Nov 2005 p. 5569 and 5570; 10 Jan 2006 p. 43.]</w:t>
      </w:r>
    </w:p>
    <w:p>
      <w:pPr>
        <w:pStyle w:val="Heading5"/>
        <w:rPr>
          <w:snapToGrid w:val="0"/>
        </w:rPr>
      </w:pPr>
      <w:bookmarkStart w:id="44" w:name="_Toc532976971"/>
      <w:bookmarkStart w:id="45" w:name="_Toc2571982"/>
      <w:bookmarkStart w:id="46" w:name="_Toc36356135"/>
      <w:bookmarkStart w:id="47" w:name="_Toc86727082"/>
      <w:bookmarkStart w:id="48" w:name="_Toc94408669"/>
      <w:bookmarkStart w:id="49" w:name="_Toc119464644"/>
      <w:bookmarkStart w:id="50" w:name="_Toc130871679"/>
      <w:bookmarkStart w:id="51" w:name="_Toc532976970"/>
      <w:bookmarkStart w:id="52" w:name="_Toc2571981"/>
      <w:bookmarkStart w:id="53" w:name="_Toc10018675"/>
      <w:r>
        <w:rPr>
          <w:rStyle w:val="CharSectno"/>
        </w:rPr>
        <w:t>7</w:t>
      </w:r>
      <w:r>
        <w:rPr>
          <w:snapToGrid w:val="0"/>
        </w:rPr>
        <w:t>.</w:t>
      </w:r>
      <w:r>
        <w:rPr>
          <w:snapToGrid w:val="0"/>
        </w:rPr>
        <w:tab/>
        <w:t>Scale of fees — speech therapists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injuries</w:t>
      </w:r>
      <w:r>
        <w:rPr>
          <w:snapToGrid w:val="0"/>
        </w:rPr>
        <w:t xml:space="preserve"> that are compensable under the Act.</w:t>
      </w:r>
    </w:p>
    <w:p>
      <w:pPr>
        <w:pStyle w:val="Footnotesection"/>
        <w:ind w:left="890" w:hanging="890"/>
      </w:pPr>
      <w:bookmarkStart w:id="54" w:name="_Toc36356136"/>
      <w:bookmarkStart w:id="55" w:name="_Toc86727083"/>
      <w:bookmarkStart w:id="56" w:name="_Toc94408670"/>
      <w:r>
        <w:tab/>
        <w:t>[Regulation 7 amended in Gazette 11 Nov 2005 p. 5569 and 5570.]</w:t>
      </w:r>
    </w:p>
    <w:p>
      <w:pPr>
        <w:pStyle w:val="Heading5"/>
      </w:pPr>
      <w:bookmarkStart w:id="57" w:name="_Toc119464645"/>
      <w:bookmarkStart w:id="58" w:name="_Toc130871680"/>
      <w:r>
        <w:rPr>
          <w:rStyle w:val="CharSectno"/>
        </w:rPr>
        <w:t>7A</w:t>
      </w:r>
      <w:r>
        <w:t>.</w:t>
      </w:r>
      <w:r>
        <w:tab/>
        <w:t>Scale of fees — osteopaths</w:t>
      </w:r>
      <w:bookmarkEnd w:id="51"/>
      <w:bookmarkEnd w:id="52"/>
      <w:bookmarkEnd w:id="53"/>
      <w:bookmarkEnd w:id="54"/>
      <w:bookmarkEnd w:id="55"/>
      <w:bookmarkEnd w:id="56"/>
      <w:bookmarkEnd w:id="57"/>
      <w:bookmarkEnd w:id="58"/>
    </w:p>
    <w:p>
      <w:pPr>
        <w:pStyle w:val="Subsection"/>
      </w:pPr>
      <w:r>
        <w:tab/>
      </w:r>
      <w:r>
        <w:tab/>
        <w:t>Under section 292(2)(a)(viii) of the Act, the amount of $52.30 is prescribed as the fee to be paid to an osteopath for an osteopathic consultation with a worker suffering injuries that are compensable under the Act.</w:t>
      </w:r>
    </w:p>
    <w:p>
      <w:pPr>
        <w:pStyle w:val="NotesPerm"/>
        <w:spacing w:before="120"/>
        <w:ind w:left="851"/>
      </w:pPr>
      <w:r>
        <w:tab/>
        <w:t xml:space="preserve">[Note: “Osteopathy” was approved as an “approved treatment” under section 5(1) of the Act in </w:t>
      </w:r>
      <w:r>
        <w:rPr>
          <w:i/>
        </w:rPr>
        <w:t>Gazette</w:t>
      </w:r>
      <w:r>
        <w:t xml:space="preserve"> 29/9/2000, p. 5564.]</w:t>
      </w:r>
    </w:p>
    <w:p>
      <w:pPr>
        <w:pStyle w:val="Footnotesection"/>
        <w:ind w:left="890" w:hanging="890"/>
      </w:pPr>
      <w:r>
        <w:tab/>
        <w:t>[Regulation 7A inserted in Gazette 14 Dec 2001 p. 6417; amended in Gazette 7 Mar 2003 p. 741; 9 Jan 2004 p. 99; 21 Jan 2005 p. 279; 11 Nov 2005 p. 5569 and 5570; 10 Jan 2006 p. 44.]</w:t>
      </w:r>
    </w:p>
    <w:p>
      <w:pPr>
        <w:pStyle w:val="Heading5"/>
        <w:rPr>
          <w:snapToGrid w:val="0"/>
        </w:rPr>
      </w:pPr>
      <w:bookmarkStart w:id="59" w:name="_Toc532976972"/>
      <w:bookmarkStart w:id="60" w:name="_Toc2571983"/>
      <w:bookmarkStart w:id="61" w:name="_Toc36356137"/>
      <w:bookmarkStart w:id="62" w:name="_Toc86727084"/>
      <w:bookmarkStart w:id="63" w:name="_Toc94408671"/>
      <w:bookmarkStart w:id="64" w:name="_Toc119464646"/>
      <w:bookmarkStart w:id="65" w:name="_Toc130871681"/>
      <w:r>
        <w:rPr>
          <w:rStyle w:val="CharSectno"/>
        </w:rPr>
        <w:t>8</w:t>
      </w:r>
      <w:r>
        <w:rPr>
          <w:snapToGrid w:val="0"/>
        </w:rPr>
        <w:t>.</w:t>
      </w:r>
      <w:r>
        <w:rPr>
          <w:snapToGrid w:val="0"/>
        </w:rPr>
        <w:tab/>
        <w:t>Scale of fees — vocational rehabilitation providers</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$123.35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w:t>
      </w:r>
    </w:p>
    <w:p>
      <w:pPr>
        <w:pStyle w:val="Heading5"/>
      </w:pPr>
      <w:bookmarkStart w:id="66" w:name="_Toc119464647"/>
      <w:bookmarkStart w:id="67" w:name="_Toc130871682"/>
      <w:r>
        <w:rPr>
          <w:rStyle w:val="CharSectno"/>
        </w:rPr>
        <w:t>9</w:t>
      </w:r>
      <w:r>
        <w:t>.</w:t>
      </w:r>
      <w:r>
        <w:tab/>
        <w:t>Scale of maximum fees — approved medical specialists</w:t>
      </w:r>
      <w:bookmarkEnd w:id="66"/>
      <w:bookmarkEnd w:id="6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68" w:name="_Toc36356138"/>
      <w:bookmarkStart w:id="69" w:name="_Toc86727085"/>
      <w:bookmarkStart w:id="70" w:name="_Toc94408672"/>
      <w:bookmarkStart w:id="71" w:name="_Toc118519379"/>
      <w:bookmarkStart w:id="72" w:name="_Toc118616292"/>
      <w:bookmarkStart w:id="73" w:name="_Toc119464648"/>
      <w:bookmarkStart w:id="74" w:name="_Toc119464792"/>
      <w:bookmarkStart w:id="75" w:name="_Toc119466397"/>
      <w:bookmarkStart w:id="76" w:name="_Toc119725421"/>
      <w:bookmarkStart w:id="77" w:name="_Toc121194254"/>
      <w:bookmarkStart w:id="78" w:name="_Toc126569067"/>
      <w:bookmarkStart w:id="79" w:name="_Toc127601207"/>
      <w:bookmarkStart w:id="80" w:name="_Toc127668230"/>
      <w:bookmarkStart w:id="81" w:name="_Toc128452289"/>
    </w:p>
    <w:p>
      <w:pPr>
        <w:pStyle w:val="yScheduleHeading"/>
      </w:pPr>
      <w:bookmarkStart w:id="82" w:name="_Toc128796273"/>
      <w:bookmarkStart w:id="83" w:name="_Toc128796597"/>
      <w:bookmarkStart w:id="84" w:name="_Toc128807361"/>
      <w:bookmarkStart w:id="85" w:name="_Toc128807551"/>
      <w:bookmarkStart w:id="86" w:name="_Toc130871683"/>
      <w:r>
        <w:rPr>
          <w:rStyle w:val="CharSchNo"/>
        </w:rPr>
        <w:t>Schedule 1</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yShoulderClause"/>
        <w:spacing w:before="0"/>
      </w:pPr>
      <w:r>
        <w:t>[r. 2]</w:t>
      </w:r>
    </w:p>
    <w:p>
      <w:pPr>
        <w:pStyle w:val="yHeading2"/>
      </w:pPr>
      <w:bookmarkStart w:id="87" w:name="_Toc126569068"/>
      <w:bookmarkStart w:id="88" w:name="_Toc127601208"/>
      <w:bookmarkStart w:id="89" w:name="_Toc127668231"/>
      <w:bookmarkStart w:id="90" w:name="_Toc128452290"/>
      <w:bookmarkStart w:id="91" w:name="_Toc128796274"/>
      <w:bookmarkStart w:id="92" w:name="_Toc128796598"/>
      <w:bookmarkStart w:id="93" w:name="_Toc128807362"/>
      <w:bookmarkStart w:id="94" w:name="_Toc128807552"/>
      <w:bookmarkStart w:id="95" w:name="_Toc130871684"/>
      <w:r>
        <w:rPr>
          <w:rStyle w:val="CharSchText"/>
        </w:rPr>
        <w:t>Scales of fees — medical specialists and other medical practitioners</w:t>
      </w:r>
      <w:bookmarkEnd w:id="87"/>
      <w:bookmarkEnd w:id="88"/>
      <w:bookmarkEnd w:id="89"/>
      <w:bookmarkEnd w:id="90"/>
      <w:bookmarkEnd w:id="91"/>
      <w:bookmarkEnd w:id="92"/>
      <w:bookmarkEnd w:id="93"/>
      <w:bookmarkEnd w:id="94"/>
      <w:bookmarkEnd w:id="95"/>
    </w:p>
    <w:p>
      <w:pPr>
        <w:pStyle w:val="yFootnoteheading"/>
        <w:spacing w:before="60" w:after="60"/>
        <w:rPr>
          <w:b/>
          <w:sz w:val="28"/>
        </w:rPr>
      </w:pPr>
      <w:r>
        <w:tab/>
        <w:t>[Heading inserted in Gazette 20 Jul 1999 p. 3250.]</w:t>
      </w:r>
    </w:p>
    <w:p>
      <w:pPr>
        <w:pStyle w:val="yHeading3"/>
        <w:rPr>
          <w:bCs/>
          <w:sz w:val="28"/>
        </w:rPr>
      </w:pPr>
      <w:bookmarkStart w:id="96" w:name="_Toc128807553"/>
      <w:bookmarkStart w:id="97" w:name="_Toc130871685"/>
      <w:r>
        <w:rPr>
          <w:rStyle w:val="CharSDivNo"/>
          <w:bCs/>
          <w:sz w:val="28"/>
        </w:rPr>
        <w:t>Part 1</w:t>
      </w:r>
      <w:r>
        <w:rPr>
          <w:bCs/>
          <w:sz w:val="28"/>
        </w:rPr>
        <w:t xml:space="preserve"> — </w:t>
      </w:r>
      <w:r>
        <w:rPr>
          <w:rStyle w:val="CharSDivText"/>
          <w:bCs/>
          <w:sz w:val="28"/>
        </w:rPr>
        <w:t>Medical specialists and other medical practitioners</w:t>
      </w:r>
      <w:bookmarkEnd w:id="96"/>
      <w:bookmarkEnd w:id="97"/>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240"/>
        <w:rPr>
          <w:b/>
          <w:i/>
        </w:rPr>
      </w:pPr>
      <w:r>
        <w:rPr>
          <w:b/>
          <w:i/>
        </w:rPr>
        <w:t>GENERAL PRACTITIONER</w:t>
      </w:r>
    </w:p>
    <w:p>
      <w:pPr>
        <w:pStyle w:val="yMiscellaneousBody"/>
        <w:spacing w:before="240"/>
      </w:pPr>
      <w:r>
        <w:t>CONSULTATIONS</w:t>
      </w:r>
    </w:p>
    <w:p>
      <w:pPr>
        <w:pStyle w:val="yMiscellaneousBody"/>
        <w:spacing w:before="240"/>
        <w:rPr>
          <w:iCs/>
          <w:u w:val="single"/>
        </w:rPr>
      </w:pPr>
      <w:r>
        <w:rPr>
          <w:iCs/>
          <w:u w:val="single"/>
        </w:rPr>
        <w:t>Surgery Consultation</w:t>
      </w:r>
    </w:p>
    <w:p>
      <w:pPr>
        <w:pStyle w:val="yMiscellaneousBody"/>
        <w:spacing w:before="240" w:after="4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40"/>
              <w:ind w:firstLine="283"/>
              <w:rPr>
                <w:b/>
              </w:rPr>
            </w:pPr>
            <w:r>
              <w:rPr>
                <w:b/>
              </w:rPr>
              <w:t>Content based</w:t>
            </w:r>
          </w:p>
        </w:tc>
        <w:tc>
          <w:tcPr>
            <w:tcW w:w="1276" w:type="dxa"/>
          </w:tcPr>
          <w:p>
            <w:pPr>
              <w:pStyle w:val="yTable"/>
              <w:spacing w:before="40" w:after="40"/>
              <w:jc w:val="center"/>
              <w:rPr>
                <w:b/>
              </w:rPr>
            </w:pPr>
            <w:r>
              <w:rPr>
                <w:b/>
              </w:rPr>
              <w:t>$</w:t>
            </w:r>
          </w:p>
        </w:tc>
      </w:tr>
      <w:tr>
        <w:tc>
          <w:tcPr>
            <w:tcW w:w="5812" w:type="dxa"/>
          </w:tcPr>
          <w:p>
            <w:pPr>
              <w:pStyle w:val="yTable"/>
              <w:keepNext/>
              <w:keepLines/>
              <w:tabs>
                <w:tab w:val="left" w:pos="708"/>
              </w:tabs>
              <w:spacing w:before="40" w:after="40"/>
            </w:pPr>
            <w:r>
              <w:tab/>
              <w:t>Minor or Specific Service (Level A or B)</w:t>
            </w:r>
          </w:p>
        </w:tc>
        <w:tc>
          <w:tcPr>
            <w:tcW w:w="1276" w:type="dxa"/>
          </w:tcPr>
          <w:p>
            <w:pPr>
              <w:pStyle w:val="yTable"/>
              <w:spacing w:before="40" w:after="40"/>
              <w:ind w:right="142"/>
              <w:jc w:val="right"/>
            </w:pPr>
            <w:r>
              <w:t>51.35</w:t>
            </w:r>
          </w:p>
        </w:tc>
      </w:tr>
      <w:tr>
        <w:tc>
          <w:tcPr>
            <w:tcW w:w="5812" w:type="dxa"/>
          </w:tcPr>
          <w:p>
            <w:pPr>
              <w:pStyle w:val="yTable"/>
              <w:keepNext/>
              <w:keepLines/>
              <w:tabs>
                <w:tab w:val="left" w:pos="708"/>
              </w:tabs>
              <w:spacing w:before="40" w:after="40"/>
            </w:pPr>
            <w:r>
              <w:tab/>
              <w:t>Extended Service (Level C)</w:t>
            </w:r>
          </w:p>
        </w:tc>
        <w:tc>
          <w:tcPr>
            <w:tcW w:w="1276" w:type="dxa"/>
          </w:tcPr>
          <w:p>
            <w:pPr>
              <w:pStyle w:val="yTable"/>
              <w:spacing w:before="40" w:after="40"/>
              <w:ind w:right="142"/>
              <w:jc w:val="right"/>
            </w:pPr>
            <w:r>
              <w:t>93.85</w:t>
            </w:r>
          </w:p>
        </w:tc>
      </w:tr>
      <w:tr>
        <w:tc>
          <w:tcPr>
            <w:tcW w:w="5812" w:type="dxa"/>
          </w:tcPr>
          <w:p>
            <w:pPr>
              <w:pStyle w:val="yTable"/>
              <w:keepNext/>
              <w:keepLines/>
              <w:tabs>
                <w:tab w:val="left" w:pos="708"/>
              </w:tabs>
              <w:spacing w:before="40" w:after="40"/>
            </w:pPr>
            <w:r>
              <w:tab/>
              <w:t>Comprehensive Service (Level D)</w:t>
            </w:r>
          </w:p>
        </w:tc>
        <w:tc>
          <w:tcPr>
            <w:tcW w:w="1276" w:type="dxa"/>
          </w:tcPr>
          <w:p>
            <w:pPr>
              <w:pStyle w:val="yTable"/>
              <w:spacing w:before="40" w:after="40"/>
              <w:ind w:right="142"/>
              <w:jc w:val="right"/>
            </w:pPr>
            <w:r>
              <w:t>144.20</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30.60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40.00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116.55</w:t>
            </w:r>
          </w:p>
        </w:tc>
      </w:tr>
      <w:tr>
        <w:tc>
          <w:tcPr>
            <w:tcW w:w="5812" w:type="dxa"/>
          </w:tcPr>
          <w:p>
            <w:pPr>
              <w:pStyle w:val="yTable"/>
              <w:tabs>
                <w:tab w:val="left" w:pos="708"/>
              </w:tabs>
              <w:spacing w:before="40" w:after="40"/>
            </w:pPr>
            <w:r>
              <w:tab/>
              <w:t>more than 45 mins to 60 mins</w:t>
            </w:r>
          </w:p>
        </w:tc>
        <w:tc>
          <w:tcPr>
            <w:tcW w:w="1276" w:type="dxa"/>
          </w:tcPr>
          <w:p>
            <w:pPr>
              <w:pStyle w:val="yTable"/>
              <w:spacing w:before="40" w:after="40"/>
              <w:ind w:right="142"/>
              <w:jc w:val="right"/>
            </w:pPr>
            <w:r>
              <w:t>158.05</w:t>
            </w:r>
          </w:p>
        </w:tc>
      </w:tr>
    </w:tbl>
    <w:p>
      <w:pPr>
        <w:pStyle w:val="yMiscellaneousBody"/>
        <w:keepNext/>
        <w:keepLines/>
        <w:spacing w:before="240"/>
        <w:rPr>
          <w:u w:val="single"/>
        </w:rPr>
      </w:pPr>
      <w:r>
        <w:rPr>
          <w:u w:val="single"/>
        </w:rPr>
        <w:t>Surgery Consultations</w:t>
      </w:r>
    </w:p>
    <w:p>
      <w:pPr>
        <w:pStyle w:val="yMiscellaneousBody"/>
        <w:keepNext/>
        <w:keepLines/>
        <w:spacing w:before="240"/>
      </w:pPr>
      <w:r>
        <w:t>out of hours</w:t>
      </w:r>
    </w:p>
    <w:p>
      <w:pPr>
        <w:pStyle w:val="yMiscellaneousBody"/>
        <w:keepNext/>
        <w:keepLines/>
        <w:spacing w:before="240" w:after="60"/>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firstLine="283"/>
              <w:rPr>
                <w:b/>
              </w:rPr>
            </w:pPr>
            <w:r>
              <w:br w:type="page"/>
            </w:r>
            <w:r>
              <w:rPr>
                <w:b/>
              </w:rPr>
              <w:t>Content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38.55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140.30</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217.35</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61.00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66.20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102.75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140.30</w:t>
            </w:r>
          </w:p>
        </w:tc>
      </w:tr>
    </w:tbl>
    <w:p>
      <w:pPr>
        <w:pStyle w:val="yMiscellaneousBody"/>
        <w:spacing w:before="240"/>
      </w:pPr>
      <w:r>
        <w:t>VISITS</w:t>
      </w:r>
    </w:p>
    <w:p>
      <w:pPr>
        <w:pStyle w:val="yMiscellaneousBody"/>
        <w:spacing w:before="240" w:after="6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40" w:after="40"/>
              <w:ind w:left="0"/>
              <w:rPr>
                <w:u w:val="single"/>
              </w:rPr>
            </w:pPr>
            <w:r>
              <w:t>in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rPr>
                <w:u w:val="single"/>
              </w:rPr>
            </w:pPr>
            <w:r>
              <w:tab/>
              <w:t>Minor Service (Level A)</w:t>
            </w:r>
          </w:p>
        </w:tc>
        <w:tc>
          <w:tcPr>
            <w:tcW w:w="1276" w:type="dxa"/>
          </w:tcPr>
          <w:p>
            <w:pPr>
              <w:pStyle w:val="yTable"/>
              <w:spacing w:before="40" w:after="40"/>
              <w:ind w:right="142"/>
              <w:jc w:val="right"/>
            </w:pPr>
            <w:r>
              <w:t>64.25</w:t>
            </w:r>
          </w:p>
        </w:tc>
      </w:tr>
      <w:tr>
        <w:tc>
          <w:tcPr>
            <w:tcW w:w="5812" w:type="dxa"/>
          </w:tcPr>
          <w:p>
            <w:pPr>
              <w:pStyle w:val="yTable"/>
              <w:tabs>
                <w:tab w:val="left" w:pos="708"/>
              </w:tabs>
              <w:spacing w:before="40" w:after="40"/>
              <w:rPr>
                <w:u w:val="single"/>
              </w:rPr>
            </w:pPr>
            <w:r>
              <w:tab/>
              <w:t>Specific Service (Level B)</w:t>
            </w:r>
          </w:p>
        </w:tc>
        <w:tc>
          <w:tcPr>
            <w:tcW w:w="1276" w:type="dxa"/>
          </w:tcPr>
          <w:p>
            <w:pPr>
              <w:pStyle w:val="yTable"/>
              <w:spacing w:before="40" w:after="40"/>
              <w:ind w:right="142"/>
              <w:jc w:val="right"/>
            </w:pPr>
            <w:r>
              <w:t>87.90</w:t>
            </w:r>
          </w:p>
        </w:tc>
      </w:tr>
      <w:tr>
        <w:tc>
          <w:tcPr>
            <w:tcW w:w="5812" w:type="dxa"/>
          </w:tcPr>
          <w:p>
            <w:pPr>
              <w:pStyle w:val="yTable"/>
              <w:tabs>
                <w:tab w:val="left" w:pos="708"/>
              </w:tabs>
              <w:spacing w:before="40" w:after="40"/>
              <w:rPr>
                <w:u w:val="single"/>
              </w:rPr>
            </w:pPr>
            <w:r>
              <w:tab/>
              <w:t>Extended Service (Level C)</w:t>
            </w:r>
          </w:p>
        </w:tc>
        <w:tc>
          <w:tcPr>
            <w:tcW w:w="1276" w:type="dxa"/>
          </w:tcPr>
          <w:p>
            <w:pPr>
              <w:pStyle w:val="yTable"/>
              <w:spacing w:before="40" w:after="40"/>
              <w:ind w:right="142"/>
              <w:jc w:val="right"/>
            </w:pPr>
            <w:r>
              <w:t>130.40</w:t>
            </w:r>
          </w:p>
        </w:tc>
      </w:tr>
      <w:tr>
        <w:tc>
          <w:tcPr>
            <w:tcW w:w="5812" w:type="dxa"/>
          </w:tcPr>
          <w:p>
            <w:pPr>
              <w:pStyle w:val="yTable"/>
              <w:tabs>
                <w:tab w:val="left" w:pos="708"/>
              </w:tabs>
              <w:spacing w:before="40" w:after="40"/>
              <w:rPr>
                <w:u w:val="single"/>
              </w:rPr>
            </w:pPr>
            <w:r>
              <w:tab/>
              <w:t>Comprehensive Service (Level D)</w:t>
            </w:r>
          </w:p>
        </w:tc>
        <w:tc>
          <w:tcPr>
            <w:tcW w:w="1276" w:type="dxa"/>
          </w:tcPr>
          <w:p>
            <w:pPr>
              <w:pStyle w:val="yTable"/>
              <w:spacing w:before="40" w:after="40"/>
              <w:ind w:right="142"/>
              <w:jc w:val="right"/>
            </w:pPr>
            <w:r>
              <w:t>181.75</w:t>
            </w:r>
          </w:p>
        </w:tc>
      </w:tr>
      <w:tr>
        <w:tc>
          <w:tcPr>
            <w:tcW w:w="5812" w:type="dxa"/>
          </w:tcPr>
          <w:p>
            <w:pPr>
              <w:pStyle w:val="yTable"/>
              <w:spacing w:before="120" w:after="40"/>
            </w:pPr>
            <w:r>
              <w:t>out of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114.60</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175.85</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256.85</w:t>
            </w:r>
          </w:p>
        </w:tc>
      </w:tr>
    </w:tbl>
    <w:p>
      <w:pPr>
        <w:pStyle w:val="yMiscellaneousBody"/>
        <w:keepNext/>
        <w:keepLines/>
        <w:spacing w:before="24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120"/>
              <w:ind w:firstLine="142"/>
              <w:rPr>
                <w:b/>
              </w:rPr>
            </w:pPr>
            <w:r>
              <w:rPr>
                <w:b/>
              </w:rPr>
              <w:t>Time based</w:t>
            </w:r>
          </w:p>
        </w:tc>
        <w:tc>
          <w:tcPr>
            <w:tcW w:w="1276" w:type="dxa"/>
          </w:tcPr>
          <w:p>
            <w:pPr>
              <w:pStyle w:val="yTable"/>
              <w:keepNext/>
              <w:keepLines/>
              <w:spacing w:before="40" w:after="40"/>
              <w:jc w:val="center"/>
              <w:rPr>
                <w:b/>
              </w:rPr>
            </w:pPr>
            <w:r>
              <w:rPr>
                <w:b/>
              </w:rPr>
              <w:t>$</w:t>
            </w:r>
          </w:p>
        </w:tc>
      </w:tr>
      <w:tr>
        <w:tc>
          <w:tcPr>
            <w:tcW w:w="5812" w:type="dxa"/>
          </w:tcPr>
          <w:p>
            <w:pPr>
              <w:pStyle w:val="yTable"/>
              <w:tabs>
                <w:tab w:val="left" w:pos="708"/>
              </w:tabs>
              <w:spacing w:before="40" w:after="40"/>
              <w:rPr>
                <w:b/>
              </w:rPr>
            </w:pPr>
            <w:r>
              <w:tab/>
              <w:t>up to 5 mins</w:t>
            </w:r>
          </w:p>
        </w:tc>
        <w:tc>
          <w:tcPr>
            <w:tcW w:w="1276" w:type="dxa"/>
          </w:tcPr>
          <w:p>
            <w:pPr>
              <w:pStyle w:val="yTable"/>
              <w:keepNext/>
              <w:keepLines/>
              <w:spacing w:before="40" w:after="40"/>
              <w:ind w:right="142"/>
              <w:jc w:val="right"/>
            </w:pPr>
            <w:r>
              <w:t>17.15</w:t>
            </w:r>
          </w:p>
        </w:tc>
      </w:tr>
      <w:tr>
        <w:tc>
          <w:tcPr>
            <w:tcW w:w="5812" w:type="dxa"/>
          </w:tcPr>
          <w:p>
            <w:pPr>
              <w:pStyle w:val="yTable"/>
              <w:tabs>
                <w:tab w:val="left" w:pos="708"/>
              </w:tabs>
              <w:spacing w:before="40" w:after="40"/>
              <w:rPr>
                <w:b/>
              </w:rPr>
            </w:pPr>
            <w:r>
              <w:tab/>
              <w:t>more than 5 mins to 15 mins</w:t>
            </w:r>
          </w:p>
        </w:tc>
        <w:tc>
          <w:tcPr>
            <w:tcW w:w="1276" w:type="dxa"/>
          </w:tcPr>
          <w:p>
            <w:pPr>
              <w:pStyle w:val="yTable"/>
              <w:spacing w:before="40" w:after="40"/>
              <w:ind w:right="142"/>
              <w:jc w:val="right"/>
            </w:pPr>
            <w:r>
              <w:t>21.50</w:t>
            </w:r>
          </w:p>
        </w:tc>
      </w:tr>
      <w:tr>
        <w:tc>
          <w:tcPr>
            <w:tcW w:w="5812" w:type="dxa"/>
          </w:tcPr>
          <w:p>
            <w:pPr>
              <w:pStyle w:val="yTable"/>
              <w:tabs>
                <w:tab w:val="left" w:pos="708"/>
              </w:tabs>
              <w:spacing w:before="40" w:after="40"/>
              <w:rPr>
                <w:b/>
              </w:rPr>
            </w:pPr>
            <w:r>
              <w:tab/>
              <w:t>more than 15 mins to 30 mins</w:t>
            </w:r>
          </w:p>
        </w:tc>
        <w:tc>
          <w:tcPr>
            <w:tcW w:w="1276" w:type="dxa"/>
          </w:tcPr>
          <w:p>
            <w:pPr>
              <w:pStyle w:val="yTable"/>
              <w:spacing w:before="40" w:after="40"/>
              <w:ind w:right="142"/>
              <w:jc w:val="right"/>
            </w:pPr>
            <w:r>
              <w:t>44.90</w:t>
            </w:r>
          </w:p>
        </w:tc>
      </w:tr>
      <w:tr>
        <w:tc>
          <w:tcPr>
            <w:tcW w:w="5812" w:type="dxa"/>
          </w:tcPr>
          <w:p>
            <w:pPr>
              <w:pStyle w:val="yTable"/>
              <w:tabs>
                <w:tab w:val="left" w:pos="708"/>
              </w:tabs>
              <w:spacing w:before="40" w:after="40"/>
              <w:rPr>
                <w:b/>
              </w:rPr>
            </w:pPr>
            <w:r>
              <w:tab/>
              <w:t>more than 30 mins</w:t>
            </w:r>
          </w:p>
        </w:tc>
        <w:tc>
          <w:tcPr>
            <w:tcW w:w="1276" w:type="dxa"/>
          </w:tcPr>
          <w:p>
            <w:pPr>
              <w:pStyle w:val="yTable"/>
              <w:spacing w:before="40" w:after="40"/>
              <w:ind w:right="142"/>
              <w:jc w:val="right"/>
            </w:pPr>
            <w:r>
              <w:t>67.30</w:t>
            </w:r>
          </w:p>
        </w:tc>
      </w:tr>
    </w:tbl>
    <w:p>
      <w:pPr>
        <w:pStyle w:val="yMiscellaneousBody"/>
        <w:spacing w:before="240"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ind w:left="142" w:right="142" w:hanging="142"/>
              <w:jc w:val="right"/>
            </w:pPr>
            <w:r>
              <w:t>193.20</w:t>
            </w:r>
          </w:p>
        </w:tc>
      </w:tr>
      <w:tr>
        <w:tc>
          <w:tcPr>
            <w:tcW w:w="5812" w:type="dxa"/>
          </w:tcPr>
          <w:p>
            <w:pPr>
              <w:pStyle w:val="yTable"/>
              <w:tabs>
                <w:tab w:val="left" w:pos="567"/>
              </w:tabs>
              <w:spacing w:before="240" w:after="60"/>
            </w:pPr>
            <w:r>
              <w:t>TRAVELLING FEES</w:t>
            </w:r>
          </w:p>
          <w:p>
            <w:pPr>
              <w:pStyle w:val="yTable"/>
              <w:tabs>
                <w:tab w:val="left" w:pos="567"/>
              </w:tabs>
            </w:pPr>
            <w:r>
              <w:t>Outside the metropolitan area</w:t>
            </w:r>
            <w:r>
              <w:br/>
            </w:r>
            <w:r>
              <w:tab/>
              <w:t>Rate per kilometre</w:t>
            </w:r>
          </w:p>
        </w:tc>
        <w:tc>
          <w:tcPr>
            <w:tcW w:w="1276" w:type="dxa"/>
          </w:tcPr>
          <w:p>
            <w:pPr>
              <w:pStyle w:val="yTable"/>
              <w:ind w:right="142"/>
              <w:jc w:val="right"/>
            </w:pPr>
          </w:p>
          <w:p>
            <w:pPr>
              <w:pStyle w:val="yTable"/>
              <w:ind w:right="142"/>
              <w:jc w:val="right"/>
            </w:pPr>
          </w:p>
          <w:p>
            <w:pPr>
              <w:pStyle w:val="yTable"/>
              <w:ind w:right="142"/>
              <w:jc w:val="right"/>
            </w:pPr>
            <w:r>
              <w:br/>
              <w:t>3.42</w:t>
            </w:r>
          </w:p>
        </w:tc>
      </w:tr>
    </w:tbl>
    <w:p>
      <w:pPr>
        <w:pStyle w:val="yMiscellaneousBody"/>
        <w:spacing w:before="260"/>
        <w:rPr>
          <w:b/>
          <w:i/>
        </w:rPr>
      </w:pPr>
      <w:r>
        <w:rPr>
          <w:b/>
          <w:i/>
        </w:rPr>
        <w:t>PHYSICIANS, OCCUPATIONAL &amp; REHABILITATION PHYSICIANS</w:t>
      </w:r>
    </w:p>
    <w:p>
      <w:pPr>
        <w:pStyle w:val="yMiscellaneousBody"/>
        <w:spacing w:before="240"/>
        <w:rPr>
          <w:b/>
          <w:i/>
        </w:rPr>
      </w:pPr>
      <w:r>
        <w:rPr>
          <w:b/>
          <w:i/>
        </w:rPr>
        <w:t>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5"/>
              <w:rPr>
                <w:u w:val="single"/>
              </w:rPr>
            </w:pPr>
            <w:r>
              <w:t>first attendance</w:t>
            </w:r>
          </w:p>
        </w:tc>
        <w:tc>
          <w:tcPr>
            <w:tcW w:w="1559" w:type="dxa"/>
          </w:tcPr>
          <w:p>
            <w:pPr>
              <w:pStyle w:val="yTable"/>
              <w:spacing w:before="40" w:after="40"/>
              <w:ind w:left="-142"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134.80</w:t>
            </w:r>
          </w:p>
        </w:tc>
      </w:tr>
    </w:tbl>
    <w:p>
      <w:pPr>
        <w:pStyle w:val="yMiscellaneousBody"/>
        <w:keepNext/>
        <w:keepLines/>
        <w:spacing w:before="240"/>
        <w:rPr>
          <w:b/>
          <w:i/>
        </w:rPr>
      </w:pPr>
      <w:r>
        <w:rPr>
          <w:b/>
          <w:i/>
        </w:rPr>
        <w:t>REHABILITATION PHYSICIANS</w:t>
      </w:r>
    </w:p>
    <w:p>
      <w:pPr>
        <w:pStyle w:val="yMiscellaneousBody"/>
        <w:keepNext/>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spacing w:before="40" w:after="40"/>
              <w:ind w:right="294"/>
            </w:pPr>
            <w:r>
              <w:rPr>
                <w:u w:val="single"/>
              </w:rPr>
              <w:t>Professional attendance at consulting rooms and issue of certificate (if required) et al</w:t>
            </w:r>
          </w:p>
        </w:tc>
        <w:tc>
          <w:tcPr>
            <w:tcW w:w="1559" w:type="dxa"/>
          </w:tcPr>
          <w:p>
            <w:pPr>
              <w:pStyle w:val="yTable"/>
              <w:keepNext/>
              <w:keepLines/>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spacing w:before="40" w:after="40"/>
              <w:ind w:left="283"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ind w:left="283" w:right="142"/>
              <w:jc w:val="right"/>
            </w:pPr>
            <w:r>
              <w:t>134.80</w:t>
            </w:r>
          </w:p>
        </w:tc>
      </w:tr>
    </w:tbl>
    <w:p>
      <w:pPr>
        <w:pStyle w:val="yMiscellaneousBody"/>
        <w:spacing w:before="240"/>
        <w:rPr>
          <w:b/>
          <w:i/>
        </w:rPr>
      </w:pPr>
      <w:r>
        <w:rPr>
          <w:b/>
          <w:i/>
        </w:rPr>
        <w:t>OCCUPATIONAL 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spacing w:before="40" w:after="40"/>
              <w:ind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keepNext/>
              <w:keepLines/>
              <w:spacing w:before="40" w:after="40"/>
              <w:ind w:right="294"/>
              <w:rPr>
                <w:u w:val="single"/>
              </w:rPr>
            </w:pPr>
            <w:r>
              <w:t>first attendance</w:t>
            </w:r>
          </w:p>
        </w:tc>
        <w:tc>
          <w:tcPr>
            <w:tcW w:w="1276" w:type="dxa"/>
            <w:gridSpan w:val="2"/>
          </w:tcPr>
          <w:p>
            <w:pPr>
              <w:pStyle w:val="yTable"/>
              <w:ind w:left="142" w:right="142"/>
              <w:jc w:val="right"/>
            </w:pPr>
            <w:r>
              <w:t>198.25</w:t>
            </w:r>
          </w:p>
        </w:tc>
      </w:tr>
      <w:tr>
        <w:tc>
          <w:tcPr>
            <w:tcW w:w="5812" w:type="dxa"/>
          </w:tcPr>
          <w:p>
            <w:pPr>
              <w:pStyle w:val="yTable"/>
              <w:spacing w:before="40" w:after="40"/>
              <w:ind w:right="295"/>
              <w:rPr>
                <w:u w:val="single"/>
              </w:rPr>
            </w:pPr>
            <w:r>
              <w:t>subsequent attendances</w:t>
            </w:r>
          </w:p>
        </w:tc>
        <w:tc>
          <w:tcPr>
            <w:tcW w:w="1276" w:type="dxa"/>
            <w:gridSpan w:val="2"/>
          </w:tcPr>
          <w:p>
            <w:pPr>
              <w:pStyle w:val="yTable"/>
              <w:ind w:left="283" w:right="142"/>
              <w:jc w:val="right"/>
            </w:pPr>
            <w:r>
              <w:t>97.60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ind w:left="142" w:right="142"/>
              <w:jc w:val="right"/>
            </w:pPr>
            <w:r>
              <w:t>233.60</w:t>
            </w:r>
          </w:p>
        </w:tc>
      </w:tr>
      <w:tr>
        <w:tc>
          <w:tcPr>
            <w:tcW w:w="5812" w:type="dxa"/>
          </w:tcPr>
          <w:p>
            <w:pPr>
              <w:pStyle w:val="yTable"/>
              <w:spacing w:before="40" w:after="40"/>
              <w:ind w:right="295"/>
              <w:rPr>
                <w:u w:val="single"/>
              </w:rPr>
            </w:pPr>
            <w:r>
              <w:t>subsequent attendances</w:t>
            </w:r>
          </w:p>
        </w:tc>
        <w:tc>
          <w:tcPr>
            <w:tcW w:w="1276" w:type="dxa"/>
          </w:tcPr>
          <w:p>
            <w:pPr>
              <w:pStyle w:val="yTable"/>
              <w:ind w:left="142" w:right="142"/>
              <w:jc w:val="right"/>
            </w:pPr>
            <w:r>
              <w:t>134.80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rPr>
                <w:b/>
              </w:rPr>
            </w:pPr>
            <w:r>
              <w:rPr>
                <w:b/>
              </w:rPr>
              <w:t>Time based</w:t>
            </w:r>
          </w:p>
        </w:tc>
        <w:tc>
          <w:tcPr>
            <w:tcW w:w="1276" w:type="dxa"/>
          </w:tcPr>
          <w:p>
            <w:pPr>
              <w:pStyle w:val="yTable"/>
              <w:keepNext/>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ind w:left="142" w:right="142"/>
              <w:jc w:val="right"/>
            </w:pPr>
            <w:r>
              <w:t>99.65</w:t>
            </w:r>
          </w:p>
        </w:tc>
      </w:tr>
    </w:tbl>
    <w:p>
      <w:pPr>
        <w:pStyle w:val="yMiscellaneousBody"/>
        <w:keepNext/>
        <w:keepLines/>
        <w:spacing w:after="6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keepNext/>
              <w:keepLines/>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Body"/>
        <w:spacing w:before="240"/>
        <w:rPr>
          <w:b/>
          <w:i/>
        </w:rPr>
      </w:pPr>
      <w:r>
        <w:rPr>
          <w:b/>
          <w:i/>
        </w:rPr>
        <w:t>CONSULTANT PSYCHIATRISTS</w:t>
      </w:r>
    </w:p>
    <w:p>
      <w:pPr>
        <w:pStyle w:val="yMiscellaneousBody"/>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consulting rooms and issue of certificate (if required) et al</w:t>
            </w:r>
          </w:p>
          <w:p>
            <w:pPr>
              <w:pStyle w:val="yTable"/>
              <w:tabs>
                <w:tab w:val="left" w:pos="1134"/>
              </w:tabs>
              <w:spacing w:before="40" w:after="40"/>
              <w:ind w:right="294"/>
              <w:rPr>
                <w:b/>
              </w:rPr>
            </w:pPr>
            <w:r>
              <w:rPr>
                <w:b/>
              </w:rPr>
              <w:t>Time based</w:t>
            </w:r>
          </w:p>
        </w:tc>
        <w:tc>
          <w:tcPr>
            <w:tcW w:w="1276" w:type="dxa"/>
          </w:tcPr>
          <w:p>
            <w:pPr>
              <w:pStyle w:val="yTable"/>
              <w:spacing w:before="40" w:after="40"/>
              <w:ind w:right="294"/>
            </w:pPr>
            <w:r>
              <w:br/>
            </w:r>
          </w:p>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5"/>
              <w:rPr>
                <w:b/>
              </w:rPr>
            </w:pPr>
            <w:r>
              <w:tab/>
              <w:t>up to 15 mins</w:t>
            </w:r>
          </w:p>
        </w:tc>
        <w:tc>
          <w:tcPr>
            <w:tcW w:w="1276" w:type="dxa"/>
          </w:tcPr>
          <w:p>
            <w:pPr>
              <w:pStyle w:val="yTable"/>
              <w:spacing w:before="40" w:after="40"/>
              <w:ind w:left="142" w:right="142"/>
              <w:jc w:val="right"/>
            </w:pPr>
            <w:r>
              <w:t>57.25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114.15</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170.95</w:t>
            </w:r>
          </w:p>
        </w:tc>
      </w:tr>
      <w:tr>
        <w:tc>
          <w:tcPr>
            <w:tcW w:w="5812" w:type="dxa"/>
          </w:tcPr>
          <w:p>
            <w:pPr>
              <w:pStyle w:val="yTable"/>
              <w:tabs>
                <w:tab w:val="left" w:pos="567"/>
              </w:tabs>
              <w:spacing w:before="40" w:after="40"/>
              <w:ind w:right="295"/>
              <w:rPr>
                <w:b/>
              </w:rPr>
            </w:pPr>
            <w:r>
              <w:tab/>
              <w:t>more than 45 mins to 60 mins</w:t>
            </w:r>
          </w:p>
        </w:tc>
        <w:tc>
          <w:tcPr>
            <w:tcW w:w="1276" w:type="dxa"/>
          </w:tcPr>
          <w:p>
            <w:pPr>
              <w:pStyle w:val="yTable"/>
              <w:spacing w:before="40" w:after="40"/>
              <w:ind w:left="142" w:right="142"/>
              <w:jc w:val="right"/>
            </w:pPr>
            <w:r>
              <w:t>228.75</w:t>
            </w:r>
          </w:p>
        </w:tc>
      </w:tr>
      <w:tr>
        <w:tc>
          <w:tcPr>
            <w:tcW w:w="5812" w:type="dxa"/>
          </w:tcPr>
          <w:p>
            <w:pPr>
              <w:pStyle w:val="yTable"/>
              <w:tabs>
                <w:tab w:val="left" w:pos="567"/>
              </w:tabs>
              <w:spacing w:before="40" w:after="40"/>
              <w:ind w:right="295"/>
              <w:rPr>
                <w:b/>
              </w:rPr>
            </w:pPr>
            <w:r>
              <w:tab/>
              <w:t>more than 60 mins to 75 mins</w:t>
            </w:r>
          </w:p>
        </w:tc>
        <w:tc>
          <w:tcPr>
            <w:tcW w:w="1276" w:type="dxa"/>
          </w:tcPr>
          <w:p>
            <w:pPr>
              <w:pStyle w:val="yTable"/>
              <w:spacing w:before="40" w:after="40"/>
              <w:ind w:left="142" w:right="142"/>
              <w:jc w:val="right"/>
            </w:pPr>
            <w:r>
              <w:t>258.85</w:t>
            </w:r>
          </w:p>
        </w:tc>
      </w:tr>
      <w:tr>
        <w:tc>
          <w:tcPr>
            <w:tcW w:w="5812" w:type="dxa"/>
          </w:tcPr>
          <w:p>
            <w:pPr>
              <w:pStyle w:val="yTable"/>
              <w:tabs>
                <w:tab w:val="left" w:pos="567"/>
              </w:tabs>
              <w:spacing w:before="40" w:after="40"/>
              <w:ind w:right="295"/>
              <w:rPr>
                <w:u w:val="single"/>
              </w:rPr>
            </w:pPr>
            <w:r>
              <w:tab/>
              <w:t>more than 75 mins</w:t>
            </w:r>
          </w:p>
        </w:tc>
        <w:tc>
          <w:tcPr>
            <w:tcW w:w="1276" w:type="dxa"/>
          </w:tcPr>
          <w:p>
            <w:pPr>
              <w:pStyle w:val="yTable"/>
              <w:spacing w:before="40" w:after="40"/>
              <w:ind w:left="142" w:right="142"/>
              <w:jc w:val="right"/>
            </w:pPr>
            <w:r>
              <w:t>288.90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spacing w:before="40" w:after="40"/>
              <w:ind w:right="294"/>
              <w:rPr>
                <w:b/>
              </w:rPr>
            </w:pPr>
            <w:r>
              <w:rPr>
                <w:b/>
              </w:rPr>
              <w:t>Time based</w:t>
            </w:r>
          </w:p>
        </w:tc>
        <w:tc>
          <w:tcPr>
            <w:tcW w:w="1276" w:type="dxa"/>
          </w:tcPr>
          <w:p>
            <w:pPr>
              <w:pStyle w:val="yTable"/>
              <w:keepNext/>
              <w:spacing w:before="40" w:after="40"/>
              <w:ind w:right="294"/>
            </w:pPr>
            <w:r>
              <w:br/>
            </w:r>
            <w:r>
              <w:br/>
            </w:r>
          </w:p>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15 mins</w:t>
            </w:r>
          </w:p>
        </w:tc>
        <w:tc>
          <w:tcPr>
            <w:tcW w:w="1276" w:type="dxa"/>
          </w:tcPr>
          <w:p>
            <w:pPr>
              <w:pStyle w:val="yTable"/>
              <w:spacing w:before="40" w:after="40"/>
              <w:ind w:left="142" w:right="142"/>
              <w:jc w:val="right"/>
            </w:pPr>
            <w:r>
              <w:t>93.95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151.70</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207.05</w:t>
            </w:r>
          </w:p>
        </w:tc>
      </w:tr>
      <w:tr>
        <w:tc>
          <w:tcPr>
            <w:tcW w:w="5812" w:type="dxa"/>
          </w:tcPr>
          <w:p>
            <w:pPr>
              <w:pStyle w:val="yTable"/>
              <w:tabs>
                <w:tab w:val="left" w:pos="567"/>
              </w:tabs>
              <w:spacing w:before="40" w:after="40"/>
              <w:ind w:right="295"/>
              <w:rPr>
                <w:b/>
              </w:rPr>
            </w:pPr>
            <w:r>
              <w:tab/>
              <w:t>more than 45 mins to 75 mins</w:t>
            </w:r>
          </w:p>
        </w:tc>
        <w:tc>
          <w:tcPr>
            <w:tcW w:w="1276" w:type="dxa"/>
          </w:tcPr>
          <w:p>
            <w:pPr>
              <w:pStyle w:val="yTable"/>
              <w:spacing w:before="40" w:after="40"/>
              <w:ind w:left="142" w:right="142"/>
              <w:jc w:val="right"/>
            </w:pPr>
            <w:r>
              <w:t>264.85</w:t>
            </w:r>
          </w:p>
        </w:tc>
      </w:tr>
      <w:tr>
        <w:tc>
          <w:tcPr>
            <w:tcW w:w="5812" w:type="dxa"/>
          </w:tcPr>
          <w:p>
            <w:pPr>
              <w:pStyle w:val="yTable"/>
              <w:tabs>
                <w:tab w:val="left" w:pos="567"/>
              </w:tabs>
              <w:spacing w:before="40" w:after="40"/>
              <w:ind w:right="295"/>
              <w:rPr>
                <w:b/>
              </w:rPr>
            </w:pPr>
            <w:r>
              <w:tab/>
              <w:t>more than 75 mins</w:t>
            </w:r>
          </w:p>
        </w:tc>
        <w:tc>
          <w:tcPr>
            <w:tcW w:w="1276" w:type="dxa"/>
          </w:tcPr>
          <w:p>
            <w:pPr>
              <w:pStyle w:val="yTable"/>
              <w:spacing w:before="40" w:after="40"/>
              <w:ind w:left="142" w:right="142"/>
              <w:jc w:val="right"/>
            </w:pPr>
            <w:r>
              <w:t>319.10</w:t>
            </w:r>
          </w:p>
        </w:tc>
      </w:tr>
    </w:tbl>
    <w:p>
      <w:pPr>
        <w:pStyle w:val="yMiscellaneousBody"/>
        <w:keepNext/>
        <w:spacing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after="60"/>
              <w:ind w:right="295"/>
              <w:rPr>
                <w:b/>
              </w:rPr>
            </w:pPr>
            <w:r>
              <w:rPr>
                <w:b/>
              </w:rPr>
              <w:t>Time based</w:t>
            </w:r>
          </w:p>
        </w:tc>
        <w:tc>
          <w:tcPr>
            <w:tcW w:w="1276" w:type="dxa"/>
          </w:tcPr>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45 mins</w:t>
            </w:r>
          </w:p>
        </w:tc>
        <w:tc>
          <w:tcPr>
            <w:tcW w:w="1276" w:type="dxa"/>
          </w:tcPr>
          <w:p>
            <w:pPr>
              <w:pStyle w:val="yTable"/>
              <w:keepNext/>
              <w:spacing w:before="40" w:after="40"/>
              <w:ind w:left="142" w:right="142"/>
              <w:jc w:val="right"/>
            </w:pPr>
            <w:r>
              <w:t>75.85</w:t>
            </w:r>
          </w:p>
        </w:tc>
      </w:tr>
      <w:tr>
        <w:tc>
          <w:tcPr>
            <w:tcW w:w="5812" w:type="dxa"/>
          </w:tcPr>
          <w:p>
            <w:pPr>
              <w:pStyle w:val="yTable"/>
              <w:tabs>
                <w:tab w:val="left" w:pos="567"/>
              </w:tabs>
              <w:spacing w:before="40" w:after="40"/>
              <w:ind w:right="295"/>
              <w:rPr>
                <w:b/>
              </w:rPr>
            </w:pPr>
            <w:r>
              <w:tab/>
              <w:t>more than 45 mins</w:t>
            </w:r>
          </w:p>
        </w:tc>
        <w:tc>
          <w:tcPr>
            <w:tcW w:w="1276" w:type="dxa"/>
          </w:tcPr>
          <w:p>
            <w:pPr>
              <w:pStyle w:val="yTable"/>
              <w:spacing w:before="40" w:after="40"/>
              <w:ind w:left="142" w:right="142"/>
              <w:jc w:val="right"/>
            </w:pPr>
            <w:r>
              <w:t>165.70</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Heading"/>
        <w:keepNext w:val="0"/>
        <w:spacing w:before="300"/>
        <w:jc w:val="left"/>
        <w:rPr>
          <w:b/>
          <w:i/>
        </w:rPr>
      </w:pPr>
      <w:r>
        <w:rPr>
          <w:b/>
          <w:i/>
        </w:rPr>
        <w:t>SPECIALISTS</w:t>
      </w:r>
    </w:p>
    <w:p>
      <w:pPr>
        <w:pStyle w:val="yMiscellaneousBody"/>
        <w:spacing w:before="240"/>
        <w:rPr>
          <w:b/>
          <w:i/>
        </w:rPr>
      </w:pPr>
      <w:r>
        <w:rPr>
          <w:b/>
          <w:i/>
        </w:rPr>
        <w:t>SURGEONS</w:t>
      </w:r>
    </w:p>
    <w:p>
      <w:pPr>
        <w:pStyle w:val="yMiscellaneousBody"/>
        <w:spacing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110.90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57.85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149.50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95.25</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spacing w:before="40" w:after="40"/>
              <w:ind w:left="142" w:right="142"/>
              <w:jc w:val="right"/>
            </w:pPr>
            <w:r>
              <w:t>110.90</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57.85</w:t>
            </w:r>
          </w:p>
        </w:tc>
      </w:tr>
    </w:tbl>
    <w:p>
      <w:pPr>
        <w:pStyle w:val="yMiscellaneousBody"/>
        <w:keepNext/>
        <w:spacing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5"/>
              <w:rPr>
                <w:u w:val="single"/>
              </w:rPr>
            </w:pPr>
            <w:r>
              <w:t>first attendance</w:t>
            </w:r>
          </w:p>
        </w:tc>
        <w:tc>
          <w:tcPr>
            <w:tcW w:w="1276" w:type="dxa"/>
          </w:tcPr>
          <w:p>
            <w:pPr>
              <w:pStyle w:val="yTable"/>
              <w:spacing w:before="40" w:after="40"/>
              <w:ind w:left="142" w:right="142"/>
              <w:jc w:val="right"/>
            </w:pPr>
            <w:r>
              <w:t>149.25</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95.10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t>Time based</w:t>
            </w:r>
          </w:p>
        </w:tc>
        <w:tc>
          <w:tcPr>
            <w:tcW w:w="1276" w:type="dxa"/>
          </w:tcPr>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spacing w:before="40" w:after="40"/>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spacing w:before="40" w:after="40"/>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spacing w:before="40" w:after="40"/>
              <w:ind w:left="142" w:right="142"/>
              <w:jc w:val="right"/>
            </w:pPr>
            <w:r>
              <w:t>99.65</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t>per hour</w:t>
            </w:r>
          </w:p>
        </w:tc>
        <w:tc>
          <w:tcPr>
            <w:tcW w:w="1559" w:type="dxa"/>
          </w:tcPr>
          <w:p>
            <w:pPr>
              <w:pStyle w:val="yTable"/>
              <w:spacing w:before="40" w:after="40"/>
              <w:ind w:left="142" w:right="142"/>
              <w:jc w:val="right"/>
            </w:pPr>
            <w:r>
              <w:t>286.45</w:t>
            </w:r>
          </w:p>
        </w:tc>
      </w:tr>
    </w:tbl>
    <w:p>
      <w:pPr>
        <w:pStyle w:val="yMiscellaneousBody"/>
        <w:spacing w:before="240" w:after="6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t>Rate per kilometre</w:t>
            </w:r>
          </w:p>
        </w:tc>
        <w:tc>
          <w:tcPr>
            <w:tcW w:w="1276" w:type="dxa"/>
          </w:tcPr>
          <w:p>
            <w:pPr>
              <w:pStyle w:val="yTable"/>
              <w:tabs>
                <w:tab w:val="decimal" w:pos="425"/>
                <w:tab w:val="right" w:pos="1418"/>
              </w:tabs>
              <w:spacing w:before="40" w:after="40"/>
              <w:ind w:right="295"/>
              <w:jc w:val="right"/>
            </w:pPr>
            <w:r>
              <w:t>3.42</w:t>
            </w:r>
          </w:p>
        </w:tc>
      </w:tr>
    </w:tbl>
    <w:p>
      <w:pPr>
        <w:pStyle w:val="yTable"/>
        <w:spacing w:before="240"/>
        <w:ind w:left="284"/>
      </w:pPr>
      <w:r>
        <w:rPr>
          <w:b/>
        </w:rPr>
        <w:t>ANAESTHETISTS</w:t>
      </w:r>
    </w:p>
    <w:p>
      <w:pPr>
        <w:pStyle w:val="yTable"/>
        <w:spacing w:before="120" w:after="60"/>
        <w:ind w:left="284"/>
      </w:pPr>
      <w:r>
        <w:t>All anaesthesia fees are calculated by multiplying the units for the consultation, attendance, procedure or service by the $ value per unit allocated by this Schedule.</w:t>
      </w:r>
    </w:p>
    <w:p>
      <w:pPr>
        <w:pStyle w:val="yTable"/>
        <w:tabs>
          <w:tab w:val="left" w:pos="709"/>
        </w:tabs>
        <w:spacing w:before="80"/>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spacing w:before="40" w:after="40"/>
              <w:ind w:right="141"/>
            </w:pPr>
            <w:r>
              <w:t>$ value per unit</w:t>
            </w:r>
          </w:p>
        </w:tc>
        <w:tc>
          <w:tcPr>
            <w:tcW w:w="1985" w:type="dxa"/>
          </w:tcPr>
          <w:p>
            <w:pPr>
              <w:pStyle w:val="yTable"/>
              <w:keepNext/>
              <w:spacing w:before="40" w:after="40"/>
              <w:jc w:val="center"/>
            </w:pPr>
            <w:r>
              <w:t>$35.45</w:t>
            </w:r>
          </w:p>
        </w:tc>
      </w:tr>
      <w:tr>
        <w:trPr>
          <w:tblHeader/>
        </w:trPr>
        <w:tc>
          <w:tcPr>
            <w:tcW w:w="4678" w:type="dxa"/>
            <w:tcBorders>
              <w:top w:val="single" w:sz="4" w:space="0" w:color="auto"/>
              <w:bottom w:val="single" w:sz="4" w:space="0" w:color="auto"/>
            </w:tcBorders>
          </w:tcPr>
          <w:p>
            <w:pPr>
              <w:pStyle w:val="yTable"/>
              <w:spacing w:before="40" w:after="40"/>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40" w:after="40"/>
              <w:jc w:val="center"/>
            </w:pPr>
            <w:r>
              <w:t>Units</w:t>
            </w:r>
          </w:p>
          <w:p>
            <w:pPr>
              <w:pStyle w:val="yTable"/>
              <w:keepNext/>
              <w:spacing w:before="40" w:after="40"/>
              <w:jc w:val="center"/>
            </w:pPr>
          </w:p>
        </w:tc>
      </w:tr>
      <w:tr>
        <w:tc>
          <w:tcPr>
            <w:tcW w:w="4678" w:type="dxa"/>
          </w:tcPr>
          <w:p>
            <w:pPr>
              <w:pStyle w:val="yTable"/>
              <w:spacing w:before="40" w:after="40"/>
              <w:ind w:right="142"/>
            </w:pPr>
            <w:r>
              <w:t>Anaesthetist Consultation</w:t>
            </w:r>
          </w:p>
        </w:tc>
        <w:tc>
          <w:tcPr>
            <w:tcW w:w="1985" w:type="dxa"/>
          </w:tcPr>
          <w:p>
            <w:pPr>
              <w:pStyle w:val="yTable"/>
              <w:keepNext/>
              <w:spacing w:before="40" w:after="40"/>
              <w:jc w:val="center"/>
            </w:pPr>
          </w:p>
        </w:tc>
      </w:tr>
      <w:tr>
        <w:tc>
          <w:tcPr>
            <w:tcW w:w="4678" w:type="dxa"/>
          </w:tcPr>
          <w:p>
            <w:pPr>
              <w:pStyle w:val="yTable"/>
              <w:tabs>
                <w:tab w:val="left" w:pos="567"/>
              </w:tabs>
              <w:spacing w:before="40" w:after="40"/>
              <w:ind w:left="567" w:right="141" w:hanging="567"/>
            </w:pPr>
            <w:r>
              <w:t> — an attendance of 15 minutes or less duration</w:t>
            </w:r>
          </w:p>
        </w:tc>
        <w:tc>
          <w:tcPr>
            <w:tcW w:w="1985" w:type="dxa"/>
          </w:tcPr>
          <w:p>
            <w:pPr>
              <w:pStyle w:val="yTable"/>
              <w:keepNext/>
              <w:spacing w:before="40" w:after="40"/>
              <w:jc w:val="center"/>
            </w:pPr>
            <w:r>
              <w:t>2</w:t>
            </w:r>
          </w:p>
        </w:tc>
      </w:tr>
      <w:tr>
        <w:tc>
          <w:tcPr>
            <w:tcW w:w="4678" w:type="dxa"/>
          </w:tcPr>
          <w:p>
            <w:pPr>
              <w:pStyle w:val="yTable"/>
              <w:tabs>
                <w:tab w:val="left" w:pos="567"/>
              </w:tabs>
              <w:spacing w:before="40" w:after="40"/>
              <w:ind w:left="567" w:right="141" w:hanging="567"/>
            </w:pPr>
            <w:r>
              <w:t> — an attendance of more than 15 minutes but not more than 30 minutes duration</w:t>
            </w:r>
          </w:p>
        </w:tc>
        <w:tc>
          <w:tcPr>
            <w:tcW w:w="1985" w:type="dxa"/>
          </w:tcPr>
          <w:p>
            <w:pPr>
              <w:pStyle w:val="yTable"/>
              <w:keepNext/>
              <w:spacing w:before="40" w:after="40"/>
              <w:jc w:val="center"/>
            </w:pPr>
            <w:r>
              <w:br/>
              <w:t>4</w:t>
            </w:r>
          </w:p>
        </w:tc>
      </w:tr>
      <w:tr>
        <w:tc>
          <w:tcPr>
            <w:tcW w:w="4678" w:type="dxa"/>
          </w:tcPr>
          <w:p>
            <w:pPr>
              <w:pStyle w:val="yTable"/>
              <w:keepNext/>
              <w:keepLines/>
              <w:tabs>
                <w:tab w:val="left" w:pos="567"/>
              </w:tabs>
              <w:spacing w:before="40" w:after="40"/>
              <w:ind w:left="567" w:right="141" w:hanging="567"/>
            </w:pPr>
            <w:r>
              <w:t> — an attendance of more than 30 minutes but not more than 45 minutes duration</w:t>
            </w:r>
          </w:p>
        </w:tc>
        <w:tc>
          <w:tcPr>
            <w:tcW w:w="1985" w:type="dxa"/>
          </w:tcPr>
          <w:p>
            <w:pPr>
              <w:pStyle w:val="yTable"/>
              <w:keepNext/>
              <w:spacing w:before="40" w:after="40"/>
              <w:jc w:val="center"/>
            </w:pPr>
            <w:r>
              <w:br/>
              <w:t>6</w:t>
            </w:r>
          </w:p>
        </w:tc>
      </w:tr>
      <w:tr>
        <w:tc>
          <w:tcPr>
            <w:tcW w:w="4678" w:type="dxa"/>
          </w:tcPr>
          <w:p>
            <w:pPr>
              <w:pStyle w:val="yTable"/>
              <w:tabs>
                <w:tab w:val="left" w:pos="567"/>
              </w:tabs>
              <w:spacing w:before="40" w:after="40"/>
              <w:ind w:left="567" w:right="141" w:hanging="567"/>
            </w:pPr>
            <w:r>
              <w:t> — an attendance of more than 45 minutes duration</w:t>
            </w:r>
          </w:p>
        </w:tc>
        <w:tc>
          <w:tcPr>
            <w:tcW w:w="1985" w:type="dxa"/>
          </w:tcPr>
          <w:p>
            <w:pPr>
              <w:pStyle w:val="yTable"/>
              <w:keepNext/>
              <w:spacing w:before="40" w:after="40"/>
              <w:jc w:val="center"/>
            </w:pPr>
            <w:r>
              <w:br/>
              <w:t>8</w:t>
            </w:r>
          </w:p>
        </w:tc>
      </w:tr>
      <w:tr>
        <w:tc>
          <w:tcPr>
            <w:tcW w:w="4678" w:type="dxa"/>
          </w:tcPr>
          <w:p>
            <w:pPr>
              <w:pStyle w:val="yTable"/>
              <w:spacing w:before="40" w:after="40"/>
              <w:ind w:right="141"/>
            </w:pPr>
            <w:r>
              <w:t>Post anaesthesia patient care following a day procedure</w:t>
            </w:r>
          </w:p>
        </w:tc>
        <w:tc>
          <w:tcPr>
            <w:tcW w:w="1985" w:type="dxa"/>
          </w:tcPr>
          <w:p>
            <w:pPr>
              <w:pStyle w:val="yTable"/>
              <w:keepNext/>
              <w:spacing w:before="40" w:after="40"/>
              <w:jc w:val="center"/>
            </w:pPr>
            <w:r>
              <w:br/>
              <w:t>2</w:t>
            </w:r>
          </w:p>
        </w:tc>
      </w:tr>
      <w:tr>
        <w:tc>
          <w:tcPr>
            <w:tcW w:w="4678" w:type="dxa"/>
          </w:tcPr>
          <w:p>
            <w:pPr>
              <w:pStyle w:val="yTable"/>
              <w:spacing w:before="40" w:after="40"/>
              <w:ind w:right="141"/>
            </w:pPr>
            <w:r>
              <w:t>EMERGENCY ATTENDANCES</w:t>
            </w:r>
          </w:p>
        </w:tc>
        <w:tc>
          <w:tcPr>
            <w:tcW w:w="1985" w:type="dxa"/>
          </w:tcPr>
          <w:p>
            <w:pPr>
              <w:pStyle w:val="yTable"/>
              <w:keepNext/>
              <w:spacing w:before="40" w:after="40"/>
              <w:jc w:val="center"/>
            </w:pPr>
          </w:p>
        </w:tc>
      </w:tr>
      <w:tr>
        <w:trPr>
          <w:cantSplit/>
        </w:trPr>
        <w:tc>
          <w:tcPr>
            <w:tcW w:w="4678" w:type="dxa"/>
          </w:tcPr>
          <w:p>
            <w:pPr>
              <w:pStyle w:val="yTable"/>
              <w:spacing w:before="40" w:after="40"/>
              <w:ind w:right="141"/>
            </w:pPr>
            <w:r>
              <w:t>After hours — where immediate attendance is required after 6 p.m. and before 8 a.m. on any weekday, or at any time on a Saturday, Sunday or a public holiday</w:t>
            </w:r>
          </w:p>
        </w:tc>
        <w:tc>
          <w:tcPr>
            <w:tcW w:w="1985" w:type="dxa"/>
          </w:tcPr>
          <w:p>
            <w:pPr>
              <w:pStyle w:val="yTable"/>
              <w:keepNext/>
              <w:spacing w:before="40" w:after="40"/>
              <w:jc w:val="center"/>
            </w:pPr>
            <w:r>
              <w:br/>
            </w:r>
            <w:r>
              <w:br/>
            </w:r>
            <w:r>
              <w:br/>
              <w:t>6</w:t>
            </w:r>
          </w:p>
        </w:tc>
      </w:tr>
      <w:tr>
        <w:tc>
          <w:tcPr>
            <w:tcW w:w="4678" w:type="dxa"/>
          </w:tcPr>
          <w:p>
            <w:pPr>
              <w:pStyle w:val="yTable"/>
              <w:spacing w:before="40" w:after="40"/>
              <w:ind w:right="141"/>
            </w:pPr>
            <w:r>
              <w:rPr>
                <w:b/>
              </w:rPr>
              <w:t>Note: No after hours loading applies to the above item</w:t>
            </w:r>
          </w:p>
        </w:tc>
        <w:tc>
          <w:tcPr>
            <w:tcW w:w="1985" w:type="dxa"/>
          </w:tcPr>
          <w:p>
            <w:pPr>
              <w:pStyle w:val="yTable"/>
              <w:keepNext/>
              <w:spacing w:before="40" w:after="40"/>
              <w:jc w:val="center"/>
            </w:pPr>
          </w:p>
        </w:tc>
      </w:tr>
      <w:tr>
        <w:tc>
          <w:tcPr>
            <w:tcW w:w="4678" w:type="dxa"/>
          </w:tcPr>
          <w:p>
            <w:pPr>
              <w:pStyle w:val="yTable"/>
              <w:spacing w:before="40" w:after="40"/>
              <w:ind w:right="141"/>
            </w:pPr>
            <w:r>
              <w:t>Attendance on a patient in imminent danger of death requiring continuous life saving emergency treatment to the exclusion of all other patients</w:t>
            </w:r>
          </w:p>
        </w:tc>
        <w:tc>
          <w:tcPr>
            <w:tcW w:w="1985" w:type="dxa"/>
          </w:tcPr>
          <w:p>
            <w:pPr>
              <w:pStyle w:val="yTable"/>
              <w:keepNext/>
              <w:spacing w:before="40" w:after="40"/>
              <w:jc w:val="center"/>
            </w:pPr>
            <w:r>
              <w:br/>
            </w:r>
            <w:r>
              <w:br/>
            </w:r>
          </w:p>
          <w:p>
            <w:pPr>
              <w:pStyle w:val="yTable"/>
              <w:keepNext/>
              <w:spacing w:before="40" w:after="40"/>
              <w:jc w:val="center"/>
            </w:pPr>
            <w:r>
              <w:t>6</w:t>
            </w:r>
          </w:p>
        </w:tc>
      </w:tr>
      <w:tr>
        <w:tc>
          <w:tcPr>
            <w:tcW w:w="4678"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985" w:type="dxa"/>
            <w:tcBorders>
              <w:bottom w:val="single" w:sz="4" w:space="0" w:color="auto"/>
            </w:tcBorders>
          </w:tcPr>
          <w:p>
            <w:pPr>
              <w:pStyle w:val="yTable"/>
              <w:keepNext/>
              <w:spacing w:before="40" w:after="40"/>
              <w:jc w:val="center"/>
            </w:pPr>
            <w:r>
              <w:br/>
              <w:t>4</w:t>
            </w:r>
          </w:p>
        </w:tc>
      </w:tr>
    </w:tbl>
    <w:p>
      <w:pPr>
        <w:pStyle w:val="yTable"/>
        <w:spacing w:before="20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keepNext/>
        <w:keepLines/>
        <w:spacing w:before="200"/>
        <w:ind w:left="567"/>
        <w:rPr>
          <w:u w:val="single"/>
        </w:rPr>
      </w:pPr>
      <w:r>
        <w:rPr>
          <w:u w:val="single"/>
        </w:rPr>
        <w:t>Base units</w:t>
      </w:r>
    </w:p>
    <w:p>
      <w:pPr>
        <w:pStyle w:val="yTable"/>
        <w:keepLines/>
        <w:spacing w:before="120"/>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ind w:left="567"/>
        <w:rPr>
          <w:u w:val="single"/>
        </w:rPr>
      </w:pPr>
      <w:r>
        <w:rPr>
          <w:u w:val="single"/>
        </w:rPr>
        <w:t>Time units</w:t>
      </w:r>
    </w:p>
    <w:p>
      <w:pPr>
        <w:pStyle w:val="yTable"/>
        <w:spacing w:before="120"/>
        <w:ind w:left="567"/>
      </w:pPr>
      <w:r>
        <w:t>Each 15 minutes (or part thereof) of anaesthetic time constitutes one time unit.  After 4 hours, time units are calculated at 1 per 10 minutes.</w:t>
      </w:r>
    </w:p>
    <w:p>
      <w:pPr>
        <w:pStyle w:val="yTable"/>
        <w:spacing w:before="120"/>
        <w:ind w:left="567"/>
        <w:rPr>
          <w:u w:val="single"/>
        </w:rPr>
      </w:pPr>
      <w:r>
        <w:rPr>
          <w:u w:val="single"/>
        </w:rPr>
        <w:t>Modifying units</w:t>
      </w:r>
    </w:p>
    <w:p>
      <w:pPr>
        <w:pStyle w:val="yTable"/>
        <w:spacing w:before="120"/>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680" w:type="dxa"/>
        <w:tblLayout w:type="fixed"/>
        <w:tblCellMar>
          <w:left w:w="113" w:type="dxa"/>
          <w:right w:w="113" w:type="dxa"/>
        </w:tblCellMar>
        <w:tblLook w:val="0000" w:firstRow="0" w:lastRow="0" w:firstColumn="0" w:lastColumn="0" w:noHBand="0" w:noVBand="0"/>
      </w:tblPr>
      <w:tblGrid>
        <w:gridCol w:w="33"/>
        <w:gridCol w:w="5040"/>
        <w:gridCol w:w="30"/>
        <w:gridCol w:w="1276"/>
        <w:gridCol w:w="14"/>
      </w:tblGrid>
      <w:tr>
        <w:trPr>
          <w:gridBefore w:val="1"/>
          <w:wBefore w:w="33" w:type="dxa"/>
          <w:cantSplit/>
          <w:tblHeader/>
        </w:trPr>
        <w:tc>
          <w:tcPr>
            <w:tcW w:w="5040" w:type="dxa"/>
            <w:tcBorders>
              <w:top w:val="single" w:sz="4" w:space="0" w:color="auto"/>
              <w:bottom w:val="single" w:sz="4" w:space="0" w:color="auto"/>
            </w:tcBorders>
          </w:tcPr>
          <w:p>
            <w:pPr>
              <w:pStyle w:val="yTable"/>
              <w:spacing w:before="40" w:after="40"/>
              <w:rPr>
                <w:b/>
              </w:rPr>
            </w:pPr>
            <w:r>
              <w:rPr>
                <w:b/>
              </w:rPr>
              <w:t>Description</w:t>
            </w:r>
          </w:p>
        </w:tc>
        <w:tc>
          <w:tcPr>
            <w:tcW w:w="1320" w:type="dxa"/>
            <w:gridSpan w:val="3"/>
            <w:tcBorders>
              <w:top w:val="single" w:sz="4" w:space="0" w:color="auto"/>
              <w:bottom w:val="single" w:sz="4" w:space="0" w:color="auto"/>
            </w:tcBorders>
          </w:tcPr>
          <w:p>
            <w:pPr>
              <w:pStyle w:val="yTable"/>
              <w:keepNext/>
              <w:spacing w:before="40" w:after="40"/>
              <w:jc w:val="center"/>
              <w:rPr>
                <w:b/>
              </w:rPr>
            </w:pPr>
            <w:r>
              <w:rPr>
                <w:b/>
              </w:rPr>
              <w:t>Units</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normal healthy patient</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mild systemic disease</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w:t>
            </w:r>
          </w:p>
        </w:tc>
        <w:tc>
          <w:tcPr>
            <w:tcW w:w="1276" w:type="dxa"/>
          </w:tcPr>
          <w:p>
            <w:pPr>
              <w:pStyle w:val="yTable"/>
              <w:keepNext/>
              <w:spacing w:before="40" w:after="40"/>
              <w:jc w:val="center"/>
            </w:pPr>
            <w: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 that is a constant threat to life</w:t>
            </w:r>
          </w:p>
        </w:tc>
        <w:tc>
          <w:tcPr>
            <w:tcW w:w="1276" w:type="dxa"/>
          </w:tcPr>
          <w:p>
            <w:pPr>
              <w:pStyle w:val="yTable"/>
              <w:keepNext/>
              <w:spacing w:before="40" w:after="40"/>
              <w:jc w:val="center"/>
            </w:pPr>
            <w:r>
              <w:br/>
              <w:t>4</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moribund patient who is not expected to survive for 24 hours with or without the operation</w:t>
            </w:r>
          </w:p>
        </w:tc>
        <w:tc>
          <w:tcPr>
            <w:tcW w:w="1276" w:type="dxa"/>
          </w:tcPr>
          <w:p>
            <w:pPr>
              <w:pStyle w:val="yTable"/>
              <w:keepNext/>
              <w:spacing w:before="40" w:after="40"/>
              <w:jc w:val="center"/>
            </w:pPr>
            <w:r>
              <w:br/>
              <w:t>6</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morbidly obese (body mass index is more than 35)</w:t>
            </w:r>
          </w:p>
        </w:tc>
        <w:tc>
          <w:tcPr>
            <w:tcW w:w="1276" w:type="dxa"/>
          </w:tcPr>
          <w:p>
            <w:pPr>
              <w:pStyle w:val="yTable"/>
              <w:keepNext/>
              <w:spacing w:before="40" w:after="40"/>
              <w:jc w:val="center"/>
            </w:pPr>
            <w:r>
              <w:b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in the 3</w:t>
            </w:r>
            <w:r>
              <w:rPr>
                <w:vertAlign w:val="superscript"/>
              </w:rPr>
              <w:t>rd</w:t>
            </w:r>
            <w:r>
              <w:t xml:space="preserve"> trimester of pregnancy</w:t>
            </w:r>
          </w:p>
        </w:tc>
        <w:tc>
          <w:tcPr>
            <w:tcW w:w="1276" w:type="dxa"/>
          </w:tcPr>
          <w:p>
            <w:pPr>
              <w:pStyle w:val="yTable"/>
              <w:keepNext/>
              <w:spacing w:before="40" w:after="40"/>
              <w:jc w:val="center"/>
            </w:pPr>
            <w: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declared brain dead whose organs are being removed for donor purposes</w:t>
            </w:r>
          </w:p>
        </w:tc>
        <w:tc>
          <w:tcPr>
            <w:tcW w:w="1276" w:type="dxa"/>
          </w:tcPr>
          <w:p>
            <w:pPr>
              <w:pStyle w:val="yTable"/>
              <w:keepNext/>
              <w:spacing w:before="40" w:after="40"/>
              <w:jc w:val="center"/>
            </w:pPr>
            <w:r>
              <w:b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Where the patient is aged under 1 year or over 70 years old</w:t>
            </w:r>
          </w:p>
        </w:tc>
        <w:tc>
          <w:tcPr>
            <w:tcW w:w="1276" w:type="dxa"/>
          </w:tcPr>
          <w:p>
            <w:pPr>
              <w:pStyle w:val="yTable"/>
              <w:keepNext/>
              <w:spacing w:before="40" w:after="40"/>
              <w:jc w:val="center"/>
            </w:pPr>
            <w:r>
              <w:b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Emergency surgery (i.e. When undue delay in treatment of the patient would lead to a significant increase in a threat to life or body part)</w:t>
            </w:r>
          </w:p>
        </w:tc>
        <w:tc>
          <w:tcPr>
            <w:tcW w:w="1276" w:type="dxa"/>
          </w:tcPr>
          <w:p>
            <w:pPr>
              <w:pStyle w:val="yTable"/>
              <w:keepNext/>
              <w:spacing w:before="40" w:after="40"/>
              <w:jc w:val="center"/>
            </w:pPr>
            <w:r>
              <w:br/>
            </w:r>
            <w:r>
              <w:br/>
              <w:t>2</w:t>
            </w:r>
          </w:p>
        </w:tc>
      </w:tr>
      <w:tr>
        <w:tblPrEx>
          <w:tblCellMar>
            <w:left w:w="142" w:type="dxa"/>
            <w:right w:w="142" w:type="dxa"/>
          </w:tblCellMar>
        </w:tblPrEx>
        <w:trPr>
          <w:gridAfter w:val="1"/>
          <w:wAfter w:w="14" w:type="dxa"/>
          <w:cantSplit/>
        </w:trPr>
        <w:tc>
          <w:tcPr>
            <w:tcW w:w="5103" w:type="dxa"/>
            <w:gridSpan w:val="3"/>
            <w:tcBorders>
              <w:bottom w:val="single" w:sz="4" w:space="0" w:color="auto"/>
            </w:tcBorders>
          </w:tcPr>
          <w:p>
            <w:pPr>
              <w:pStyle w:val="yTable"/>
              <w:spacing w:before="40" w:after="40"/>
            </w:pPr>
            <w:r>
              <w:t>Anaesthesia in the prone position (not applicable to lower intestinal endoscopic procedures)</w:t>
            </w:r>
          </w:p>
        </w:tc>
        <w:tc>
          <w:tcPr>
            <w:tcW w:w="1276" w:type="dxa"/>
            <w:tcBorders>
              <w:bottom w:val="single" w:sz="4" w:space="0" w:color="auto"/>
            </w:tcBorders>
          </w:tcPr>
          <w:p>
            <w:pPr>
              <w:pStyle w:val="yTable"/>
              <w:keepNext/>
              <w:spacing w:before="40" w:after="40"/>
              <w:jc w:val="center"/>
            </w:pPr>
            <w:r>
              <w:br/>
              <w:t>3</w:t>
            </w:r>
          </w:p>
        </w:tc>
      </w:tr>
    </w:tbl>
    <w:p>
      <w:pPr>
        <w:pStyle w:val="yTable"/>
        <w:spacing w:before="200"/>
        <w:ind w:left="567"/>
      </w:pPr>
      <w:r>
        <w:rPr>
          <w:u w:val="single"/>
        </w:rPr>
        <w:t>Anaesthesia for after</w:t>
      </w:r>
      <w:r>
        <w:rPr>
          <w:u w:val="single"/>
        </w:rPr>
        <w:noBreakHyphen/>
        <w:t>hours emergencies</w:t>
      </w:r>
    </w:p>
    <w:p>
      <w:pPr>
        <w:pStyle w:val="yTable"/>
        <w:spacing w:before="80"/>
        <w:ind w:left="567"/>
      </w:pPr>
      <w:r>
        <w:t>A 50% loading should apply to emergency after–hours anaesthesia.  It is calculated using the “total relative value”.  The 50% loading and the emergency surgery modifier should not be used together.</w:t>
      </w:r>
    </w:p>
    <w:p>
      <w:pPr>
        <w:pStyle w:val="yTable"/>
        <w:spacing w:before="80"/>
        <w:ind w:left="567"/>
      </w:pPr>
      <w:r>
        <w:t>“</w:t>
      </w:r>
      <w:r>
        <w:rPr>
          <w:rStyle w:val="CharDefText"/>
        </w:rPr>
        <w:t>After</w:t>
      </w:r>
      <w:r>
        <w:rPr>
          <w:rStyle w:val="CharDefText"/>
        </w:rPr>
        <w:noBreakHyphen/>
        <w:t>hours</w:t>
      </w:r>
      <w:r>
        <w:t>” is defined as that period between 6.00 p.m. and the following 8.00 a.m. on weekdays and between 8.00 a.m. and the following 8.00 a.m. on weekend days and public holidays.</w:t>
      </w:r>
    </w:p>
    <w:p>
      <w:pPr>
        <w:pStyle w:val="yTable"/>
        <w:keepNext/>
        <w:keepLines/>
        <w:spacing w:before="260" w:after="120"/>
        <w:ind w:left="567"/>
        <w:jc w:val="center"/>
        <w:rPr>
          <w:b/>
        </w:rPr>
      </w:pPr>
      <w:r>
        <w:rPr>
          <w:b/>
        </w:rP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blHeader/>
        </w:trPr>
        <w:tc>
          <w:tcPr>
            <w:tcW w:w="5103" w:type="dxa"/>
            <w:tcBorders>
              <w:top w:val="single" w:sz="4" w:space="0" w:color="auto"/>
              <w:bottom w:val="single" w:sz="4" w:space="0" w:color="auto"/>
            </w:tcBorders>
          </w:tcPr>
          <w:p>
            <w:pPr>
              <w:pStyle w:val="yTable"/>
              <w:spacing w:before="40" w:after="40"/>
              <w:rPr>
                <w:b/>
              </w:rPr>
            </w:pPr>
            <w:r>
              <w:rPr>
                <w:b/>
              </w:rPr>
              <w:t>Description of procedure, etc</w:t>
            </w:r>
          </w:p>
        </w:tc>
        <w:tc>
          <w:tcPr>
            <w:tcW w:w="1276" w:type="dxa"/>
            <w:tcBorders>
              <w:top w:val="single" w:sz="4" w:space="0" w:color="auto"/>
              <w:bottom w:val="single" w:sz="4" w:space="0" w:color="auto"/>
            </w:tcBorders>
          </w:tcPr>
          <w:p>
            <w:pPr>
              <w:pStyle w:val="yTable"/>
              <w:keepNext/>
              <w:spacing w:before="40" w:after="40"/>
              <w:jc w:val="center"/>
              <w:rPr>
                <w:b/>
              </w:rPr>
            </w:pPr>
            <w:r>
              <w:rPr>
                <w:b/>
              </w:rPr>
              <w:t>Units</w:t>
            </w:r>
          </w:p>
        </w:tc>
      </w:tr>
      <w:tr>
        <w:trPr>
          <w:cantSplit/>
        </w:trPr>
        <w:tc>
          <w:tcPr>
            <w:tcW w:w="5103" w:type="dxa"/>
            <w:tcBorders>
              <w:top w:val="single" w:sz="4" w:space="0" w:color="auto"/>
            </w:tcBorders>
          </w:tcPr>
          <w:p>
            <w:pPr>
              <w:pStyle w:val="yTable"/>
              <w:spacing w:before="220" w:after="40"/>
            </w:pPr>
            <w:r>
              <w:rPr>
                <w:b/>
              </w:rPr>
              <w:t>Head</w:t>
            </w:r>
          </w:p>
        </w:tc>
        <w:tc>
          <w:tcPr>
            <w:tcW w:w="1276" w:type="dxa"/>
            <w:tcBorders>
              <w:top w:val="single" w:sz="4" w:space="0" w:color="auto"/>
            </w:tcBorders>
          </w:tcPr>
          <w:p>
            <w:pPr>
              <w:pStyle w:val="yTable"/>
              <w:keepNext/>
              <w:keepLines/>
              <w:spacing w:before="40" w:after="40"/>
              <w:jc w:val="center"/>
            </w:pPr>
          </w:p>
        </w:tc>
      </w:tr>
      <w:tr>
        <w:trPr>
          <w:cantSplit/>
        </w:trPr>
        <w:tc>
          <w:tcPr>
            <w:tcW w:w="5103" w:type="dxa"/>
          </w:tcPr>
          <w:p>
            <w:pPr>
              <w:pStyle w:val="yTable"/>
              <w:spacing w:after="40"/>
            </w:pPr>
            <w:r>
              <w:t>Anaesthesia for all procedures on the skin and subcutaneous tissue, muscles, salivary glands and superficial blood vessels of the head, including biopsy, unless otherwise specified</w:t>
            </w:r>
          </w:p>
        </w:tc>
        <w:tc>
          <w:tcPr>
            <w:tcW w:w="1276" w:type="dxa"/>
          </w:tcPr>
          <w:p>
            <w:pPr>
              <w:pStyle w:val="yTable"/>
              <w:keepNext/>
              <w:keepLines/>
              <w:spacing w:after="40"/>
              <w:jc w:val="center"/>
            </w:pPr>
            <w:r>
              <w:br/>
            </w:r>
            <w:r>
              <w:br/>
            </w:r>
            <w:r>
              <w:br/>
              <w:t>5</w:t>
            </w:r>
          </w:p>
        </w:tc>
      </w:tr>
      <w:tr>
        <w:trPr>
          <w:cantSplit/>
        </w:trPr>
        <w:tc>
          <w:tcPr>
            <w:tcW w:w="5103" w:type="dxa"/>
          </w:tcPr>
          <w:p>
            <w:pPr>
              <w:pStyle w:val="yTable"/>
              <w:spacing w:after="40"/>
            </w:pPr>
            <w:r>
              <w:t> — plastic repair of cleft lip</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electroconvulsive therapy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external, middle or inner ear, including biopsy,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otoscopy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eye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lens surgery</w:t>
            </w:r>
          </w:p>
        </w:tc>
        <w:tc>
          <w:tcPr>
            <w:tcW w:w="1276" w:type="dxa"/>
          </w:tcPr>
          <w:p>
            <w:pPr>
              <w:pStyle w:val="yTable"/>
              <w:keepNext/>
              <w:spacing w:after="40"/>
              <w:jc w:val="center"/>
            </w:pPr>
            <w:r>
              <w:t>6</w:t>
            </w:r>
          </w:p>
        </w:tc>
      </w:tr>
      <w:tr>
        <w:trPr>
          <w:cantSplit/>
        </w:trPr>
        <w:tc>
          <w:tcPr>
            <w:tcW w:w="5103" w:type="dxa"/>
          </w:tcPr>
          <w:p>
            <w:pPr>
              <w:pStyle w:val="yTable"/>
              <w:spacing w:after="40"/>
            </w:pPr>
            <w:r>
              <w:t> — retinal surgery</w:t>
            </w:r>
          </w:p>
        </w:tc>
        <w:tc>
          <w:tcPr>
            <w:tcW w:w="1276" w:type="dxa"/>
          </w:tcPr>
          <w:p>
            <w:pPr>
              <w:pStyle w:val="yTable"/>
              <w:keepNext/>
              <w:spacing w:after="40"/>
              <w:jc w:val="center"/>
            </w:pPr>
            <w:r>
              <w:t>6</w:t>
            </w:r>
          </w:p>
        </w:tc>
      </w:tr>
      <w:tr>
        <w:trPr>
          <w:cantSplit/>
        </w:trPr>
        <w:tc>
          <w:tcPr>
            <w:tcW w:w="5103" w:type="dxa"/>
          </w:tcPr>
          <w:p>
            <w:pPr>
              <w:pStyle w:val="yTable"/>
              <w:spacing w:after="40"/>
            </w:pPr>
            <w:r>
              <w:t> — corneal transplant</w:t>
            </w:r>
          </w:p>
        </w:tc>
        <w:tc>
          <w:tcPr>
            <w:tcW w:w="1276" w:type="dxa"/>
          </w:tcPr>
          <w:p>
            <w:pPr>
              <w:pStyle w:val="yTable"/>
              <w:keepNext/>
              <w:spacing w:after="40"/>
              <w:jc w:val="center"/>
            </w:pPr>
            <w:r>
              <w:t>8</w:t>
            </w:r>
          </w:p>
        </w:tc>
      </w:tr>
      <w:tr>
        <w:trPr>
          <w:cantSplit/>
        </w:trPr>
        <w:tc>
          <w:tcPr>
            <w:tcW w:w="5103" w:type="dxa"/>
          </w:tcPr>
          <w:p>
            <w:pPr>
              <w:pStyle w:val="yTable"/>
              <w:spacing w:after="40"/>
            </w:pPr>
            <w:r>
              <w:t> — vitrectomy</w:t>
            </w:r>
          </w:p>
        </w:tc>
        <w:tc>
          <w:tcPr>
            <w:tcW w:w="1276" w:type="dxa"/>
          </w:tcPr>
          <w:p>
            <w:pPr>
              <w:pStyle w:val="yTable"/>
              <w:keepNext/>
              <w:spacing w:after="40"/>
              <w:jc w:val="center"/>
            </w:pPr>
            <w:r>
              <w:t>8</w:t>
            </w:r>
          </w:p>
        </w:tc>
      </w:tr>
      <w:tr>
        <w:trPr>
          <w:cantSplit/>
        </w:trPr>
        <w:tc>
          <w:tcPr>
            <w:tcW w:w="5103" w:type="dxa"/>
          </w:tcPr>
          <w:p>
            <w:pPr>
              <w:pStyle w:val="yTable"/>
              <w:spacing w:after="40"/>
            </w:pPr>
            <w:r>
              <w:t> — biopsy of conjunctiva</w:t>
            </w:r>
          </w:p>
        </w:tc>
        <w:tc>
          <w:tcPr>
            <w:tcW w:w="1276" w:type="dxa"/>
          </w:tcPr>
          <w:p>
            <w:pPr>
              <w:pStyle w:val="yTable"/>
              <w:keepNext/>
              <w:spacing w:after="40"/>
              <w:jc w:val="center"/>
            </w:pPr>
            <w:r>
              <w:t>5</w:t>
            </w:r>
          </w:p>
        </w:tc>
      </w:tr>
      <w:tr>
        <w:trPr>
          <w:cantSplit/>
        </w:trPr>
        <w:tc>
          <w:tcPr>
            <w:tcW w:w="5103" w:type="dxa"/>
          </w:tcPr>
          <w:p>
            <w:pPr>
              <w:pStyle w:val="yTable"/>
              <w:spacing w:after="40"/>
            </w:pPr>
            <w:r>
              <w:t> — ophthalmoscopy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nose and accessory sinuses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7</w:t>
            </w:r>
          </w:p>
        </w:tc>
      </w:tr>
      <w:tr>
        <w:trPr>
          <w:cantSplit/>
        </w:trPr>
        <w:tc>
          <w:tcPr>
            <w:tcW w:w="5103" w:type="dxa"/>
          </w:tcPr>
          <w:p>
            <w:pPr>
              <w:pStyle w:val="yTable"/>
              <w:spacing w:after="40"/>
            </w:pPr>
            <w:r>
              <w:t> — biopsy, soft tissue</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intraoral procedures, including biopsy,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repair of cleft palate</w:t>
            </w:r>
          </w:p>
        </w:tc>
        <w:tc>
          <w:tcPr>
            <w:tcW w:w="1276" w:type="dxa"/>
          </w:tcPr>
          <w:p>
            <w:pPr>
              <w:pStyle w:val="yTable"/>
              <w:keepNext/>
              <w:spacing w:after="40"/>
              <w:jc w:val="center"/>
            </w:pPr>
            <w:r>
              <w:t>7</w:t>
            </w:r>
          </w:p>
        </w:tc>
      </w:tr>
      <w:tr>
        <w:trPr>
          <w:cantSplit/>
        </w:trPr>
        <w:tc>
          <w:tcPr>
            <w:tcW w:w="5103" w:type="dxa"/>
          </w:tcPr>
          <w:p>
            <w:pPr>
              <w:pStyle w:val="yTable"/>
              <w:spacing w:after="40"/>
            </w:pPr>
            <w:r>
              <w:t> — excision of retropharyngeal tumour</w:t>
            </w:r>
          </w:p>
        </w:tc>
        <w:tc>
          <w:tcPr>
            <w:tcW w:w="1276" w:type="dxa"/>
          </w:tcPr>
          <w:p>
            <w:pPr>
              <w:pStyle w:val="yTable"/>
              <w:keepNext/>
              <w:spacing w:after="40"/>
              <w:jc w:val="center"/>
            </w:pPr>
            <w:r>
              <w:t>9</w:t>
            </w:r>
          </w:p>
        </w:tc>
      </w:tr>
      <w:tr>
        <w:trPr>
          <w:cantSplit/>
        </w:trPr>
        <w:tc>
          <w:tcPr>
            <w:tcW w:w="5103" w:type="dxa"/>
          </w:tcPr>
          <w:p>
            <w:pPr>
              <w:pStyle w:val="yTable"/>
              <w:spacing w:after="40"/>
            </w:pPr>
            <w:r>
              <w:t> — radical intraoral surgery</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facial bones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ind w:left="397" w:hanging="397"/>
            </w:pPr>
            <w:r>
              <w:t> — extensive surgery on facial bones (including prognathism and extensive facial bone reconstruction)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all intracranial procedures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subdural taps</w:t>
            </w:r>
          </w:p>
        </w:tc>
        <w:tc>
          <w:tcPr>
            <w:tcW w:w="1276" w:type="dxa"/>
          </w:tcPr>
          <w:p>
            <w:pPr>
              <w:pStyle w:val="yTable"/>
              <w:keepNext/>
              <w:spacing w:after="40"/>
              <w:jc w:val="center"/>
            </w:pPr>
            <w:r>
              <w:t>5</w:t>
            </w:r>
          </w:p>
        </w:tc>
      </w:tr>
      <w:tr>
        <w:trPr>
          <w:cantSplit/>
        </w:trPr>
        <w:tc>
          <w:tcPr>
            <w:tcW w:w="5103" w:type="dxa"/>
          </w:tcPr>
          <w:p>
            <w:pPr>
              <w:pStyle w:val="yTable"/>
              <w:spacing w:after="40"/>
            </w:pPr>
            <w:r>
              <w:t> — burr holes</w:t>
            </w:r>
          </w:p>
        </w:tc>
        <w:tc>
          <w:tcPr>
            <w:tcW w:w="1276" w:type="dxa"/>
          </w:tcPr>
          <w:p>
            <w:pPr>
              <w:pStyle w:val="yTable"/>
              <w:keepNext/>
              <w:spacing w:after="40"/>
              <w:jc w:val="center"/>
            </w:pPr>
            <w:r>
              <w:t>9</w:t>
            </w:r>
          </w:p>
        </w:tc>
      </w:tr>
      <w:tr>
        <w:trPr>
          <w:cantSplit/>
        </w:trPr>
        <w:tc>
          <w:tcPr>
            <w:tcW w:w="5103" w:type="dxa"/>
          </w:tcPr>
          <w:p>
            <w:pPr>
              <w:pStyle w:val="yTable"/>
              <w:spacing w:after="40"/>
              <w:ind w:left="397" w:hanging="397"/>
            </w:pPr>
            <w:r>
              <w:t> — intracranial vascular procedures including those for aneurysms and arterio</w:t>
            </w:r>
            <w:r>
              <w:noBreakHyphen/>
              <w:t>venous abnormalities</w:t>
            </w:r>
          </w:p>
        </w:tc>
        <w:tc>
          <w:tcPr>
            <w:tcW w:w="1276" w:type="dxa"/>
          </w:tcPr>
          <w:p>
            <w:pPr>
              <w:pStyle w:val="yTable"/>
              <w:keepNext/>
              <w:spacing w:after="40"/>
              <w:jc w:val="center"/>
            </w:pPr>
            <w:r>
              <w:br/>
              <w:t>20</w:t>
            </w:r>
          </w:p>
        </w:tc>
      </w:tr>
      <w:tr>
        <w:trPr>
          <w:cantSplit/>
        </w:trPr>
        <w:tc>
          <w:tcPr>
            <w:tcW w:w="5103" w:type="dxa"/>
          </w:tcPr>
          <w:p>
            <w:pPr>
              <w:pStyle w:val="yTable"/>
              <w:spacing w:after="40"/>
            </w:pPr>
            <w:r>
              <w:t> — spinal fluid shunt procedures</w:t>
            </w:r>
          </w:p>
        </w:tc>
        <w:tc>
          <w:tcPr>
            <w:tcW w:w="1276" w:type="dxa"/>
          </w:tcPr>
          <w:p>
            <w:pPr>
              <w:pStyle w:val="yTable"/>
              <w:keepNext/>
              <w:spacing w:after="40"/>
              <w:jc w:val="center"/>
            </w:pPr>
            <w:r>
              <w:t>10</w:t>
            </w:r>
          </w:p>
        </w:tc>
      </w:tr>
      <w:tr>
        <w:trPr>
          <w:cantSplit/>
        </w:trPr>
        <w:tc>
          <w:tcPr>
            <w:tcW w:w="5103" w:type="dxa"/>
          </w:tcPr>
          <w:p>
            <w:pPr>
              <w:pStyle w:val="yTable"/>
              <w:spacing w:after="40"/>
            </w:pPr>
            <w:r>
              <w:t> — ablation of intracranial nerve</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cranial bone procedures</w:t>
            </w:r>
          </w:p>
        </w:tc>
        <w:tc>
          <w:tcPr>
            <w:tcW w:w="1276" w:type="dxa"/>
          </w:tcPr>
          <w:p>
            <w:pPr>
              <w:pStyle w:val="yTable"/>
              <w:keepNext/>
              <w:spacing w:after="40"/>
              <w:jc w:val="center"/>
            </w:pPr>
            <w:r>
              <w:t>12</w:t>
            </w:r>
          </w:p>
        </w:tc>
      </w:tr>
      <w:tr>
        <w:trPr>
          <w:cantSplit/>
        </w:trPr>
        <w:tc>
          <w:tcPr>
            <w:tcW w:w="5103" w:type="dxa"/>
          </w:tcPr>
          <w:p>
            <w:pPr>
              <w:pStyle w:val="yTable"/>
              <w:spacing w:before="200" w:after="40"/>
            </w:pPr>
            <w:r>
              <w:rPr>
                <w:b/>
              </w:rPr>
              <w:t>Neck</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neck unless otherwise specified</w:t>
            </w:r>
          </w:p>
        </w:tc>
        <w:tc>
          <w:tcPr>
            <w:tcW w:w="1276" w:type="dxa"/>
          </w:tcPr>
          <w:p>
            <w:pPr>
              <w:pStyle w:val="yTable"/>
              <w:keepNext/>
              <w:spacing w:before="40" w:after="40"/>
              <w:jc w:val="center"/>
            </w:pPr>
            <w:r>
              <w:br/>
            </w:r>
            <w:r>
              <w:br/>
              <w:t>5</w:t>
            </w:r>
          </w:p>
        </w:tc>
      </w:tr>
      <w:tr>
        <w:trPr>
          <w:cantSplit/>
        </w:trPr>
        <w:tc>
          <w:tcPr>
            <w:tcW w:w="5103" w:type="dxa"/>
          </w:tcPr>
          <w:p>
            <w:pPr>
              <w:pStyle w:val="yTable"/>
              <w:spacing w:after="40"/>
            </w:pPr>
            <w:r>
              <w:t>Anaesthesia for incision and drainage of large haematoma, large abscess, cellulitis, or similar lesion causing life threatening airway obstruction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spacing w:after="40"/>
              <w:jc w:val="center"/>
            </w:pPr>
            <w:r>
              <w:br/>
            </w:r>
            <w:r>
              <w:br/>
            </w:r>
            <w:r>
              <w:br/>
              <w:t>6</w:t>
            </w:r>
          </w:p>
        </w:tc>
      </w:tr>
      <w:tr>
        <w:trPr>
          <w:cantSplit/>
        </w:trPr>
        <w:tc>
          <w:tcPr>
            <w:tcW w:w="5103" w:type="dxa"/>
          </w:tcPr>
          <w:p>
            <w:pPr>
              <w:pStyle w:val="yTable"/>
              <w:spacing w:after="40"/>
              <w:ind w:left="340" w:hanging="340"/>
            </w:pPr>
            <w:r>
              <w:t> — for laryngectomy, hemi laryngectomy, laryngopharyngectomy, or pharyngectomy</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laser surgery to the airway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on major vessels of neck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simple ligation</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Thorax (Chest Wall/Shoulder Girdle)</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chest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breast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40" w:hanging="340"/>
            </w:pPr>
            <w:r>
              <w:t> — reconstructive procedures on the breast (eg. reduction or augmentation, mammoplasty)</w:t>
            </w:r>
          </w:p>
        </w:tc>
        <w:tc>
          <w:tcPr>
            <w:tcW w:w="1276" w:type="dxa"/>
          </w:tcPr>
          <w:p>
            <w:pPr>
              <w:pStyle w:val="yTable"/>
              <w:keepNext/>
              <w:spacing w:after="40"/>
              <w:jc w:val="center"/>
            </w:pPr>
            <w:r>
              <w:br/>
              <w:t>5</w:t>
            </w:r>
          </w:p>
        </w:tc>
      </w:tr>
      <w:tr>
        <w:trPr>
          <w:cantSplit/>
        </w:trPr>
        <w:tc>
          <w:tcPr>
            <w:tcW w:w="5103" w:type="dxa"/>
          </w:tcPr>
          <w:p>
            <w:pPr>
              <w:pStyle w:val="yTable"/>
              <w:spacing w:after="40"/>
            </w:pPr>
            <w:r>
              <w:t> — removal of breast lump or for breast segmentectomy where axillary node dissection is performed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 — mastectomy</w:t>
            </w:r>
          </w:p>
        </w:tc>
        <w:tc>
          <w:tcPr>
            <w:tcW w:w="1276" w:type="dxa"/>
          </w:tcPr>
          <w:p>
            <w:pPr>
              <w:pStyle w:val="yTable"/>
              <w:keepNext/>
              <w:spacing w:after="40"/>
              <w:jc w:val="center"/>
            </w:pPr>
            <w:r>
              <w:t>6</w:t>
            </w:r>
          </w:p>
        </w:tc>
      </w:tr>
      <w:tr>
        <w:trPr>
          <w:cantSplit/>
        </w:trPr>
        <w:tc>
          <w:tcPr>
            <w:tcW w:w="5103" w:type="dxa"/>
          </w:tcPr>
          <w:p>
            <w:pPr>
              <w:pStyle w:val="yTable"/>
              <w:spacing w:after="40"/>
            </w:pPr>
            <w:r>
              <w:t> — reconstructive procedures on the breast using myocutaneous flaps</w:t>
            </w:r>
          </w:p>
        </w:tc>
        <w:tc>
          <w:tcPr>
            <w:tcW w:w="1276" w:type="dxa"/>
          </w:tcPr>
          <w:p>
            <w:pPr>
              <w:pStyle w:val="yTable"/>
              <w:keepNext/>
              <w:spacing w:after="40"/>
              <w:jc w:val="center"/>
            </w:pPr>
            <w:r>
              <w:br/>
              <w:t>8</w:t>
            </w:r>
          </w:p>
        </w:tc>
      </w:tr>
      <w:tr>
        <w:trPr>
          <w:cantSplit/>
        </w:trPr>
        <w:tc>
          <w:tcPr>
            <w:tcW w:w="5103" w:type="dxa"/>
          </w:tcPr>
          <w:p>
            <w:pPr>
              <w:pStyle w:val="yTable"/>
              <w:spacing w:after="40"/>
              <w:ind w:left="340" w:hanging="340"/>
            </w:pPr>
            <w:r>
              <w:t> — radical or modified radical procedures on breast with internal mammary node dissection</w:t>
            </w:r>
          </w:p>
        </w:tc>
        <w:tc>
          <w:tcPr>
            <w:tcW w:w="1276" w:type="dxa"/>
          </w:tcPr>
          <w:p>
            <w:pPr>
              <w:pStyle w:val="yTable"/>
              <w:keepNext/>
              <w:spacing w:after="40"/>
              <w:jc w:val="center"/>
            </w:pPr>
            <w:r>
              <w:br/>
              <w:t>13</w:t>
            </w:r>
          </w:p>
        </w:tc>
      </w:tr>
      <w:tr>
        <w:trPr>
          <w:cantSplit/>
        </w:trPr>
        <w:tc>
          <w:tcPr>
            <w:tcW w:w="5103" w:type="dxa"/>
          </w:tcPr>
          <w:p>
            <w:pPr>
              <w:pStyle w:val="yTable"/>
              <w:spacing w:after="40"/>
            </w:pPr>
            <w:r>
              <w:t> — electrical conversion of arrhythmias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bone marrow biopsy of the sternum</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clavicle, scapula or sternum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partial rib resection unless otherwise specified</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thoracoplasty</w:t>
            </w:r>
          </w:p>
        </w:tc>
        <w:tc>
          <w:tcPr>
            <w:tcW w:w="1276" w:type="dxa"/>
          </w:tcPr>
          <w:p>
            <w:pPr>
              <w:pStyle w:val="yTable"/>
              <w:keepNext/>
              <w:spacing w:after="40"/>
              <w:jc w:val="center"/>
            </w:pPr>
            <w:r>
              <w:t>10</w:t>
            </w:r>
          </w:p>
        </w:tc>
      </w:tr>
      <w:tr>
        <w:trPr>
          <w:cantSplit/>
        </w:trPr>
        <w:tc>
          <w:tcPr>
            <w:tcW w:w="5103" w:type="dxa"/>
          </w:tcPr>
          <w:p>
            <w:pPr>
              <w:pStyle w:val="yTable"/>
              <w:spacing w:after="40"/>
            </w:pPr>
            <w:r>
              <w:t> — extensive procedures (eg. pectus excavatum)</w:t>
            </w:r>
          </w:p>
        </w:tc>
        <w:tc>
          <w:tcPr>
            <w:tcW w:w="1276" w:type="dxa"/>
          </w:tcPr>
          <w:p>
            <w:pPr>
              <w:pStyle w:val="yTable"/>
              <w:keepNext/>
              <w:spacing w:after="40"/>
              <w:jc w:val="center"/>
            </w:pPr>
            <w:r>
              <w:t>13</w:t>
            </w:r>
          </w:p>
        </w:tc>
      </w:tr>
      <w:tr>
        <w:trPr>
          <w:cantSplit/>
        </w:trPr>
        <w:tc>
          <w:tcPr>
            <w:tcW w:w="5103" w:type="dxa"/>
          </w:tcPr>
          <w:p>
            <w:pPr>
              <w:pStyle w:val="yTable"/>
              <w:spacing w:before="240" w:after="40"/>
            </w:pPr>
            <w:r>
              <w:rPr>
                <w:b/>
              </w:rPr>
              <w:t>Intrathoracic</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open procedures on the oesophagus</w:t>
            </w:r>
          </w:p>
        </w:tc>
        <w:tc>
          <w:tcPr>
            <w:tcW w:w="1276" w:type="dxa"/>
          </w:tcPr>
          <w:p>
            <w:pPr>
              <w:pStyle w:val="yTable"/>
              <w:keepNext/>
              <w:spacing w:after="40"/>
              <w:jc w:val="center"/>
            </w:pPr>
            <w:r>
              <w:t>15</w:t>
            </w:r>
          </w:p>
        </w:tc>
      </w:tr>
      <w:tr>
        <w:trPr>
          <w:cantSplit/>
        </w:trPr>
        <w:tc>
          <w:tcPr>
            <w:tcW w:w="5103" w:type="dxa"/>
          </w:tcPr>
          <w:p>
            <w:pPr>
              <w:pStyle w:val="yTable"/>
              <w:spacing w:after="40"/>
            </w:pPr>
            <w:r>
              <w:t>Anaesthesia for all closed chest procedures (including rigid oesophagoscopy or bronchoscopy)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needle biopsy of pleura</w:t>
            </w:r>
          </w:p>
        </w:tc>
        <w:tc>
          <w:tcPr>
            <w:tcW w:w="1276" w:type="dxa"/>
          </w:tcPr>
          <w:p>
            <w:pPr>
              <w:pStyle w:val="yTable"/>
              <w:keepNext/>
              <w:spacing w:after="40"/>
              <w:jc w:val="center"/>
            </w:pPr>
            <w:r>
              <w:t>4</w:t>
            </w:r>
          </w:p>
        </w:tc>
      </w:tr>
      <w:tr>
        <w:trPr>
          <w:cantSplit/>
        </w:trPr>
        <w:tc>
          <w:tcPr>
            <w:tcW w:w="5103" w:type="dxa"/>
          </w:tcPr>
          <w:p>
            <w:pPr>
              <w:pStyle w:val="yTable"/>
              <w:spacing w:after="40"/>
            </w:pPr>
            <w:r>
              <w:t> — pneumocentesis</w:t>
            </w:r>
          </w:p>
        </w:tc>
        <w:tc>
          <w:tcPr>
            <w:tcW w:w="1276" w:type="dxa"/>
          </w:tcPr>
          <w:p>
            <w:pPr>
              <w:pStyle w:val="yTable"/>
              <w:keepNext/>
              <w:spacing w:after="40"/>
              <w:jc w:val="center"/>
            </w:pPr>
            <w:r>
              <w:t>4</w:t>
            </w:r>
          </w:p>
        </w:tc>
      </w:tr>
      <w:tr>
        <w:trPr>
          <w:cantSplit/>
        </w:trPr>
        <w:tc>
          <w:tcPr>
            <w:tcW w:w="5103" w:type="dxa"/>
          </w:tcPr>
          <w:p>
            <w:pPr>
              <w:pStyle w:val="yTable"/>
              <w:spacing w:after="40"/>
            </w:pPr>
            <w:r>
              <w:t> — thoracoscopy</w:t>
            </w:r>
          </w:p>
        </w:tc>
        <w:tc>
          <w:tcPr>
            <w:tcW w:w="1276" w:type="dxa"/>
          </w:tcPr>
          <w:p>
            <w:pPr>
              <w:pStyle w:val="yTable"/>
              <w:keepNext/>
              <w:spacing w:after="40"/>
              <w:jc w:val="center"/>
            </w:pPr>
            <w:r>
              <w:t>10</w:t>
            </w:r>
          </w:p>
        </w:tc>
      </w:tr>
      <w:tr>
        <w:trPr>
          <w:cantSplit/>
        </w:trPr>
        <w:tc>
          <w:tcPr>
            <w:tcW w:w="5103" w:type="dxa"/>
          </w:tcPr>
          <w:p>
            <w:pPr>
              <w:pStyle w:val="yTable"/>
              <w:spacing w:after="40"/>
            </w:pPr>
            <w:r>
              <w:t> — mediastinoscopy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thoracotomy procedures involving lungs, pleura, diaphragm, and mediastinum unless otherwise specified</w:t>
            </w:r>
          </w:p>
        </w:tc>
        <w:tc>
          <w:tcPr>
            <w:tcW w:w="1276" w:type="dxa"/>
          </w:tcPr>
          <w:p>
            <w:pPr>
              <w:pStyle w:val="yTable"/>
              <w:keepNext/>
              <w:spacing w:after="40"/>
              <w:jc w:val="center"/>
            </w:pPr>
            <w:r>
              <w:br/>
            </w:r>
            <w:r>
              <w:br/>
              <w:t>13</w:t>
            </w:r>
          </w:p>
        </w:tc>
      </w:tr>
      <w:tr>
        <w:trPr>
          <w:cantSplit/>
        </w:trPr>
        <w:tc>
          <w:tcPr>
            <w:tcW w:w="5103" w:type="dxa"/>
          </w:tcPr>
          <w:p>
            <w:pPr>
              <w:pStyle w:val="yTable"/>
              <w:spacing w:after="40"/>
            </w:pPr>
            <w:r>
              <w:t> — pulmonary decortication</w:t>
            </w:r>
          </w:p>
        </w:tc>
        <w:tc>
          <w:tcPr>
            <w:tcW w:w="1276" w:type="dxa"/>
          </w:tcPr>
          <w:p>
            <w:pPr>
              <w:pStyle w:val="yTable"/>
              <w:keepNext/>
              <w:spacing w:after="40"/>
              <w:jc w:val="center"/>
            </w:pPr>
            <w:r>
              <w:t>15</w:t>
            </w:r>
          </w:p>
        </w:tc>
      </w:tr>
      <w:tr>
        <w:trPr>
          <w:cantSplit/>
        </w:trPr>
        <w:tc>
          <w:tcPr>
            <w:tcW w:w="5103" w:type="dxa"/>
          </w:tcPr>
          <w:p>
            <w:pPr>
              <w:pStyle w:val="yTable"/>
              <w:spacing w:after="40"/>
            </w:pPr>
            <w:r>
              <w:t> — pulmonary resection with thoracoplasty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567" w:hanging="567"/>
            </w:pPr>
            <w:r>
              <w:t> — intrathoracic repair of trauma to trachea and bronchi</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open procedures on the heart, pericardium, and great vessels of the chest</w:t>
            </w:r>
          </w:p>
        </w:tc>
        <w:tc>
          <w:tcPr>
            <w:tcW w:w="1276" w:type="dxa"/>
          </w:tcPr>
          <w:p>
            <w:pPr>
              <w:pStyle w:val="yTable"/>
              <w:keepNext/>
              <w:spacing w:after="40"/>
              <w:jc w:val="center"/>
            </w:pPr>
            <w:r>
              <w:br/>
              <w:t>20</w:t>
            </w:r>
          </w:p>
        </w:tc>
      </w:tr>
      <w:tr>
        <w:trPr>
          <w:cantSplit/>
        </w:trPr>
        <w:tc>
          <w:tcPr>
            <w:tcW w:w="5103" w:type="dxa"/>
          </w:tcPr>
          <w:p>
            <w:pPr>
              <w:pStyle w:val="yTable"/>
              <w:spacing w:after="40"/>
            </w:pPr>
            <w:r>
              <w:t>Anaesthesia for heart transplant</w:t>
            </w:r>
          </w:p>
        </w:tc>
        <w:tc>
          <w:tcPr>
            <w:tcW w:w="1276" w:type="dxa"/>
          </w:tcPr>
          <w:p>
            <w:pPr>
              <w:pStyle w:val="yTable"/>
              <w:keepNext/>
              <w:spacing w:after="40"/>
              <w:jc w:val="center"/>
            </w:pPr>
            <w:r>
              <w:t>20</w:t>
            </w:r>
          </w:p>
        </w:tc>
      </w:tr>
      <w:tr>
        <w:trPr>
          <w:cantSplit/>
        </w:trPr>
        <w:tc>
          <w:tcPr>
            <w:tcW w:w="5103" w:type="dxa"/>
          </w:tcPr>
          <w:p>
            <w:pPr>
              <w:pStyle w:val="yTable"/>
              <w:spacing w:after="40"/>
            </w:pPr>
            <w:r>
              <w:t>Anaesthesia for heart and lung transplant</w:t>
            </w:r>
          </w:p>
        </w:tc>
        <w:tc>
          <w:tcPr>
            <w:tcW w:w="1276" w:type="dxa"/>
          </w:tcPr>
          <w:p>
            <w:pPr>
              <w:pStyle w:val="yTable"/>
              <w:keepNext/>
              <w:spacing w:after="40"/>
              <w:jc w:val="center"/>
            </w:pPr>
            <w:r>
              <w:t>20</w:t>
            </w:r>
          </w:p>
        </w:tc>
      </w:tr>
      <w:tr>
        <w:trPr>
          <w:cantSplit/>
        </w:trPr>
        <w:tc>
          <w:tcPr>
            <w:tcW w:w="5103" w:type="dxa"/>
          </w:tcPr>
          <w:p>
            <w:pPr>
              <w:pStyle w:val="yTable"/>
              <w:spacing w:after="40"/>
            </w:pPr>
            <w:r>
              <w:t>Cadaver harvesting of heart and/or lungs</w:t>
            </w:r>
          </w:p>
        </w:tc>
        <w:tc>
          <w:tcPr>
            <w:tcW w:w="1276" w:type="dxa"/>
          </w:tcPr>
          <w:p>
            <w:pPr>
              <w:pStyle w:val="yTable"/>
              <w:keepNext/>
              <w:spacing w:after="40"/>
              <w:jc w:val="center"/>
            </w:pPr>
            <w:r>
              <w:t>8</w:t>
            </w:r>
          </w:p>
        </w:tc>
      </w:tr>
      <w:tr>
        <w:trPr>
          <w:cantSplit/>
        </w:trPr>
        <w:tc>
          <w:tcPr>
            <w:tcW w:w="5103" w:type="dxa"/>
          </w:tcPr>
          <w:p>
            <w:pPr>
              <w:pStyle w:val="yTable"/>
              <w:keepNext/>
              <w:spacing w:before="240" w:after="40"/>
            </w:pPr>
            <w:r>
              <w:rPr>
                <w:b/>
              </w:rPr>
              <w:t>Spine and spinal cord</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cervical spine and/or cord unless otherwise specified (for myelography and discography see items in ‘Other Procedures’)</w:t>
            </w:r>
          </w:p>
        </w:tc>
        <w:tc>
          <w:tcPr>
            <w:tcW w:w="1276" w:type="dxa"/>
          </w:tcPr>
          <w:p>
            <w:pPr>
              <w:pStyle w:val="yTable"/>
              <w:keepNext/>
              <w:spacing w:after="40"/>
              <w:jc w:val="center"/>
            </w:pPr>
            <w:r>
              <w:br/>
            </w:r>
            <w:r>
              <w:br/>
            </w:r>
            <w:r>
              <w:br/>
              <w:t>10</w:t>
            </w:r>
          </w:p>
        </w:tc>
      </w:tr>
      <w:tr>
        <w:trPr>
          <w:cantSplit/>
        </w:trPr>
        <w:tc>
          <w:tcPr>
            <w:tcW w:w="5103" w:type="dxa"/>
          </w:tcPr>
          <w:p>
            <w:pPr>
              <w:pStyle w:val="yTable"/>
              <w:spacing w:after="40"/>
            </w:pPr>
            <w:r>
              <w:t> — posterior cervical laminectomy in sitting position</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on the thoracic spine and/or cord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thoracolumbar sympathectomy</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in the lumbar region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lumbar sympathectomy</w:t>
            </w:r>
          </w:p>
        </w:tc>
        <w:tc>
          <w:tcPr>
            <w:tcW w:w="1276" w:type="dxa"/>
          </w:tcPr>
          <w:p>
            <w:pPr>
              <w:pStyle w:val="yTable"/>
              <w:keepNext/>
              <w:spacing w:after="40"/>
              <w:jc w:val="center"/>
            </w:pPr>
            <w:r>
              <w:t>7</w:t>
            </w:r>
          </w:p>
        </w:tc>
      </w:tr>
      <w:tr>
        <w:trPr>
          <w:cantSplit/>
        </w:trPr>
        <w:tc>
          <w:tcPr>
            <w:tcW w:w="5103" w:type="dxa"/>
          </w:tcPr>
          <w:p>
            <w:pPr>
              <w:pStyle w:val="yTable"/>
              <w:spacing w:after="40"/>
            </w:pPr>
            <w:r>
              <w:t> — chemonucleolysis</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extensive spine and spinal cord procedures</w:t>
            </w:r>
          </w:p>
        </w:tc>
        <w:tc>
          <w:tcPr>
            <w:tcW w:w="1276" w:type="dxa"/>
          </w:tcPr>
          <w:p>
            <w:pPr>
              <w:pStyle w:val="yTable"/>
              <w:keepNext/>
              <w:spacing w:after="40"/>
              <w:jc w:val="center"/>
            </w:pPr>
            <w:r>
              <w:br/>
              <w:t>13</w:t>
            </w:r>
          </w:p>
        </w:tc>
      </w:tr>
      <w:tr>
        <w:trPr>
          <w:cantSplit/>
        </w:trPr>
        <w:tc>
          <w:tcPr>
            <w:tcW w:w="5103" w:type="dxa"/>
          </w:tcPr>
          <w:p>
            <w:pPr>
              <w:pStyle w:val="yTable"/>
              <w:spacing w:after="40"/>
            </w:pPr>
            <w:r>
              <w:t>Anaesthesia for manipulation of spine</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percutaneous spinal procedures</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Upper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nerves, muscles, tendons and fascia of the upper abdominal wall</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 unless otherwise specified</w:t>
            </w:r>
          </w:p>
        </w:tc>
        <w:tc>
          <w:tcPr>
            <w:tcW w:w="1276" w:type="dxa"/>
          </w:tcPr>
          <w:p>
            <w:pPr>
              <w:pStyle w:val="yTable"/>
              <w:keepNext/>
              <w:spacing w:after="40"/>
              <w:jc w:val="center"/>
            </w:pPr>
            <w:r>
              <w:br/>
              <w:t>7</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upper gastrointestinal endoscopic procedures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upper gastrointestinal endoscopic procedures in association with imaging techniques including fluoroscopy and ultrasound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upper gastrointestinal endoscopic procedures in association with acute gastrointestinal haemorrhage</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all hernia repairs in upper abdomen unless otherwise specified</w:t>
            </w:r>
          </w:p>
        </w:tc>
        <w:tc>
          <w:tcPr>
            <w:tcW w:w="1276" w:type="dxa"/>
          </w:tcPr>
          <w:p>
            <w:pPr>
              <w:pStyle w:val="yTable"/>
              <w:keepNext/>
              <w:keepLines/>
              <w:spacing w:after="40"/>
              <w:jc w:val="center"/>
            </w:pPr>
            <w:r>
              <w:br/>
              <w:t>4</w:t>
            </w:r>
          </w:p>
        </w:tc>
      </w:tr>
      <w:tr>
        <w:trPr>
          <w:cantSplit/>
        </w:trPr>
        <w:tc>
          <w:tcPr>
            <w:tcW w:w="5103" w:type="dxa"/>
          </w:tcPr>
          <w:p>
            <w:pPr>
              <w:pStyle w:val="yTable"/>
              <w:spacing w:after="40"/>
              <w:ind w:left="386" w:hanging="397"/>
            </w:pPr>
            <w:r>
              <w:t> — repair of incisional hernia and/or wound dehiscence</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repair of omphalocele</w:t>
            </w:r>
          </w:p>
        </w:tc>
        <w:tc>
          <w:tcPr>
            <w:tcW w:w="1276" w:type="dxa"/>
          </w:tcPr>
          <w:p>
            <w:pPr>
              <w:pStyle w:val="yTable"/>
              <w:keepNext/>
              <w:spacing w:after="40"/>
              <w:jc w:val="center"/>
            </w:pPr>
            <w:r>
              <w:t>7</w:t>
            </w:r>
          </w:p>
        </w:tc>
      </w:tr>
      <w:tr>
        <w:trPr>
          <w:cantSplit/>
        </w:trPr>
        <w:tc>
          <w:tcPr>
            <w:tcW w:w="5103" w:type="dxa"/>
          </w:tcPr>
          <w:p>
            <w:pPr>
              <w:pStyle w:val="yTable"/>
              <w:spacing w:after="40"/>
            </w:pPr>
            <w:r>
              <w:t> — transabdominal repair of diaphragmatic hernia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all procedures on major abdominal blood vessels</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spacing w:after="40"/>
              <w:jc w:val="center"/>
            </w:pPr>
            <w:r>
              <w:br/>
            </w:r>
            <w:r>
              <w:br/>
            </w:r>
            <w:r>
              <w:br/>
            </w:r>
            <w:r>
              <w:br/>
              <w:t>8</w:t>
            </w:r>
          </w:p>
        </w:tc>
      </w:tr>
      <w:tr>
        <w:trPr>
          <w:cantSplit/>
        </w:trPr>
        <w:tc>
          <w:tcPr>
            <w:tcW w:w="5103" w:type="dxa"/>
          </w:tcPr>
          <w:p>
            <w:pPr>
              <w:pStyle w:val="yTable"/>
              <w:tabs>
                <w:tab w:val="left" w:pos="567"/>
              </w:tabs>
              <w:spacing w:after="40"/>
              <w:ind w:left="397" w:hanging="397"/>
            </w:pPr>
            <w:r>
              <w:t> — gastric reduction or gastroplasty for the treatment of morbid obesity</w:t>
            </w:r>
          </w:p>
        </w:tc>
        <w:tc>
          <w:tcPr>
            <w:tcW w:w="1276" w:type="dxa"/>
          </w:tcPr>
          <w:p>
            <w:pPr>
              <w:pStyle w:val="yTable"/>
              <w:keepNext/>
              <w:spacing w:after="40"/>
              <w:jc w:val="center"/>
            </w:pPr>
            <w:r>
              <w:br/>
              <w:t>10</w:t>
            </w:r>
          </w:p>
        </w:tc>
      </w:tr>
      <w:tr>
        <w:trPr>
          <w:cantSplit/>
        </w:trPr>
        <w:tc>
          <w:tcPr>
            <w:tcW w:w="5103" w:type="dxa"/>
          </w:tcPr>
          <w:p>
            <w:pPr>
              <w:pStyle w:val="yTable"/>
              <w:tabs>
                <w:tab w:val="left" w:pos="567"/>
              </w:tabs>
              <w:spacing w:after="40"/>
              <w:ind w:left="567" w:hanging="567"/>
            </w:pPr>
            <w:r>
              <w:t> — partial hepatectomy (excluding liver biopsy)</w:t>
            </w:r>
          </w:p>
        </w:tc>
        <w:tc>
          <w:tcPr>
            <w:tcW w:w="1276" w:type="dxa"/>
          </w:tcPr>
          <w:p>
            <w:pPr>
              <w:pStyle w:val="yTable"/>
              <w:keepNext/>
              <w:spacing w:after="40"/>
              <w:jc w:val="center"/>
            </w:pPr>
            <w:r>
              <w:t>13</w:t>
            </w:r>
          </w:p>
        </w:tc>
      </w:tr>
      <w:tr>
        <w:trPr>
          <w:cantSplit/>
        </w:trPr>
        <w:tc>
          <w:tcPr>
            <w:tcW w:w="5103" w:type="dxa"/>
          </w:tcPr>
          <w:p>
            <w:pPr>
              <w:pStyle w:val="yTable"/>
              <w:tabs>
                <w:tab w:val="left" w:pos="567"/>
              </w:tabs>
              <w:spacing w:after="40"/>
              <w:ind w:left="567" w:hanging="567"/>
            </w:pPr>
            <w:r>
              <w:t> — extended or trisegmental hepatectomy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397" w:hanging="397"/>
            </w:pPr>
            <w:r>
              <w:t> — pancreatectomy, partial or total (eg. Whipple procedure)</w:t>
            </w:r>
          </w:p>
        </w:tc>
        <w:tc>
          <w:tcPr>
            <w:tcW w:w="1276" w:type="dxa"/>
          </w:tcPr>
          <w:p>
            <w:pPr>
              <w:pStyle w:val="yTable"/>
              <w:keepNext/>
              <w:spacing w:after="40"/>
              <w:jc w:val="center"/>
            </w:pPr>
            <w:r>
              <w:br/>
              <w:t>12</w:t>
            </w:r>
          </w:p>
        </w:tc>
      </w:tr>
      <w:tr>
        <w:trPr>
          <w:cantSplit/>
        </w:trPr>
        <w:tc>
          <w:tcPr>
            <w:tcW w:w="5103" w:type="dxa"/>
          </w:tcPr>
          <w:p>
            <w:pPr>
              <w:pStyle w:val="yTable"/>
              <w:tabs>
                <w:tab w:val="left" w:pos="567"/>
              </w:tabs>
              <w:spacing w:after="40"/>
              <w:ind w:left="567" w:hanging="567"/>
            </w:pPr>
            <w:r>
              <w:t> — liver transplant (recipient)</w:t>
            </w:r>
          </w:p>
        </w:tc>
        <w:tc>
          <w:tcPr>
            <w:tcW w:w="1276" w:type="dxa"/>
          </w:tcPr>
          <w:p>
            <w:pPr>
              <w:pStyle w:val="yTable"/>
              <w:keepNext/>
              <w:spacing w:after="40"/>
              <w:jc w:val="center"/>
            </w:pPr>
            <w:r>
              <w:t>30</w:t>
            </w:r>
          </w:p>
        </w:tc>
      </w:tr>
      <w:tr>
        <w:trPr>
          <w:cantSplit/>
        </w:trPr>
        <w:tc>
          <w:tcPr>
            <w:tcW w:w="5103" w:type="dxa"/>
          </w:tcPr>
          <w:p>
            <w:pPr>
              <w:pStyle w:val="yTable"/>
              <w:tabs>
                <w:tab w:val="left" w:pos="567"/>
              </w:tabs>
              <w:spacing w:after="40"/>
              <w:ind w:left="567" w:hanging="567"/>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97" w:hanging="397"/>
            </w:pPr>
            <w:r>
              <w:t> — percutaneous procedures on an intra</w:t>
            </w:r>
            <w:r>
              <w:noBreakHyphen/>
              <w:t>abdominal organ in the upper abdomen</w:t>
            </w:r>
          </w:p>
        </w:tc>
        <w:tc>
          <w:tcPr>
            <w:tcW w:w="1276" w:type="dxa"/>
          </w:tcPr>
          <w:p>
            <w:pPr>
              <w:pStyle w:val="yTable"/>
              <w:keepNext/>
              <w:spacing w:after="40"/>
              <w:jc w:val="center"/>
            </w:pPr>
            <w:r>
              <w:br/>
              <w:t>6</w:t>
            </w:r>
          </w:p>
        </w:tc>
      </w:tr>
      <w:tr>
        <w:trPr>
          <w:cantSplit/>
        </w:trPr>
        <w:tc>
          <w:tcPr>
            <w:tcW w:w="5103" w:type="dxa"/>
          </w:tcPr>
          <w:p>
            <w:pPr>
              <w:pStyle w:val="yTable"/>
              <w:keepNext/>
              <w:spacing w:before="260" w:after="40"/>
            </w:pPr>
            <w:r>
              <w:rPr>
                <w:b/>
              </w:rPr>
              <w:t>Lower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lower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 — lipectomy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nerves, muscles, tendons and fascia of the lower abdominal wall (with the exception of abdominal lipectomy)</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lower intestinal endoscopic procedures (modifier for prone position is not applicable)</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hernia repairs in lower abdomen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repair of incisional hernia and/or wound dehiscence</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all procedures within the peritoneal cavity in the lower abdomen (including appendicetomy)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bowel resection, including laparascopic bowel resection,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amniocentesis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abdominoperineal resection, including pull through procedures, ultra low anterior resection and formation of bowel reservoir</w:t>
            </w:r>
          </w:p>
        </w:tc>
        <w:tc>
          <w:tcPr>
            <w:tcW w:w="1276" w:type="dxa"/>
          </w:tcPr>
          <w:p>
            <w:pPr>
              <w:pStyle w:val="yTable"/>
              <w:keepNext/>
              <w:spacing w:after="40"/>
              <w:jc w:val="center"/>
            </w:pPr>
            <w:r>
              <w:br/>
            </w:r>
            <w:r>
              <w:br/>
              <w:t>10</w:t>
            </w:r>
          </w:p>
        </w:tc>
      </w:tr>
      <w:tr>
        <w:trPr>
          <w:cantSplit/>
        </w:trPr>
        <w:tc>
          <w:tcPr>
            <w:tcW w:w="5103" w:type="dxa"/>
          </w:tcPr>
          <w:p>
            <w:pPr>
              <w:pStyle w:val="yTable"/>
              <w:spacing w:after="40"/>
            </w:pPr>
            <w:r>
              <w:t> — radical prostatectomy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hysterectomy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ovarian surgery</w:t>
            </w:r>
          </w:p>
        </w:tc>
        <w:tc>
          <w:tcPr>
            <w:tcW w:w="1276" w:type="dxa"/>
          </w:tcPr>
          <w:p>
            <w:pPr>
              <w:pStyle w:val="yTable"/>
              <w:keepNext/>
              <w:spacing w:after="40"/>
              <w:jc w:val="center"/>
            </w:pPr>
            <w:r>
              <w:t>10</w:t>
            </w:r>
          </w:p>
        </w:tc>
      </w:tr>
      <w:tr>
        <w:trPr>
          <w:cantSplit/>
        </w:trPr>
        <w:tc>
          <w:tcPr>
            <w:tcW w:w="5103" w:type="dxa"/>
          </w:tcPr>
          <w:p>
            <w:pPr>
              <w:pStyle w:val="yTable"/>
              <w:spacing w:after="40"/>
            </w:pPr>
            <w:r>
              <w:t> — pelvic exenteration</w:t>
            </w:r>
          </w:p>
        </w:tc>
        <w:tc>
          <w:tcPr>
            <w:tcW w:w="1276" w:type="dxa"/>
          </w:tcPr>
          <w:p>
            <w:pPr>
              <w:pStyle w:val="yTable"/>
              <w:keepNext/>
              <w:spacing w:after="40"/>
              <w:jc w:val="center"/>
            </w:pPr>
            <w:r>
              <w:t>10</w:t>
            </w:r>
          </w:p>
        </w:tc>
      </w:tr>
      <w:tr>
        <w:trPr>
          <w:cantSplit/>
        </w:trPr>
        <w:tc>
          <w:tcPr>
            <w:tcW w:w="5103" w:type="dxa"/>
          </w:tcPr>
          <w:p>
            <w:pPr>
              <w:pStyle w:val="yTable"/>
              <w:spacing w:after="40"/>
            </w:pPr>
            <w:r>
              <w:t> — Caesarean section</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40" w:hanging="340"/>
            </w:pPr>
            <w:r>
              <w:t> — Caesarean hysterectomy or hysterectomy within 24 hours of delivery</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extraperitoneal procedures in lower abdomen, including urinary tract,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renal procedures, including upper 1/3 or ureter</w:t>
            </w:r>
          </w:p>
        </w:tc>
        <w:tc>
          <w:tcPr>
            <w:tcW w:w="1276" w:type="dxa"/>
          </w:tcPr>
          <w:p>
            <w:pPr>
              <w:pStyle w:val="yTable"/>
              <w:keepNext/>
              <w:spacing w:after="40"/>
              <w:jc w:val="center"/>
            </w:pPr>
            <w:r>
              <w:t>7</w:t>
            </w:r>
          </w:p>
        </w:tc>
      </w:tr>
      <w:tr>
        <w:trPr>
          <w:cantSplit/>
        </w:trPr>
        <w:tc>
          <w:tcPr>
            <w:tcW w:w="5103" w:type="dxa"/>
          </w:tcPr>
          <w:p>
            <w:pPr>
              <w:pStyle w:val="yTable"/>
              <w:spacing w:after="40"/>
            </w:pPr>
            <w:r>
              <w:t> — total cystectomy</w:t>
            </w:r>
          </w:p>
        </w:tc>
        <w:tc>
          <w:tcPr>
            <w:tcW w:w="1276" w:type="dxa"/>
          </w:tcPr>
          <w:p>
            <w:pPr>
              <w:pStyle w:val="yTable"/>
              <w:keepNext/>
              <w:spacing w:after="40"/>
              <w:jc w:val="center"/>
            </w:pPr>
            <w:r>
              <w:t>10</w:t>
            </w:r>
          </w:p>
        </w:tc>
      </w:tr>
      <w:tr>
        <w:trPr>
          <w:cantSplit/>
        </w:trPr>
        <w:tc>
          <w:tcPr>
            <w:tcW w:w="5103" w:type="dxa"/>
          </w:tcPr>
          <w:p>
            <w:pPr>
              <w:pStyle w:val="yTable"/>
              <w:spacing w:after="40"/>
            </w:pPr>
            <w:r>
              <w:t> — adrenalectomy</w:t>
            </w:r>
          </w:p>
        </w:tc>
        <w:tc>
          <w:tcPr>
            <w:tcW w:w="1276" w:type="dxa"/>
          </w:tcPr>
          <w:p>
            <w:pPr>
              <w:pStyle w:val="yTable"/>
              <w:keepNext/>
              <w:spacing w:after="40"/>
              <w:jc w:val="center"/>
            </w:pPr>
            <w:r>
              <w:t>10</w:t>
            </w:r>
          </w:p>
        </w:tc>
      </w:tr>
      <w:tr>
        <w:trPr>
          <w:cantSplit/>
        </w:trPr>
        <w:tc>
          <w:tcPr>
            <w:tcW w:w="5103" w:type="dxa"/>
          </w:tcPr>
          <w:p>
            <w:pPr>
              <w:pStyle w:val="yTable"/>
              <w:spacing w:after="40"/>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spacing w:after="40"/>
            </w:pPr>
            <w:r>
              <w:t> — renal transplant (donor or recipient)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major lower abdominal vessels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inferior vena cava ligation</w:t>
            </w:r>
          </w:p>
        </w:tc>
        <w:tc>
          <w:tcPr>
            <w:tcW w:w="1276" w:type="dxa"/>
          </w:tcPr>
          <w:p>
            <w:pPr>
              <w:pStyle w:val="yTable"/>
              <w:keepNext/>
              <w:spacing w:after="40"/>
              <w:jc w:val="center"/>
            </w:pPr>
            <w:r>
              <w:t>10</w:t>
            </w:r>
          </w:p>
        </w:tc>
      </w:tr>
      <w:tr>
        <w:trPr>
          <w:cantSplit/>
        </w:trPr>
        <w:tc>
          <w:tcPr>
            <w:tcW w:w="5103" w:type="dxa"/>
          </w:tcPr>
          <w:p>
            <w:pPr>
              <w:pStyle w:val="yTable"/>
              <w:spacing w:after="40"/>
            </w:pPr>
            <w:r>
              <w:t> — percutaneous umbrella insertion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procedures on an intra</w:t>
            </w:r>
            <w:r>
              <w:noBreakHyphen/>
              <w:t>abdominal organ in the lower abdomen</w:t>
            </w:r>
          </w:p>
        </w:tc>
        <w:tc>
          <w:tcPr>
            <w:tcW w:w="1276" w:type="dxa"/>
          </w:tcPr>
          <w:p>
            <w:pPr>
              <w:pStyle w:val="yTable"/>
              <w:keepNext/>
              <w:spacing w:after="40"/>
              <w:jc w:val="center"/>
            </w:pPr>
            <w:r>
              <w:br/>
              <w:t>6</w:t>
            </w:r>
          </w:p>
        </w:tc>
      </w:tr>
      <w:tr>
        <w:trPr>
          <w:cantSplit/>
        </w:trPr>
        <w:tc>
          <w:tcPr>
            <w:tcW w:w="5103" w:type="dxa"/>
          </w:tcPr>
          <w:p>
            <w:pPr>
              <w:pStyle w:val="yTable"/>
              <w:spacing w:before="260" w:after="40"/>
            </w:pPr>
            <w:r>
              <w:rPr>
                <w:b/>
              </w:rPr>
              <w:t>Perineum</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perineum (including biopsy of male genital system)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tabs>
                <w:tab w:val="left" w:pos="567"/>
              </w:tabs>
              <w:spacing w:after="40"/>
              <w:ind w:left="397" w:hanging="397"/>
            </w:pPr>
            <w:r>
              <w:t> — anorectal procedure (including endoscopy and/or biopsy)</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radical perineal procedure including radical perineal prostatectomy or radical vulvectomy</w:t>
            </w:r>
          </w:p>
        </w:tc>
        <w:tc>
          <w:tcPr>
            <w:tcW w:w="1276" w:type="dxa"/>
          </w:tcPr>
          <w:p>
            <w:pPr>
              <w:pStyle w:val="yTable"/>
              <w:keepNext/>
              <w:spacing w:after="40"/>
              <w:jc w:val="center"/>
            </w:pPr>
            <w:r>
              <w:br/>
              <w:t>7</w:t>
            </w:r>
          </w:p>
        </w:tc>
      </w:tr>
      <w:tr>
        <w:trPr>
          <w:cantSplit/>
        </w:trPr>
        <w:tc>
          <w:tcPr>
            <w:tcW w:w="5103" w:type="dxa"/>
          </w:tcPr>
          <w:p>
            <w:pPr>
              <w:pStyle w:val="yTable"/>
              <w:spacing w:after="40"/>
              <w:ind w:left="567" w:hanging="567"/>
            </w:pPr>
            <w:r>
              <w:t> — vulvectomy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transurethral procedures (including urethrocystoscopy)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transurethral resection of bladder tumour(s)</w:t>
            </w:r>
          </w:p>
        </w:tc>
        <w:tc>
          <w:tcPr>
            <w:tcW w:w="1276" w:type="dxa"/>
          </w:tcPr>
          <w:p>
            <w:pPr>
              <w:pStyle w:val="yTable"/>
              <w:keepNext/>
              <w:spacing w:after="40"/>
              <w:jc w:val="center"/>
            </w:pPr>
            <w:r>
              <w:t>5</w:t>
            </w:r>
          </w:p>
        </w:tc>
      </w:tr>
      <w:tr>
        <w:trPr>
          <w:cantSplit/>
        </w:trPr>
        <w:tc>
          <w:tcPr>
            <w:tcW w:w="5103" w:type="dxa"/>
          </w:tcPr>
          <w:p>
            <w:pPr>
              <w:pStyle w:val="yTable"/>
              <w:spacing w:after="40"/>
            </w:pPr>
            <w:r>
              <w:t> — transurethral resection of prostate</w:t>
            </w:r>
          </w:p>
        </w:tc>
        <w:tc>
          <w:tcPr>
            <w:tcW w:w="1276" w:type="dxa"/>
          </w:tcPr>
          <w:p>
            <w:pPr>
              <w:pStyle w:val="yTable"/>
              <w:keepNext/>
              <w:spacing w:after="40"/>
              <w:jc w:val="center"/>
            </w:pPr>
            <w:r>
              <w:t>7</w:t>
            </w:r>
          </w:p>
        </w:tc>
      </w:tr>
      <w:tr>
        <w:trPr>
          <w:cantSplit/>
        </w:trPr>
        <w:tc>
          <w:tcPr>
            <w:tcW w:w="5103" w:type="dxa"/>
          </w:tcPr>
          <w:p>
            <w:pPr>
              <w:pStyle w:val="yTable"/>
              <w:spacing w:after="40"/>
            </w:pPr>
            <w:r>
              <w:t> — post</w:t>
            </w:r>
            <w:r>
              <w:noBreakHyphen/>
              <w:t>transurethral resection bleeding</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male external genitalia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undescended testis,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procedures on the cord and/or testes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radical orchidectomy, inguinal</w:t>
            </w:r>
          </w:p>
        </w:tc>
        <w:tc>
          <w:tcPr>
            <w:tcW w:w="1276" w:type="dxa"/>
          </w:tcPr>
          <w:p>
            <w:pPr>
              <w:pStyle w:val="yTable"/>
              <w:keepNext/>
              <w:spacing w:after="40"/>
              <w:jc w:val="center"/>
            </w:pPr>
            <w:r>
              <w:t>4</w:t>
            </w:r>
          </w:p>
        </w:tc>
      </w:tr>
      <w:tr>
        <w:trPr>
          <w:cantSplit/>
        </w:trPr>
        <w:tc>
          <w:tcPr>
            <w:tcW w:w="5103" w:type="dxa"/>
          </w:tcPr>
          <w:p>
            <w:pPr>
              <w:pStyle w:val="yTable"/>
              <w:spacing w:after="40"/>
            </w:pPr>
            <w:r>
              <w:t> — radical orchidectomy, abdominal</w:t>
            </w:r>
          </w:p>
        </w:tc>
        <w:tc>
          <w:tcPr>
            <w:tcW w:w="1276" w:type="dxa"/>
          </w:tcPr>
          <w:p>
            <w:pPr>
              <w:pStyle w:val="yTable"/>
              <w:keepNext/>
              <w:spacing w:after="40"/>
              <w:jc w:val="center"/>
            </w:pPr>
            <w:r>
              <w:t>6</w:t>
            </w:r>
          </w:p>
        </w:tc>
      </w:tr>
      <w:tr>
        <w:trPr>
          <w:cantSplit/>
        </w:trPr>
        <w:tc>
          <w:tcPr>
            <w:tcW w:w="5103" w:type="dxa"/>
          </w:tcPr>
          <w:p>
            <w:pPr>
              <w:pStyle w:val="yTable"/>
              <w:spacing w:after="40"/>
            </w:pPr>
            <w:r>
              <w:t> — orchiopexy,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 — complete amputation of the penis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complete amputation of the penis with bilateral inguinal lymphadenectomy</w:t>
            </w:r>
          </w:p>
        </w:tc>
        <w:tc>
          <w:tcPr>
            <w:tcW w:w="1276" w:type="dxa"/>
          </w:tcPr>
          <w:p>
            <w:pPr>
              <w:pStyle w:val="yTable"/>
              <w:keepNext/>
              <w:spacing w:after="40"/>
              <w:jc w:val="center"/>
            </w:pPr>
            <w:r>
              <w:br/>
              <w:t>6</w:t>
            </w:r>
          </w:p>
        </w:tc>
      </w:tr>
      <w:tr>
        <w:trPr>
          <w:cantSplit/>
        </w:trPr>
        <w:tc>
          <w:tcPr>
            <w:tcW w:w="5103" w:type="dxa"/>
          </w:tcPr>
          <w:p>
            <w:pPr>
              <w:pStyle w:val="yTable"/>
              <w:spacing w:after="40"/>
              <w:ind w:left="397" w:hanging="397"/>
            </w:pPr>
            <w:r>
              <w:t> — complete amputation of the penis with bilateral inguinal and iliac lymphadenectomy</w:t>
            </w:r>
          </w:p>
        </w:tc>
        <w:tc>
          <w:tcPr>
            <w:tcW w:w="1276" w:type="dxa"/>
          </w:tcPr>
          <w:p>
            <w:pPr>
              <w:pStyle w:val="yTable"/>
              <w:keepNext/>
              <w:spacing w:after="40"/>
              <w:jc w:val="center"/>
            </w:pPr>
            <w:r>
              <w:br/>
              <w:t>8</w:t>
            </w:r>
          </w:p>
        </w:tc>
      </w:tr>
      <w:tr>
        <w:trPr>
          <w:cantSplit/>
        </w:trPr>
        <w:tc>
          <w:tcPr>
            <w:tcW w:w="5103" w:type="dxa"/>
          </w:tcPr>
          <w:p>
            <w:pPr>
              <w:pStyle w:val="yTable"/>
              <w:spacing w:after="40"/>
            </w:pPr>
            <w:r>
              <w:t> — insertion of penile prosthesis (perianal approach)</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vaginal procedures (including biopsy of labia, vagina, cervix or endometrium)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colpotomy, colpectomy, colporrhaphy</w:t>
            </w:r>
          </w:p>
        </w:tc>
        <w:tc>
          <w:tcPr>
            <w:tcW w:w="1276" w:type="dxa"/>
          </w:tcPr>
          <w:p>
            <w:pPr>
              <w:pStyle w:val="yTable"/>
              <w:keepNext/>
              <w:spacing w:after="40"/>
              <w:jc w:val="center"/>
            </w:pPr>
            <w:r>
              <w:t>5</w:t>
            </w:r>
          </w:p>
        </w:tc>
      </w:tr>
      <w:tr>
        <w:trPr>
          <w:cantSplit/>
        </w:trPr>
        <w:tc>
          <w:tcPr>
            <w:tcW w:w="5103" w:type="dxa"/>
          </w:tcPr>
          <w:p>
            <w:pPr>
              <w:pStyle w:val="yTable"/>
              <w:spacing w:after="40"/>
            </w:pPr>
            <w:r>
              <w:t> — transvaginal assisted reproductive services</w:t>
            </w:r>
          </w:p>
        </w:tc>
        <w:tc>
          <w:tcPr>
            <w:tcW w:w="1276" w:type="dxa"/>
          </w:tcPr>
          <w:p>
            <w:pPr>
              <w:pStyle w:val="yTable"/>
              <w:keepNext/>
              <w:spacing w:after="40"/>
              <w:jc w:val="center"/>
            </w:pPr>
            <w:r>
              <w:t>4</w:t>
            </w:r>
          </w:p>
        </w:tc>
      </w:tr>
      <w:tr>
        <w:trPr>
          <w:cantSplit/>
        </w:trPr>
        <w:tc>
          <w:tcPr>
            <w:tcW w:w="5103" w:type="dxa"/>
          </w:tcPr>
          <w:p>
            <w:pPr>
              <w:pStyle w:val="yTable"/>
              <w:spacing w:after="40"/>
            </w:pPr>
            <w:r>
              <w:t> — vaginal hysterectomy</w:t>
            </w:r>
          </w:p>
        </w:tc>
        <w:tc>
          <w:tcPr>
            <w:tcW w:w="1276" w:type="dxa"/>
          </w:tcPr>
          <w:p>
            <w:pPr>
              <w:pStyle w:val="yTable"/>
              <w:keepNext/>
              <w:spacing w:after="40"/>
              <w:jc w:val="center"/>
            </w:pPr>
            <w:r>
              <w:t>6</w:t>
            </w:r>
          </w:p>
        </w:tc>
      </w:tr>
      <w:tr>
        <w:trPr>
          <w:cantSplit/>
        </w:trPr>
        <w:tc>
          <w:tcPr>
            <w:tcW w:w="5103" w:type="dxa"/>
          </w:tcPr>
          <w:p>
            <w:pPr>
              <w:pStyle w:val="yTable"/>
              <w:spacing w:after="40"/>
            </w:pPr>
            <w:r>
              <w:t> — vaginal delivery</w:t>
            </w:r>
          </w:p>
        </w:tc>
        <w:tc>
          <w:tcPr>
            <w:tcW w:w="1276" w:type="dxa"/>
          </w:tcPr>
          <w:p>
            <w:pPr>
              <w:pStyle w:val="yTable"/>
              <w:keepNext/>
              <w:spacing w:after="40"/>
              <w:jc w:val="center"/>
            </w:pPr>
            <w:r>
              <w:t>6</w:t>
            </w:r>
          </w:p>
        </w:tc>
      </w:tr>
      <w:tr>
        <w:trPr>
          <w:cantSplit/>
        </w:trPr>
        <w:tc>
          <w:tcPr>
            <w:tcW w:w="5103" w:type="dxa"/>
          </w:tcPr>
          <w:p>
            <w:pPr>
              <w:pStyle w:val="yTable"/>
              <w:spacing w:after="40"/>
            </w:pPr>
            <w:r>
              <w:t> — purse string ligation of cervix</w:t>
            </w:r>
          </w:p>
        </w:tc>
        <w:tc>
          <w:tcPr>
            <w:tcW w:w="1276" w:type="dxa"/>
          </w:tcPr>
          <w:p>
            <w:pPr>
              <w:pStyle w:val="yTable"/>
              <w:keepNext/>
              <w:spacing w:after="40"/>
              <w:jc w:val="center"/>
            </w:pPr>
            <w:r>
              <w:t>4</w:t>
            </w:r>
          </w:p>
        </w:tc>
      </w:tr>
      <w:tr>
        <w:trPr>
          <w:cantSplit/>
        </w:trPr>
        <w:tc>
          <w:tcPr>
            <w:tcW w:w="5103" w:type="dxa"/>
          </w:tcPr>
          <w:p>
            <w:pPr>
              <w:pStyle w:val="yTable"/>
              <w:spacing w:after="40"/>
            </w:pPr>
            <w:r>
              <w:t> — culdoscopy</w:t>
            </w:r>
          </w:p>
        </w:tc>
        <w:tc>
          <w:tcPr>
            <w:tcW w:w="1276" w:type="dxa"/>
          </w:tcPr>
          <w:p>
            <w:pPr>
              <w:pStyle w:val="yTable"/>
              <w:keepNext/>
              <w:spacing w:after="40"/>
              <w:jc w:val="center"/>
            </w:pPr>
            <w:r>
              <w:t>5</w:t>
            </w:r>
          </w:p>
        </w:tc>
      </w:tr>
      <w:tr>
        <w:trPr>
          <w:cantSplit/>
        </w:trPr>
        <w:tc>
          <w:tcPr>
            <w:tcW w:w="5103" w:type="dxa"/>
          </w:tcPr>
          <w:p>
            <w:pPr>
              <w:pStyle w:val="yTable"/>
              <w:spacing w:after="40"/>
            </w:pPr>
            <w:r>
              <w:t> — hysteroscopy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endometrial ablation or resection in association with hysteroscopy</w:t>
            </w:r>
          </w:p>
        </w:tc>
        <w:tc>
          <w:tcPr>
            <w:tcW w:w="1276" w:type="dxa"/>
          </w:tcPr>
          <w:p>
            <w:pPr>
              <w:pStyle w:val="yTable"/>
              <w:keepNext/>
              <w:spacing w:after="40"/>
              <w:jc w:val="center"/>
            </w:pPr>
            <w:r>
              <w:br/>
              <w:t>5</w:t>
            </w:r>
          </w:p>
        </w:tc>
      </w:tr>
      <w:tr>
        <w:trPr>
          <w:cantSplit/>
        </w:trPr>
        <w:tc>
          <w:tcPr>
            <w:tcW w:w="5103" w:type="dxa"/>
          </w:tcPr>
          <w:p>
            <w:pPr>
              <w:pStyle w:val="yTable"/>
              <w:spacing w:after="40"/>
            </w:pPr>
            <w:r>
              <w:t> — correction of inverted uterus</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evacuation of retained products of conception, as a complication of confinement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for the manual removal of retained placenta or for repair of vaginal or perineal tear following delivery</w:t>
            </w:r>
          </w:p>
        </w:tc>
        <w:tc>
          <w:tcPr>
            <w:tcW w:w="1276" w:type="dxa"/>
          </w:tcPr>
          <w:p>
            <w:pPr>
              <w:pStyle w:val="yTable"/>
              <w:keepNext/>
              <w:spacing w:after="40"/>
              <w:jc w:val="center"/>
            </w:pPr>
            <w:r>
              <w:br/>
            </w:r>
            <w:r>
              <w:br/>
              <w:t>5</w:t>
            </w:r>
          </w:p>
        </w:tc>
      </w:tr>
      <w:tr>
        <w:trPr>
          <w:cantSplit/>
        </w:trPr>
        <w:tc>
          <w:tcPr>
            <w:tcW w:w="5103" w:type="dxa"/>
          </w:tcPr>
          <w:p>
            <w:pPr>
              <w:pStyle w:val="yTable"/>
              <w:tabs>
                <w:tab w:val="left" w:pos="567"/>
              </w:tabs>
              <w:spacing w:after="40"/>
              <w:ind w:left="397" w:hanging="397"/>
            </w:pPr>
            <w:r>
              <w:t> — for vaginal procedures in the management of post partum haemorrhage</w:t>
            </w:r>
          </w:p>
        </w:tc>
        <w:tc>
          <w:tcPr>
            <w:tcW w:w="1276" w:type="dxa"/>
          </w:tcPr>
          <w:p>
            <w:pPr>
              <w:pStyle w:val="yTable"/>
              <w:keepNext/>
              <w:spacing w:after="40"/>
              <w:jc w:val="center"/>
            </w:pPr>
            <w:r>
              <w:br/>
              <w:t>7</w:t>
            </w:r>
          </w:p>
        </w:tc>
      </w:tr>
      <w:tr>
        <w:trPr>
          <w:cantSplit/>
        </w:trPr>
        <w:tc>
          <w:tcPr>
            <w:tcW w:w="5103" w:type="dxa"/>
          </w:tcPr>
          <w:p>
            <w:pPr>
              <w:pStyle w:val="yTable"/>
              <w:spacing w:before="240" w:after="20"/>
            </w:pPr>
            <w:r>
              <w:rPr>
                <w:b/>
              </w:rPr>
              <w:t>Pelvis — except hip</w:t>
            </w:r>
          </w:p>
        </w:tc>
        <w:tc>
          <w:tcPr>
            <w:tcW w:w="1276" w:type="dxa"/>
          </w:tcPr>
          <w:p>
            <w:pPr>
              <w:pStyle w:val="yTable"/>
              <w:keepNext/>
              <w:spacing w:before="40" w:after="20"/>
              <w:jc w:val="center"/>
            </w:pPr>
          </w:p>
        </w:tc>
      </w:tr>
      <w:tr>
        <w:trPr>
          <w:cantSplit/>
        </w:trPr>
        <w:tc>
          <w:tcPr>
            <w:tcW w:w="5103" w:type="dxa"/>
          </w:tcPr>
          <w:p>
            <w:pPr>
              <w:pStyle w:val="yTable"/>
              <w:spacing w:after="40"/>
            </w:pPr>
            <w:r>
              <w:t>Anaesthesia for all procedures on the skin and subcutaneous tissue of the pelvic region, except external genitalia</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percutaneous bone marrow biopsy of the anterior iliac crest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percutaneous bone marrow biopsy of the posterior iliac crest</w:t>
            </w:r>
          </w:p>
        </w:tc>
        <w:tc>
          <w:tcPr>
            <w:tcW w:w="1276" w:type="dxa"/>
          </w:tcPr>
          <w:p>
            <w:pPr>
              <w:pStyle w:val="yTable"/>
              <w:keepNext/>
              <w:spacing w:after="40"/>
              <w:jc w:val="center"/>
            </w:pPr>
            <w:r>
              <w:br/>
              <w:t>5</w:t>
            </w:r>
          </w:p>
        </w:tc>
      </w:tr>
      <w:tr>
        <w:trPr>
          <w:cantSplit/>
        </w:trPr>
        <w:tc>
          <w:tcPr>
            <w:tcW w:w="5103" w:type="dxa"/>
          </w:tcPr>
          <w:p>
            <w:pPr>
              <w:pStyle w:val="yTable"/>
              <w:spacing w:before="40" w:after="40"/>
            </w:pPr>
            <w:r>
              <w:t>Anaesthesia for percutaneous bone marrow harvesting from the pelvis</w:t>
            </w:r>
          </w:p>
        </w:tc>
        <w:tc>
          <w:tcPr>
            <w:tcW w:w="1276" w:type="dxa"/>
          </w:tcPr>
          <w:p>
            <w:pPr>
              <w:pStyle w:val="yTable"/>
              <w:keepNext/>
              <w:spacing w:before="40" w:after="40"/>
              <w:jc w:val="center"/>
            </w:pPr>
            <w:r>
              <w:br/>
              <w:t>6</w:t>
            </w:r>
          </w:p>
        </w:tc>
      </w:tr>
      <w:tr>
        <w:trPr>
          <w:cantSplit/>
        </w:trPr>
        <w:tc>
          <w:tcPr>
            <w:tcW w:w="5103" w:type="dxa"/>
          </w:tcPr>
          <w:p>
            <w:pPr>
              <w:pStyle w:val="yTable"/>
              <w:spacing w:before="40" w:after="40"/>
            </w:pPr>
            <w:r>
              <w:t>Anaesthesia for procedures on bony pelvis</w:t>
            </w:r>
          </w:p>
        </w:tc>
        <w:tc>
          <w:tcPr>
            <w:tcW w:w="1276" w:type="dxa"/>
          </w:tcPr>
          <w:p>
            <w:pPr>
              <w:pStyle w:val="yTable"/>
              <w:keepNext/>
              <w:spacing w:before="40" w:after="40"/>
              <w:jc w:val="center"/>
            </w:pPr>
            <w:r>
              <w:t>6</w:t>
            </w:r>
          </w:p>
        </w:tc>
      </w:tr>
      <w:tr>
        <w:trPr>
          <w:cantSplit/>
        </w:trPr>
        <w:tc>
          <w:tcPr>
            <w:tcW w:w="5103" w:type="dxa"/>
          </w:tcPr>
          <w:p>
            <w:pPr>
              <w:pStyle w:val="yTable"/>
              <w:spacing w:before="40" w:after="40"/>
            </w:pPr>
            <w:r>
              <w:t>Anaesthesia for body cast application or revision</w:t>
            </w:r>
          </w:p>
        </w:tc>
        <w:tc>
          <w:tcPr>
            <w:tcW w:w="1276" w:type="dxa"/>
          </w:tcPr>
          <w:p>
            <w:pPr>
              <w:pStyle w:val="yTable"/>
              <w:keepNext/>
              <w:spacing w:before="40" w:after="40"/>
              <w:jc w:val="center"/>
            </w:pPr>
            <w:r>
              <w:t>3</w:t>
            </w:r>
          </w:p>
        </w:tc>
      </w:tr>
      <w:tr>
        <w:trPr>
          <w:cantSplit/>
        </w:trPr>
        <w:tc>
          <w:tcPr>
            <w:tcW w:w="5103" w:type="dxa"/>
          </w:tcPr>
          <w:p>
            <w:pPr>
              <w:pStyle w:val="yTable"/>
              <w:spacing w:before="40" w:after="40"/>
            </w:pPr>
            <w:r>
              <w:t>Anaesthesia for interpelviabdominal (hind quarter) amputation</w:t>
            </w:r>
          </w:p>
        </w:tc>
        <w:tc>
          <w:tcPr>
            <w:tcW w:w="1276" w:type="dxa"/>
          </w:tcPr>
          <w:p>
            <w:pPr>
              <w:pStyle w:val="yTable"/>
              <w:keepNext/>
              <w:spacing w:before="40" w:after="40"/>
              <w:jc w:val="center"/>
            </w:pPr>
            <w:r>
              <w:br/>
              <w:t>15</w:t>
            </w:r>
          </w:p>
        </w:tc>
      </w:tr>
      <w:tr>
        <w:trPr>
          <w:cantSplit/>
        </w:trPr>
        <w:tc>
          <w:tcPr>
            <w:tcW w:w="5103" w:type="dxa"/>
          </w:tcPr>
          <w:p>
            <w:pPr>
              <w:pStyle w:val="yTable"/>
              <w:spacing w:before="40" w:after="40"/>
            </w:pPr>
            <w:r>
              <w:t>Anaesthesia for radical procedures for tumour of pelvis, except hind quarter amputation</w:t>
            </w:r>
          </w:p>
        </w:tc>
        <w:tc>
          <w:tcPr>
            <w:tcW w:w="1276" w:type="dxa"/>
          </w:tcPr>
          <w:p>
            <w:pPr>
              <w:pStyle w:val="yTable"/>
              <w:keepNext/>
              <w:spacing w:before="40" w:after="40"/>
              <w:jc w:val="center"/>
            </w:pPr>
            <w:r>
              <w:br/>
              <w:t>10</w:t>
            </w:r>
          </w:p>
        </w:tc>
      </w:tr>
      <w:tr>
        <w:trPr>
          <w:cantSplit/>
        </w:trPr>
        <w:tc>
          <w:tcPr>
            <w:tcW w:w="5103" w:type="dxa"/>
          </w:tcPr>
          <w:p>
            <w:pPr>
              <w:pStyle w:val="yTable"/>
              <w:spacing w:before="40" w:after="40"/>
            </w:pPr>
            <w:r>
              <w:t>Anaesthesia for closed procedures involving symphysis pubis or sacroiliac joint</w:t>
            </w:r>
          </w:p>
        </w:tc>
        <w:tc>
          <w:tcPr>
            <w:tcW w:w="1276" w:type="dxa"/>
          </w:tcPr>
          <w:p>
            <w:pPr>
              <w:pStyle w:val="yTable"/>
              <w:keepNext/>
              <w:spacing w:before="40" w:after="40"/>
              <w:jc w:val="center"/>
            </w:pPr>
            <w:r>
              <w:br/>
              <w:t>4</w:t>
            </w:r>
          </w:p>
        </w:tc>
      </w:tr>
      <w:tr>
        <w:trPr>
          <w:cantSplit/>
        </w:trPr>
        <w:tc>
          <w:tcPr>
            <w:tcW w:w="5103" w:type="dxa"/>
          </w:tcPr>
          <w:p>
            <w:pPr>
              <w:pStyle w:val="yTable"/>
              <w:spacing w:before="40" w:after="40"/>
            </w:pPr>
            <w:r>
              <w:t>Anaesthesia for open procedures involving symphysis pubis or sacroiliac joint</w:t>
            </w:r>
          </w:p>
        </w:tc>
        <w:tc>
          <w:tcPr>
            <w:tcW w:w="1276" w:type="dxa"/>
          </w:tcPr>
          <w:p>
            <w:pPr>
              <w:pStyle w:val="yTable"/>
              <w:keepNext/>
              <w:spacing w:before="40" w:after="40"/>
              <w:jc w:val="center"/>
            </w:pPr>
            <w:r>
              <w:br/>
              <w:t>8</w:t>
            </w:r>
          </w:p>
        </w:tc>
      </w:tr>
      <w:tr>
        <w:trPr>
          <w:cantSplit/>
        </w:trPr>
        <w:tc>
          <w:tcPr>
            <w:tcW w:w="5103" w:type="dxa"/>
          </w:tcPr>
          <w:p>
            <w:pPr>
              <w:pStyle w:val="yTable"/>
              <w:spacing w:before="160" w:after="40"/>
            </w:pPr>
            <w:r>
              <w:rPr>
                <w:b/>
              </w:rPr>
              <w:t>Upper leg — except knee</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upper leg</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ind w:left="397" w:hanging="397"/>
            </w:pPr>
            <w:r>
              <w:t> — on the nerves, muscles, tendons, fascia, or bursae of the upper leg</w:t>
            </w:r>
          </w:p>
        </w:tc>
        <w:tc>
          <w:tcPr>
            <w:tcW w:w="1276" w:type="dxa"/>
          </w:tcPr>
          <w:p>
            <w:pPr>
              <w:pStyle w:val="yTable"/>
              <w:keepNext/>
              <w:spacing w:before="40" w:after="40"/>
              <w:jc w:val="center"/>
            </w:pPr>
            <w:r>
              <w:br/>
              <w:t>4</w:t>
            </w:r>
          </w:p>
        </w:tc>
      </w:tr>
      <w:tr>
        <w:trPr>
          <w:cantSplit/>
        </w:trPr>
        <w:tc>
          <w:tcPr>
            <w:tcW w:w="5103" w:type="dxa"/>
          </w:tcPr>
          <w:p>
            <w:pPr>
              <w:pStyle w:val="yTable"/>
              <w:spacing w:after="40"/>
            </w:pPr>
            <w:r>
              <w:t>Anaesthesia for all closed procedures involving hip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arthroscopic procedures of hip joint</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open procedures involving hip joint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hip disarticulation</w:t>
            </w:r>
          </w:p>
        </w:tc>
        <w:tc>
          <w:tcPr>
            <w:tcW w:w="1276" w:type="dxa"/>
          </w:tcPr>
          <w:p>
            <w:pPr>
              <w:pStyle w:val="yTable"/>
              <w:keepNext/>
              <w:spacing w:after="40"/>
              <w:jc w:val="center"/>
            </w:pPr>
            <w:r>
              <w:t>10</w:t>
            </w:r>
          </w:p>
        </w:tc>
      </w:tr>
      <w:tr>
        <w:trPr>
          <w:cantSplit/>
        </w:trPr>
        <w:tc>
          <w:tcPr>
            <w:tcW w:w="5103" w:type="dxa"/>
          </w:tcPr>
          <w:p>
            <w:pPr>
              <w:pStyle w:val="yTable"/>
              <w:spacing w:after="40"/>
            </w:pPr>
            <w:r>
              <w:t> — total hip replacement or revision</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bilateral total hip replacement</w:t>
            </w:r>
          </w:p>
        </w:tc>
        <w:tc>
          <w:tcPr>
            <w:tcW w:w="1276" w:type="dxa"/>
          </w:tcPr>
          <w:p>
            <w:pPr>
              <w:pStyle w:val="yTable"/>
              <w:keepNext/>
              <w:spacing w:after="40"/>
              <w:jc w:val="center"/>
            </w:pPr>
            <w:r>
              <w:t>14</w:t>
            </w:r>
          </w:p>
        </w:tc>
      </w:tr>
      <w:tr>
        <w:trPr>
          <w:cantSplit/>
        </w:trPr>
        <w:tc>
          <w:tcPr>
            <w:tcW w:w="5103" w:type="dxa"/>
          </w:tcPr>
          <w:p>
            <w:pPr>
              <w:pStyle w:val="yTable"/>
              <w:spacing w:after="40"/>
            </w:pPr>
            <w:r>
              <w:t>Anaesthesia for all closed procedures involving upper 2/3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involving upper 2/3 of femur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amputation</w:t>
            </w:r>
          </w:p>
        </w:tc>
        <w:tc>
          <w:tcPr>
            <w:tcW w:w="1276" w:type="dxa"/>
          </w:tcPr>
          <w:p>
            <w:pPr>
              <w:pStyle w:val="yTable"/>
              <w:keepNext/>
              <w:spacing w:after="40"/>
              <w:jc w:val="center"/>
            </w:pPr>
            <w: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involving veins of the upper leg including exploration</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involving arteries of the upper leg, including bypass graft,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femoral artery ligation</w:t>
            </w:r>
          </w:p>
        </w:tc>
        <w:tc>
          <w:tcPr>
            <w:tcW w:w="1276" w:type="dxa"/>
          </w:tcPr>
          <w:p>
            <w:pPr>
              <w:pStyle w:val="yTable"/>
              <w:keepNext/>
              <w:spacing w:after="40"/>
              <w:jc w:val="center"/>
            </w:pPr>
            <w:r>
              <w:t>4</w:t>
            </w:r>
          </w:p>
        </w:tc>
      </w:tr>
      <w:tr>
        <w:trPr>
          <w:cantSplit/>
        </w:trPr>
        <w:tc>
          <w:tcPr>
            <w:tcW w:w="5103" w:type="dxa"/>
          </w:tcPr>
          <w:p>
            <w:pPr>
              <w:pStyle w:val="yTable"/>
              <w:spacing w:after="40"/>
            </w:pPr>
            <w:r>
              <w:t> — femoral artery embolectomy</w:t>
            </w:r>
          </w:p>
        </w:tc>
        <w:tc>
          <w:tcPr>
            <w:tcW w:w="1276" w:type="dxa"/>
          </w:tcPr>
          <w:p>
            <w:pPr>
              <w:pStyle w:val="yTable"/>
              <w:keepNext/>
              <w:spacing w:after="40"/>
              <w:jc w:val="center"/>
            </w:pPr>
            <w:r>
              <w:t>6</w:t>
            </w:r>
          </w:p>
        </w:tc>
      </w:tr>
      <w:tr>
        <w:trPr>
          <w:cantSplit/>
        </w:trPr>
        <w:tc>
          <w:tcPr>
            <w:tcW w:w="5103" w:type="dxa"/>
          </w:tcPr>
          <w:p>
            <w:pPr>
              <w:pStyle w:val="yTable"/>
              <w:spacing w:after="40"/>
            </w:pPr>
            <w:r>
              <w:t> — for microsurgical reimplantation of upper leg</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Knee and popliteal area</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and subcutaneous tissue of the knee and/or popliteal area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the knee and/or popliteal area</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1/3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lower 1/3 of femur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closed procedures on the knee joint</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arthroscopic procedures of the knee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closed procedures on upper ends of the tibia and fibula, and/or patella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open procedures on upper ends of the tibia and fibula, and/or patella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open procedures on the knee joint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knee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 — bilateral knee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 — disarticulation of knee</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cast applications, removal, or repair involving the knee joint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veins of the knee and popliteal area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repair of arteriovenous fistula</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arteries of the knee and popliteal area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before="240" w:after="40"/>
            </w:pPr>
            <w:r>
              <w:rPr>
                <w:b/>
              </w:rPr>
              <w:t>Lower leg — below knee (</w:t>
            </w:r>
            <w:r>
              <w:rPr>
                <w:b/>
                <w:i/>
              </w:rPr>
              <w:t>includes ankle and foot</w:t>
            </w:r>
            <w:r>
              <w:rPr>
                <w:b/>
              </w:rPr>
              <w:t>)</w:t>
            </w:r>
          </w:p>
        </w:tc>
        <w:tc>
          <w:tcPr>
            <w:tcW w:w="1276" w:type="dxa"/>
          </w:tcPr>
          <w:p>
            <w:pPr>
              <w:pStyle w:val="yTable"/>
              <w:keepNext/>
              <w:spacing w:before="0"/>
              <w:jc w:val="center"/>
            </w:pPr>
          </w:p>
        </w:tc>
      </w:tr>
      <w:tr>
        <w:trPr>
          <w:cantSplit/>
        </w:trPr>
        <w:tc>
          <w:tcPr>
            <w:tcW w:w="5103" w:type="dxa"/>
          </w:tcPr>
          <w:p>
            <w:pPr>
              <w:pStyle w:val="yTable"/>
              <w:spacing w:after="40"/>
            </w:pPr>
            <w:r>
              <w:t>Anaesthesia for all procedures on the skin or subcutaneous tissue of the lower leg, ankle and foot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and fascia of the lower leg, ankle, and foot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leg, ankle and foot</w:t>
            </w:r>
          </w:p>
        </w:tc>
        <w:tc>
          <w:tcPr>
            <w:tcW w:w="1276" w:type="dxa"/>
          </w:tcPr>
          <w:p>
            <w:pPr>
              <w:pStyle w:val="yTable"/>
              <w:keepNext/>
              <w:spacing w:after="40"/>
              <w:jc w:val="center"/>
            </w:pPr>
            <w:r>
              <w:br/>
              <w:t>3</w:t>
            </w:r>
          </w:p>
        </w:tc>
      </w:tr>
      <w:tr>
        <w:trPr>
          <w:cantSplit/>
        </w:trPr>
        <w:tc>
          <w:tcPr>
            <w:tcW w:w="5103" w:type="dxa"/>
          </w:tcPr>
          <w:p>
            <w:pPr>
              <w:pStyle w:val="yTable"/>
              <w:keepNext/>
              <w:keepLines/>
              <w:spacing w:after="40"/>
            </w:pPr>
            <w:r>
              <w:t>Anaesthesia for arthroscopic procedure of ankle joint</w:t>
            </w:r>
          </w:p>
        </w:tc>
        <w:tc>
          <w:tcPr>
            <w:tcW w:w="1276" w:type="dxa"/>
          </w:tcPr>
          <w:p>
            <w:pPr>
              <w:pStyle w:val="yTable"/>
              <w:keepNext/>
              <w:spacing w:after="40"/>
              <w:jc w:val="center"/>
            </w:pPr>
            <w:r>
              <w:t>4</w:t>
            </w:r>
          </w:p>
        </w:tc>
      </w:tr>
      <w:tr>
        <w:trPr>
          <w:cantSplit/>
        </w:trPr>
        <w:tc>
          <w:tcPr>
            <w:tcW w:w="5103" w:type="dxa"/>
          </w:tcPr>
          <w:p>
            <w:pPr>
              <w:pStyle w:val="yTable"/>
              <w:keepNext/>
              <w:keepLines/>
              <w:spacing w:after="40"/>
            </w:pPr>
            <w:r>
              <w:t> — gastrocnemius recession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open procedures on the bones of the lower leg, ankle and foot, including amputation,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5</w:t>
            </w:r>
          </w:p>
        </w:tc>
      </w:tr>
      <w:tr>
        <w:trPr>
          <w:cantSplit/>
        </w:trPr>
        <w:tc>
          <w:tcPr>
            <w:tcW w:w="5103" w:type="dxa"/>
          </w:tcPr>
          <w:p>
            <w:pPr>
              <w:pStyle w:val="yTable"/>
              <w:spacing w:after="40"/>
            </w:pPr>
            <w:r>
              <w:t> — osteotomy or osteoplasty of tibia and fibula</w:t>
            </w:r>
          </w:p>
        </w:tc>
        <w:tc>
          <w:tcPr>
            <w:tcW w:w="1276" w:type="dxa"/>
          </w:tcPr>
          <w:p>
            <w:pPr>
              <w:pStyle w:val="yTable"/>
              <w:keepNext/>
              <w:spacing w:after="40"/>
              <w:jc w:val="center"/>
            </w:pPr>
            <w:r>
              <w:t>5</w:t>
            </w:r>
          </w:p>
        </w:tc>
      </w:tr>
      <w:tr>
        <w:trPr>
          <w:cantSplit/>
        </w:trPr>
        <w:tc>
          <w:tcPr>
            <w:tcW w:w="5103" w:type="dxa"/>
          </w:tcPr>
          <w:p>
            <w:pPr>
              <w:pStyle w:val="yTable"/>
              <w:spacing w:after="40"/>
            </w:pPr>
            <w:r>
              <w:t> — total ankle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lower leg cast application, removal or repair</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arteries of the lower leg, including bypass graft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lower leg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venous thrombectomy</w:t>
            </w:r>
          </w:p>
        </w:tc>
        <w:tc>
          <w:tcPr>
            <w:tcW w:w="1276" w:type="dxa"/>
          </w:tcPr>
          <w:p>
            <w:pPr>
              <w:pStyle w:val="yTable"/>
              <w:keepNext/>
              <w:spacing w:after="40"/>
              <w:jc w:val="center"/>
            </w:pPr>
            <w:r>
              <w:t>5</w:t>
            </w:r>
          </w:p>
        </w:tc>
      </w:tr>
      <w:tr>
        <w:trPr>
          <w:cantSplit/>
        </w:trPr>
        <w:tc>
          <w:tcPr>
            <w:tcW w:w="5103" w:type="dxa"/>
          </w:tcPr>
          <w:p>
            <w:pPr>
              <w:pStyle w:val="yTable"/>
              <w:tabs>
                <w:tab w:val="left" w:pos="567"/>
              </w:tabs>
              <w:spacing w:after="40"/>
              <w:ind w:left="567" w:hanging="567"/>
            </w:pPr>
            <w:r>
              <w:t> — for microsurgical reimplantation of the lower leg, ankle or foot</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the toe</w:t>
            </w:r>
          </w:p>
        </w:tc>
        <w:tc>
          <w:tcPr>
            <w:tcW w:w="1276" w:type="dxa"/>
          </w:tcPr>
          <w:p>
            <w:pPr>
              <w:pStyle w:val="yTable"/>
              <w:keepNext/>
              <w:spacing w:after="40"/>
              <w:jc w:val="center"/>
            </w:pPr>
            <w:r>
              <w:t>8</w:t>
            </w:r>
          </w:p>
        </w:tc>
      </w:tr>
      <w:tr>
        <w:trPr>
          <w:cantSplit/>
        </w:trPr>
        <w:tc>
          <w:tcPr>
            <w:tcW w:w="5103"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shoulder or axilla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shoulder and axilla, including axillary dissection</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all closed procedures on humeral head and neck, sternoclavicular joint, acromioclavicular joint or the shoulder joint</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arthroscopic procedures of the shoulder joint</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open procedures on the humeral head and neck, sternoclavicular joint, acromioclavicular joint or the shoulder joint unless otherwise specified</w:t>
            </w:r>
          </w:p>
        </w:tc>
        <w:tc>
          <w:tcPr>
            <w:tcW w:w="1276" w:type="dxa"/>
          </w:tcPr>
          <w:p>
            <w:pPr>
              <w:pStyle w:val="yTable"/>
              <w:keepNext/>
              <w:spacing w:after="40"/>
              <w:jc w:val="center"/>
            </w:pPr>
            <w:r>
              <w:br/>
            </w:r>
            <w:r>
              <w:br/>
            </w:r>
            <w:r>
              <w:b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6</w:t>
            </w:r>
          </w:p>
        </w:tc>
      </w:tr>
      <w:tr>
        <w:trPr>
          <w:cantSplit/>
        </w:trPr>
        <w:tc>
          <w:tcPr>
            <w:tcW w:w="5103" w:type="dxa"/>
          </w:tcPr>
          <w:p>
            <w:pPr>
              <w:pStyle w:val="yTable"/>
              <w:spacing w:after="40"/>
            </w:pPr>
            <w:r>
              <w:t> — shoulder disarticulation</w:t>
            </w:r>
          </w:p>
        </w:tc>
        <w:tc>
          <w:tcPr>
            <w:tcW w:w="1276" w:type="dxa"/>
          </w:tcPr>
          <w:p>
            <w:pPr>
              <w:pStyle w:val="yTable"/>
              <w:keepNext/>
              <w:spacing w:after="40"/>
              <w:jc w:val="center"/>
            </w:pPr>
            <w:r>
              <w:t>9</w:t>
            </w:r>
          </w:p>
        </w:tc>
      </w:tr>
      <w:tr>
        <w:trPr>
          <w:cantSplit/>
        </w:trPr>
        <w:tc>
          <w:tcPr>
            <w:tcW w:w="5103" w:type="dxa"/>
          </w:tcPr>
          <w:p>
            <w:pPr>
              <w:pStyle w:val="yTable"/>
              <w:spacing w:after="40"/>
            </w:pPr>
            <w:r>
              <w:t> — interthoracoscapular (forequarter) amputation</w:t>
            </w:r>
          </w:p>
        </w:tc>
        <w:tc>
          <w:tcPr>
            <w:tcW w:w="1276" w:type="dxa"/>
          </w:tcPr>
          <w:p>
            <w:pPr>
              <w:pStyle w:val="yTable"/>
              <w:keepNext/>
              <w:spacing w:after="40"/>
              <w:jc w:val="center"/>
            </w:pPr>
            <w:r>
              <w:t>15</w:t>
            </w:r>
          </w:p>
        </w:tc>
      </w:tr>
      <w:tr>
        <w:trPr>
          <w:cantSplit/>
        </w:trPr>
        <w:tc>
          <w:tcPr>
            <w:tcW w:w="5103" w:type="dxa"/>
          </w:tcPr>
          <w:p>
            <w:pPr>
              <w:pStyle w:val="yTable"/>
              <w:spacing w:after="40"/>
            </w:pPr>
            <w:r>
              <w:t> — total shoulder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arteries of shoulder and axilla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axillary</w:t>
            </w:r>
            <w:r>
              <w:noBreakHyphen/>
              <w:t>brachial aneurysm</w:t>
            </w:r>
          </w:p>
        </w:tc>
        <w:tc>
          <w:tcPr>
            <w:tcW w:w="1276" w:type="dxa"/>
          </w:tcPr>
          <w:p>
            <w:pPr>
              <w:pStyle w:val="yTable"/>
              <w:keepNext/>
              <w:spacing w:after="40"/>
              <w:jc w:val="center"/>
            </w:pPr>
            <w:r>
              <w:t>10</w:t>
            </w:r>
          </w:p>
        </w:tc>
      </w:tr>
      <w:tr>
        <w:trPr>
          <w:cantSplit/>
        </w:trPr>
        <w:tc>
          <w:tcPr>
            <w:tcW w:w="5103" w:type="dxa"/>
          </w:tcPr>
          <w:p>
            <w:pPr>
              <w:pStyle w:val="yTable"/>
              <w:spacing w:after="40"/>
            </w:pPr>
            <w:r>
              <w:t> — bypass graft</w:t>
            </w:r>
          </w:p>
        </w:tc>
        <w:tc>
          <w:tcPr>
            <w:tcW w:w="1276" w:type="dxa"/>
          </w:tcPr>
          <w:p>
            <w:pPr>
              <w:pStyle w:val="yTable"/>
              <w:keepNext/>
              <w:spacing w:after="40"/>
              <w:jc w:val="center"/>
            </w:pPr>
            <w:r>
              <w:t>8</w:t>
            </w:r>
          </w:p>
        </w:tc>
      </w:tr>
      <w:tr>
        <w:trPr>
          <w:cantSplit/>
        </w:trPr>
        <w:tc>
          <w:tcPr>
            <w:tcW w:w="5103" w:type="dxa"/>
          </w:tcPr>
          <w:p>
            <w:pPr>
              <w:pStyle w:val="yTable"/>
              <w:spacing w:after="40"/>
            </w:pPr>
            <w:r>
              <w:t> — axillary</w:t>
            </w:r>
            <w:r>
              <w:noBreakHyphen/>
              <w:t>femoral bypass graft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veins of shoulder and axilla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shoulder cast application, removal or repair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shoulder spica</w:t>
            </w:r>
          </w:p>
        </w:tc>
        <w:tc>
          <w:tcPr>
            <w:tcW w:w="1276" w:type="dxa"/>
          </w:tcPr>
          <w:p>
            <w:pPr>
              <w:pStyle w:val="yTable"/>
              <w:keepNext/>
              <w:spacing w:after="40"/>
              <w:jc w:val="center"/>
            </w:pPr>
            <w:r>
              <w:t>4</w:t>
            </w:r>
          </w:p>
        </w:tc>
      </w:tr>
      <w:tr>
        <w:trPr>
          <w:cantSplit/>
        </w:trPr>
        <w:tc>
          <w:tcPr>
            <w:tcW w:w="5103" w:type="dxa"/>
          </w:tcPr>
          <w:p>
            <w:pPr>
              <w:pStyle w:val="yTable"/>
              <w:spacing w:before="240" w:after="40"/>
            </w:pPr>
            <w:r>
              <w:rPr>
                <w:b/>
              </w:rPr>
              <w:t>Upper arm and elbow</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arm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fascia and bursae of upper arm and elbow,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tenotomy, elbow to shoulder, open</w:t>
            </w:r>
          </w:p>
        </w:tc>
        <w:tc>
          <w:tcPr>
            <w:tcW w:w="1276" w:type="dxa"/>
          </w:tcPr>
          <w:p>
            <w:pPr>
              <w:pStyle w:val="yTable"/>
              <w:keepNext/>
              <w:spacing w:after="40"/>
              <w:jc w:val="center"/>
            </w:pPr>
            <w:r>
              <w:t>5</w:t>
            </w:r>
          </w:p>
        </w:tc>
      </w:tr>
      <w:tr>
        <w:trPr>
          <w:cantSplit/>
        </w:trPr>
        <w:tc>
          <w:tcPr>
            <w:tcW w:w="5103" w:type="dxa"/>
          </w:tcPr>
          <w:p>
            <w:pPr>
              <w:pStyle w:val="yTable"/>
              <w:spacing w:after="40"/>
            </w:pPr>
            <w:r>
              <w:t> — tenoplasty, elbow to shoulder</w:t>
            </w:r>
          </w:p>
        </w:tc>
        <w:tc>
          <w:tcPr>
            <w:tcW w:w="1276" w:type="dxa"/>
          </w:tcPr>
          <w:p>
            <w:pPr>
              <w:pStyle w:val="yTable"/>
              <w:keepNext/>
              <w:spacing w:after="40"/>
              <w:jc w:val="center"/>
            </w:pPr>
            <w:r>
              <w:t>5</w:t>
            </w:r>
          </w:p>
        </w:tc>
      </w:tr>
      <w:tr>
        <w:trPr>
          <w:cantSplit/>
        </w:trPr>
        <w:tc>
          <w:tcPr>
            <w:tcW w:w="5103" w:type="dxa"/>
          </w:tcPr>
          <w:p>
            <w:pPr>
              <w:pStyle w:val="yTable"/>
              <w:spacing w:after="40"/>
            </w:pPr>
            <w:r>
              <w:t> — tenodesis, rupture of long tendon of biceps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closed procedures on the humerus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arthroscopic procedures of elbow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humerus and elbow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procedures</w:t>
            </w:r>
          </w:p>
        </w:tc>
        <w:tc>
          <w:tcPr>
            <w:tcW w:w="1276" w:type="dxa"/>
          </w:tcPr>
          <w:p>
            <w:pPr>
              <w:pStyle w:val="yTable"/>
              <w:keepNext/>
              <w:spacing w:after="40"/>
              <w:jc w:val="center"/>
            </w:pPr>
            <w:r>
              <w:t>6</w:t>
            </w:r>
          </w:p>
        </w:tc>
      </w:tr>
      <w:tr>
        <w:trPr>
          <w:cantSplit/>
        </w:trPr>
        <w:tc>
          <w:tcPr>
            <w:tcW w:w="5103" w:type="dxa"/>
          </w:tcPr>
          <w:p>
            <w:pPr>
              <w:pStyle w:val="yTable"/>
              <w:spacing w:after="40"/>
            </w:pPr>
            <w:r>
              <w:t> — total elbow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the arteries of the upper arm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upper arm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for microsurgical reimplantation of the upper arm</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Forearm, wrist and hand</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forearm, wrist and hand</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pPr>
            <w:r>
              <w:t>Anaesthesia for all procedures on the nerves, muscles, tendons, fascia and bursae of the forearm, wrist and hand</w:t>
            </w:r>
          </w:p>
        </w:tc>
        <w:tc>
          <w:tcPr>
            <w:tcW w:w="1276" w:type="dxa"/>
          </w:tcPr>
          <w:p>
            <w:pPr>
              <w:pStyle w:val="yTable"/>
              <w:keepNext/>
              <w:spacing w:before="40" w:after="40"/>
              <w:jc w:val="center"/>
            </w:pPr>
            <w:r>
              <w:br/>
            </w:r>
            <w:r>
              <w:br/>
              <w:t>4</w:t>
            </w:r>
          </w:p>
        </w:tc>
      </w:tr>
      <w:tr>
        <w:trPr>
          <w:cantSplit/>
        </w:trPr>
        <w:tc>
          <w:tcPr>
            <w:tcW w:w="5103" w:type="dxa"/>
          </w:tcPr>
          <w:p>
            <w:pPr>
              <w:pStyle w:val="yTable"/>
              <w:spacing w:before="40" w:after="40"/>
            </w:pPr>
            <w:r>
              <w:t>Anaesthesia for all closed procedures on radius, ulna, wrist, or hand bones</w:t>
            </w:r>
          </w:p>
        </w:tc>
        <w:tc>
          <w:tcPr>
            <w:tcW w:w="1276" w:type="dxa"/>
          </w:tcPr>
          <w:p>
            <w:pPr>
              <w:pStyle w:val="yTable"/>
              <w:keepNext/>
              <w:spacing w:before="40" w:after="40"/>
              <w:jc w:val="center"/>
            </w:pPr>
            <w:r>
              <w:br/>
              <w:t>3</w:t>
            </w:r>
          </w:p>
        </w:tc>
      </w:tr>
      <w:tr>
        <w:trPr>
          <w:cantSplit/>
        </w:trPr>
        <w:tc>
          <w:tcPr>
            <w:tcW w:w="5103" w:type="dxa"/>
          </w:tcPr>
          <w:p>
            <w:pPr>
              <w:pStyle w:val="yTable"/>
              <w:spacing w:after="40"/>
            </w:pPr>
            <w:r>
              <w:t>Anaesthesia for all open procedures on radius, ulna, wrist, or hand bones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total wrist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arthroscopic procedures of the wrist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arteries of the forearm, wrist, and hand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forearm, wrist, and hand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forearm, wrist, or hand cast application, removal or repair</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567" w:hanging="567"/>
            </w:pPr>
            <w:r>
              <w:t> — for microsurgical reimplantation of forearm, wrist or hand</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a finger</w:t>
            </w:r>
          </w:p>
        </w:tc>
        <w:tc>
          <w:tcPr>
            <w:tcW w:w="1276" w:type="dxa"/>
          </w:tcPr>
          <w:p>
            <w:pPr>
              <w:pStyle w:val="yTable"/>
              <w:keepNext/>
              <w:spacing w:after="40"/>
              <w:jc w:val="center"/>
            </w:pPr>
            <w:r>
              <w:t>8</w:t>
            </w:r>
          </w:p>
        </w:tc>
      </w:tr>
      <w:tr>
        <w:trPr>
          <w:cantSplit/>
        </w:trPr>
        <w:tc>
          <w:tcPr>
            <w:tcW w:w="5103" w:type="dxa"/>
          </w:tcPr>
          <w:p>
            <w:pPr>
              <w:pStyle w:val="yTable"/>
              <w:spacing w:before="240" w:after="40"/>
              <w:rPr>
                <w:b/>
                <w:bCs/>
              </w:rPr>
            </w:pPr>
            <w:r>
              <w:rPr>
                <w:b/>
                <w:bCs/>
              </w:rPr>
              <w:t>Burns</w:t>
            </w:r>
          </w:p>
        </w:tc>
        <w:tc>
          <w:tcPr>
            <w:tcW w:w="1276" w:type="dxa"/>
          </w:tcPr>
          <w:p>
            <w:pPr>
              <w:pStyle w:val="yTable"/>
              <w:keepNext/>
              <w:spacing w:after="40"/>
              <w:jc w:val="center"/>
            </w:pPr>
          </w:p>
        </w:tc>
      </w:tr>
      <w:tr>
        <w:trPr>
          <w:cantSplit/>
        </w:trPr>
        <w:tc>
          <w:tcPr>
            <w:tcW w:w="5103" w:type="dxa"/>
          </w:tcPr>
          <w:p>
            <w:pPr>
              <w:pStyle w:val="yTable"/>
              <w:spacing w:after="40"/>
            </w:pPr>
            <w:r>
              <w:t>Anaesthesia for excision of debridement of burns with or without skin grafting</w:t>
            </w:r>
          </w:p>
        </w:tc>
        <w:tc>
          <w:tcPr>
            <w:tcW w:w="1276" w:type="dxa"/>
          </w:tcPr>
          <w:p>
            <w:pPr>
              <w:pStyle w:val="yTable"/>
              <w:keepNext/>
              <w:spacing w:after="40"/>
              <w:jc w:val="center"/>
            </w:pPr>
          </w:p>
        </w:tc>
      </w:tr>
      <w:tr>
        <w:trPr>
          <w:cantSplit/>
        </w:trPr>
        <w:tc>
          <w:tcPr>
            <w:tcW w:w="5103" w:type="dxa"/>
          </w:tcPr>
          <w:p>
            <w:pPr>
              <w:pStyle w:val="yTable"/>
              <w:tabs>
                <w:tab w:val="left" w:pos="567"/>
              </w:tabs>
              <w:spacing w:after="40"/>
              <w:ind w:left="397" w:hanging="397"/>
            </w:pPr>
            <w:r>
              <w:t> — where the burnt area involves not more than 3% of total body surface</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397" w:hanging="397"/>
            </w:pPr>
            <w:r>
              <w:t> — where the burnt area involves more than 3% but less than 10% of total body surface</w:t>
            </w:r>
          </w:p>
        </w:tc>
        <w:tc>
          <w:tcPr>
            <w:tcW w:w="1276" w:type="dxa"/>
          </w:tcPr>
          <w:p>
            <w:pPr>
              <w:pStyle w:val="yTable"/>
              <w:keepNext/>
              <w:spacing w:after="40"/>
              <w:jc w:val="center"/>
            </w:pPr>
            <w:r>
              <w:br/>
              <w:t>5</w:t>
            </w:r>
          </w:p>
        </w:tc>
      </w:tr>
      <w:tr>
        <w:trPr>
          <w:cantSplit/>
        </w:trPr>
        <w:tc>
          <w:tcPr>
            <w:tcW w:w="5103" w:type="dxa"/>
          </w:tcPr>
          <w:p>
            <w:pPr>
              <w:pStyle w:val="yTable"/>
              <w:tabs>
                <w:tab w:val="left" w:pos="567"/>
              </w:tabs>
              <w:spacing w:after="40"/>
              <w:ind w:left="397" w:hanging="397"/>
            </w:pPr>
            <w:r>
              <w:t> — where the burnt area involves 10% or more but less than 20% of total body surface</w:t>
            </w:r>
          </w:p>
        </w:tc>
        <w:tc>
          <w:tcPr>
            <w:tcW w:w="1276" w:type="dxa"/>
          </w:tcPr>
          <w:p>
            <w:pPr>
              <w:pStyle w:val="yTable"/>
              <w:keepNext/>
              <w:spacing w:after="40"/>
              <w:jc w:val="center"/>
            </w:pPr>
            <w:r>
              <w:br/>
              <w:t>7</w:t>
            </w:r>
          </w:p>
        </w:tc>
      </w:tr>
      <w:tr>
        <w:trPr>
          <w:cantSplit/>
        </w:trPr>
        <w:tc>
          <w:tcPr>
            <w:tcW w:w="5103" w:type="dxa"/>
          </w:tcPr>
          <w:p>
            <w:pPr>
              <w:pStyle w:val="yTable"/>
              <w:tabs>
                <w:tab w:val="left" w:pos="567"/>
              </w:tabs>
              <w:spacing w:after="40"/>
              <w:ind w:left="397" w:hanging="397"/>
            </w:pPr>
            <w:r>
              <w:t> — where the burnt area involves 20% or more but less than 30% of total body surface</w:t>
            </w:r>
          </w:p>
        </w:tc>
        <w:tc>
          <w:tcPr>
            <w:tcW w:w="1276" w:type="dxa"/>
          </w:tcPr>
          <w:p>
            <w:pPr>
              <w:pStyle w:val="yTable"/>
              <w:keepNext/>
              <w:spacing w:after="40"/>
              <w:jc w:val="center"/>
            </w:pPr>
            <w:r>
              <w:br/>
              <w:t>9</w:t>
            </w:r>
          </w:p>
        </w:tc>
      </w:tr>
      <w:tr>
        <w:trPr>
          <w:cantSplit/>
        </w:trPr>
        <w:tc>
          <w:tcPr>
            <w:tcW w:w="5103" w:type="dxa"/>
          </w:tcPr>
          <w:p>
            <w:pPr>
              <w:pStyle w:val="yTable"/>
              <w:tabs>
                <w:tab w:val="left" w:pos="567"/>
              </w:tabs>
              <w:spacing w:after="40"/>
              <w:ind w:left="397" w:hanging="397"/>
            </w:pPr>
            <w:r>
              <w:t> — where the burnt area involves 30% or more but less than 40% of total body surface</w:t>
            </w:r>
          </w:p>
        </w:tc>
        <w:tc>
          <w:tcPr>
            <w:tcW w:w="1276" w:type="dxa"/>
          </w:tcPr>
          <w:p>
            <w:pPr>
              <w:pStyle w:val="yTable"/>
              <w:keepNext/>
              <w:spacing w:after="40"/>
              <w:jc w:val="center"/>
            </w:pPr>
            <w:r>
              <w:br/>
              <w:t>11</w:t>
            </w:r>
          </w:p>
        </w:tc>
      </w:tr>
      <w:tr>
        <w:trPr>
          <w:cantSplit/>
        </w:trPr>
        <w:tc>
          <w:tcPr>
            <w:tcW w:w="5103" w:type="dxa"/>
          </w:tcPr>
          <w:p>
            <w:pPr>
              <w:pStyle w:val="yTable"/>
              <w:tabs>
                <w:tab w:val="left" w:pos="567"/>
              </w:tabs>
              <w:spacing w:after="40"/>
              <w:ind w:left="397" w:hanging="397"/>
            </w:pPr>
            <w:r>
              <w:t> — where the burnt area involves 40% or more but less than 50% of total body surface</w:t>
            </w:r>
          </w:p>
        </w:tc>
        <w:tc>
          <w:tcPr>
            <w:tcW w:w="1276" w:type="dxa"/>
          </w:tcPr>
          <w:p>
            <w:pPr>
              <w:pStyle w:val="yTable"/>
              <w:keepNext/>
              <w:spacing w:after="40"/>
              <w:jc w:val="center"/>
            </w:pPr>
            <w:r>
              <w:br/>
              <w:t>13</w:t>
            </w:r>
          </w:p>
        </w:tc>
      </w:tr>
      <w:tr>
        <w:trPr>
          <w:cantSplit/>
        </w:trPr>
        <w:tc>
          <w:tcPr>
            <w:tcW w:w="5103" w:type="dxa"/>
          </w:tcPr>
          <w:p>
            <w:pPr>
              <w:pStyle w:val="yTable"/>
              <w:tabs>
                <w:tab w:val="left" w:pos="567"/>
              </w:tabs>
              <w:spacing w:after="40"/>
              <w:ind w:left="397" w:hanging="397"/>
            </w:pPr>
            <w:r>
              <w:t> — where the burnt area involves 50% or more but less than 60% of total body surface</w:t>
            </w:r>
          </w:p>
        </w:tc>
        <w:tc>
          <w:tcPr>
            <w:tcW w:w="1276" w:type="dxa"/>
          </w:tcPr>
          <w:p>
            <w:pPr>
              <w:pStyle w:val="yTable"/>
              <w:keepNext/>
              <w:spacing w:after="40"/>
              <w:jc w:val="center"/>
            </w:pPr>
            <w:r>
              <w:br/>
              <w:t>15</w:t>
            </w:r>
          </w:p>
        </w:tc>
      </w:tr>
      <w:tr>
        <w:trPr>
          <w:cantSplit/>
        </w:trPr>
        <w:tc>
          <w:tcPr>
            <w:tcW w:w="5103" w:type="dxa"/>
          </w:tcPr>
          <w:p>
            <w:pPr>
              <w:pStyle w:val="yTable"/>
              <w:tabs>
                <w:tab w:val="left" w:pos="567"/>
              </w:tabs>
              <w:spacing w:after="40"/>
              <w:ind w:left="397" w:hanging="397"/>
            </w:pPr>
            <w:r>
              <w:t> — where the burnt area involves 60% or more but less than 70% of total body surface</w:t>
            </w:r>
          </w:p>
        </w:tc>
        <w:tc>
          <w:tcPr>
            <w:tcW w:w="1276" w:type="dxa"/>
          </w:tcPr>
          <w:p>
            <w:pPr>
              <w:pStyle w:val="yTable"/>
              <w:keepNext/>
              <w:spacing w:after="40"/>
              <w:jc w:val="center"/>
            </w:pPr>
            <w:r>
              <w:br/>
              <w:t>17</w:t>
            </w:r>
          </w:p>
        </w:tc>
      </w:tr>
      <w:tr>
        <w:trPr>
          <w:cantSplit/>
        </w:trPr>
        <w:tc>
          <w:tcPr>
            <w:tcW w:w="5103" w:type="dxa"/>
          </w:tcPr>
          <w:p>
            <w:pPr>
              <w:pStyle w:val="yTable"/>
              <w:tabs>
                <w:tab w:val="left" w:pos="567"/>
              </w:tabs>
              <w:spacing w:after="40"/>
              <w:ind w:left="397" w:hanging="397"/>
            </w:pPr>
            <w:r>
              <w:t> — where the burnt area involves 70% or more but less than 80% of total body surface</w:t>
            </w:r>
          </w:p>
        </w:tc>
        <w:tc>
          <w:tcPr>
            <w:tcW w:w="1276" w:type="dxa"/>
          </w:tcPr>
          <w:p>
            <w:pPr>
              <w:pStyle w:val="yTable"/>
              <w:keepNext/>
              <w:spacing w:after="40"/>
              <w:jc w:val="center"/>
            </w:pPr>
            <w:r>
              <w:br/>
              <w:t>19</w:t>
            </w:r>
          </w:p>
        </w:tc>
      </w:tr>
      <w:tr>
        <w:trPr>
          <w:cantSplit/>
        </w:trPr>
        <w:tc>
          <w:tcPr>
            <w:tcW w:w="5103" w:type="dxa"/>
          </w:tcPr>
          <w:p>
            <w:pPr>
              <w:pStyle w:val="yTable"/>
              <w:tabs>
                <w:tab w:val="left" w:pos="567"/>
              </w:tabs>
              <w:spacing w:after="40"/>
              <w:ind w:left="397" w:hanging="397"/>
            </w:pPr>
            <w:r>
              <w:t> — where the burnt area involves 80% or more of total body surface</w:t>
            </w:r>
          </w:p>
        </w:tc>
        <w:tc>
          <w:tcPr>
            <w:tcW w:w="1276" w:type="dxa"/>
          </w:tcPr>
          <w:p>
            <w:pPr>
              <w:pStyle w:val="yTable"/>
              <w:keepNext/>
              <w:spacing w:after="40"/>
              <w:jc w:val="center"/>
            </w:pPr>
            <w:r>
              <w:br/>
              <w:t>21</w:t>
            </w:r>
          </w:p>
        </w:tc>
      </w:tr>
      <w:tr>
        <w:trPr>
          <w:cantSplit/>
        </w:trPr>
        <w:tc>
          <w:tcPr>
            <w:tcW w:w="5103" w:type="dxa"/>
          </w:tcPr>
          <w:p>
            <w:pPr>
              <w:pStyle w:val="yTable"/>
              <w:keepNext/>
              <w:keepLines/>
              <w:spacing w:before="240" w:after="40"/>
            </w:pPr>
            <w:r>
              <w:rPr>
                <w:b/>
              </w:rPr>
              <w:t>Other procedures</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injection procedure for myelography: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 — posterior fossa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injection procedure for discography: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peripheral arteriogram</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arteriograms:</w:t>
            </w:r>
          </w:p>
        </w:tc>
        <w:tc>
          <w:tcPr>
            <w:tcW w:w="1276" w:type="dxa"/>
          </w:tcPr>
          <w:p>
            <w:pPr>
              <w:pStyle w:val="yTable"/>
              <w:keepNext/>
              <w:spacing w:after="40"/>
              <w:jc w:val="center"/>
            </w:pPr>
          </w:p>
        </w:tc>
      </w:tr>
      <w:tr>
        <w:trPr>
          <w:cantSplit/>
        </w:trPr>
        <w:tc>
          <w:tcPr>
            <w:tcW w:w="5103" w:type="dxa"/>
          </w:tcPr>
          <w:p>
            <w:pPr>
              <w:pStyle w:val="yTable"/>
              <w:spacing w:after="40"/>
            </w:pPr>
            <w:r>
              <w:t> — carotid, cerebral or vertebral</w:t>
            </w:r>
          </w:p>
        </w:tc>
        <w:tc>
          <w:tcPr>
            <w:tcW w:w="1276" w:type="dxa"/>
          </w:tcPr>
          <w:p>
            <w:pPr>
              <w:pStyle w:val="yTable"/>
              <w:keepNext/>
              <w:spacing w:after="40"/>
              <w:jc w:val="center"/>
            </w:pPr>
            <w:r>
              <w:t>5</w:t>
            </w:r>
          </w:p>
        </w:tc>
      </w:tr>
      <w:tr>
        <w:trPr>
          <w:cantSplit/>
        </w:trPr>
        <w:tc>
          <w:tcPr>
            <w:tcW w:w="5103" w:type="dxa"/>
          </w:tcPr>
          <w:p>
            <w:pPr>
              <w:pStyle w:val="yTable"/>
              <w:spacing w:after="40"/>
            </w:pPr>
            <w:r>
              <w:t> — retrograde, brachial or femoral</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computerised axial tomography scanning, magnetic resonance scanning, ultrasound scanning or digital subtraction angiography scanning</w:t>
            </w:r>
          </w:p>
        </w:tc>
        <w:tc>
          <w:tcPr>
            <w:tcW w:w="1276" w:type="dxa"/>
          </w:tcPr>
          <w:p>
            <w:pPr>
              <w:pStyle w:val="yTable"/>
              <w:keepNext/>
              <w:spacing w:after="40"/>
              <w:jc w:val="center"/>
            </w:pPr>
            <w:r>
              <w:br/>
            </w:r>
            <w:r>
              <w:br/>
              <w:t>7</w:t>
            </w:r>
          </w:p>
        </w:tc>
      </w:tr>
      <w:tr>
        <w:trPr>
          <w:cantSplit/>
        </w:trPr>
        <w:tc>
          <w:tcPr>
            <w:tcW w:w="5103" w:type="dxa"/>
          </w:tcPr>
          <w:p>
            <w:pPr>
              <w:pStyle w:val="yTable"/>
              <w:spacing w:after="40"/>
            </w:pPr>
            <w:r>
              <w:t>Anaesthesia for radiology unless otherwise specified</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retrograde cystography, retrograde urethrography or retrograde cystourethrography</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flouroscopy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small bowel enema, barium or other opaque study of the small bowel</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bronchography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phlebography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heart, 2 dimensional real time transoesophageal examination</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peripheral venous cannulation</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cardiac catheterisation including coronary arteriography, ventriculography, cardiac mapping, insertion of automatic defibrillator or transvenous pacemaker</w:t>
            </w:r>
          </w:p>
        </w:tc>
        <w:tc>
          <w:tcPr>
            <w:tcW w:w="1276" w:type="dxa"/>
          </w:tcPr>
          <w:p>
            <w:pPr>
              <w:pStyle w:val="yTable"/>
              <w:keepNext/>
              <w:spacing w:after="40"/>
              <w:jc w:val="center"/>
            </w:pPr>
            <w:r>
              <w:br/>
            </w:r>
            <w:r>
              <w:br/>
            </w:r>
            <w:r>
              <w:br/>
              <w:t>7</w:t>
            </w:r>
          </w:p>
        </w:tc>
      </w:tr>
      <w:tr>
        <w:trPr>
          <w:cantSplit/>
        </w:trPr>
        <w:tc>
          <w:tcPr>
            <w:tcW w:w="5103" w:type="dxa"/>
          </w:tcPr>
          <w:p>
            <w:pPr>
              <w:pStyle w:val="yTable"/>
              <w:spacing w:after="40"/>
            </w:pPr>
            <w:r>
              <w:t>Anaesthesia for cardiac electrophysiological procedures including radio frequency ablation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central vein catheterisation or insertion of right heart balloon catheter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lumbar puncture, cisternal puncture, or epidural injection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harvesting of bone marrow for the purpose of transplantation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muscle biopsy for malignant hyperpyrexia</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electroencephalography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brain stem evoked audiometry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electrocochleography by extratympanic method or transtympanic membrane insertion method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 therapeutic procedure where it can be demonstrated that there is a clinical need for anaesthesia</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during hyperbaric therapy where the medical practitioner is not confined in the chamber (including the administration of oxygen)</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Anaesthesia during hyperbaric therapy where the medical practitioner is confined in the chamber (including the administration of oxygen)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Anaesthesia for brachytherapy using radioactive sealed sources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therapeutic nuclear medicine</w:t>
            </w:r>
          </w:p>
        </w:tc>
        <w:tc>
          <w:tcPr>
            <w:tcW w:w="1276" w:type="dxa"/>
          </w:tcPr>
          <w:p>
            <w:pPr>
              <w:pStyle w:val="yTable"/>
              <w:keepNext/>
              <w:spacing w:after="40"/>
              <w:jc w:val="center"/>
            </w:pPr>
            <w:r>
              <w:t>5</w:t>
            </w:r>
          </w:p>
        </w:tc>
      </w:tr>
      <w:tr>
        <w:trPr>
          <w:cantSplit/>
        </w:trPr>
        <w:tc>
          <w:tcPr>
            <w:tcW w:w="5103" w:type="dxa"/>
          </w:tcPr>
          <w:p>
            <w:pPr>
              <w:pStyle w:val="yTable"/>
              <w:keepNext/>
              <w:keepLines/>
              <w:spacing w:after="40"/>
            </w:pPr>
            <w:r>
              <w:t>Anaesthesia for radiotherapy</w:t>
            </w:r>
          </w:p>
        </w:tc>
        <w:tc>
          <w:tcPr>
            <w:tcW w:w="1276" w:type="dxa"/>
          </w:tcPr>
          <w:p>
            <w:pPr>
              <w:pStyle w:val="yTable"/>
              <w:keepNext/>
              <w:spacing w:after="40"/>
              <w:jc w:val="center"/>
            </w:pPr>
            <w:r>
              <w:t>7</w:t>
            </w:r>
          </w:p>
        </w:tc>
      </w:tr>
      <w:tr>
        <w:trPr>
          <w:cantSplit/>
        </w:trPr>
        <w:tc>
          <w:tcPr>
            <w:tcW w:w="5103" w:type="dxa"/>
            <w:tcBorders>
              <w:bottom w:val="single" w:sz="4" w:space="0" w:color="auto"/>
            </w:tcBorders>
          </w:tcPr>
          <w:p>
            <w:pPr>
              <w:pStyle w:val="yTable"/>
              <w:keepNext/>
              <w:keepLines/>
              <w:spacing w:after="40"/>
            </w:pPr>
            <w:r>
              <w:t>Anaesthesia where no procedure ensues</w:t>
            </w:r>
          </w:p>
        </w:tc>
        <w:tc>
          <w:tcPr>
            <w:tcW w:w="1276" w:type="dxa"/>
            <w:tcBorders>
              <w:bottom w:val="single" w:sz="4" w:space="0" w:color="auto"/>
            </w:tcBorders>
          </w:tcPr>
          <w:p>
            <w:pPr>
              <w:pStyle w:val="yTable"/>
              <w:keepNext/>
              <w:spacing w:after="40"/>
              <w:jc w:val="center"/>
            </w:pPr>
            <w:r>
              <w:t>3</w:t>
            </w:r>
          </w:p>
        </w:tc>
      </w:tr>
    </w:tbl>
    <w:p>
      <w:pPr>
        <w:pStyle w:val="yTable"/>
        <w:spacing w:before="120"/>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ind w:left="567"/>
        <w:jc w:val="center"/>
        <w:rPr>
          <w:b/>
        </w:rPr>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blHeader/>
        </w:trPr>
        <w:tc>
          <w:tcPr>
            <w:tcW w:w="3402" w:type="dxa"/>
            <w:tcBorders>
              <w:top w:val="single" w:sz="4" w:space="0" w:color="auto"/>
              <w:bottom w:val="single" w:sz="4" w:space="0" w:color="auto"/>
            </w:tcBorders>
          </w:tcPr>
          <w:p>
            <w:pPr>
              <w:pStyle w:val="yTable"/>
              <w:spacing w:after="40"/>
            </w:pPr>
            <w:r>
              <w:rPr>
                <w:b/>
              </w:rPr>
              <w:t>Description of service, etc.</w:t>
            </w:r>
          </w:p>
        </w:tc>
        <w:tc>
          <w:tcPr>
            <w:tcW w:w="1039" w:type="dxa"/>
            <w:tcBorders>
              <w:top w:val="single" w:sz="4" w:space="0" w:color="auto"/>
              <w:bottom w:val="single" w:sz="4" w:space="0" w:color="auto"/>
            </w:tcBorders>
          </w:tcPr>
          <w:p>
            <w:pPr>
              <w:pStyle w:val="yTable"/>
              <w:spacing w:after="40"/>
              <w:jc w:val="center"/>
            </w:pPr>
            <w:r>
              <w:rPr>
                <w:b/>
              </w:rPr>
              <w:t>Mus</w:t>
            </w:r>
          </w:p>
        </w:tc>
        <w:tc>
          <w:tcPr>
            <w:tcW w:w="1040" w:type="dxa"/>
            <w:tcBorders>
              <w:top w:val="single" w:sz="4" w:space="0" w:color="auto"/>
              <w:bottom w:val="single" w:sz="4" w:space="0" w:color="auto"/>
            </w:tcBorders>
          </w:tcPr>
          <w:p>
            <w:pPr>
              <w:pStyle w:val="yTable"/>
              <w:spacing w:after="40"/>
              <w:jc w:val="center"/>
            </w:pPr>
            <w:r>
              <w:rPr>
                <w:b/>
              </w:rPr>
              <w:t>TUs</w:t>
            </w:r>
          </w:p>
        </w:tc>
        <w:tc>
          <w:tcPr>
            <w:tcW w:w="898" w:type="dxa"/>
            <w:tcBorders>
              <w:top w:val="single" w:sz="4" w:space="0" w:color="auto"/>
              <w:bottom w:val="single" w:sz="4" w:space="0" w:color="auto"/>
            </w:tcBorders>
          </w:tcPr>
          <w:p>
            <w:pPr>
              <w:pStyle w:val="yTable"/>
              <w:spacing w:after="40"/>
              <w:jc w:val="center"/>
            </w:pPr>
            <w:r>
              <w:rPr>
                <w:b/>
              </w:rPr>
              <w:t>BUs</w:t>
            </w:r>
          </w:p>
        </w:tc>
      </w:tr>
      <w:tr>
        <w:trPr>
          <w:cantSplit/>
        </w:trPr>
        <w:tc>
          <w:tcPr>
            <w:tcW w:w="3402" w:type="dxa"/>
          </w:tcPr>
          <w:p>
            <w:pPr>
              <w:pStyle w:val="yTable"/>
              <w:spacing w:after="40"/>
            </w:pPr>
            <w:r>
              <w:t>Collection of blood for autologous transfusion or when homologous blood is required for immediate transfusion in an emergency situation</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Administration of blood or bone marrow already collected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Venous cannulation and blood transfusion (or blood products) not associated with anaesthesia</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39" w:type="dxa"/>
          </w:tcPr>
          <w:p>
            <w:pPr>
              <w:pStyle w:val="yTable"/>
              <w:spacing w:after="40"/>
              <w:jc w:val="center"/>
            </w:pPr>
            <w:r>
              <w:br/>
            </w:r>
            <w:r>
              <w:br/>
            </w:r>
            <w:r>
              <w:br/>
            </w:r>
            <w:r>
              <w:br/>
            </w:r>
            <w:r>
              <w:br/>
            </w:r>
            <w:r>
              <w:br/>
              <w:t>yes</w:t>
            </w:r>
          </w:p>
        </w:tc>
        <w:tc>
          <w:tcPr>
            <w:tcW w:w="1040" w:type="dxa"/>
          </w:tcPr>
          <w:p>
            <w:pPr>
              <w:pStyle w:val="yTable"/>
              <w:spacing w:after="40"/>
              <w:jc w:val="center"/>
            </w:pPr>
            <w:r>
              <w:br/>
            </w:r>
            <w:r>
              <w:br/>
            </w:r>
            <w:r>
              <w:br/>
            </w:r>
            <w:r>
              <w:br/>
            </w:r>
            <w:r>
              <w:br/>
            </w:r>
            <w:r>
              <w:br/>
              <w:t>yes</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Intubation, endotracheal, not associated with anaesthesia, when subsequent management is not in an intensive care unit</w:t>
            </w:r>
          </w:p>
        </w:tc>
        <w:tc>
          <w:tcPr>
            <w:tcW w:w="1039" w:type="dxa"/>
          </w:tcPr>
          <w:p>
            <w:pPr>
              <w:pStyle w:val="yTable"/>
              <w:spacing w:after="40"/>
              <w:jc w:val="center"/>
            </w:pPr>
            <w:r>
              <w:br/>
            </w:r>
            <w:r>
              <w:br/>
            </w:r>
            <w:r>
              <w:br/>
              <w:t>yes</w:t>
            </w:r>
          </w:p>
        </w:tc>
        <w:tc>
          <w:tcPr>
            <w:tcW w:w="1040" w:type="dxa"/>
          </w:tcPr>
          <w:p>
            <w:pPr>
              <w:pStyle w:val="yTable"/>
              <w:spacing w:after="40"/>
              <w:jc w:val="center"/>
            </w:pPr>
            <w:r>
              <w:br/>
            </w:r>
            <w:r>
              <w:br/>
            </w:r>
            <w:r>
              <w:br/>
              <w:t>yes</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Awake endotracheal intubation with flexible fibreoptic scope, associated with difficult airway, when performed in association with the administration of anaesthesia</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Double lumen endobronchial tube or bronchial blocker, insertion of,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Monitoring of depth of anaesthesia, incorporating continuous measurement of the EEG during anaesthesia for the diagnosis of awareness</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Venous cannulation and commencement of intravenous infusion, under age of 3 years,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3</w:t>
            </w:r>
          </w:p>
        </w:tc>
      </w:tr>
      <w:tr>
        <w:trPr>
          <w:cantSplit/>
        </w:trPr>
        <w:tc>
          <w:tcPr>
            <w:tcW w:w="3402" w:type="dxa"/>
          </w:tcPr>
          <w:p>
            <w:pPr>
              <w:pStyle w:val="yTable"/>
              <w:spacing w:after="40"/>
            </w:pPr>
            <w:r>
              <w:t>Venous cannulation,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Venous cannulation and commencement of intravenous infusion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Right heart balloon catheter, insertion of, including pulmonary wedge pressure and cardiac output measurement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7</w:t>
            </w:r>
          </w:p>
        </w:tc>
      </w:tr>
      <w:tr>
        <w:trPr>
          <w:cantSplit/>
        </w:trPr>
        <w:tc>
          <w:tcPr>
            <w:tcW w:w="3402" w:type="dxa"/>
          </w:tcPr>
          <w:p>
            <w:pPr>
              <w:pStyle w:val="yTable"/>
              <w:spacing w:after="40"/>
            </w:pPr>
            <w:r>
              <w:t>Pulmonary artery pressure monitoring</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Left atrial pressure monitoring via left atrial catheter</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Invasive pressure monitoring, not otherwise listed</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39" w:type="dxa"/>
          </w:tcPr>
          <w:p>
            <w:pPr>
              <w:pStyle w:val="yTable"/>
              <w:spacing w:after="40"/>
              <w:jc w:val="center"/>
            </w:pPr>
            <w:r>
              <w:br/>
            </w:r>
            <w:r>
              <w:br/>
            </w:r>
            <w:r>
              <w:br/>
            </w:r>
            <w:r>
              <w:br/>
            </w:r>
            <w:r>
              <w:br/>
            </w:r>
            <w:r>
              <w:br/>
            </w:r>
            <w:r>
              <w:br/>
            </w:r>
            <w:r>
              <w:br/>
            </w:r>
            <w:r>
              <w:br/>
            </w:r>
            <w:r>
              <w:br/>
            </w:r>
            <w:r>
              <w:br/>
            </w:r>
            <w:r>
              <w:br/>
            </w:r>
            <w:r>
              <w:br/>
              <w:t>no</w:t>
            </w:r>
          </w:p>
        </w:tc>
        <w:tc>
          <w:tcPr>
            <w:tcW w:w="1040" w:type="dxa"/>
          </w:tcPr>
          <w:p>
            <w:pPr>
              <w:pStyle w:val="yTable"/>
              <w:spacing w:after="40"/>
              <w:jc w:val="center"/>
            </w:pPr>
            <w:r>
              <w:br/>
            </w:r>
            <w:r>
              <w:br/>
            </w:r>
            <w:r>
              <w:br/>
            </w:r>
            <w:r>
              <w:br/>
            </w:r>
            <w:r>
              <w:br/>
            </w:r>
            <w:r>
              <w:br/>
            </w:r>
            <w:r>
              <w:br/>
            </w:r>
            <w:r>
              <w:br/>
            </w:r>
            <w:r>
              <w:br/>
            </w:r>
            <w:r>
              <w:br/>
            </w:r>
            <w:r>
              <w:br/>
            </w:r>
            <w:r>
              <w:br/>
            </w:r>
            <w:r>
              <w:br/>
              <w:t>no</w:t>
            </w:r>
          </w:p>
        </w:tc>
        <w:tc>
          <w:tcPr>
            <w:tcW w:w="898" w:type="dxa"/>
          </w:tcPr>
          <w:p>
            <w:pPr>
              <w:pStyle w:val="yTable"/>
              <w:spacing w:after="40"/>
              <w:jc w:val="center"/>
            </w:pPr>
            <w:r>
              <w:br/>
            </w:r>
            <w:r>
              <w:br/>
            </w:r>
            <w:r>
              <w:br/>
            </w:r>
            <w:r>
              <w:br/>
            </w:r>
            <w:r>
              <w:br/>
            </w:r>
            <w:r>
              <w:br/>
            </w:r>
            <w:r>
              <w:br/>
            </w:r>
            <w:r>
              <w:br/>
            </w:r>
            <w:r>
              <w:br/>
            </w:r>
            <w:r>
              <w:br/>
            </w:r>
            <w:r>
              <w:br/>
            </w:r>
            <w:r>
              <w:br/>
            </w:r>
            <w:r>
              <w:br/>
              <w:t>7</w:t>
            </w:r>
          </w:p>
        </w:tc>
      </w:tr>
      <w:tr>
        <w:trPr>
          <w:cantSplit/>
        </w:trPr>
        <w:tc>
          <w:tcPr>
            <w:tcW w:w="3402" w:type="dxa"/>
          </w:tcPr>
          <w:p>
            <w:pPr>
              <w:pStyle w:val="yTable"/>
              <w:spacing w:after="40"/>
            </w:pPr>
            <w:r>
              <w:t>Central vein catheterization, percutaneous via jugular, subclavian or femoral vein</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3</w:t>
            </w:r>
          </w:p>
        </w:tc>
      </w:tr>
      <w:tr>
        <w:trPr>
          <w:cantSplit/>
        </w:trPr>
        <w:tc>
          <w:tcPr>
            <w:tcW w:w="3402" w:type="dxa"/>
          </w:tcPr>
          <w:p>
            <w:pPr>
              <w:pStyle w:val="yTable"/>
              <w:spacing w:after="40"/>
            </w:pPr>
            <w:r>
              <w:t>Central vein catheterization by cutdown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Central venous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cannulation, percutaneous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puncture, withdrawal of blood for diagnosis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w:t>
            </w:r>
          </w:p>
        </w:tc>
      </w:tr>
      <w:tr>
        <w:trPr>
          <w:cantSplit/>
        </w:trPr>
        <w:tc>
          <w:tcPr>
            <w:tcW w:w="3402" w:type="dxa"/>
          </w:tcPr>
          <w:p>
            <w:pPr>
              <w:pStyle w:val="yTable"/>
              <w:spacing w:after="40"/>
            </w:pPr>
            <w:r>
              <w:t>Arterial cannulation, by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Intra arterial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Catheterization, umbilical artery, newborn, for diagnosis, or therapy</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Intra</w:t>
            </w:r>
            <w:r>
              <w:noBreakHyphen/>
              <w:t>arterial infusion or retrograde intravenous perfusion of a sympatholytic agent</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4</w:t>
            </w:r>
          </w:p>
        </w:tc>
      </w:tr>
      <w:tr>
        <w:trPr>
          <w:cantSplit/>
        </w:trPr>
        <w:tc>
          <w:tcPr>
            <w:tcW w:w="3402" w:type="dxa"/>
          </w:tcPr>
          <w:p>
            <w:pPr>
              <w:pStyle w:val="yTable"/>
              <w:spacing w:after="40"/>
            </w:pPr>
            <w:r>
              <w:t>Intravenous regional anaesthesia of limb by retrograde perfusion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4</w:t>
            </w:r>
          </w:p>
        </w:tc>
      </w:tr>
      <w:tr>
        <w:trPr>
          <w:cantSplit/>
        </w:trPr>
        <w:tc>
          <w:tcPr>
            <w:tcW w:w="3402" w:type="dxa"/>
          </w:tcPr>
          <w:p>
            <w:pPr>
              <w:pStyle w:val="yTable"/>
              <w:spacing w:after="40"/>
            </w:pPr>
            <w:r>
              <w:t>Perfusion of limb or organ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12</w:t>
            </w:r>
          </w:p>
        </w:tc>
      </w:tr>
      <w:tr>
        <w:trPr>
          <w:cantSplit/>
        </w:trPr>
        <w:tc>
          <w:tcPr>
            <w:tcW w:w="3402" w:type="dxa"/>
          </w:tcPr>
          <w:p>
            <w:pPr>
              <w:pStyle w:val="yTable"/>
              <w:spacing w:after="40"/>
            </w:pPr>
            <w:r>
              <w:t>Medical management of cardio</w:t>
            </w:r>
            <w:r>
              <w:noBreakHyphen/>
              <w:t>pulmonary bypass perfusion using heart/lung machine</w:t>
            </w:r>
          </w:p>
        </w:tc>
        <w:tc>
          <w:tcPr>
            <w:tcW w:w="1039" w:type="dxa"/>
          </w:tcPr>
          <w:p>
            <w:pPr>
              <w:pStyle w:val="yTable"/>
              <w:spacing w:after="40"/>
              <w:jc w:val="center"/>
            </w:pPr>
            <w:r>
              <w:br/>
            </w:r>
            <w:r>
              <w:br/>
              <w:t>yes</w:t>
            </w:r>
          </w:p>
        </w:tc>
        <w:tc>
          <w:tcPr>
            <w:tcW w:w="1040" w:type="dxa"/>
          </w:tcPr>
          <w:p>
            <w:pPr>
              <w:pStyle w:val="yTable"/>
              <w:spacing w:after="40"/>
              <w:jc w:val="center"/>
            </w:pPr>
            <w:r>
              <w:br/>
            </w:r>
            <w:r>
              <w:br/>
              <w:t>yes</w:t>
            </w:r>
          </w:p>
        </w:tc>
        <w:tc>
          <w:tcPr>
            <w:tcW w:w="898" w:type="dxa"/>
          </w:tcPr>
          <w:p>
            <w:pPr>
              <w:pStyle w:val="yTable"/>
              <w:spacing w:after="40"/>
              <w:jc w:val="center"/>
            </w:pPr>
            <w:r>
              <w:br/>
            </w:r>
            <w:r>
              <w:br/>
              <w:t>20</w:t>
            </w:r>
          </w:p>
        </w:tc>
      </w:tr>
      <w:tr>
        <w:trPr>
          <w:cantSplit/>
        </w:trPr>
        <w:tc>
          <w:tcPr>
            <w:tcW w:w="3402" w:type="dxa"/>
          </w:tcPr>
          <w:p>
            <w:pPr>
              <w:pStyle w:val="yTable"/>
              <w:spacing w:after="40"/>
            </w:pPr>
            <w:r>
              <w:t>Hypothermia, total body</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Cardioplegia, blood or crystalloid, administration by any route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Deep hypothermia to a core temperature of less than 22 degrees in association with circulatory arrest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15</w:t>
            </w:r>
          </w:p>
        </w:tc>
      </w:tr>
      <w:tr>
        <w:trPr>
          <w:cantSplit/>
        </w:trPr>
        <w:tc>
          <w:tcPr>
            <w:tcW w:w="3402" w:type="dxa"/>
          </w:tcPr>
          <w:p>
            <w:pPr>
              <w:pStyle w:val="yTable"/>
              <w:spacing w:after="40"/>
            </w:pPr>
            <w:r>
              <w:t>Standby medical management of cardio</w:t>
            </w:r>
            <w:r>
              <w:noBreakHyphen/>
              <w:t>pulmonary bypass perfusion using heart/lung machine</w:t>
            </w:r>
          </w:p>
        </w:tc>
        <w:tc>
          <w:tcPr>
            <w:tcW w:w="1039" w:type="dxa"/>
          </w:tcPr>
          <w:p>
            <w:pPr>
              <w:pStyle w:val="yTable"/>
              <w:spacing w:after="40"/>
              <w:jc w:val="center"/>
            </w:pPr>
            <w:r>
              <w:br/>
            </w:r>
            <w:r>
              <w:br/>
              <w:t>no</w:t>
            </w:r>
          </w:p>
        </w:tc>
        <w:tc>
          <w:tcPr>
            <w:tcW w:w="1040" w:type="dxa"/>
          </w:tcPr>
          <w:p>
            <w:pPr>
              <w:pStyle w:val="yTable"/>
              <w:spacing w:after="40"/>
              <w:jc w:val="center"/>
            </w:pPr>
            <w:r>
              <w:br/>
            </w:r>
            <w:r>
              <w:br/>
              <w:t>yes</w:t>
            </w:r>
          </w:p>
        </w:tc>
        <w:tc>
          <w:tcPr>
            <w:tcW w:w="898" w:type="dxa"/>
          </w:tcPr>
          <w:p>
            <w:pPr>
              <w:pStyle w:val="yTable"/>
              <w:spacing w:after="40"/>
              <w:jc w:val="center"/>
            </w:pPr>
            <w:r>
              <w:br/>
            </w:r>
            <w:r>
              <w:br/>
              <w:t>5</w:t>
            </w:r>
          </w:p>
        </w:tc>
      </w:tr>
      <w:tr>
        <w:trPr>
          <w:cantSplit/>
        </w:trPr>
        <w:tc>
          <w:tcPr>
            <w:tcW w:w="3402" w:type="dxa"/>
          </w:tcPr>
          <w:p>
            <w:pPr>
              <w:pStyle w:val="yTable"/>
              <w:spacing w:after="40"/>
            </w:pPr>
            <w:r>
              <w:t>Major nerve block (proximal to the elbow or knee), including intercostal nerve clock(s) or plexus block to provide post operative pain relief</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Minor nerve block (specify type) to provide post operative pain relief (does not include subcutaneous infiltration)</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5</w:t>
            </w:r>
          </w:p>
        </w:tc>
      </w:tr>
      <w:tr>
        <w:trPr>
          <w:cantSplit/>
        </w:trPr>
        <w:tc>
          <w:tcPr>
            <w:tcW w:w="3402" w:type="dxa"/>
          </w:tcPr>
          <w:p>
            <w:pPr>
              <w:pStyle w:val="yTable"/>
              <w:spacing w:after="40"/>
            </w:pPr>
            <w:r>
              <w:t>Intrathecal or epidural injection (subsequent) of a therapeutic substance, in association with anaesthesia and surgery, for post operative pain management</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Subarachnoid puncture, lumbar, diagnostic</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Insertion of subarachnoid drain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spacing w:after="40"/>
            </w:pPr>
            <w:r>
              <w:t>Intrathecal, or epidural or injection, (initial or commencement of infusion) of a therapeutic substance, including up to one hour of continuous attendance by a medical practitioner</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Intrathecal, or epidural or injection, (initial or commencement of infusion) of a therapeutic substance, where continuous attendance by a medical practitioner extends beyond one hour, add one unit for each 15 minutes over the first hour</w:t>
            </w:r>
          </w:p>
        </w:tc>
        <w:tc>
          <w:tcPr>
            <w:tcW w:w="1039" w:type="dxa"/>
          </w:tcPr>
          <w:p>
            <w:pPr>
              <w:pStyle w:val="yTable"/>
              <w:spacing w:after="40"/>
              <w:jc w:val="center"/>
            </w:pPr>
            <w:r>
              <w:br/>
            </w:r>
            <w:r>
              <w:br/>
            </w:r>
            <w:r>
              <w:br/>
            </w:r>
            <w:r>
              <w:br/>
            </w:r>
            <w:r>
              <w:br/>
            </w:r>
            <w:r>
              <w:br/>
            </w:r>
            <w:r>
              <w:br/>
              <w:t>no</w:t>
            </w:r>
          </w:p>
        </w:tc>
        <w:tc>
          <w:tcPr>
            <w:tcW w:w="1040" w:type="dxa"/>
          </w:tcPr>
          <w:p>
            <w:pPr>
              <w:pStyle w:val="yTable"/>
              <w:spacing w:after="40"/>
              <w:jc w:val="center"/>
            </w:pPr>
            <w:r>
              <w:br/>
            </w:r>
            <w:r>
              <w:br/>
            </w:r>
            <w:r>
              <w:br/>
            </w:r>
            <w:r>
              <w:br/>
            </w:r>
            <w:r>
              <w:br/>
            </w:r>
            <w:r>
              <w:br/>
            </w:r>
            <w:r>
              <w:br/>
              <w:t>no</w:t>
            </w:r>
          </w:p>
        </w:tc>
        <w:tc>
          <w:tcPr>
            <w:tcW w:w="898" w:type="dxa"/>
          </w:tcPr>
          <w:p>
            <w:pPr>
              <w:pStyle w:val="yTable"/>
              <w:spacing w:after="40"/>
              <w:jc w:val="center"/>
            </w:pPr>
            <w:r>
              <w:br/>
            </w:r>
            <w:r>
              <w:br/>
            </w:r>
            <w:r>
              <w:br/>
            </w:r>
            <w:r>
              <w:br/>
            </w:r>
            <w:r>
              <w:br/>
            </w:r>
            <w:r>
              <w:br/>
            </w:r>
            <w:r>
              <w:br/>
              <w:t>0</w:t>
            </w:r>
          </w:p>
        </w:tc>
      </w:tr>
      <w:tr>
        <w:trPr>
          <w:cantSplit/>
        </w:trPr>
        <w:tc>
          <w:tcPr>
            <w:tcW w:w="3402"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39" w:type="dxa"/>
          </w:tcPr>
          <w:p>
            <w:pPr>
              <w:pStyle w:val="yTable"/>
              <w:spacing w:after="40"/>
              <w:jc w:val="center"/>
            </w:pPr>
            <w:r>
              <w:br/>
            </w:r>
            <w:r>
              <w:br/>
            </w:r>
            <w:r>
              <w:br/>
            </w:r>
            <w:r>
              <w:br/>
            </w:r>
            <w:r>
              <w:br/>
            </w:r>
            <w:r>
              <w:br/>
              <w:t>no</w:t>
            </w:r>
          </w:p>
        </w:tc>
        <w:tc>
          <w:tcPr>
            <w:tcW w:w="1040" w:type="dxa"/>
          </w:tcPr>
          <w:p>
            <w:pPr>
              <w:pStyle w:val="yTable"/>
              <w:spacing w:after="40"/>
              <w:jc w:val="center"/>
            </w:pPr>
            <w:r>
              <w:br/>
            </w:r>
            <w:r>
              <w:br/>
            </w:r>
            <w:r>
              <w:br/>
            </w:r>
            <w:r>
              <w:br/>
            </w:r>
            <w:r>
              <w:br/>
            </w:r>
            <w:r>
              <w:br/>
              <w:t>no</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spacing w:after="40"/>
              <w:jc w:val="center"/>
            </w:pPr>
            <w:r>
              <w:br/>
            </w:r>
            <w:r>
              <w:br/>
            </w:r>
            <w:r>
              <w:br/>
            </w:r>
            <w:r>
              <w:br/>
            </w:r>
            <w:r>
              <w:br/>
            </w:r>
            <w:r>
              <w:br/>
            </w:r>
            <w:r>
              <w:br/>
            </w:r>
            <w:r>
              <w:br/>
              <w:t>no</w:t>
            </w:r>
          </w:p>
        </w:tc>
        <w:tc>
          <w:tcPr>
            <w:tcW w:w="1040" w:type="dxa"/>
          </w:tcPr>
          <w:p>
            <w:pPr>
              <w:pStyle w:val="yTable"/>
              <w:spacing w:after="40"/>
              <w:jc w:val="center"/>
            </w:pPr>
            <w:r>
              <w:br/>
            </w:r>
            <w:r>
              <w:br/>
            </w:r>
            <w:r>
              <w:br/>
            </w:r>
            <w:r>
              <w:br/>
            </w:r>
            <w:r>
              <w:br/>
            </w:r>
            <w:r>
              <w:br/>
            </w:r>
            <w:r>
              <w:br/>
            </w:r>
            <w:r>
              <w:br/>
              <w:t>no</w:t>
            </w:r>
          </w:p>
        </w:tc>
        <w:tc>
          <w:tcPr>
            <w:tcW w:w="898" w:type="dxa"/>
          </w:tcPr>
          <w:p>
            <w:pPr>
              <w:pStyle w:val="yTable"/>
              <w:spacing w:after="40"/>
              <w:jc w:val="center"/>
            </w:pPr>
            <w:r>
              <w:br/>
            </w:r>
            <w:r>
              <w:br/>
            </w:r>
            <w:r>
              <w:br/>
            </w:r>
            <w:r>
              <w:br/>
            </w:r>
            <w:r>
              <w:br/>
            </w:r>
            <w:r>
              <w:br/>
            </w:r>
            <w:r>
              <w:br/>
            </w:r>
            <w:r>
              <w:br/>
              <w:t>0</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3</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4</w:t>
            </w:r>
          </w:p>
        </w:tc>
      </w:tr>
      <w:tr>
        <w:trPr>
          <w:cantSplit/>
        </w:trPr>
        <w:tc>
          <w:tcPr>
            <w:tcW w:w="3402" w:type="dxa"/>
          </w:tcPr>
          <w:p>
            <w:pPr>
              <w:pStyle w:val="yTable"/>
              <w:spacing w:after="40"/>
            </w:pPr>
            <w:r>
              <w:t>Interpleural block, initial injection or commencement of infusion of a therapeutic substance</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Intrathecal, epidural or caudal injection of neurolytic substance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20</w:t>
            </w:r>
          </w:p>
        </w:tc>
      </w:tr>
      <w:tr>
        <w:trPr>
          <w:cantSplit/>
        </w:trPr>
        <w:tc>
          <w:tcPr>
            <w:tcW w:w="3402" w:type="dxa"/>
          </w:tcPr>
          <w:p>
            <w:pPr>
              <w:pStyle w:val="yTable"/>
              <w:spacing w:after="40"/>
            </w:pPr>
            <w:r>
              <w:t>Intrathecal, epidural or caudal injection of substance other than anaesthetic, contrast or neurolytic solutions, not being a service to which another item in the Group applies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Epidural injection of blood for blood patch</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keepNext/>
              <w:keepLines/>
              <w:spacing w:after="40"/>
            </w:pPr>
            <w:r>
              <w:t>Injection of an anaesthetic agent</w:t>
            </w:r>
          </w:p>
        </w:tc>
        <w:tc>
          <w:tcPr>
            <w:tcW w:w="1039" w:type="dxa"/>
          </w:tcPr>
          <w:p>
            <w:pPr>
              <w:pStyle w:val="zytable"/>
              <w:keepNext/>
              <w:spacing w:after="40"/>
              <w:ind w:left="0"/>
              <w:jc w:val="center"/>
            </w:pPr>
          </w:p>
        </w:tc>
        <w:tc>
          <w:tcPr>
            <w:tcW w:w="1040" w:type="dxa"/>
          </w:tcPr>
          <w:p>
            <w:pPr>
              <w:pStyle w:val="zytable"/>
              <w:keepNext/>
              <w:spacing w:after="40"/>
              <w:ind w:left="0"/>
              <w:jc w:val="center"/>
            </w:pPr>
          </w:p>
        </w:tc>
        <w:tc>
          <w:tcPr>
            <w:tcW w:w="898" w:type="dxa"/>
          </w:tcPr>
          <w:p>
            <w:pPr>
              <w:pStyle w:val="yTable"/>
              <w:keepNext/>
              <w:spacing w:after="40"/>
              <w:jc w:val="center"/>
            </w:pPr>
          </w:p>
        </w:tc>
      </w:tr>
      <w:tr>
        <w:trPr>
          <w:cantSplit/>
        </w:trPr>
        <w:tc>
          <w:tcPr>
            <w:tcW w:w="3402" w:type="dxa"/>
          </w:tcPr>
          <w:p>
            <w:pPr>
              <w:pStyle w:val="yTable"/>
              <w:keepNext/>
              <w:keepLines/>
              <w:tabs>
                <w:tab w:val="left" w:pos="596"/>
              </w:tabs>
              <w:spacing w:after="40"/>
              <w:ind w:left="397" w:hanging="397"/>
            </w:pPr>
            <w:r>
              <w:t> — trigeminal nerve, primary division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tabs>
                <w:tab w:val="left" w:pos="596"/>
              </w:tabs>
              <w:spacing w:after="40"/>
              <w:ind w:left="397" w:hanging="397"/>
            </w:pPr>
            <w:r>
              <w:t> — trigeminal nerve, peripheral branch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tabs>
                <w:tab w:val="left" w:pos="596"/>
              </w:tabs>
              <w:spacing w:after="40"/>
              <w:ind w:left="596" w:hanging="596"/>
            </w:pPr>
            <w:r>
              <w:t> — facial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retrobulbar or peribulbar</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greater occipital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vagus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glossopharyngeal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phrenic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spinal accessory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cervical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brachial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suprascapular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 single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nerves, multiple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ilioinguinal, iliohypogastric or genito femoral nerves,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596" w:hanging="596"/>
            </w:pPr>
            <w:r>
              <w:t> — pudendal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397" w:hanging="397"/>
            </w:pPr>
            <w:r>
              <w:t> — ulnar, radial or median nerve of main trunk, one or more of, not being associated with a brachial plexus block</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5</w:t>
            </w:r>
          </w:p>
        </w:tc>
      </w:tr>
      <w:tr>
        <w:trPr>
          <w:cantSplit/>
        </w:trPr>
        <w:tc>
          <w:tcPr>
            <w:tcW w:w="3402" w:type="dxa"/>
          </w:tcPr>
          <w:p>
            <w:pPr>
              <w:pStyle w:val="yTable"/>
              <w:tabs>
                <w:tab w:val="left" w:pos="596"/>
              </w:tabs>
              <w:spacing w:after="40"/>
              <w:ind w:left="596" w:hanging="596"/>
            </w:pPr>
            <w:r>
              <w:t> — paracervical (uterine)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obturator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femoral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saphenous, sural, popliteal or posterior tibial nerve of main trunk,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397" w:hanging="397"/>
            </w:pPr>
            <w:r>
              <w:t> — paravertebral, cervical, thoracic, lumbar, sacral or coccygeal nerves, single vertebral level</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7</w:t>
            </w:r>
          </w:p>
        </w:tc>
      </w:tr>
      <w:tr>
        <w:trPr>
          <w:cantSplit/>
        </w:trPr>
        <w:tc>
          <w:tcPr>
            <w:tcW w:w="3402" w:type="dxa"/>
          </w:tcPr>
          <w:p>
            <w:pPr>
              <w:pStyle w:val="yTable"/>
              <w:tabs>
                <w:tab w:val="left" w:pos="596"/>
              </w:tabs>
              <w:spacing w:after="40"/>
              <w:ind w:left="397" w:hanging="397"/>
            </w:pPr>
            <w:r>
              <w:t> — paravertebral nerves, multiple levels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 — sciatic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other peripheral nerve or branch</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sphenopalatine ganglion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10</w:t>
            </w:r>
          </w:p>
        </w:tc>
      </w:tr>
      <w:tr>
        <w:trPr>
          <w:cantSplit/>
        </w:trPr>
        <w:tc>
          <w:tcPr>
            <w:tcW w:w="3402" w:type="dxa"/>
          </w:tcPr>
          <w:p>
            <w:pPr>
              <w:pStyle w:val="yTable"/>
              <w:tabs>
                <w:tab w:val="left" w:pos="596"/>
              </w:tabs>
              <w:spacing w:after="40"/>
              <w:ind w:left="397" w:hanging="397"/>
            </w:pPr>
            <w:r>
              <w:t> — carotid sinus, as an independent percutaneous procedure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tabs>
                <w:tab w:val="left" w:pos="596"/>
              </w:tabs>
              <w:spacing w:before="40" w:after="40"/>
              <w:ind w:left="397" w:hanging="397"/>
            </w:pPr>
            <w:r>
              <w:t> — stellate ganglion (cervical sympathetic block)</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8</w:t>
            </w:r>
          </w:p>
        </w:tc>
      </w:tr>
      <w:tr>
        <w:trPr>
          <w:cantSplit/>
        </w:trPr>
        <w:tc>
          <w:tcPr>
            <w:tcW w:w="3402" w:type="dxa"/>
          </w:tcPr>
          <w:p>
            <w:pPr>
              <w:pStyle w:val="yTable"/>
              <w:tabs>
                <w:tab w:val="left" w:pos="596"/>
              </w:tabs>
              <w:spacing w:before="40" w:after="40"/>
              <w:ind w:left="397" w:hanging="397"/>
            </w:pPr>
            <w:r>
              <w:t> — lumbar or thoracic nerves (paravertebral sympathetic block)</w:t>
            </w:r>
          </w:p>
        </w:tc>
        <w:tc>
          <w:tcPr>
            <w:tcW w:w="1039" w:type="dxa"/>
          </w:tcPr>
          <w:p>
            <w:pPr>
              <w:pStyle w:val="yTable"/>
              <w:spacing w:before="40" w:after="40"/>
              <w:jc w:val="center"/>
            </w:pPr>
            <w:r>
              <w:br/>
            </w:r>
            <w:r>
              <w:br/>
              <w:t>no</w:t>
            </w:r>
          </w:p>
        </w:tc>
        <w:tc>
          <w:tcPr>
            <w:tcW w:w="1040" w:type="dxa"/>
          </w:tcPr>
          <w:p>
            <w:pPr>
              <w:pStyle w:val="yTable"/>
              <w:spacing w:before="40" w:after="40"/>
              <w:jc w:val="center"/>
            </w:pPr>
            <w:r>
              <w:br/>
            </w:r>
            <w:r>
              <w:br/>
              <w:t>no</w:t>
            </w:r>
          </w:p>
        </w:tc>
        <w:tc>
          <w:tcPr>
            <w:tcW w:w="898" w:type="dxa"/>
          </w:tcPr>
          <w:p>
            <w:pPr>
              <w:pStyle w:val="yTable"/>
              <w:spacing w:before="40" w:after="40"/>
              <w:jc w:val="center"/>
            </w:pPr>
            <w:r>
              <w:br/>
            </w:r>
            <w:r>
              <w:br/>
              <w:t>8</w:t>
            </w:r>
          </w:p>
        </w:tc>
      </w:tr>
      <w:tr>
        <w:trPr>
          <w:cantSplit/>
        </w:trPr>
        <w:tc>
          <w:tcPr>
            <w:tcW w:w="3402" w:type="dxa"/>
          </w:tcPr>
          <w:p>
            <w:pPr>
              <w:pStyle w:val="yTable"/>
              <w:tabs>
                <w:tab w:val="left" w:pos="596"/>
              </w:tabs>
              <w:spacing w:before="40" w:after="40"/>
              <w:ind w:left="397" w:hanging="397"/>
            </w:pPr>
            <w:r>
              <w:t> — coeliac plexus or splanchnic nerves</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10</w:t>
            </w:r>
          </w:p>
        </w:tc>
      </w:tr>
      <w:tr>
        <w:trPr>
          <w:cantSplit/>
        </w:trPr>
        <w:tc>
          <w:tcPr>
            <w:tcW w:w="3402" w:type="dxa"/>
          </w:tcPr>
          <w:p>
            <w:pPr>
              <w:pStyle w:val="yTable"/>
              <w:spacing w:before="40" w:after="40"/>
            </w:pPr>
            <w:r>
              <w:t>Cranial nerve other than trigeminal,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t>20</w:t>
            </w:r>
          </w:p>
        </w:tc>
      </w:tr>
      <w:tr>
        <w:trPr>
          <w:cantSplit/>
        </w:trPr>
        <w:tc>
          <w:tcPr>
            <w:tcW w:w="3402" w:type="dxa"/>
          </w:tcPr>
          <w:p>
            <w:pPr>
              <w:pStyle w:val="yTable"/>
              <w:spacing w:before="40" w:after="40"/>
            </w:pPr>
            <w:r>
              <w:t>Nerve branch, not covered by any other item in this Group,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r>
            <w:r>
              <w:rPr>
                <w:sz w:val="22"/>
              </w:rPr>
              <w:br/>
              <w:t>10</w:t>
            </w:r>
          </w:p>
        </w:tc>
      </w:tr>
      <w:tr>
        <w:trPr>
          <w:cantSplit/>
        </w:trPr>
        <w:tc>
          <w:tcPr>
            <w:tcW w:w="3402" w:type="dxa"/>
          </w:tcPr>
          <w:p>
            <w:pPr>
              <w:pStyle w:val="yTable"/>
              <w:spacing w:before="40" w:after="40"/>
            </w:pPr>
            <w:r>
              <w:t>Coeliac plexus or splanchnic nerves,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Lumbar sympathetic chain, destruction by a neurolytic agent</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Cervical or thoracic sympathetic chain,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Cardioversion, elective, electrical conversion of arrhythmia, external</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4</w:t>
            </w:r>
          </w:p>
        </w:tc>
      </w:tr>
      <w:tr>
        <w:trPr>
          <w:cantSplit/>
        </w:trPr>
        <w:tc>
          <w:tcPr>
            <w:tcW w:w="3402" w:type="dxa"/>
          </w:tcPr>
          <w:p>
            <w:pPr>
              <w:pStyle w:val="yTable"/>
              <w:spacing w:before="40" w:after="40"/>
            </w:pPr>
            <w:r>
              <w:t>Hyperbaric oxygen treatment when the specialist is inside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Hyperbaric oxygen treatment when the specialist is outside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8</w:t>
            </w:r>
          </w:p>
        </w:tc>
      </w:tr>
      <w:tr>
        <w:trPr>
          <w:cantSplit/>
        </w:trPr>
        <w:tc>
          <w:tcPr>
            <w:tcW w:w="3402" w:type="dxa"/>
          </w:tcPr>
          <w:p>
            <w:pPr>
              <w:pStyle w:val="yTable"/>
              <w:spacing w:before="40" w:after="40"/>
            </w:pPr>
            <w:r>
              <w:t xml:space="preserve">Heart, 2 dimensional real time transoesophageal examination of, at least 2 oesophageal windows performed using a mechanical sector scanner or phased array transducer with — </w:t>
            </w:r>
          </w:p>
        </w:tc>
        <w:tc>
          <w:tcPr>
            <w:tcW w:w="1039" w:type="dxa"/>
          </w:tcPr>
          <w:p>
            <w:pPr>
              <w:spacing w:before="40" w:after="40"/>
              <w:jc w:val="center"/>
              <w:rPr>
                <w:sz w:val="22"/>
              </w:rPr>
            </w:pPr>
            <w:r>
              <w:rPr>
                <w:sz w:val="22"/>
              </w:rPr>
              <w:br/>
            </w:r>
            <w:r>
              <w:rPr>
                <w:sz w:val="22"/>
              </w:rPr>
              <w:br/>
            </w:r>
            <w:r>
              <w:rPr>
                <w:sz w:val="22"/>
              </w:rPr>
              <w:br/>
            </w:r>
            <w:r>
              <w:rPr>
                <w:sz w:val="22"/>
              </w:rPr>
              <w:br/>
            </w:r>
            <w:r>
              <w:rPr>
                <w:sz w:val="22"/>
              </w:rPr>
              <w:br/>
            </w:r>
          </w:p>
        </w:tc>
        <w:tc>
          <w:tcPr>
            <w:tcW w:w="1040" w:type="dxa"/>
          </w:tcPr>
          <w:p>
            <w:pPr>
              <w:spacing w:before="40" w:after="40"/>
              <w:jc w:val="center"/>
              <w:rPr>
                <w:sz w:val="22"/>
              </w:rPr>
            </w:pPr>
            <w:r>
              <w:rPr>
                <w:sz w:val="22"/>
              </w:rPr>
              <w:br/>
            </w:r>
            <w:r>
              <w:rPr>
                <w:sz w:val="22"/>
              </w:rPr>
              <w:br/>
            </w:r>
            <w:r>
              <w:rPr>
                <w:sz w:val="22"/>
              </w:rPr>
              <w:br/>
            </w:r>
            <w:r>
              <w:rPr>
                <w:sz w:val="22"/>
              </w:rPr>
              <w:br/>
            </w:r>
            <w:r>
              <w:rPr>
                <w:sz w:val="22"/>
              </w:rPr>
              <w:br/>
            </w:r>
          </w:p>
        </w:tc>
        <w:tc>
          <w:tcPr>
            <w:tcW w:w="898" w:type="dxa"/>
          </w:tcPr>
          <w:p>
            <w:pPr>
              <w:spacing w:before="40" w:after="40"/>
              <w:jc w:val="center"/>
              <w:rPr>
                <w:sz w:val="22"/>
              </w:rPr>
            </w:pPr>
            <w:r>
              <w:rPr>
                <w:sz w:val="22"/>
              </w:rPr>
              <w:br/>
            </w:r>
            <w:r>
              <w:rPr>
                <w:sz w:val="22"/>
              </w:rPr>
              <w:br/>
            </w:r>
            <w:r>
              <w:rPr>
                <w:sz w:val="22"/>
              </w:rPr>
              <w:br/>
            </w:r>
          </w:p>
          <w:p>
            <w:pPr>
              <w:spacing w:before="40" w:after="40"/>
              <w:jc w:val="center"/>
              <w:rPr>
                <w:sz w:val="22"/>
              </w:rPr>
            </w:pPr>
            <w:r>
              <w:rPr>
                <w:sz w:val="22"/>
              </w:rPr>
              <w:br/>
            </w:r>
          </w:p>
        </w:tc>
      </w:tr>
      <w:tr>
        <w:trPr>
          <w:cantSplit/>
        </w:trPr>
        <w:tc>
          <w:tcPr>
            <w:tcW w:w="3402"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39" w:type="dxa"/>
          </w:tcPr>
          <w:p>
            <w:pPr>
              <w:spacing w:before="60" w:after="40"/>
              <w:jc w:val="center"/>
              <w:rPr>
                <w:sz w:val="22"/>
              </w:rPr>
            </w:pPr>
          </w:p>
        </w:tc>
        <w:tc>
          <w:tcPr>
            <w:tcW w:w="1040" w:type="dxa"/>
          </w:tcPr>
          <w:p>
            <w:pPr>
              <w:spacing w:before="60" w:after="40"/>
              <w:jc w:val="center"/>
              <w:rPr>
                <w:sz w:val="22"/>
              </w:rPr>
            </w:pPr>
          </w:p>
        </w:tc>
        <w:tc>
          <w:tcPr>
            <w:tcW w:w="898" w:type="dxa"/>
          </w:tcPr>
          <w:p>
            <w:pPr>
              <w:spacing w:before="60" w:after="40"/>
              <w:jc w:val="center"/>
              <w:rPr>
                <w:sz w:val="22"/>
              </w:rPr>
            </w:pPr>
          </w:p>
        </w:tc>
      </w:tr>
      <w:tr>
        <w:trPr>
          <w:cantSplit/>
        </w:trPr>
        <w:tc>
          <w:tcPr>
            <w:tcW w:w="3402"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39" w:type="dxa"/>
          </w:tcPr>
          <w:p>
            <w:pPr>
              <w:spacing w:after="40"/>
              <w:jc w:val="center"/>
              <w:rPr>
                <w:sz w:val="22"/>
              </w:rPr>
            </w:pPr>
            <w:r>
              <w:rPr>
                <w:sz w:val="22"/>
              </w:rPr>
              <w:br/>
            </w:r>
            <w:r>
              <w:rPr>
                <w:sz w:val="22"/>
              </w:rPr>
              <w:br/>
            </w:r>
            <w:r>
              <w:rPr>
                <w:sz w:val="22"/>
              </w:rPr>
              <w:br/>
            </w:r>
          </w:p>
          <w:p>
            <w:pPr>
              <w:spacing w:after="40"/>
              <w:jc w:val="center"/>
              <w:rPr>
                <w:sz w:val="22"/>
              </w:rPr>
            </w:pPr>
            <w:r>
              <w:rPr>
                <w:sz w:val="22"/>
              </w:rPr>
              <w:t>no</w:t>
            </w:r>
          </w:p>
        </w:tc>
        <w:tc>
          <w:tcPr>
            <w:tcW w:w="1040"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no</w:t>
            </w:r>
          </w:p>
        </w:tc>
        <w:tc>
          <w:tcPr>
            <w:tcW w:w="898"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10</w:t>
            </w:r>
          </w:p>
        </w:tc>
      </w:tr>
      <w:tr>
        <w:trPr>
          <w:cantSplit/>
        </w:trPr>
        <w:tc>
          <w:tcPr>
            <w:tcW w:w="3402"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trPr>
        <w:tc>
          <w:tcPr>
            <w:tcW w:w="3402" w:type="dxa"/>
          </w:tcPr>
          <w:p>
            <w:pPr>
              <w:pStyle w:val="yTable"/>
              <w:spacing w:after="40"/>
            </w:pPr>
            <w:r>
              <w:t>The use of 2 dimensional imaging ultrasound guidance to assist percutaneous major vascular access involving catheterisation of the jugular, subclavian or femoral vein</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The use of 2 dimensional imaging ultrasound guidance to assist percutaneous neural blockade involving the branchial plexus, or femoral and/or sciatic nerve</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Skin testing for allergy to anaesthetic agents</w:t>
            </w:r>
          </w:p>
        </w:tc>
        <w:tc>
          <w:tcPr>
            <w:tcW w:w="1039" w:type="dxa"/>
          </w:tcPr>
          <w:p>
            <w:pPr>
              <w:spacing w:before="60" w:after="40"/>
              <w:jc w:val="center"/>
              <w:rPr>
                <w:sz w:val="22"/>
              </w:rPr>
            </w:pPr>
            <w:r>
              <w:rPr>
                <w:sz w:val="22"/>
              </w:rPr>
              <w:br/>
              <w:t>no</w:t>
            </w:r>
          </w:p>
        </w:tc>
        <w:tc>
          <w:tcPr>
            <w:tcW w:w="1040" w:type="dxa"/>
          </w:tcPr>
          <w:p>
            <w:pPr>
              <w:spacing w:before="60" w:after="40"/>
              <w:jc w:val="center"/>
              <w:rPr>
                <w:sz w:val="22"/>
              </w:rPr>
            </w:pPr>
            <w:r>
              <w:rPr>
                <w:sz w:val="22"/>
              </w:rPr>
              <w:br/>
              <w:t>yes</w:t>
            </w:r>
          </w:p>
        </w:tc>
        <w:tc>
          <w:tcPr>
            <w:tcW w:w="898" w:type="dxa"/>
          </w:tcPr>
          <w:p>
            <w:pPr>
              <w:spacing w:before="60" w:after="40"/>
              <w:jc w:val="center"/>
              <w:rPr>
                <w:sz w:val="22"/>
              </w:rPr>
            </w:pPr>
            <w:r>
              <w:rPr>
                <w:sz w:val="22"/>
              </w:rPr>
              <w:br/>
              <w:t>4</w:t>
            </w:r>
          </w:p>
        </w:tc>
      </w:tr>
      <w:tr>
        <w:trPr>
          <w:cantSplit/>
        </w:trPr>
        <w:tc>
          <w:tcPr>
            <w:tcW w:w="3402" w:type="dxa"/>
            <w:tcBorders>
              <w:bottom w:val="single" w:sz="4" w:space="0" w:color="auto"/>
            </w:tcBorders>
          </w:tcPr>
          <w:p>
            <w:pPr>
              <w:pStyle w:val="yTable"/>
              <w:spacing w:after="40"/>
            </w:pPr>
            <w:r>
              <w:t>Assistance in the administration of an anaesthetic</w:t>
            </w:r>
          </w:p>
        </w:tc>
        <w:tc>
          <w:tcPr>
            <w:tcW w:w="1039" w:type="dxa"/>
            <w:tcBorders>
              <w:bottom w:val="single" w:sz="4" w:space="0" w:color="auto"/>
            </w:tcBorders>
          </w:tcPr>
          <w:p>
            <w:pPr>
              <w:spacing w:before="60" w:after="40"/>
              <w:jc w:val="center"/>
              <w:rPr>
                <w:sz w:val="22"/>
              </w:rPr>
            </w:pPr>
            <w:r>
              <w:rPr>
                <w:sz w:val="22"/>
              </w:rPr>
              <w:br/>
              <w:t>yes</w:t>
            </w:r>
          </w:p>
        </w:tc>
        <w:tc>
          <w:tcPr>
            <w:tcW w:w="1040" w:type="dxa"/>
            <w:tcBorders>
              <w:bottom w:val="single" w:sz="4" w:space="0" w:color="auto"/>
            </w:tcBorders>
          </w:tcPr>
          <w:p>
            <w:pPr>
              <w:spacing w:before="60" w:after="40"/>
              <w:jc w:val="center"/>
              <w:rPr>
                <w:sz w:val="22"/>
              </w:rPr>
            </w:pPr>
            <w:r>
              <w:rPr>
                <w:sz w:val="22"/>
              </w:rPr>
              <w:br/>
              <w:t>yes</w:t>
            </w:r>
          </w:p>
        </w:tc>
        <w:tc>
          <w:tcPr>
            <w:tcW w:w="898" w:type="dxa"/>
            <w:tcBorders>
              <w:bottom w:val="single" w:sz="4" w:space="0" w:color="auto"/>
            </w:tcBorders>
          </w:tcPr>
          <w:p>
            <w:pPr>
              <w:spacing w:before="60" w:after="40"/>
              <w:jc w:val="center"/>
              <w:rPr>
                <w:sz w:val="22"/>
              </w:rPr>
            </w:pPr>
            <w:r>
              <w:rPr>
                <w:sz w:val="22"/>
              </w:rPr>
              <w:br/>
              <w:t>5</w:t>
            </w:r>
          </w:p>
        </w:tc>
      </w:tr>
    </w:tbl>
    <w:p>
      <w:pPr>
        <w:pStyle w:val="yTable"/>
        <w:tabs>
          <w:tab w:val="left" w:pos="709"/>
        </w:tabs>
        <w:spacing w:before="120" w:after="60"/>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 xml:space="preserve"> [Part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w:t>
      </w:r>
    </w:p>
    <w:p>
      <w:pPr>
        <w:pStyle w:val="yHeading3"/>
        <w:spacing w:before="360" w:after="60"/>
      </w:pPr>
      <w:bookmarkStart w:id="98" w:name="_Toc124579583"/>
      <w:bookmarkStart w:id="99" w:name="_Toc125442032"/>
      <w:bookmarkStart w:id="100" w:name="_Toc126569069"/>
      <w:bookmarkStart w:id="101" w:name="_Toc127601209"/>
      <w:bookmarkStart w:id="102" w:name="_Toc127668232"/>
      <w:bookmarkStart w:id="103" w:name="_Toc128452291"/>
      <w:bookmarkStart w:id="104" w:name="_Toc128796275"/>
      <w:bookmarkStart w:id="105" w:name="_Toc128796599"/>
      <w:bookmarkStart w:id="106" w:name="_Toc128807363"/>
      <w:bookmarkStart w:id="107" w:name="_Toc128807554"/>
      <w:bookmarkStart w:id="108" w:name="_Toc130871686"/>
      <w:r>
        <w:rPr>
          <w:rStyle w:val="CharSDivNo"/>
          <w:sz w:val="28"/>
        </w:rPr>
        <w:t>Part 2</w:t>
      </w:r>
      <w:r>
        <w:t> — </w:t>
      </w:r>
      <w:r>
        <w:rPr>
          <w:rStyle w:val="CharSDivText"/>
          <w:sz w:val="28"/>
        </w:rPr>
        <w:t>Medical procedures</w:t>
      </w:r>
      <w:bookmarkEnd w:id="98"/>
      <w:bookmarkEnd w:id="99"/>
      <w:bookmarkEnd w:id="100"/>
      <w:bookmarkEnd w:id="101"/>
      <w:bookmarkEnd w:id="102"/>
      <w:bookmarkEnd w:id="103"/>
      <w:bookmarkEnd w:id="104"/>
      <w:bookmarkEnd w:id="105"/>
      <w:bookmarkEnd w:id="106"/>
      <w:bookmarkEnd w:id="107"/>
      <w:bookmarkEnd w:id="108"/>
    </w:p>
    <w:tbl>
      <w:tblPr>
        <w:tblW w:w="7320" w:type="dxa"/>
        <w:tblInd w:w="113" w:type="dxa"/>
        <w:tblLayout w:type="fixed"/>
        <w:tblCellMar>
          <w:left w:w="113" w:type="dxa"/>
          <w:right w:w="113" w:type="dxa"/>
        </w:tblCellMar>
        <w:tblLook w:val="0000" w:firstRow="0" w:lastRow="0" w:firstColumn="0" w:lastColumn="0" w:noHBand="0" w:noVBand="0"/>
      </w:tblPr>
      <w:tblGrid>
        <w:gridCol w:w="5880"/>
        <w:gridCol w:w="1440"/>
      </w:tblGrid>
      <w:tr>
        <w:trPr>
          <w:tblHeader/>
        </w:trPr>
        <w:tc>
          <w:tcPr>
            <w:tcW w:w="5880" w:type="dxa"/>
          </w:tcPr>
          <w:p>
            <w:pPr>
              <w:pStyle w:val="yTable"/>
              <w:spacing w:before="40" w:after="40"/>
              <w:rPr>
                <w:b/>
              </w:rPr>
            </w:pPr>
            <w:r>
              <w:rPr>
                <w:b/>
              </w:rPr>
              <w:t>Type of procedure</w:t>
            </w:r>
          </w:p>
        </w:tc>
        <w:tc>
          <w:tcPr>
            <w:tcW w:w="1440" w:type="dxa"/>
          </w:tcPr>
          <w:p>
            <w:pPr>
              <w:pStyle w:val="yTable"/>
              <w:keepNext/>
              <w:spacing w:before="40" w:after="40"/>
              <w:jc w:val="center"/>
              <w:rPr>
                <w:b/>
              </w:rPr>
            </w:pPr>
            <w:r>
              <w:rPr>
                <w:b/>
              </w:rPr>
              <w:t>Fee</w:t>
            </w:r>
            <w:r>
              <w:rPr>
                <w:b/>
              </w:rPr>
              <w:br/>
              <w:t>$</w:t>
            </w:r>
          </w:p>
        </w:tc>
      </w:tr>
      <w:tr>
        <w:tc>
          <w:tcPr>
            <w:tcW w:w="5880" w:type="dxa"/>
          </w:tcPr>
          <w:p>
            <w:pPr>
              <w:pStyle w:val="yTable"/>
              <w:spacing w:before="120" w:after="40"/>
            </w:pPr>
            <w:r>
              <w:t>GENERAL</w:t>
            </w:r>
          </w:p>
        </w:tc>
        <w:tc>
          <w:tcPr>
            <w:tcW w:w="1440" w:type="dxa"/>
          </w:tcPr>
          <w:p>
            <w:pPr>
              <w:pStyle w:val="yTable"/>
              <w:tabs>
                <w:tab w:val="decimal" w:pos="879"/>
              </w:tabs>
              <w:spacing w:before="40" w:after="40"/>
              <w:ind w:right="29"/>
            </w:pPr>
          </w:p>
        </w:tc>
      </w:tr>
      <w:tr>
        <w:tc>
          <w:tcPr>
            <w:tcW w:w="5880" w:type="dxa"/>
          </w:tcPr>
          <w:p>
            <w:pPr>
              <w:pStyle w:val="yTable"/>
              <w:spacing w:before="40" w:after="40"/>
            </w:pPr>
            <w:r>
              <w:t>Localised burns</w:t>
            </w:r>
          </w:p>
        </w:tc>
        <w:tc>
          <w:tcPr>
            <w:tcW w:w="1440" w:type="dxa"/>
          </w:tcPr>
          <w:p>
            <w:pPr>
              <w:pStyle w:val="yTable"/>
              <w:tabs>
                <w:tab w:val="decimal" w:pos="596"/>
              </w:tabs>
              <w:spacing w:before="40" w:after="40"/>
              <w:ind w:left="426" w:right="29"/>
            </w:pPr>
            <w:r>
              <w:t>42.80</w:t>
            </w:r>
          </w:p>
        </w:tc>
      </w:tr>
      <w:tr>
        <w:tc>
          <w:tcPr>
            <w:tcW w:w="5880" w:type="dxa"/>
          </w:tcPr>
          <w:p>
            <w:pPr>
              <w:pStyle w:val="yTable"/>
              <w:spacing w:before="40" w:after="40"/>
              <w:ind w:left="596" w:hanging="596"/>
            </w:pPr>
            <w:r>
              <w:t>Localised burns, including dressing of, under general anaesthetic</w:t>
            </w:r>
          </w:p>
        </w:tc>
        <w:tc>
          <w:tcPr>
            <w:tcW w:w="1440" w:type="dxa"/>
          </w:tcPr>
          <w:p>
            <w:pPr>
              <w:pStyle w:val="yTable"/>
              <w:tabs>
                <w:tab w:val="decimal" w:pos="596"/>
              </w:tabs>
              <w:spacing w:before="40" w:after="40"/>
              <w:ind w:left="312" w:right="29"/>
            </w:pPr>
            <w:r>
              <w:br/>
              <w:t>121.90</w:t>
            </w:r>
          </w:p>
        </w:tc>
      </w:tr>
      <w:tr>
        <w:tc>
          <w:tcPr>
            <w:tcW w:w="5880" w:type="dxa"/>
          </w:tcPr>
          <w:p>
            <w:pPr>
              <w:pStyle w:val="yTable"/>
              <w:spacing w:before="40" w:after="40"/>
            </w:pPr>
            <w:r>
              <w:t>Extensive burns</w:t>
            </w:r>
          </w:p>
        </w:tc>
        <w:tc>
          <w:tcPr>
            <w:tcW w:w="1440" w:type="dxa"/>
          </w:tcPr>
          <w:p>
            <w:pPr>
              <w:pStyle w:val="yTable"/>
              <w:tabs>
                <w:tab w:val="decimal" w:pos="596"/>
              </w:tabs>
              <w:spacing w:before="40" w:after="40"/>
              <w:ind w:left="426" w:right="29"/>
            </w:pPr>
            <w:r>
              <w:t>73.85</w:t>
            </w:r>
          </w:p>
        </w:tc>
      </w:tr>
      <w:tr>
        <w:tc>
          <w:tcPr>
            <w:tcW w:w="5880" w:type="dxa"/>
          </w:tcPr>
          <w:p>
            <w:pPr>
              <w:pStyle w:val="yTable"/>
              <w:spacing w:before="40" w:after="40"/>
              <w:ind w:left="596" w:hanging="596"/>
            </w:pPr>
            <w:r>
              <w:t>Extensive burns, including dressing of, under general anaesthetic</w:t>
            </w:r>
          </w:p>
        </w:tc>
        <w:tc>
          <w:tcPr>
            <w:tcW w:w="1440" w:type="dxa"/>
          </w:tcPr>
          <w:p>
            <w:pPr>
              <w:pStyle w:val="yTable"/>
              <w:tabs>
                <w:tab w:val="decimal" w:pos="596"/>
              </w:tabs>
              <w:spacing w:before="40" w:after="40"/>
              <w:ind w:left="312" w:right="29"/>
            </w:pPr>
            <w:r>
              <w:br/>
              <w:t>257.90</w:t>
            </w:r>
          </w:p>
        </w:tc>
      </w:tr>
      <w:tr>
        <w:tc>
          <w:tcPr>
            <w:tcW w:w="5880" w:type="dxa"/>
          </w:tcPr>
          <w:p>
            <w:pPr>
              <w:pStyle w:val="yTable"/>
              <w:spacing w:before="40" w:after="40"/>
            </w:pPr>
            <w:r>
              <w:t>Dressing of wounds, under general anaesthetic</w:t>
            </w:r>
          </w:p>
        </w:tc>
        <w:tc>
          <w:tcPr>
            <w:tcW w:w="1440" w:type="dxa"/>
          </w:tcPr>
          <w:p>
            <w:pPr>
              <w:pStyle w:val="yTable"/>
              <w:tabs>
                <w:tab w:val="decimal" w:pos="596"/>
              </w:tabs>
              <w:spacing w:before="40" w:after="40"/>
              <w:ind w:left="312" w:right="29"/>
            </w:pPr>
            <w:r>
              <w:t>121.90</w:t>
            </w:r>
          </w:p>
        </w:tc>
      </w:tr>
      <w:tr>
        <w:tc>
          <w:tcPr>
            <w:tcW w:w="5880" w:type="dxa"/>
          </w:tcPr>
          <w:p>
            <w:pPr>
              <w:pStyle w:val="yTable"/>
              <w:spacing w:before="40" w:after="40"/>
            </w:pPr>
            <w:r>
              <w:t>Acupuncture, including consultation</w:t>
            </w:r>
          </w:p>
        </w:tc>
        <w:tc>
          <w:tcPr>
            <w:tcW w:w="1440" w:type="dxa"/>
          </w:tcPr>
          <w:p>
            <w:pPr>
              <w:pStyle w:val="yTable"/>
              <w:tabs>
                <w:tab w:val="decimal" w:pos="596"/>
              </w:tabs>
              <w:spacing w:before="40" w:after="40"/>
              <w:ind w:left="312" w:right="29"/>
            </w:pPr>
            <w:r>
              <w:t>56.85</w:t>
            </w:r>
          </w:p>
        </w:tc>
      </w:tr>
      <w:tr>
        <w:tc>
          <w:tcPr>
            <w:tcW w:w="5880" w:type="dxa"/>
          </w:tcPr>
          <w:p>
            <w:pPr>
              <w:pStyle w:val="yTable"/>
              <w:spacing w:before="240" w:after="40"/>
            </w:pPr>
            <w:r>
              <w:t>DISLOCATIONS</w:t>
            </w:r>
          </w:p>
        </w:tc>
        <w:tc>
          <w:tcPr>
            <w:tcW w:w="1440" w:type="dxa"/>
          </w:tcPr>
          <w:p>
            <w:pPr>
              <w:pStyle w:val="yTable"/>
              <w:spacing w:before="40" w:after="40"/>
              <w:jc w:val="center"/>
            </w:pPr>
          </w:p>
        </w:tc>
      </w:tr>
      <w:tr>
        <w:tc>
          <w:tcPr>
            <w:tcW w:w="5880" w:type="dxa"/>
          </w:tcPr>
          <w:p>
            <w:pPr>
              <w:pStyle w:val="yDefstart"/>
              <w:spacing w:before="40" w:after="40"/>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40" w:type="dxa"/>
          </w:tcPr>
          <w:p>
            <w:pPr>
              <w:pStyle w:val="yTable"/>
              <w:spacing w:before="40" w:after="40"/>
            </w:pPr>
          </w:p>
        </w:tc>
      </w:tr>
      <w:tr>
        <w:trPr>
          <w:cantSplit/>
        </w:trPr>
        <w:tc>
          <w:tcPr>
            <w:tcW w:w="5880" w:type="dxa"/>
          </w:tcPr>
          <w:p>
            <w:pPr>
              <w:pStyle w:val="yDefstart"/>
              <w:spacing w:before="40" w:after="40"/>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40" w:type="dxa"/>
          </w:tcPr>
          <w:p>
            <w:pPr>
              <w:pStyle w:val="yTable"/>
              <w:spacing w:before="40" w:after="40"/>
            </w:pPr>
          </w:p>
        </w:tc>
      </w:tr>
      <w:tr>
        <w:trPr>
          <w:cantSplit/>
        </w:trPr>
        <w:tc>
          <w:tcPr>
            <w:tcW w:w="5880" w:type="dxa"/>
          </w:tcPr>
          <w:p>
            <w:pPr>
              <w:pStyle w:val="yDefstart"/>
              <w:spacing w:before="40" w:after="40"/>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440" w:type="dxa"/>
          </w:tcPr>
          <w:p>
            <w:pPr>
              <w:pStyle w:val="yTable"/>
              <w:spacing w:before="40" w:after="40"/>
            </w:pPr>
          </w:p>
        </w:tc>
      </w:tr>
      <w:tr>
        <w:tc>
          <w:tcPr>
            <w:tcW w:w="5880" w:type="dxa"/>
          </w:tcPr>
          <w:p>
            <w:pPr>
              <w:pStyle w:val="yTable"/>
              <w:spacing w:before="40" w:after="40"/>
              <w:rPr>
                <w:b/>
                <w:sz w:val="18"/>
              </w:rPr>
            </w:pPr>
            <w:r>
              <w:rPr>
                <w:b/>
                <w:sz w:val="18"/>
              </w:rPr>
              <w:t>[Where injuries are associated with a compound (open)</w:t>
            </w:r>
          </w:p>
          <w:p>
            <w:pPr>
              <w:pStyle w:val="yTable"/>
              <w:spacing w:before="40" w:after="40"/>
            </w:pPr>
            <w:r>
              <w:rPr>
                <w:b/>
                <w:sz w:val="18"/>
              </w:rPr>
              <w:t xml:space="preserve"> wound, an additional fee of 50% of the fee listed is to apply]</w:t>
            </w:r>
          </w:p>
        </w:tc>
        <w:tc>
          <w:tcPr>
            <w:tcW w:w="1440" w:type="dxa"/>
          </w:tcPr>
          <w:p>
            <w:pPr>
              <w:pStyle w:val="yTable"/>
              <w:spacing w:before="40" w:after="40"/>
              <w:jc w:val="center"/>
            </w:pPr>
            <w:r>
              <w:br/>
            </w:r>
          </w:p>
        </w:tc>
      </w:tr>
      <w:tr>
        <w:tc>
          <w:tcPr>
            <w:tcW w:w="5880" w:type="dxa"/>
          </w:tcPr>
          <w:p>
            <w:pPr>
              <w:pStyle w:val="yTable"/>
              <w:spacing w:before="120" w:after="40"/>
            </w:pPr>
            <w:r>
              <w:t>Elbow, by closed reduction</w:t>
            </w:r>
          </w:p>
        </w:tc>
        <w:tc>
          <w:tcPr>
            <w:tcW w:w="1440" w:type="dxa"/>
          </w:tcPr>
          <w:p>
            <w:pPr>
              <w:pStyle w:val="yTable"/>
              <w:tabs>
                <w:tab w:val="decimal" w:pos="596"/>
              </w:tabs>
              <w:spacing w:before="120" w:after="40"/>
              <w:ind w:left="312" w:right="29"/>
            </w:pPr>
            <w:r>
              <w:t>229.75</w:t>
            </w:r>
          </w:p>
        </w:tc>
      </w:tr>
      <w:tr>
        <w:tc>
          <w:tcPr>
            <w:tcW w:w="5880" w:type="dxa"/>
          </w:tcPr>
          <w:p>
            <w:pPr>
              <w:pStyle w:val="yTable"/>
              <w:spacing w:before="40" w:after="40"/>
            </w:pPr>
            <w:r>
              <w:t>Elbow, by open reduction</w:t>
            </w:r>
          </w:p>
        </w:tc>
        <w:tc>
          <w:tcPr>
            <w:tcW w:w="1440" w:type="dxa"/>
          </w:tcPr>
          <w:p>
            <w:pPr>
              <w:pStyle w:val="yTable"/>
              <w:tabs>
                <w:tab w:val="decimal" w:pos="596"/>
              </w:tabs>
              <w:spacing w:before="40" w:after="40"/>
              <w:ind w:left="312" w:right="29"/>
            </w:pPr>
            <w:r>
              <w:t>304.70</w:t>
            </w:r>
          </w:p>
        </w:tc>
      </w:tr>
      <w:tr>
        <w:tc>
          <w:tcPr>
            <w:tcW w:w="5880" w:type="dxa"/>
          </w:tcPr>
          <w:p>
            <w:pPr>
              <w:pStyle w:val="yTable"/>
              <w:spacing w:before="40" w:after="40"/>
            </w:pPr>
            <w:r>
              <w:t>Interphalangeal joint, by closed reduction</w:t>
            </w:r>
          </w:p>
        </w:tc>
        <w:tc>
          <w:tcPr>
            <w:tcW w:w="1440" w:type="dxa"/>
          </w:tcPr>
          <w:p>
            <w:pPr>
              <w:pStyle w:val="yTable"/>
              <w:tabs>
                <w:tab w:val="decimal" w:pos="596"/>
              </w:tabs>
              <w:spacing w:before="40" w:after="40"/>
              <w:ind w:left="312" w:right="29"/>
            </w:pPr>
            <w:r>
              <w:t>98.50</w:t>
            </w:r>
          </w:p>
        </w:tc>
      </w:tr>
      <w:tr>
        <w:tc>
          <w:tcPr>
            <w:tcW w:w="5880" w:type="dxa"/>
          </w:tcPr>
          <w:p>
            <w:pPr>
              <w:pStyle w:val="yTable"/>
              <w:spacing w:before="40" w:after="40"/>
            </w:pPr>
            <w:r>
              <w:t>Interphalangeal joint, by open reduction</w:t>
            </w:r>
          </w:p>
        </w:tc>
        <w:tc>
          <w:tcPr>
            <w:tcW w:w="1440" w:type="dxa"/>
          </w:tcPr>
          <w:p>
            <w:pPr>
              <w:pStyle w:val="yTable"/>
              <w:tabs>
                <w:tab w:val="decimal" w:pos="596"/>
              </w:tabs>
              <w:spacing w:before="40" w:after="40"/>
              <w:ind w:left="312" w:right="29"/>
            </w:pPr>
            <w:r>
              <w:t>131.30</w:t>
            </w:r>
          </w:p>
        </w:tc>
      </w:tr>
      <w:tr>
        <w:tc>
          <w:tcPr>
            <w:tcW w:w="5880" w:type="dxa"/>
          </w:tcPr>
          <w:p>
            <w:pPr>
              <w:pStyle w:val="yTable"/>
              <w:spacing w:before="40" w:after="40"/>
            </w:pPr>
            <w:r>
              <w:t>Mandible, by closed reduction</w:t>
            </w:r>
          </w:p>
        </w:tc>
        <w:tc>
          <w:tcPr>
            <w:tcW w:w="1440" w:type="dxa"/>
          </w:tcPr>
          <w:p>
            <w:pPr>
              <w:pStyle w:val="yTable"/>
              <w:tabs>
                <w:tab w:val="decimal" w:pos="596"/>
              </w:tabs>
              <w:spacing w:before="40" w:after="40"/>
              <w:ind w:left="312" w:right="29"/>
            </w:pPr>
            <w:r>
              <w:t>82.10</w:t>
            </w:r>
          </w:p>
        </w:tc>
      </w:tr>
      <w:tr>
        <w:tc>
          <w:tcPr>
            <w:tcW w:w="5880" w:type="dxa"/>
          </w:tcPr>
          <w:p>
            <w:pPr>
              <w:pStyle w:val="yTable"/>
              <w:spacing w:before="40" w:after="40"/>
            </w:pPr>
            <w:r>
              <w:t>Clavicle, by closed reduction</w:t>
            </w:r>
          </w:p>
        </w:tc>
        <w:tc>
          <w:tcPr>
            <w:tcW w:w="1440" w:type="dxa"/>
          </w:tcPr>
          <w:p>
            <w:pPr>
              <w:pStyle w:val="yTable"/>
              <w:tabs>
                <w:tab w:val="decimal" w:pos="596"/>
              </w:tabs>
              <w:spacing w:before="40" w:after="40"/>
              <w:ind w:left="312" w:right="29"/>
            </w:pPr>
            <w:r>
              <w:t>97.35</w:t>
            </w:r>
          </w:p>
        </w:tc>
      </w:tr>
      <w:tr>
        <w:tc>
          <w:tcPr>
            <w:tcW w:w="5880" w:type="dxa"/>
          </w:tcPr>
          <w:p>
            <w:pPr>
              <w:pStyle w:val="yTable"/>
              <w:spacing w:before="40" w:after="40"/>
            </w:pPr>
            <w:r>
              <w:t>Clavicle,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spacing w:before="40" w:after="40"/>
            </w:pPr>
            <w:r>
              <w:t>Shoulder, not requiring general anaesthetic</w:t>
            </w:r>
          </w:p>
        </w:tc>
        <w:tc>
          <w:tcPr>
            <w:tcW w:w="1440" w:type="dxa"/>
          </w:tcPr>
          <w:p>
            <w:pPr>
              <w:pStyle w:val="yTable"/>
              <w:tabs>
                <w:tab w:val="decimal" w:pos="596"/>
              </w:tabs>
              <w:spacing w:before="40" w:after="40"/>
              <w:ind w:left="312" w:right="29"/>
            </w:pPr>
            <w:r>
              <w:t>109.55</w:t>
            </w:r>
          </w:p>
        </w:tc>
      </w:tr>
      <w:tr>
        <w:tc>
          <w:tcPr>
            <w:tcW w:w="5880" w:type="dxa"/>
          </w:tcPr>
          <w:p>
            <w:pPr>
              <w:pStyle w:val="yTable"/>
              <w:spacing w:before="40" w:after="40"/>
            </w:pPr>
            <w:r>
              <w:t>Shoulder, by open reduction, with general anaesthetic</w:t>
            </w:r>
          </w:p>
        </w:tc>
        <w:tc>
          <w:tcPr>
            <w:tcW w:w="1440" w:type="dxa"/>
          </w:tcPr>
          <w:p>
            <w:pPr>
              <w:pStyle w:val="yTable"/>
              <w:tabs>
                <w:tab w:val="decimal" w:pos="596"/>
              </w:tabs>
              <w:spacing w:before="40" w:after="40"/>
              <w:ind w:left="312" w:right="29"/>
            </w:pPr>
            <w:r>
              <w:t>392.70</w:t>
            </w:r>
          </w:p>
        </w:tc>
      </w:tr>
      <w:tr>
        <w:tc>
          <w:tcPr>
            <w:tcW w:w="5880" w:type="dxa"/>
          </w:tcPr>
          <w:p>
            <w:pPr>
              <w:pStyle w:val="yTable"/>
              <w:spacing w:before="40" w:after="40"/>
            </w:pPr>
            <w:r>
              <w:t>Shoulder, other, with general anaesthetic</w:t>
            </w:r>
          </w:p>
        </w:tc>
        <w:tc>
          <w:tcPr>
            <w:tcW w:w="1440" w:type="dxa"/>
          </w:tcPr>
          <w:p>
            <w:pPr>
              <w:pStyle w:val="yTable"/>
              <w:tabs>
                <w:tab w:val="decimal" w:pos="596"/>
              </w:tabs>
              <w:spacing w:before="40" w:after="40"/>
              <w:ind w:left="312" w:right="29"/>
            </w:pPr>
            <w:r>
              <w:t>194.55</w:t>
            </w:r>
          </w:p>
        </w:tc>
      </w:tr>
      <w:tr>
        <w:tc>
          <w:tcPr>
            <w:tcW w:w="5880" w:type="dxa"/>
          </w:tcPr>
          <w:p>
            <w:pPr>
              <w:pStyle w:val="yTable"/>
              <w:spacing w:before="40" w:after="40"/>
            </w:pPr>
            <w:r>
              <w:t>Metacarpophalangeal joint, by closed reduction</w:t>
            </w:r>
          </w:p>
        </w:tc>
        <w:tc>
          <w:tcPr>
            <w:tcW w:w="1440" w:type="dxa"/>
          </w:tcPr>
          <w:p>
            <w:pPr>
              <w:pStyle w:val="yTable"/>
              <w:tabs>
                <w:tab w:val="decimal" w:pos="596"/>
              </w:tabs>
              <w:spacing w:before="40" w:after="40"/>
              <w:ind w:left="312" w:right="29"/>
            </w:pPr>
            <w:r>
              <w:t>131.30</w:t>
            </w:r>
          </w:p>
        </w:tc>
      </w:tr>
      <w:tr>
        <w:tc>
          <w:tcPr>
            <w:tcW w:w="5880" w:type="dxa"/>
          </w:tcPr>
          <w:p>
            <w:pPr>
              <w:pStyle w:val="yTable"/>
              <w:spacing w:before="40" w:after="40"/>
            </w:pPr>
            <w:r>
              <w:t>Metacarpophalangeal joint, by open reduction</w:t>
            </w:r>
          </w:p>
        </w:tc>
        <w:tc>
          <w:tcPr>
            <w:tcW w:w="1440" w:type="dxa"/>
          </w:tcPr>
          <w:p>
            <w:pPr>
              <w:pStyle w:val="yTable"/>
              <w:tabs>
                <w:tab w:val="decimal" w:pos="596"/>
              </w:tabs>
              <w:spacing w:before="40" w:after="40"/>
              <w:ind w:left="312" w:right="29"/>
            </w:pPr>
            <w:r>
              <w:t>175.85</w:t>
            </w:r>
          </w:p>
        </w:tc>
      </w:tr>
      <w:tr>
        <w:tc>
          <w:tcPr>
            <w:tcW w:w="5880" w:type="dxa"/>
          </w:tcPr>
          <w:p>
            <w:pPr>
              <w:pStyle w:val="yTable"/>
              <w:spacing w:before="40" w:after="40"/>
            </w:pPr>
            <w:r>
              <w:t>Patella, by closed reduction</w:t>
            </w:r>
          </w:p>
        </w:tc>
        <w:tc>
          <w:tcPr>
            <w:tcW w:w="1440" w:type="dxa"/>
          </w:tcPr>
          <w:p>
            <w:pPr>
              <w:pStyle w:val="yTable"/>
              <w:tabs>
                <w:tab w:val="decimal" w:pos="596"/>
              </w:tabs>
              <w:spacing w:before="40" w:after="40"/>
              <w:ind w:left="312" w:right="29"/>
            </w:pPr>
            <w:r>
              <w:t>147.65</w:t>
            </w:r>
          </w:p>
        </w:tc>
      </w:tr>
      <w:tr>
        <w:tc>
          <w:tcPr>
            <w:tcW w:w="5880" w:type="dxa"/>
          </w:tcPr>
          <w:p>
            <w:pPr>
              <w:pStyle w:val="yTable"/>
              <w:spacing w:before="40" w:after="40"/>
            </w:pPr>
            <w:r>
              <w:t>Patella,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spacing w:before="40" w:after="40"/>
            </w:pPr>
            <w:r>
              <w:t>Radioulnar joint, by closed reduction</w:t>
            </w:r>
          </w:p>
        </w:tc>
        <w:tc>
          <w:tcPr>
            <w:tcW w:w="1440" w:type="dxa"/>
          </w:tcPr>
          <w:p>
            <w:pPr>
              <w:pStyle w:val="yTable"/>
              <w:tabs>
                <w:tab w:val="decimal" w:pos="596"/>
              </w:tabs>
              <w:spacing w:before="40" w:after="40"/>
              <w:ind w:left="312" w:right="29"/>
            </w:pPr>
            <w:r>
              <w:t>229.75</w:t>
            </w:r>
          </w:p>
        </w:tc>
      </w:tr>
      <w:tr>
        <w:tc>
          <w:tcPr>
            <w:tcW w:w="5880" w:type="dxa"/>
          </w:tcPr>
          <w:p>
            <w:pPr>
              <w:pStyle w:val="yTable"/>
              <w:spacing w:before="40" w:after="40"/>
            </w:pPr>
            <w:r>
              <w:t>Radioulnar joint, by open reduction</w:t>
            </w:r>
          </w:p>
        </w:tc>
        <w:tc>
          <w:tcPr>
            <w:tcW w:w="1440" w:type="dxa"/>
          </w:tcPr>
          <w:p>
            <w:pPr>
              <w:pStyle w:val="yTable"/>
              <w:tabs>
                <w:tab w:val="decimal" w:pos="596"/>
              </w:tabs>
              <w:spacing w:before="40" w:after="40"/>
              <w:ind w:left="312" w:right="29"/>
            </w:pPr>
            <w:r>
              <w:t>304.70</w:t>
            </w:r>
          </w:p>
        </w:tc>
      </w:tr>
      <w:tr>
        <w:tc>
          <w:tcPr>
            <w:tcW w:w="5880" w:type="dxa"/>
          </w:tcPr>
          <w:p>
            <w:pPr>
              <w:pStyle w:val="yTable"/>
              <w:spacing w:before="40" w:after="40"/>
            </w:pPr>
            <w:r>
              <w:t>Toe, by closed reduction</w:t>
            </w:r>
          </w:p>
        </w:tc>
        <w:tc>
          <w:tcPr>
            <w:tcW w:w="1440" w:type="dxa"/>
          </w:tcPr>
          <w:p>
            <w:pPr>
              <w:pStyle w:val="yTable"/>
              <w:tabs>
                <w:tab w:val="decimal" w:pos="596"/>
              </w:tabs>
              <w:spacing w:before="40" w:after="40"/>
              <w:ind w:left="312" w:right="29"/>
            </w:pPr>
            <w:r>
              <w:t>82.10</w:t>
            </w:r>
          </w:p>
        </w:tc>
      </w:tr>
      <w:tr>
        <w:tc>
          <w:tcPr>
            <w:tcW w:w="5880" w:type="dxa"/>
          </w:tcPr>
          <w:p>
            <w:pPr>
              <w:pStyle w:val="yTable"/>
              <w:spacing w:before="40" w:after="40"/>
            </w:pPr>
            <w:r>
              <w:t>Toe, by open reduction</w:t>
            </w:r>
          </w:p>
        </w:tc>
        <w:tc>
          <w:tcPr>
            <w:tcW w:w="1440" w:type="dxa"/>
          </w:tcPr>
          <w:p>
            <w:pPr>
              <w:pStyle w:val="yTable"/>
              <w:tabs>
                <w:tab w:val="decimal" w:pos="596"/>
              </w:tabs>
              <w:spacing w:before="40" w:after="40"/>
              <w:ind w:left="312" w:right="29"/>
            </w:pPr>
            <w:r>
              <w:t>109.00</w:t>
            </w:r>
          </w:p>
        </w:tc>
      </w:tr>
      <w:tr>
        <w:tc>
          <w:tcPr>
            <w:tcW w:w="5880" w:type="dxa"/>
          </w:tcPr>
          <w:p>
            <w:pPr>
              <w:pStyle w:val="yTable"/>
              <w:spacing w:before="160" w:after="40"/>
            </w:pPr>
            <w:r>
              <w:t>REMOVAL OF FOREIGN BODIES — </w:t>
            </w:r>
          </w:p>
        </w:tc>
        <w:tc>
          <w:tcPr>
            <w:tcW w:w="1440" w:type="dxa"/>
          </w:tcPr>
          <w:p>
            <w:pPr>
              <w:pStyle w:val="yTable"/>
              <w:spacing w:before="40" w:after="40"/>
              <w:jc w:val="center"/>
            </w:pPr>
          </w:p>
        </w:tc>
      </w:tr>
      <w:tr>
        <w:tc>
          <w:tcPr>
            <w:tcW w:w="5880" w:type="dxa"/>
          </w:tcPr>
          <w:p>
            <w:pPr>
              <w:pStyle w:val="yTable"/>
              <w:spacing w:before="40" w:after="40"/>
            </w:pPr>
            <w:r>
              <w:tab/>
              <w:t>as independent procedure</w:t>
            </w:r>
          </w:p>
        </w:tc>
        <w:tc>
          <w:tcPr>
            <w:tcW w:w="1440" w:type="dxa"/>
          </w:tcPr>
          <w:p>
            <w:pPr>
              <w:pStyle w:val="yTable"/>
              <w:tabs>
                <w:tab w:val="decimal" w:pos="596"/>
              </w:tabs>
              <w:spacing w:before="40" w:after="40"/>
              <w:ind w:left="312" w:right="29"/>
            </w:pPr>
            <w:r>
              <w:t>35.75</w:t>
            </w:r>
          </w:p>
        </w:tc>
      </w:tr>
      <w:tr>
        <w:tc>
          <w:tcPr>
            <w:tcW w:w="5880" w:type="dxa"/>
          </w:tcPr>
          <w:p>
            <w:pPr>
              <w:pStyle w:val="yTable"/>
              <w:spacing w:before="40" w:after="40"/>
            </w:pPr>
            <w:r>
              <w:tab/>
              <w:t>superficial</w:t>
            </w:r>
          </w:p>
        </w:tc>
        <w:tc>
          <w:tcPr>
            <w:tcW w:w="1440" w:type="dxa"/>
          </w:tcPr>
          <w:p>
            <w:pPr>
              <w:pStyle w:val="yTable"/>
              <w:tabs>
                <w:tab w:val="decimal" w:pos="596"/>
              </w:tabs>
              <w:spacing w:before="40" w:after="40"/>
              <w:ind w:left="312" w:right="29"/>
            </w:pPr>
            <w:r>
              <w:t>159.40</w:t>
            </w:r>
          </w:p>
        </w:tc>
      </w:tr>
      <w:tr>
        <w:tc>
          <w:tcPr>
            <w:tcW w:w="5880" w:type="dxa"/>
          </w:tcPr>
          <w:p>
            <w:pPr>
              <w:pStyle w:val="yTable"/>
              <w:spacing w:before="40" w:after="40"/>
            </w:pPr>
            <w:r>
              <w:tab/>
              <w:t>deep tissue or muscle</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ab/>
              <w:t>ear, other than by syringing</w:t>
            </w:r>
          </w:p>
        </w:tc>
        <w:tc>
          <w:tcPr>
            <w:tcW w:w="1440" w:type="dxa"/>
          </w:tcPr>
          <w:p>
            <w:pPr>
              <w:pStyle w:val="yTable"/>
              <w:tabs>
                <w:tab w:val="decimal" w:pos="596"/>
              </w:tabs>
              <w:spacing w:before="40" w:after="40"/>
              <w:ind w:left="312" w:right="29"/>
            </w:pPr>
            <w:r>
              <w:t>114.85</w:t>
            </w:r>
          </w:p>
        </w:tc>
      </w:tr>
      <w:tr>
        <w:tc>
          <w:tcPr>
            <w:tcW w:w="5880" w:type="dxa"/>
          </w:tcPr>
          <w:p>
            <w:pPr>
              <w:pStyle w:val="yTable"/>
              <w:spacing w:before="40" w:after="40"/>
            </w:pPr>
            <w:r>
              <w:tab/>
              <w:t>nose, other than by simple probing</w:t>
            </w:r>
          </w:p>
        </w:tc>
        <w:tc>
          <w:tcPr>
            <w:tcW w:w="1440" w:type="dxa"/>
          </w:tcPr>
          <w:p>
            <w:pPr>
              <w:pStyle w:val="yTable"/>
              <w:tabs>
                <w:tab w:val="decimal" w:pos="596"/>
              </w:tabs>
              <w:spacing w:before="40" w:after="40"/>
              <w:ind w:left="312" w:right="29"/>
            </w:pPr>
            <w:r>
              <w:t>114.85</w:t>
            </w:r>
          </w:p>
        </w:tc>
      </w:tr>
      <w:tr>
        <w:tc>
          <w:tcPr>
            <w:tcW w:w="5880" w:type="dxa"/>
          </w:tcPr>
          <w:p>
            <w:pPr>
              <w:pStyle w:val="yTable"/>
              <w:spacing w:before="40" w:after="40"/>
            </w:pPr>
            <w:r>
              <w:tab/>
              <w:t>cornea or sclera, embedded</w:t>
            </w:r>
          </w:p>
        </w:tc>
        <w:tc>
          <w:tcPr>
            <w:tcW w:w="1440" w:type="dxa"/>
          </w:tcPr>
          <w:p>
            <w:pPr>
              <w:pStyle w:val="yTable"/>
              <w:tabs>
                <w:tab w:val="decimal" w:pos="596"/>
              </w:tabs>
              <w:spacing w:before="40" w:after="40"/>
              <w:ind w:left="312" w:right="29"/>
            </w:pPr>
            <w:r>
              <w:t>117.20</w:t>
            </w:r>
          </w:p>
        </w:tc>
      </w:tr>
      <w:tr>
        <w:tc>
          <w:tcPr>
            <w:tcW w:w="5880" w:type="dxa"/>
          </w:tcPr>
          <w:p>
            <w:pPr>
              <w:pStyle w:val="yTable"/>
              <w:spacing w:before="120" w:after="40"/>
            </w:pPr>
            <w:r>
              <w:t>FRACTURES</w:t>
            </w:r>
          </w:p>
        </w:tc>
        <w:tc>
          <w:tcPr>
            <w:tcW w:w="1440" w:type="dxa"/>
          </w:tcPr>
          <w:p>
            <w:pPr>
              <w:pStyle w:val="yTable"/>
              <w:keepNext/>
              <w:spacing w:before="40" w:after="40"/>
              <w:jc w:val="center"/>
            </w:pPr>
          </w:p>
        </w:tc>
      </w:tr>
      <w:tr>
        <w:tc>
          <w:tcPr>
            <w:tcW w:w="5880" w:type="dxa"/>
          </w:tcPr>
          <w:p>
            <w:pPr>
              <w:pStyle w:val="yDefstart"/>
              <w:spacing w:before="40" w:after="40"/>
            </w:pPr>
            <w:r>
              <w:tab/>
            </w:r>
            <w:r>
              <w:rPr>
                <w:b/>
                <w:sz w:val="18"/>
              </w:rPr>
              <w:t xml:space="preserve">“closed reduction” </w:t>
            </w:r>
            <w:r>
              <w:rPr>
                <w:sz w:val="18"/>
              </w:rPr>
              <w:t>means non</w:t>
            </w:r>
            <w:r>
              <w:rPr>
                <w:sz w:val="18"/>
              </w:rPr>
              <w:noBreakHyphen/>
              <w:t>operative reduction of the fracture, and included percutaneous fixation and/or external splintage by cast or splint.</w:t>
            </w:r>
          </w:p>
        </w:tc>
        <w:tc>
          <w:tcPr>
            <w:tcW w:w="1440" w:type="dxa"/>
          </w:tcPr>
          <w:p>
            <w:pPr>
              <w:pStyle w:val="yTable"/>
              <w:keepNext/>
              <w:spacing w:before="40" w:after="40"/>
            </w:pPr>
          </w:p>
        </w:tc>
      </w:tr>
      <w:tr>
        <w:tc>
          <w:tcPr>
            <w:tcW w:w="5880" w:type="dxa"/>
          </w:tcPr>
          <w:p>
            <w:pPr>
              <w:pStyle w:val="yDefstart"/>
              <w:spacing w:before="40" w:after="40"/>
            </w:pPr>
            <w:r>
              <w:rPr>
                <w:b/>
                <w:sz w:val="18"/>
              </w:rPr>
              <w:tab/>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40" w:type="dxa"/>
          </w:tcPr>
          <w:p>
            <w:pPr>
              <w:pStyle w:val="yTable"/>
              <w:keepNext/>
              <w:spacing w:before="40" w:after="40"/>
            </w:pPr>
          </w:p>
        </w:tc>
      </w:tr>
      <w:tr>
        <w:tc>
          <w:tcPr>
            <w:tcW w:w="5880" w:type="dxa"/>
          </w:tcPr>
          <w:p>
            <w:pPr>
              <w:pStyle w:val="yDefstart"/>
              <w:spacing w:before="40" w:after="40"/>
              <w:rPr>
                <w:sz w:val="18"/>
              </w:rPr>
            </w:pPr>
            <w:r>
              <w:rPr>
                <w:snapToGrid/>
                <w:sz w:val="18"/>
              </w:rPr>
              <w:tab/>
            </w:r>
            <w:r>
              <w:rPr>
                <w:b/>
                <w:snapToGrid/>
                <w:sz w:val="18"/>
              </w:rPr>
              <w:t>“</w:t>
            </w:r>
            <w:r>
              <w:rPr>
                <w:b/>
                <w:sz w:val="18"/>
              </w:rPr>
              <w:t>other</w:t>
            </w:r>
            <w:r>
              <w:rPr>
                <w:b/>
                <w:snapToGrid/>
                <w:sz w:val="18"/>
              </w:rPr>
              <w:t>”</w:t>
            </w:r>
            <w:r>
              <w:rPr>
                <w:snapToGrid/>
                <w:sz w:val="18"/>
              </w:rPr>
              <w:t xml:space="preserve"> means treatment by any other method and includes the use of external splintage.</w:t>
            </w:r>
          </w:p>
        </w:tc>
        <w:tc>
          <w:tcPr>
            <w:tcW w:w="1440" w:type="dxa"/>
          </w:tcPr>
          <w:p>
            <w:pPr>
              <w:pStyle w:val="yTable"/>
              <w:keepNext/>
              <w:spacing w:before="40" w:after="40"/>
            </w:pPr>
          </w:p>
        </w:tc>
      </w:tr>
      <w:tr>
        <w:tc>
          <w:tcPr>
            <w:tcW w:w="5880" w:type="dxa"/>
          </w:tcPr>
          <w:p>
            <w:pPr>
              <w:pStyle w:val="yTable"/>
              <w:spacing w:before="40" w:after="40"/>
            </w:pPr>
            <w:r>
              <w:rPr>
                <w:b/>
                <w:sz w:val="18"/>
              </w:rPr>
              <w:t>[Where injuries are associated with a compound (open)</w:t>
            </w:r>
            <w:r>
              <w:rPr>
                <w:b/>
                <w:sz w:val="18"/>
              </w:rPr>
              <w:br/>
              <w:t xml:space="preserve"> wound, an additional fee of 50% of the fee listed is to apply]</w:t>
            </w:r>
          </w:p>
        </w:tc>
        <w:tc>
          <w:tcPr>
            <w:tcW w:w="1440" w:type="dxa"/>
          </w:tcPr>
          <w:p>
            <w:pPr>
              <w:pStyle w:val="yTable"/>
              <w:keepNext/>
              <w:spacing w:before="40" w:after="40"/>
            </w:pPr>
          </w:p>
        </w:tc>
      </w:tr>
      <w:tr>
        <w:tc>
          <w:tcPr>
            <w:tcW w:w="5880" w:type="dxa"/>
          </w:tcPr>
          <w:p>
            <w:pPr>
              <w:pStyle w:val="yTable"/>
              <w:spacing w:before="120" w:after="40"/>
            </w:pPr>
            <w:r>
              <w:t>Distal phalanx of finger or thumb</w:t>
            </w:r>
          </w:p>
        </w:tc>
        <w:tc>
          <w:tcPr>
            <w:tcW w:w="1440" w:type="dxa"/>
          </w:tcPr>
          <w:p>
            <w:pPr>
              <w:pStyle w:val="yTable"/>
              <w:keepNext/>
              <w:tabs>
                <w:tab w:val="right" w:pos="1163"/>
              </w:tabs>
              <w:spacing w:before="40" w:after="40"/>
              <w:ind w:right="294"/>
            </w:pPr>
          </w:p>
        </w:tc>
      </w:tr>
      <w:tr>
        <w:tc>
          <w:tcPr>
            <w:tcW w:w="5880" w:type="dxa"/>
          </w:tcPr>
          <w:p>
            <w:pPr>
              <w:pStyle w:val="yTable"/>
              <w:spacing w:before="40" w:after="40"/>
              <w:ind w:left="284" w:hanging="284"/>
            </w:pPr>
            <w:r>
              <w:tab/>
              <w:t>fracture, by closed reduction</w:t>
            </w:r>
          </w:p>
        </w:tc>
        <w:tc>
          <w:tcPr>
            <w:tcW w:w="1440" w:type="dxa"/>
          </w:tcPr>
          <w:p>
            <w:pPr>
              <w:pStyle w:val="yTable"/>
              <w:tabs>
                <w:tab w:val="decimal" w:pos="596"/>
              </w:tabs>
              <w:spacing w:before="40" w:after="40"/>
              <w:ind w:left="312" w:right="29"/>
            </w:pPr>
            <w:r>
              <w:t>147.65</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171.15</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246.15</w:t>
            </w:r>
          </w:p>
        </w:tc>
      </w:tr>
      <w:tr>
        <w:tc>
          <w:tcPr>
            <w:tcW w:w="5880" w:type="dxa"/>
          </w:tcPr>
          <w:p>
            <w:pPr>
              <w:pStyle w:val="yTable"/>
              <w:spacing w:before="40" w:after="40"/>
            </w:pPr>
            <w:r>
              <w:t>Middle phalanx of finger</w:t>
            </w:r>
          </w:p>
        </w:tc>
        <w:tc>
          <w:tcPr>
            <w:tcW w:w="1440" w:type="dxa"/>
          </w:tcPr>
          <w:p>
            <w:pPr>
              <w:pStyle w:val="yTable"/>
              <w:keepNext/>
              <w:tabs>
                <w:tab w:val="decimal" w:pos="1051"/>
              </w:tabs>
              <w:spacing w:before="40" w:after="40"/>
              <w:ind w:left="426" w:right="29"/>
            </w:pPr>
          </w:p>
        </w:tc>
      </w:tr>
      <w:tr>
        <w:tc>
          <w:tcPr>
            <w:tcW w:w="5880" w:type="dxa"/>
          </w:tcPr>
          <w:p>
            <w:pPr>
              <w:pStyle w:val="yTable"/>
              <w:tabs>
                <w:tab w:val="left" w:pos="283"/>
              </w:tabs>
              <w:spacing w:before="40" w:after="40"/>
              <w:ind w:left="283" w:hanging="283"/>
            </w:pPr>
            <w:r>
              <w:tab/>
              <w:t>fracture, by closed reduction</w:t>
            </w:r>
          </w:p>
        </w:tc>
        <w:tc>
          <w:tcPr>
            <w:tcW w:w="1440" w:type="dxa"/>
          </w:tcPr>
          <w:p>
            <w:pPr>
              <w:pStyle w:val="yTable"/>
              <w:tabs>
                <w:tab w:val="decimal" w:pos="596"/>
              </w:tabs>
              <w:spacing w:before="40" w:after="40"/>
              <w:ind w:left="312" w:right="29"/>
            </w:pPr>
            <w:r>
              <w:t>222.70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251.95</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369.15</w:t>
            </w:r>
          </w:p>
        </w:tc>
      </w:tr>
      <w:tr>
        <w:tc>
          <w:tcPr>
            <w:tcW w:w="5880" w:type="dxa"/>
          </w:tcPr>
          <w:p>
            <w:pPr>
              <w:pStyle w:val="yTable"/>
              <w:keepNext/>
              <w:tabs>
                <w:tab w:val="left" w:pos="283"/>
              </w:tabs>
              <w:spacing w:before="40" w:after="40"/>
              <w:ind w:left="283" w:hanging="283"/>
            </w:pPr>
            <w:r>
              <w:t>Proximal phalanx of finger or thumb</w:t>
            </w:r>
          </w:p>
        </w:tc>
        <w:tc>
          <w:tcPr>
            <w:tcW w:w="1440" w:type="dxa"/>
          </w:tcPr>
          <w:p>
            <w:pPr>
              <w:pStyle w:val="yTable"/>
              <w:keepNext/>
              <w:keepLines/>
              <w:tabs>
                <w:tab w:val="decimal" w:pos="1051"/>
              </w:tabs>
              <w:spacing w:before="40" w:after="40"/>
              <w:ind w:left="426" w:right="29"/>
            </w:pPr>
          </w:p>
        </w:tc>
      </w:tr>
      <w:tr>
        <w:tc>
          <w:tcPr>
            <w:tcW w:w="5880" w:type="dxa"/>
          </w:tcPr>
          <w:p>
            <w:pPr>
              <w:pStyle w:val="yTable"/>
              <w:keepNext/>
              <w:tabs>
                <w:tab w:val="left" w:pos="283"/>
              </w:tabs>
              <w:spacing w:before="40" w:after="40"/>
              <w:ind w:left="283" w:hanging="283"/>
            </w:pPr>
            <w:r>
              <w:tab/>
              <w:t>fracture, by closed reduction</w:t>
            </w:r>
          </w:p>
        </w:tc>
        <w:tc>
          <w:tcPr>
            <w:tcW w:w="1440" w:type="dxa"/>
          </w:tcPr>
          <w:p>
            <w:pPr>
              <w:pStyle w:val="yTable"/>
              <w:keepNext/>
              <w:keepLines/>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keepNext/>
              <w:keepLines/>
              <w:tabs>
                <w:tab w:val="decimal" w:pos="596"/>
              </w:tabs>
              <w:spacing w:before="40" w:after="40"/>
              <w:ind w:left="312" w:right="29"/>
            </w:pPr>
            <w:r>
              <w:t>345.70</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392.70</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492.30</w:t>
            </w:r>
          </w:p>
        </w:tc>
      </w:tr>
      <w:tr>
        <w:tc>
          <w:tcPr>
            <w:tcW w:w="5880" w:type="dxa"/>
          </w:tcPr>
          <w:p>
            <w:pPr>
              <w:pStyle w:val="yTable"/>
              <w:tabs>
                <w:tab w:val="left" w:pos="283"/>
              </w:tabs>
              <w:spacing w:before="40" w:after="40"/>
              <w:ind w:left="283" w:hanging="283"/>
            </w:pPr>
            <w:r>
              <w:t>Metacarpal</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fracture, by closed reduction</w:t>
            </w:r>
          </w:p>
        </w:tc>
        <w:tc>
          <w:tcPr>
            <w:tcW w:w="1440" w:type="dxa"/>
          </w:tcPr>
          <w:p>
            <w:pPr>
              <w:pStyle w:val="yTable"/>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345.70</w:t>
            </w:r>
          </w:p>
        </w:tc>
      </w:tr>
      <w:tr>
        <w:tc>
          <w:tcPr>
            <w:tcW w:w="5880" w:type="dxa"/>
          </w:tcPr>
          <w:p>
            <w:pPr>
              <w:pStyle w:val="yTable"/>
              <w:keepNext/>
              <w:keepLines/>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392.70</w:t>
            </w:r>
          </w:p>
        </w:tc>
      </w:tr>
      <w:tr>
        <w:tc>
          <w:tcPr>
            <w:tcW w:w="5880" w:type="dxa"/>
          </w:tcPr>
          <w:p>
            <w:pPr>
              <w:pStyle w:val="yTable"/>
              <w:keepNext/>
              <w:keepLines/>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492.30</w:t>
            </w:r>
          </w:p>
        </w:tc>
      </w:tr>
      <w:tr>
        <w:tc>
          <w:tcPr>
            <w:tcW w:w="5880" w:type="dxa"/>
          </w:tcPr>
          <w:p>
            <w:pPr>
              <w:pStyle w:val="yTable"/>
              <w:spacing w:before="40" w:after="40"/>
            </w:pPr>
            <w:r>
              <w:t>Carpal Scaphoid, by open reduction</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Carpal Scaphoid, other</w:t>
            </w:r>
          </w:p>
        </w:tc>
        <w:tc>
          <w:tcPr>
            <w:tcW w:w="1440" w:type="dxa"/>
          </w:tcPr>
          <w:p>
            <w:pPr>
              <w:pStyle w:val="yTable"/>
              <w:tabs>
                <w:tab w:val="decimal" w:pos="596"/>
              </w:tabs>
              <w:spacing w:before="40" w:after="40"/>
              <w:ind w:left="312" w:right="29"/>
            </w:pPr>
            <w:r>
              <w:t>293.00</w:t>
            </w:r>
          </w:p>
        </w:tc>
      </w:tr>
      <w:tr>
        <w:tc>
          <w:tcPr>
            <w:tcW w:w="5880" w:type="dxa"/>
          </w:tcPr>
          <w:p>
            <w:pPr>
              <w:pStyle w:val="yTable"/>
              <w:spacing w:before="40" w:after="40"/>
            </w:pPr>
            <w:r>
              <w:t>Carpus (excluding Scaphoid), by open reduction</w:t>
            </w:r>
          </w:p>
        </w:tc>
        <w:tc>
          <w:tcPr>
            <w:tcW w:w="1440" w:type="dxa"/>
          </w:tcPr>
          <w:p>
            <w:pPr>
              <w:pStyle w:val="yTable"/>
              <w:tabs>
                <w:tab w:val="decimal" w:pos="596"/>
              </w:tabs>
              <w:spacing w:before="40" w:after="40"/>
              <w:ind w:left="312" w:right="29"/>
            </w:pPr>
            <w:r>
              <w:t>410.20</w:t>
            </w:r>
          </w:p>
        </w:tc>
      </w:tr>
      <w:tr>
        <w:tc>
          <w:tcPr>
            <w:tcW w:w="5880" w:type="dxa"/>
          </w:tcPr>
          <w:p>
            <w:pPr>
              <w:pStyle w:val="yTable"/>
              <w:spacing w:before="40" w:after="40"/>
            </w:pPr>
            <w:r>
              <w:t>Carpus (excluding Scaphoid), other</w:t>
            </w:r>
          </w:p>
        </w:tc>
        <w:tc>
          <w:tcPr>
            <w:tcW w:w="1440" w:type="dxa"/>
          </w:tcPr>
          <w:p>
            <w:pPr>
              <w:pStyle w:val="yTable"/>
              <w:tabs>
                <w:tab w:val="decimal" w:pos="596"/>
              </w:tabs>
              <w:spacing w:before="40" w:after="40"/>
              <w:ind w:left="312" w:right="29"/>
            </w:pPr>
            <w:r>
              <w:t>164.10</w:t>
            </w:r>
          </w:p>
        </w:tc>
      </w:tr>
      <w:tr>
        <w:tc>
          <w:tcPr>
            <w:tcW w:w="5880" w:type="dxa"/>
          </w:tcPr>
          <w:p>
            <w:pPr>
              <w:pStyle w:val="yTable"/>
              <w:spacing w:before="40" w:after="40"/>
            </w:pPr>
            <w:r>
              <w:t>Radius</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management</w:t>
            </w:r>
          </w:p>
        </w:tc>
        <w:tc>
          <w:tcPr>
            <w:tcW w:w="1440" w:type="dxa"/>
          </w:tcPr>
          <w:p>
            <w:pPr>
              <w:pStyle w:val="yTable"/>
              <w:tabs>
                <w:tab w:val="decimal" w:pos="596"/>
              </w:tabs>
              <w:spacing w:before="40" w:after="40"/>
              <w:ind w:left="312" w:right="29"/>
            </w:pPr>
            <w:r>
              <w:t>328.15</w:t>
            </w:r>
          </w:p>
        </w:tc>
      </w:tr>
      <w:tr>
        <w:tc>
          <w:tcPr>
            <w:tcW w:w="5880" w:type="dxa"/>
          </w:tcPr>
          <w:p>
            <w:pPr>
              <w:pStyle w:val="yTable"/>
              <w:tabs>
                <w:tab w:val="left" w:pos="283"/>
              </w:tabs>
              <w:spacing w:before="40" w:after="40"/>
              <w:ind w:left="283" w:hanging="283"/>
            </w:pPr>
            <w:r>
              <w:tab/>
              <w:t>by open management</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Radius or Ulnar, distal end, (Colies’, Smith’s or Barton’s)</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492.30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Ribs (1 or more), each attendance</w:t>
            </w:r>
          </w:p>
        </w:tc>
        <w:tc>
          <w:tcPr>
            <w:tcW w:w="1440" w:type="dxa"/>
          </w:tcPr>
          <w:p>
            <w:pPr>
              <w:pStyle w:val="yTable"/>
              <w:tabs>
                <w:tab w:val="decimal" w:pos="596"/>
              </w:tabs>
              <w:spacing w:before="40" w:after="40"/>
              <w:ind w:left="312" w:right="29"/>
            </w:pPr>
            <w:r>
              <w:t>75.10</w:t>
            </w:r>
          </w:p>
        </w:tc>
      </w:tr>
      <w:tr>
        <w:tc>
          <w:tcPr>
            <w:tcW w:w="5880" w:type="dxa"/>
          </w:tcPr>
          <w:p>
            <w:pPr>
              <w:pStyle w:val="yTable"/>
              <w:keepNext/>
              <w:keepLines/>
              <w:spacing w:before="40" w:after="40"/>
            </w:pPr>
            <w:r>
              <w:t>Tibia, plateau of, medial or lateral</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591.90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596"/>
              </w:tabs>
              <w:spacing w:before="40" w:after="40"/>
              <w:ind w:left="312" w:right="29"/>
            </w:pPr>
            <w:r>
              <w:t>785.25</w:t>
            </w:r>
          </w:p>
        </w:tc>
      </w:tr>
      <w:tr>
        <w:tc>
          <w:tcPr>
            <w:tcW w:w="5880" w:type="dxa"/>
          </w:tcPr>
          <w:p>
            <w:pPr>
              <w:pStyle w:val="yTable"/>
              <w:spacing w:before="40" w:after="40"/>
            </w:pPr>
            <w:r>
              <w:t>Tibia, plateau of, medial and lateral</w:t>
            </w:r>
          </w:p>
        </w:tc>
        <w:tc>
          <w:tcPr>
            <w:tcW w:w="1440" w:type="dxa"/>
          </w:tcPr>
          <w:p>
            <w:pPr>
              <w:pStyle w:val="yTable"/>
              <w:keepNext/>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984.50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208"/>
              </w:tabs>
              <w:spacing w:before="40" w:after="40"/>
              <w:ind w:left="66" w:right="29"/>
            </w:pPr>
            <w:r>
              <w:t>1 318.50</w:t>
            </w:r>
          </w:p>
        </w:tc>
      </w:tr>
      <w:tr>
        <w:tc>
          <w:tcPr>
            <w:tcW w:w="5880" w:type="dxa"/>
          </w:tcPr>
          <w:p>
            <w:pPr>
              <w:pStyle w:val="yTable"/>
              <w:spacing w:before="240" w:after="40"/>
            </w:pPr>
            <w:r>
              <w:t>SUTURES</w:t>
            </w:r>
          </w:p>
        </w:tc>
        <w:tc>
          <w:tcPr>
            <w:tcW w:w="1440" w:type="dxa"/>
          </w:tcPr>
          <w:p>
            <w:pPr>
              <w:pStyle w:val="yTable"/>
              <w:tabs>
                <w:tab w:val="decimal" w:pos="1051"/>
              </w:tabs>
              <w:spacing w:before="40" w:after="40"/>
              <w:ind w:right="29"/>
            </w:pPr>
          </w:p>
        </w:tc>
      </w:tr>
      <w:tr>
        <w:tc>
          <w:tcPr>
            <w:tcW w:w="5880" w:type="dxa"/>
          </w:tcPr>
          <w:p>
            <w:pPr>
              <w:pStyle w:val="yTable"/>
              <w:spacing w:before="40" w:after="40"/>
            </w:pPr>
            <w:r>
              <w:t>face or neck, less than 7 cm, superficial</w:t>
            </w:r>
          </w:p>
        </w:tc>
        <w:tc>
          <w:tcPr>
            <w:tcW w:w="1440" w:type="dxa"/>
          </w:tcPr>
          <w:p>
            <w:pPr>
              <w:pStyle w:val="yTable"/>
              <w:tabs>
                <w:tab w:val="decimal" w:pos="596"/>
              </w:tabs>
              <w:spacing w:before="40" w:after="40"/>
              <w:ind w:left="312" w:right="29"/>
            </w:pPr>
            <w:r>
              <w:t>117.20</w:t>
            </w:r>
          </w:p>
        </w:tc>
      </w:tr>
      <w:tr>
        <w:tc>
          <w:tcPr>
            <w:tcW w:w="5880" w:type="dxa"/>
          </w:tcPr>
          <w:p>
            <w:pPr>
              <w:pStyle w:val="yTable"/>
              <w:spacing w:before="40" w:after="40"/>
            </w:pPr>
            <w:r>
              <w:t>face or neck, less than 7 cm, deep</w:t>
            </w:r>
          </w:p>
        </w:tc>
        <w:tc>
          <w:tcPr>
            <w:tcW w:w="1440" w:type="dxa"/>
          </w:tcPr>
          <w:p>
            <w:pPr>
              <w:pStyle w:val="yTable"/>
              <w:tabs>
                <w:tab w:val="decimal" w:pos="596"/>
              </w:tabs>
              <w:spacing w:before="40" w:after="40"/>
              <w:ind w:left="312" w:right="29"/>
            </w:pPr>
            <w:r>
              <w:t>178.10</w:t>
            </w:r>
          </w:p>
        </w:tc>
      </w:tr>
      <w:tr>
        <w:tc>
          <w:tcPr>
            <w:tcW w:w="5880" w:type="dxa"/>
          </w:tcPr>
          <w:p>
            <w:pPr>
              <w:pStyle w:val="yTable"/>
              <w:spacing w:before="40" w:after="40"/>
            </w:pPr>
            <w:r>
              <w:t>face or neck, more than 7 cm, superficial</w:t>
            </w:r>
          </w:p>
        </w:tc>
        <w:tc>
          <w:tcPr>
            <w:tcW w:w="1440" w:type="dxa"/>
          </w:tcPr>
          <w:p>
            <w:pPr>
              <w:pStyle w:val="yTable"/>
              <w:tabs>
                <w:tab w:val="decimal" w:pos="596"/>
              </w:tabs>
              <w:spacing w:before="40" w:after="40"/>
              <w:ind w:left="312" w:right="29"/>
            </w:pPr>
            <w:r>
              <w:t>178.10</w:t>
            </w:r>
          </w:p>
        </w:tc>
      </w:tr>
      <w:tr>
        <w:tc>
          <w:tcPr>
            <w:tcW w:w="5880" w:type="dxa"/>
          </w:tcPr>
          <w:p>
            <w:pPr>
              <w:pStyle w:val="yTable"/>
              <w:spacing w:before="40" w:after="40"/>
            </w:pPr>
            <w:r>
              <w:t>face or neck, more than 7 cm, deep</w:t>
            </w:r>
          </w:p>
        </w:tc>
        <w:tc>
          <w:tcPr>
            <w:tcW w:w="1440" w:type="dxa"/>
          </w:tcPr>
          <w:p>
            <w:pPr>
              <w:pStyle w:val="yTable"/>
              <w:tabs>
                <w:tab w:val="decimal" w:pos="596"/>
              </w:tabs>
              <w:spacing w:before="40" w:after="40"/>
              <w:ind w:left="312" w:right="29"/>
            </w:pPr>
            <w:r>
              <w:t>304.70</w:t>
            </w:r>
          </w:p>
        </w:tc>
      </w:tr>
      <w:tr>
        <w:tc>
          <w:tcPr>
            <w:tcW w:w="5880" w:type="dxa"/>
          </w:tcPr>
          <w:p>
            <w:pPr>
              <w:pStyle w:val="yTable"/>
              <w:tabs>
                <w:tab w:val="left" w:pos="283"/>
              </w:tabs>
              <w:spacing w:before="40" w:after="40"/>
              <w:ind w:left="283" w:hanging="283"/>
            </w:pPr>
            <w:r>
              <w:t>except face or neck, less than 7 cm, superficial</w:t>
            </w:r>
          </w:p>
        </w:tc>
        <w:tc>
          <w:tcPr>
            <w:tcW w:w="1440" w:type="dxa"/>
          </w:tcPr>
          <w:p>
            <w:pPr>
              <w:pStyle w:val="yTable"/>
              <w:tabs>
                <w:tab w:val="decimal" w:pos="596"/>
              </w:tabs>
              <w:spacing w:before="40" w:after="40"/>
              <w:ind w:left="312" w:right="29"/>
            </w:pPr>
            <w:r>
              <w:t>89.10</w:t>
            </w:r>
          </w:p>
        </w:tc>
      </w:tr>
      <w:tr>
        <w:tc>
          <w:tcPr>
            <w:tcW w:w="5880" w:type="dxa"/>
          </w:tcPr>
          <w:p>
            <w:pPr>
              <w:pStyle w:val="yTable"/>
              <w:spacing w:before="40" w:after="40"/>
            </w:pPr>
            <w:r>
              <w:t>except face or neck, less than 7 cm, deep</w:t>
            </w:r>
          </w:p>
        </w:tc>
        <w:tc>
          <w:tcPr>
            <w:tcW w:w="1440" w:type="dxa"/>
          </w:tcPr>
          <w:p>
            <w:pPr>
              <w:pStyle w:val="yTable"/>
              <w:tabs>
                <w:tab w:val="decimal" w:pos="596"/>
              </w:tabs>
              <w:spacing w:before="40" w:after="40"/>
              <w:ind w:left="312" w:right="29"/>
            </w:pPr>
            <w:r>
              <w:t>133.60</w:t>
            </w:r>
          </w:p>
        </w:tc>
      </w:tr>
      <w:tr>
        <w:tc>
          <w:tcPr>
            <w:tcW w:w="5880" w:type="dxa"/>
          </w:tcPr>
          <w:p>
            <w:pPr>
              <w:pStyle w:val="yTable"/>
              <w:tabs>
                <w:tab w:val="left" w:pos="283"/>
              </w:tabs>
              <w:spacing w:before="40" w:after="40"/>
              <w:ind w:left="283" w:hanging="283"/>
            </w:pPr>
            <w:r>
              <w:t>except face or neck, more than 7 cm, superficial</w:t>
            </w:r>
          </w:p>
        </w:tc>
        <w:tc>
          <w:tcPr>
            <w:tcW w:w="1440" w:type="dxa"/>
          </w:tcPr>
          <w:p>
            <w:pPr>
              <w:pStyle w:val="yTable"/>
              <w:tabs>
                <w:tab w:val="decimal" w:pos="596"/>
              </w:tabs>
              <w:spacing w:before="40" w:after="40"/>
              <w:ind w:left="312" w:right="29"/>
            </w:pPr>
            <w:r>
              <w:t>133.60</w:t>
            </w:r>
          </w:p>
        </w:tc>
      </w:tr>
      <w:tr>
        <w:tc>
          <w:tcPr>
            <w:tcW w:w="5880" w:type="dxa"/>
          </w:tcPr>
          <w:p>
            <w:pPr>
              <w:pStyle w:val="yTable"/>
              <w:spacing w:before="40" w:after="40"/>
            </w:pPr>
            <w:r>
              <w:t>except face or neck, more than 7 cm, deep</w:t>
            </w:r>
          </w:p>
        </w:tc>
        <w:tc>
          <w:tcPr>
            <w:tcW w:w="1440" w:type="dxa"/>
          </w:tcPr>
          <w:p>
            <w:pPr>
              <w:pStyle w:val="yTable"/>
              <w:tabs>
                <w:tab w:val="decimal" w:pos="596"/>
              </w:tabs>
              <w:spacing w:before="40" w:after="40"/>
              <w:ind w:left="312" w:right="29"/>
            </w:pPr>
            <w:r>
              <w:t>293.00</w:t>
            </w:r>
          </w:p>
        </w:tc>
      </w:tr>
      <w:tr>
        <w:tc>
          <w:tcPr>
            <w:tcW w:w="5880" w:type="dxa"/>
          </w:tcPr>
          <w:p>
            <w:pPr>
              <w:pStyle w:val="yTable"/>
              <w:spacing w:before="40" w:after="40"/>
            </w:pPr>
            <w:r>
              <w:t>AMPUTATIONS</w:t>
            </w:r>
          </w:p>
        </w:tc>
        <w:tc>
          <w:tcPr>
            <w:tcW w:w="1440" w:type="dxa"/>
          </w:tcPr>
          <w:p>
            <w:pPr>
              <w:pStyle w:val="yTable"/>
              <w:tabs>
                <w:tab w:val="decimal" w:pos="1051"/>
                <w:tab w:val="right" w:pos="1335"/>
              </w:tabs>
              <w:spacing w:before="40" w:after="40"/>
              <w:ind w:right="29"/>
            </w:pPr>
          </w:p>
        </w:tc>
      </w:tr>
      <w:tr>
        <w:tc>
          <w:tcPr>
            <w:tcW w:w="5880" w:type="dxa"/>
          </w:tcPr>
          <w:p>
            <w:pPr>
              <w:pStyle w:val="yTable"/>
              <w:spacing w:before="40" w:after="40"/>
            </w:pPr>
            <w:r>
              <w:t>Hand, midcarpal or transmetacarpal</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Hand, forearm or through arm</w:t>
            </w:r>
          </w:p>
        </w:tc>
        <w:tc>
          <w:tcPr>
            <w:tcW w:w="1440" w:type="dxa"/>
          </w:tcPr>
          <w:p>
            <w:pPr>
              <w:pStyle w:val="yTable"/>
              <w:tabs>
                <w:tab w:val="decimal" w:pos="596"/>
              </w:tabs>
              <w:spacing w:before="40" w:after="40"/>
              <w:ind w:left="312" w:right="29"/>
            </w:pPr>
            <w:r>
              <w:t>515.70</w:t>
            </w:r>
          </w:p>
        </w:tc>
      </w:tr>
      <w:tr>
        <w:tc>
          <w:tcPr>
            <w:tcW w:w="5880" w:type="dxa"/>
          </w:tcPr>
          <w:p>
            <w:pPr>
              <w:pStyle w:val="yTable"/>
              <w:spacing w:before="40" w:after="40"/>
            </w:pPr>
            <w:r>
              <w:t>At shoulder</w:t>
            </w:r>
          </w:p>
        </w:tc>
        <w:tc>
          <w:tcPr>
            <w:tcW w:w="1440" w:type="dxa"/>
          </w:tcPr>
          <w:p>
            <w:pPr>
              <w:pStyle w:val="yTable"/>
              <w:tabs>
                <w:tab w:val="decimal" w:pos="596"/>
              </w:tabs>
              <w:spacing w:before="40" w:after="40"/>
              <w:ind w:left="312" w:right="29"/>
            </w:pPr>
            <w:r>
              <w:t>873.10</w:t>
            </w:r>
          </w:p>
        </w:tc>
      </w:tr>
      <w:tr>
        <w:tc>
          <w:tcPr>
            <w:tcW w:w="5880" w:type="dxa"/>
          </w:tcPr>
          <w:p>
            <w:pPr>
              <w:pStyle w:val="yTable"/>
              <w:spacing w:before="40" w:after="40"/>
            </w:pPr>
            <w:r>
              <w:t>Interscapulothoracic</w:t>
            </w:r>
          </w:p>
        </w:tc>
        <w:tc>
          <w:tcPr>
            <w:tcW w:w="1440" w:type="dxa"/>
          </w:tcPr>
          <w:p>
            <w:pPr>
              <w:pStyle w:val="yTable"/>
              <w:tabs>
                <w:tab w:val="decimal" w:pos="208"/>
              </w:tabs>
              <w:spacing w:before="40" w:after="40"/>
              <w:ind w:left="66" w:right="29"/>
            </w:pPr>
            <w:r>
              <w:t>1 734.55</w:t>
            </w:r>
          </w:p>
        </w:tc>
      </w:tr>
      <w:tr>
        <w:tc>
          <w:tcPr>
            <w:tcW w:w="5880" w:type="dxa"/>
          </w:tcPr>
          <w:p>
            <w:pPr>
              <w:pStyle w:val="yTable"/>
              <w:spacing w:before="40" w:after="40"/>
            </w:pPr>
            <w:r>
              <w:t>One digit of foot</w:t>
            </w:r>
          </w:p>
        </w:tc>
        <w:tc>
          <w:tcPr>
            <w:tcW w:w="1440" w:type="dxa"/>
          </w:tcPr>
          <w:p>
            <w:pPr>
              <w:pStyle w:val="yTable"/>
              <w:tabs>
                <w:tab w:val="decimal" w:pos="596"/>
              </w:tabs>
              <w:spacing w:before="40" w:after="40"/>
              <w:ind w:left="312" w:right="29"/>
            </w:pPr>
            <w:r>
              <w:t>234.35</w:t>
            </w:r>
          </w:p>
        </w:tc>
      </w:tr>
      <w:tr>
        <w:tc>
          <w:tcPr>
            <w:tcW w:w="5880" w:type="dxa"/>
          </w:tcPr>
          <w:p>
            <w:pPr>
              <w:pStyle w:val="yTable"/>
              <w:spacing w:before="40" w:after="40"/>
            </w:pPr>
            <w:r>
              <w:t>Two digits of one foot</w:t>
            </w:r>
          </w:p>
        </w:tc>
        <w:tc>
          <w:tcPr>
            <w:tcW w:w="1440" w:type="dxa"/>
          </w:tcPr>
          <w:p>
            <w:pPr>
              <w:pStyle w:val="yTable"/>
              <w:tabs>
                <w:tab w:val="decimal" w:pos="596"/>
              </w:tabs>
              <w:spacing w:before="40" w:after="40"/>
              <w:ind w:left="312" w:right="29"/>
            </w:pPr>
            <w:r>
              <w:t>351.60</w:t>
            </w:r>
          </w:p>
        </w:tc>
      </w:tr>
      <w:tr>
        <w:tc>
          <w:tcPr>
            <w:tcW w:w="5880" w:type="dxa"/>
          </w:tcPr>
          <w:p>
            <w:pPr>
              <w:pStyle w:val="yTable"/>
              <w:spacing w:before="40" w:after="40"/>
            </w:pPr>
            <w:r>
              <w:t>Three digits of one foot</w:t>
            </w:r>
          </w:p>
        </w:tc>
        <w:tc>
          <w:tcPr>
            <w:tcW w:w="1440" w:type="dxa"/>
          </w:tcPr>
          <w:p>
            <w:pPr>
              <w:pStyle w:val="yTable"/>
              <w:tabs>
                <w:tab w:val="decimal" w:pos="596"/>
              </w:tabs>
              <w:spacing w:before="40" w:after="40"/>
              <w:ind w:left="312" w:right="29"/>
            </w:pPr>
            <w:r>
              <w:t>474.70</w:t>
            </w:r>
          </w:p>
        </w:tc>
      </w:tr>
      <w:tr>
        <w:tc>
          <w:tcPr>
            <w:tcW w:w="5880" w:type="dxa"/>
          </w:tcPr>
          <w:p>
            <w:pPr>
              <w:pStyle w:val="yTable"/>
              <w:spacing w:before="40" w:after="40"/>
            </w:pPr>
            <w:r>
              <w:t>Four digits of one foot</w:t>
            </w:r>
          </w:p>
        </w:tc>
        <w:tc>
          <w:tcPr>
            <w:tcW w:w="1440" w:type="dxa"/>
          </w:tcPr>
          <w:p>
            <w:pPr>
              <w:pStyle w:val="yTable"/>
              <w:tabs>
                <w:tab w:val="decimal" w:pos="596"/>
              </w:tabs>
              <w:spacing w:before="40" w:after="40"/>
              <w:ind w:left="312" w:right="29"/>
            </w:pPr>
            <w:r>
              <w:t>591.90</w:t>
            </w:r>
          </w:p>
        </w:tc>
      </w:tr>
      <w:tr>
        <w:tc>
          <w:tcPr>
            <w:tcW w:w="5880" w:type="dxa"/>
          </w:tcPr>
          <w:p>
            <w:pPr>
              <w:pStyle w:val="yTable"/>
              <w:spacing w:before="40" w:after="40"/>
            </w:pPr>
            <w:r>
              <w:t>Five digits of one foot</w:t>
            </w:r>
          </w:p>
        </w:tc>
        <w:tc>
          <w:tcPr>
            <w:tcW w:w="1440" w:type="dxa"/>
          </w:tcPr>
          <w:p>
            <w:pPr>
              <w:pStyle w:val="yTable"/>
              <w:tabs>
                <w:tab w:val="decimal" w:pos="596"/>
              </w:tabs>
              <w:spacing w:before="40" w:after="40"/>
              <w:ind w:left="312" w:right="29"/>
            </w:pPr>
            <w:r>
              <w:t>709.10</w:t>
            </w:r>
          </w:p>
        </w:tc>
      </w:tr>
      <w:tr>
        <w:tc>
          <w:tcPr>
            <w:tcW w:w="5880" w:type="dxa"/>
          </w:tcPr>
          <w:p>
            <w:pPr>
              <w:pStyle w:val="yTable"/>
              <w:spacing w:before="40" w:after="40"/>
            </w:pPr>
            <w:r>
              <w:t>Toe including metatarsal or part of metatarsal</w:t>
            </w:r>
          </w:p>
        </w:tc>
        <w:tc>
          <w:tcPr>
            <w:tcW w:w="1440" w:type="dxa"/>
          </w:tcPr>
          <w:p>
            <w:pPr>
              <w:pStyle w:val="yTable"/>
              <w:tabs>
                <w:tab w:val="decimal" w:pos="596"/>
              </w:tabs>
              <w:spacing w:before="40" w:after="40"/>
              <w:ind w:left="312" w:right="29"/>
            </w:pPr>
            <w:r>
              <w:t>276.65</w:t>
            </w:r>
          </w:p>
        </w:tc>
      </w:tr>
      <w:tr>
        <w:tc>
          <w:tcPr>
            <w:tcW w:w="5880" w:type="dxa"/>
          </w:tcPr>
          <w:p>
            <w:pPr>
              <w:pStyle w:val="yTable"/>
              <w:spacing w:before="40" w:after="40"/>
            </w:pPr>
            <w:r>
              <w:t>Foot, at ankle</w:t>
            </w:r>
          </w:p>
        </w:tc>
        <w:tc>
          <w:tcPr>
            <w:tcW w:w="1440" w:type="dxa"/>
          </w:tcPr>
          <w:p>
            <w:pPr>
              <w:pStyle w:val="yTable"/>
              <w:tabs>
                <w:tab w:val="decimal" w:pos="596"/>
              </w:tabs>
              <w:spacing w:before="40" w:after="40"/>
              <w:ind w:left="312" w:right="29"/>
            </w:pPr>
            <w:r>
              <w:t>515.70</w:t>
            </w:r>
          </w:p>
        </w:tc>
      </w:tr>
      <w:tr>
        <w:tc>
          <w:tcPr>
            <w:tcW w:w="5880" w:type="dxa"/>
          </w:tcPr>
          <w:p>
            <w:pPr>
              <w:pStyle w:val="yTable"/>
              <w:spacing w:before="40" w:after="40"/>
            </w:pPr>
            <w:r>
              <w:t>Foot, midtarsal or transmetatarsal</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Through thigh, at knee or below knee</w:t>
            </w:r>
          </w:p>
        </w:tc>
        <w:tc>
          <w:tcPr>
            <w:tcW w:w="1440" w:type="dxa"/>
          </w:tcPr>
          <w:p>
            <w:pPr>
              <w:pStyle w:val="yTable"/>
              <w:tabs>
                <w:tab w:val="decimal" w:pos="596"/>
              </w:tabs>
              <w:spacing w:before="40" w:after="40"/>
              <w:ind w:left="312" w:right="29"/>
            </w:pPr>
            <w:r>
              <w:t>761.85</w:t>
            </w:r>
          </w:p>
        </w:tc>
      </w:tr>
      <w:tr>
        <w:tc>
          <w:tcPr>
            <w:tcW w:w="5880" w:type="dxa"/>
          </w:tcPr>
          <w:p>
            <w:pPr>
              <w:pStyle w:val="yTable"/>
              <w:spacing w:before="40" w:after="40"/>
            </w:pPr>
            <w:r>
              <w:t>At hip</w:t>
            </w:r>
          </w:p>
        </w:tc>
        <w:tc>
          <w:tcPr>
            <w:tcW w:w="1440" w:type="dxa"/>
          </w:tcPr>
          <w:p>
            <w:pPr>
              <w:pStyle w:val="yTable"/>
              <w:tabs>
                <w:tab w:val="decimal" w:pos="208"/>
              </w:tabs>
              <w:spacing w:before="40" w:after="40"/>
              <w:ind w:left="66" w:right="29"/>
            </w:pPr>
            <w:r>
              <w:t>1 072.30</w:t>
            </w:r>
          </w:p>
        </w:tc>
      </w:tr>
      <w:tr>
        <w:tc>
          <w:tcPr>
            <w:tcW w:w="5880" w:type="dxa"/>
          </w:tcPr>
          <w:p>
            <w:pPr>
              <w:pStyle w:val="yTable"/>
              <w:spacing w:before="40" w:after="40"/>
            </w:pPr>
          </w:p>
        </w:tc>
        <w:tc>
          <w:tcPr>
            <w:tcW w:w="1440" w:type="dxa"/>
          </w:tcPr>
          <w:p>
            <w:pPr>
              <w:pStyle w:val="yTable"/>
              <w:tabs>
                <w:tab w:val="decimal" w:pos="1051"/>
              </w:tabs>
              <w:spacing w:before="40" w:after="40"/>
              <w:ind w:left="426" w:right="29"/>
            </w:pPr>
          </w:p>
        </w:tc>
      </w:tr>
      <w:tr>
        <w:tc>
          <w:tcPr>
            <w:tcW w:w="5880" w:type="dxa"/>
          </w:tcPr>
          <w:p>
            <w:pPr>
              <w:pStyle w:val="yTable"/>
              <w:keepNext/>
              <w:keepLines/>
              <w:spacing w:before="40" w:after="40"/>
            </w:pPr>
            <w:r>
              <w:t>ASSISTANCE AT OPERATIONS</w:t>
            </w:r>
          </w:p>
          <w:p>
            <w:pPr>
              <w:pStyle w:val="yTable"/>
              <w:keepNext/>
              <w:keepLines/>
              <w:spacing w:before="40" w:after="40"/>
              <w:rPr>
                <w:b/>
              </w:rPr>
            </w:pPr>
            <w:r>
              <w:t>The fee for assistance at any operation (or series or combination of operations) is to be related to the fee listed for the operation (or series or combination of operations) itself.</w:t>
            </w:r>
          </w:p>
        </w:tc>
        <w:tc>
          <w:tcPr>
            <w:tcW w:w="1440" w:type="dxa"/>
          </w:tcPr>
          <w:p>
            <w:pPr>
              <w:pStyle w:val="yTable"/>
              <w:spacing w:before="40" w:after="40"/>
            </w:pPr>
          </w:p>
        </w:tc>
      </w:tr>
      <w:tr>
        <w:tc>
          <w:tcPr>
            <w:tcW w:w="5880" w:type="dxa"/>
          </w:tcPr>
          <w:p>
            <w:pPr>
              <w:pStyle w:val="yTable"/>
              <w:spacing w:before="40" w:after="40"/>
            </w:pPr>
            <w:r>
              <w:rPr>
                <w:b/>
              </w:rPr>
              <w:t>The fee is 20% of the total fee or the minimum sum of $147.65, whichever is greater.</w:t>
            </w:r>
          </w:p>
        </w:tc>
        <w:tc>
          <w:tcPr>
            <w:tcW w:w="1440" w:type="dxa"/>
          </w:tcPr>
          <w:p>
            <w:pPr>
              <w:pStyle w:val="yTable"/>
              <w:spacing w:before="40" w:after="40"/>
            </w:pPr>
          </w:p>
        </w:tc>
      </w:tr>
    </w:tbl>
    <w:p>
      <w:pPr>
        <w:pStyle w:val="yTable"/>
      </w:pPr>
    </w:p>
    <w:tbl>
      <w:tblPr>
        <w:tblW w:w="7320" w:type="dxa"/>
        <w:tblInd w:w="113" w:type="dxa"/>
        <w:tblLayout w:type="fixed"/>
        <w:tblCellMar>
          <w:left w:w="113" w:type="dxa"/>
          <w:right w:w="113" w:type="dxa"/>
        </w:tblCellMar>
        <w:tblLook w:val="0000" w:firstRow="0" w:lastRow="0" w:firstColumn="0" w:lastColumn="0" w:noHBand="0" w:noVBand="0"/>
      </w:tblPr>
      <w:tblGrid>
        <w:gridCol w:w="5880"/>
        <w:gridCol w:w="1440"/>
      </w:tblGrid>
      <w:tr>
        <w:tc>
          <w:tcPr>
            <w:tcW w:w="5880" w:type="dxa"/>
          </w:tcPr>
          <w:p>
            <w:pPr>
              <w:pStyle w:val="yTable"/>
            </w:pPr>
            <w:r>
              <w:t>USE OF PRIVATE THEATRES</w:t>
            </w:r>
          </w:p>
          <w:p>
            <w:pPr>
              <w:pStyle w:val="yTable"/>
            </w:pPr>
            <w:r>
              <w:t xml:space="preserve">A theatre fee of </w:t>
            </w:r>
            <w:r>
              <w:rPr>
                <w:b/>
              </w:rPr>
              <w:t>$89.10</w:t>
            </w:r>
            <w:r>
              <w:t xml:space="preserve"> will be paid to practitioners for the use of their private theatre, but this fee may only be charged if the patient would otherwise have been sent to hospital.</w:t>
            </w:r>
          </w:p>
        </w:tc>
        <w:tc>
          <w:tcPr>
            <w:tcW w:w="1440" w:type="dxa"/>
          </w:tcPr>
          <w:p>
            <w:pPr>
              <w:pStyle w:val="yTable"/>
            </w:pPr>
          </w:p>
        </w:tc>
      </w:tr>
    </w:tbl>
    <w:p>
      <w:pPr>
        <w:pStyle w:val="yEdnotedivision"/>
      </w:pPr>
      <w:r>
        <w:tab/>
        <w:t>[Part 2 inserted in Gazette 10 Jan 2006 p. 52</w:t>
      </w:r>
      <w:r>
        <w:noBreakHyphen/>
        <w:t>6.]</w:t>
      </w:r>
    </w:p>
    <w:p>
      <w:pPr>
        <w:pStyle w:val="yHeading3"/>
        <w:spacing w:after="60"/>
      </w:pPr>
      <w:bookmarkStart w:id="109" w:name="_Toc124579584"/>
      <w:bookmarkStart w:id="110" w:name="_Toc125442033"/>
      <w:bookmarkStart w:id="111" w:name="_Toc126569070"/>
      <w:bookmarkStart w:id="112" w:name="_Toc127601210"/>
      <w:bookmarkStart w:id="113" w:name="_Toc127668233"/>
      <w:bookmarkStart w:id="114" w:name="_Toc128452292"/>
      <w:bookmarkStart w:id="115" w:name="_Toc128796276"/>
      <w:bookmarkStart w:id="116" w:name="_Toc128796600"/>
      <w:bookmarkStart w:id="117" w:name="_Toc128807364"/>
      <w:bookmarkStart w:id="118" w:name="_Toc128807555"/>
      <w:bookmarkStart w:id="119" w:name="_Toc130871687"/>
      <w:r>
        <w:rPr>
          <w:rStyle w:val="CharSDivNo"/>
          <w:sz w:val="28"/>
        </w:rPr>
        <w:t>Part 3</w:t>
      </w:r>
      <w:r>
        <w:rPr>
          <w:sz w:val="28"/>
        </w:rPr>
        <w:t> </w:t>
      </w:r>
      <w:r>
        <w:t>— </w:t>
      </w:r>
      <w:r>
        <w:rPr>
          <w:rStyle w:val="CharSDivText"/>
          <w:sz w:val="28"/>
        </w:rPr>
        <w:t>Diagnostic imaging services</w:t>
      </w:r>
      <w:bookmarkEnd w:id="109"/>
      <w:bookmarkEnd w:id="110"/>
      <w:bookmarkEnd w:id="111"/>
      <w:bookmarkEnd w:id="112"/>
      <w:bookmarkEnd w:id="113"/>
      <w:bookmarkEnd w:id="114"/>
      <w:bookmarkEnd w:id="115"/>
      <w:bookmarkEnd w:id="116"/>
      <w:bookmarkEnd w:id="117"/>
      <w:bookmarkEnd w:id="118"/>
      <w:bookmarkEnd w:id="119"/>
    </w:p>
    <w:p>
      <w:pPr>
        <w:pStyle w:val="yMiscellaneousBody"/>
        <w:keepNext/>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440"/>
      </w:tblGrid>
      <w:tr>
        <w:trPr>
          <w:tblHeader/>
        </w:trPr>
        <w:tc>
          <w:tcPr>
            <w:tcW w:w="4593" w:type="dxa"/>
            <w:tcBorders>
              <w:top w:val="single" w:sz="4" w:space="0" w:color="auto"/>
              <w:bottom w:val="single" w:sz="4" w:space="0" w:color="auto"/>
            </w:tcBorders>
          </w:tcPr>
          <w:p>
            <w:pPr>
              <w:pStyle w:val="yTable"/>
              <w:spacing w:before="40" w:after="40"/>
              <w:ind w:left="-11" w:firstLine="11"/>
              <w:rPr>
                <w:b/>
              </w:rPr>
            </w:pPr>
            <w:r>
              <w:rPr>
                <w:b/>
              </w:rPr>
              <w:t>MBS item number</w:t>
            </w:r>
          </w:p>
          <w:p>
            <w:pPr>
              <w:pStyle w:val="yTable"/>
              <w:spacing w:before="40" w:after="40"/>
              <w:ind w:left="-11" w:firstLine="11"/>
              <w:rPr>
                <w:i/>
              </w:rPr>
            </w:pPr>
            <w:r>
              <w:rPr>
                <w:i/>
              </w:rPr>
              <w:t>(1 November 2005)</w:t>
            </w:r>
          </w:p>
        </w:tc>
        <w:tc>
          <w:tcPr>
            <w:tcW w:w="1440" w:type="dxa"/>
            <w:tcBorders>
              <w:top w:val="single" w:sz="4" w:space="0" w:color="auto"/>
              <w:bottom w:val="single" w:sz="4" w:space="0" w:color="auto"/>
            </w:tcBorders>
          </w:tcPr>
          <w:p>
            <w:pPr>
              <w:pStyle w:val="yTable"/>
              <w:spacing w:before="40" w:after="40"/>
              <w:ind w:left="-11" w:firstLine="11"/>
              <w:jc w:val="center"/>
              <w:rPr>
                <w:b/>
              </w:rPr>
            </w:pPr>
            <w:r>
              <w:rPr>
                <w:b/>
              </w:rPr>
              <w:t>Fee</w:t>
            </w:r>
          </w:p>
          <w:p>
            <w:pPr>
              <w:pStyle w:val="yTable"/>
              <w:tabs>
                <w:tab w:val="left" w:pos="596"/>
                <w:tab w:val="decimal" w:pos="738"/>
              </w:tabs>
              <w:spacing w:before="40" w:after="40"/>
              <w:ind w:left="-11" w:firstLine="11"/>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55028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55029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55031</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55033</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55036</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55037</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55044</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55045</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55049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55054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55070</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55073</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55076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55084</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55085</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55113</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55114</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55115</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55116</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55117</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55118</w:t>
            </w:r>
          </w:p>
        </w:tc>
        <w:tc>
          <w:tcPr>
            <w:tcW w:w="1440" w:type="dxa"/>
          </w:tcPr>
          <w:p>
            <w:pPr>
              <w:pStyle w:val="yTable"/>
              <w:tabs>
                <w:tab w:val="decimal" w:pos="425"/>
                <w:tab w:val="right" w:pos="1418"/>
              </w:tabs>
              <w:spacing w:before="40" w:after="40"/>
              <w:ind w:left="-11" w:right="295" w:firstLine="11"/>
              <w:jc w:val="right"/>
            </w:pPr>
            <w:r>
              <w:t>362.45</w:t>
            </w:r>
          </w:p>
        </w:tc>
      </w:tr>
      <w:tr>
        <w:tblPrEx>
          <w:tblCellMar>
            <w:left w:w="108" w:type="dxa"/>
            <w:right w:w="108" w:type="dxa"/>
          </w:tblCellMar>
        </w:tblPrEx>
        <w:tc>
          <w:tcPr>
            <w:tcW w:w="4593" w:type="dxa"/>
          </w:tcPr>
          <w:p>
            <w:pPr>
              <w:pStyle w:val="yTable"/>
              <w:tabs>
                <w:tab w:val="right" w:pos="1735"/>
              </w:tabs>
              <w:spacing w:before="40" w:after="40"/>
              <w:ind w:left="-11" w:firstLine="11"/>
            </w:pPr>
            <w:r>
              <w:t>55130</w:t>
            </w:r>
          </w:p>
        </w:tc>
        <w:tc>
          <w:tcPr>
            <w:tcW w:w="1440" w:type="dxa"/>
          </w:tcPr>
          <w:p>
            <w:pPr>
              <w:pStyle w:val="yTable"/>
              <w:tabs>
                <w:tab w:val="decimal" w:pos="425"/>
                <w:tab w:val="right" w:pos="1418"/>
              </w:tabs>
              <w:spacing w:before="40" w:after="40"/>
              <w:ind w:left="-11" w:right="295" w:firstLine="11"/>
              <w:jc w:val="right"/>
            </w:pPr>
            <w:r>
              <w:t>223.70</w:t>
            </w:r>
          </w:p>
        </w:tc>
      </w:tr>
      <w:tr>
        <w:tblPrEx>
          <w:tblCellMar>
            <w:left w:w="108" w:type="dxa"/>
            <w:right w:w="108" w:type="dxa"/>
          </w:tblCellMar>
        </w:tblPrEx>
        <w:tc>
          <w:tcPr>
            <w:tcW w:w="4593" w:type="dxa"/>
          </w:tcPr>
          <w:p>
            <w:pPr>
              <w:pStyle w:val="yTable"/>
              <w:tabs>
                <w:tab w:val="right" w:pos="1735"/>
              </w:tabs>
              <w:spacing w:before="40" w:after="40"/>
              <w:ind w:left="-11" w:firstLine="11"/>
            </w:pPr>
            <w:r>
              <w:t>55135</w:t>
            </w:r>
          </w:p>
        </w:tc>
        <w:tc>
          <w:tcPr>
            <w:tcW w:w="1440" w:type="dxa"/>
          </w:tcPr>
          <w:p>
            <w:pPr>
              <w:pStyle w:val="yTable"/>
              <w:tabs>
                <w:tab w:val="decimal" w:pos="425"/>
                <w:tab w:val="right" w:pos="1418"/>
              </w:tabs>
              <w:spacing w:before="40" w:after="40"/>
              <w:ind w:left="-11" w:right="295" w:firstLine="11"/>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55238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55252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55280</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55296</w:t>
            </w:r>
          </w:p>
        </w:tc>
        <w:tc>
          <w:tcPr>
            <w:tcW w:w="1440" w:type="dxa"/>
          </w:tcPr>
          <w:p>
            <w:pPr>
              <w:pStyle w:val="yTable"/>
              <w:tabs>
                <w:tab w:val="decimal" w:pos="425"/>
                <w:tab w:val="right" w:pos="1418"/>
              </w:tabs>
              <w:spacing w:before="40" w:after="40"/>
              <w:ind w:left="-11" w:right="295" w:firstLine="11"/>
              <w:jc w:val="right"/>
            </w:pPr>
            <w:r>
              <w:t>146.10</w:t>
            </w:r>
          </w:p>
        </w:tc>
      </w:tr>
      <w:tr>
        <w:tblPrEx>
          <w:tblCellMar>
            <w:left w:w="108" w:type="dxa"/>
            <w:right w:w="108" w:type="dxa"/>
          </w:tblCellMar>
        </w:tblPrEx>
        <w:tc>
          <w:tcPr>
            <w:tcW w:w="4593" w:type="dxa"/>
          </w:tcPr>
          <w:p>
            <w:pPr>
              <w:pStyle w:val="yTable"/>
              <w:tabs>
                <w:tab w:val="right" w:pos="1735"/>
              </w:tabs>
              <w:spacing w:before="40" w:after="40"/>
              <w:ind w:left="-11" w:firstLine="11"/>
            </w:pPr>
            <w:r>
              <w:t>55600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55603</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55700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55703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55704</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55705</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55706</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55707</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55708</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55709</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55712</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spacing w:before="40" w:after="40"/>
              <w:ind w:left="-11" w:firstLine="11"/>
            </w:pPr>
            <w:r>
              <w:t>55715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55718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55721</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tabs>
                <w:tab w:val="right" w:pos="1735"/>
              </w:tabs>
              <w:spacing w:before="40" w:after="40"/>
              <w:ind w:left="-11" w:firstLine="11"/>
            </w:pPr>
            <w:r>
              <w:t>55723</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55725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55728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55729</w:t>
            </w:r>
          </w:p>
        </w:tc>
        <w:tc>
          <w:tcPr>
            <w:tcW w:w="1440" w:type="dxa"/>
          </w:tcPr>
          <w:p>
            <w:pPr>
              <w:pStyle w:val="yTable"/>
              <w:tabs>
                <w:tab w:val="decimal" w:pos="425"/>
                <w:tab w:val="right" w:pos="1418"/>
              </w:tabs>
              <w:spacing w:before="40" w:after="40"/>
              <w:ind w:left="-11" w:right="295" w:firstLine="11"/>
              <w:jc w:val="right"/>
            </w:pPr>
            <w:r>
              <w:t>35.85</w:t>
            </w:r>
          </w:p>
        </w:tc>
      </w:tr>
      <w:tr>
        <w:tblPrEx>
          <w:tblCellMar>
            <w:left w:w="108" w:type="dxa"/>
            <w:right w:w="108" w:type="dxa"/>
          </w:tblCellMar>
        </w:tblPrEx>
        <w:tc>
          <w:tcPr>
            <w:tcW w:w="4593" w:type="dxa"/>
          </w:tcPr>
          <w:p>
            <w:pPr>
              <w:pStyle w:val="yTable"/>
              <w:tabs>
                <w:tab w:val="right" w:pos="1735"/>
              </w:tabs>
              <w:spacing w:before="40" w:after="40"/>
              <w:ind w:left="-11" w:firstLine="11"/>
            </w:pPr>
            <w:r>
              <w:t>55731</w:t>
            </w:r>
          </w:p>
        </w:tc>
        <w:tc>
          <w:tcPr>
            <w:tcW w:w="1440" w:type="dxa"/>
          </w:tcPr>
          <w:p>
            <w:pPr>
              <w:pStyle w:val="yTable"/>
              <w:tabs>
                <w:tab w:val="decimal" w:pos="425"/>
                <w:tab w:val="right" w:pos="1418"/>
              </w:tabs>
              <w:spacing w:before="40" w:after="40"/>
              <w:ind w:left="-11" w:right="295" w:firstLine="11"/>
              <w:jc w:val="right"/>
            </w:pPr>
            <w:r>
              <w:t>128.95</w:t>
            </w:r>
          </w:p>
        </w:tc>
      </w:tr>
      <w:tr>
        <w:tblPrEx>
          <w:tblCellMar>
            <w:left w:w="108" w:type="dxa"/>
            <w:right w:w="108" w:type="dxa"/>
          </w:tblCellMar>
        </w:tblPrEx>
        <w:tc>
          <w:tcPr>
            <w:tcW w:w="4593" w:type="dxa"/>
          </w:tcPr>
          <w:p>
            <w:pPr>
              <w:pStyle w:val="yTable"/>
              <w:tabs>
                <w:tab w:val="right" w:pos="1735"/>
              </w:tabs>
              <w:spacing w:before="40" w:after="40"/>
              <w:ind w:left="-11" w:firstLine="11"/>
            </w:pPr>
            <w:r>
              <w:t>55733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55736</w:t>
            </w:r>
          </w:p>
        </w:tc>
        <w:tc>
          <w:tcPr>
            <w:tcW w:w="1440" w:type="dxa"/>
          </w:tcPr>
          <w:p>
            <w:pPr>
              <w:pStyle w:val="yTable"/>
              <w:tabs>
                <w:tab w:val="decimal" w:pos="425"/>
                <w:tab w:val="right" w:pos="1418"/>
              </w:tabs>
              <w:spacing w:before="40" w:after="40"/>
              <w:ind w:left="-11" w:right="295" w:firstLine="11"/>
              <w:jc w:val="right"/>
            </w:pPr>
            <w:r>
              <w:t>167.05</w:t>
            </w:r>
          </w:p>
        </w:tc>
      </w:tr>
      <w:tr>
        <w:tblPrEx>
          <w:tblCellMar>
            <w:left w:w="108" w:type="dxa"/>
            <w:right w:w="108" w:type="dxa"/>
          </w:tblCellMar>
        </w:tblPrEx>
        <w:tc>
          <w:tcPr>
            <w:tcW w:w="4593" w:type="dxa"/>
          </w:tcPr>
          <w:p>
            <w:pPr>
              <w:pStyle w:val="yTable"/>
              <w:tabs>
                <w:tab w:val="right" w:pos="1735"/>
              </w:tabs>
              <w:spacing w:before="40" w:after="40"/>
              <w:ind w:left="-11" w:firstLine="11"/>
            </w:pPr>
            <w:r>
              <w:t>55739</w:t>
            </w:r>
          </w:p>
        </w:tc>
        <w:tc>
          <w:tcPr>
            <w:tcW w:w="1440" w:type="dxa"/>
          </w:tcPr>
          <w:p>
            <w:pPr>
              <w:pStyle w:val="yTable"/>
              <w:tabs>
                <w:tab w:val="decimal" w:pos="425"/>
                <w:tab w:val="right" w:pos="1418"/>
              </w:tabs>
              <w:spacing w:before="40" w:after="40"/>
              <w:ind w:left="-11" w:right="295" w:firstLine="11"/>
              <w:jc w:val="right"/>
            </w:pPr>
            <w:r>
              <w:t>74.95</w:t>
            </w:r>
          </w:p>
        </w:tc>
      </w:tr>
      <w:tr>
        <w:tblPrEx>
          <w:tblCellMar>
            <w:left w:w="108" w:type="dxa"/>
            <w:right w:w="108" w:type="dxa"/>
          </w:tblCellMar>
        </w:tblPrEx>
        <w:tc>
          <w:tcPr>
            <w:tcW w:w="4593" w:type="dxa"/>
          </w:tcPr>
          <w:p>
            <w:pPr>
              <w:pStyle w:val="yTable"/>
              <w:tabs>
                <w:tab w:val="right" w:pos="1735"/>
              </w:tabs>
              <w:spacing w:before="40" w:after="40"/>
              <w:ind w:left="-11" w:firstLine="11"/>
            </w:pPr>
            <w:r>
              <w:t>55759</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55762</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55764</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55766</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55768</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55770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55772</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55774</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55800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55842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55844</w:t>
            </w:r>
          </w:p>
        </w:tc>
        <w:tc>
          <w:tcPr>
            <w:tcW w:w="1440" w:type="dxa"/>
          </w:tcPr>
          <w:p>
            <w:pPr>
              <w:pStyle w:val="yTable"/>
              <w:tabs>
                <w:tab w:val="decimal" w:pos="425"/>
                <w:tab w:val="right" w:pos="1418"/>
              </w:tabs>
              <w:spacing w:before="40" w:after="40"/>
              <w:ind w:left="-11" w:right="295" w:firstLine="11"/>
              <w:jc w:val="right"/>
            </w:pPr>
            <w:r>
              <w:t>114.95</w:t>
            </w:r>
          </w:p>
        </w:tc>
      </w:tr>
      <w:tr>
        <w:tblPrEx>
          <w:tblCellMar>
            <w:left w:w="108" w:type="dxa"/>
            <w:right w:w="108" w:type="dxa"/>
          </w:tblCellMar>
        </w:tblPrEx>
        <w:tc>
          <w:tcPr>
            <w:tcW w:w="4593" w:type="dxa"/>
          </w:tcPr>
          <w:p>
            <w:pPr>
              <w:pStyle w:val="yTable"/>
              <w:tabs>
                <w:tab w:val="right" w:pos="1735"/>
              </w:tabs>
              <w:spacing w:before="40" w:after="40"/>
              <w:ind w:left="-11" w:firstLine="11"/>
            </w:pPr>
            <w:r>
              <w:t>55846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55850</w:t>
            </w:r>
          </w:p>
        </w:tc>
        <w:tc>
          <w:tcPr>
            <w:tcW w:w="1440" w:type="dxa"/>
          </w:tcPr>
          <w:p>
            <w:pPr>
              <w:pStyle w:val="yTable"/>
              <w:tabs>
                <w:tab w:val="decimal" w:pos="425"/>
                <w:tab w:val="right" w:pos="1418"/>
              </w:tabs>
              <w:spacing w:before="40" w:after="40"/>
              <w:ind w:left="-11" w:right="295" w:firstLine="11"/>
              <w:jc w:val="right"/>
            </w:pPr>
            <w:r>
              <w:t>201.10</w:t>
            </w:r>
          </w:p>
        </w:tc>
      </w:tr>
      <w:tr>
        <w:tblPrEx>
          <w:tblCellMar>
            <w:left w:w="108" w:type="dxa"/>
            <w:right w:w="108" w:type="dxa"/>
          </w:tblCellMar>
        </w:tblPrEx>
        <w:tc>
          <w:tcPr>
            <w:tcW w:w="4593" w:type="dxa"/>
          </w:tcPr>
          <w:p>
            <w:pPr>
              <w:pStyle w:val="yTable"/>
              <w:tabs>
                <w:tab w:val="right" w:pos="1735"/>
              </w:tabs>
              <w:spacing w:before="40" w:after="40"/>
              <w:ind w:left="-11" w:firstLine="11"/>
            </w:pPr>
            <w:r>
              <w:t>55852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55854</w:t>
            </w:r>
          </w:p>
        </w:tc>
        <w:tc>
          <w:tcPr>
            <w:tcW w:w="1440" w:type="dxa"/>
            <w:tcBorders>
              <w:bottom w:val="single" w:sz="4" w:space="0" w:color="auto"/>
            </w:tcBorders>
          </w:tcPr>
          <w:p>
            <w:pPr>
              <w:pStyle w:val="yTable"/>
              <w:tabs>
                <w:tab w:val="decimal" w:pos="425"/>
                <w:tab w:val="right" w:pos="1418"/>
              </w:tabs>
              <w:spacing w:before="40" w:after="40"/>
              <w:ind w:left="-11" w:right="295" w:firstLine="11"/>
              <w:jc w:val="right"/>
            </w:pPr>
            <w:r>
              <w:t>49.80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503"/>
      </w:tblGrid>
      <w:tr>
        <w:trPr>
          <w:tblHeader/>
        </w:trPr>
        <w:tc>
          <w:tcPr>
            <w:tcW w:w="4593"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503"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56001</w:t>
            </w:r>
          </w:p>
        </w:tc>
        <w:tc>
          <w:tcPr>
            <w:tcW w:w="1503" w:type="dxa"/>
          </w:tcPr>
          <w:p>
            <w:pPr>
              <w:pStyle w:val="yTable"/>
              <w:tabs>
                <w:tab w:val="decimal" w:pos="425"/>
                <w:tab w:val="right" w:pos="1418"/>
              </w:tabs>
              <w:spacing w:before="40" w:after="40"/>
              <w:ind w:left="34" w:right="295"/>
              <w:jc w:val="right"/>
            </w:pPr>
            <w:r>
              <w:t>235.70</w:t>
            </w:r>
          </w:p>
        </w:tc>
      </w:tr>
      <w:tr>
        <w:tblPrEx>
          <w:tblCellMar>
            <w:left w:w="108" w:type="dxa"/>
            <w:right w:w="108" w:type="dxa"/>
          </w:tblCellMar>
        </w:tblPrEx>
        <w:tc>
          <w:tcPr>
            <w:tcW w:w="4593" w:type="dxa"/>
          </w:tcPr>
          <w:p>
            <w:pPr>
              <w:pStyle w:val="yTable"/>
              <w:tabs>
                <w:tab w:val="right" w:pos="1735"/>
              </w:tabs>
              <w:spacing w:before="40" w:after="40"/>
              <w:ind w:left="-11" w:firstLine="11"/>
            </w:pPr>
            <w:r>
              <w:t>56007</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56010</w:t>
            </w:r>
          </w:p>
        </w:tc>
        <w:tc>
          <w:tcPr>
            <w:tcW w:w="1503" w:type="dxa"/>
          </w:tcPr>
          <w:p>
            <w:pPr>
              <w:pStyle w:val="yTable"/>
              <w:tabs>
                <w:tab w:val="decimal" w:pos="425"/>
                <w:tab w:val="right" w:pos="1418"/>
              </w:tabs>
              <w:spacing w:before="40" w:after="40"/>
              <w:ind w:left="34" w:right="295"/>
              <w:jc w:val="right"/>
            </w:pPr>
            <w:r>
              <w:t>304.60</w:t>
            </w:r>
          </w:p>
        </w:tc>
      </w:tr>
      <w:tr>
        <w:tblPrEx>
          <w:tblCellMar>
            <w:left w:w="108" w:type="dxa"/>
            <w:right w:w="108" w:type="dxa"/>
          </w:tblCellMar>
        </w:tblPrEx>
        <w:tc>
          <w:tcPr>
            <w:tcW w:w="4593" w:type="dxa"/>
          </w:tcPr>
          <w:p>
            <w:pPr>
              <w:pStyle w:val="yTable"/>
              <w:tabs>
                <w:tab w:val="right" w:pos="1735"/>
              </w:tabs>
              <w:spacing w:before="40" w:after="40"/>
              <w:ind w:left="-11" w:firstLine="11"/>
            </w:pPr>
            <w:r>
              <w:t>56013</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56016</w:t>
            </w:r>
          </w:p>
        </w:tc>
        <w:tc>
          <w:tcPr>
            <w:tcW w:w="1503" w:type="dxa"/>
          </w:tcPr>
          <w:p>
            <w:pPr>
              <w:pStyle w:val="yTable"/>
              <w:tabs>
                <w:tab w:val="decimal" w:pos="425"/>
                <w:tab w:val="right" w:pos="1418"/>
              </w:tabs>
              <w:spacing w:before="40" w:after="40"/>
              <w:ind w:left="34" w:right="295"/>
              <w:jc w:val="right"/>
            </w:pPr>
            <w:r>
              <w:t>350.45</w:t>
            </w:r>
          </w:p>
        </w:tc>
      </w:tr>
      <w:tr>
        <w:tblPrEx>
          <w:tblCellMar>
            <w:left w:w="108" w:type="dxa"/>
            <w:right w:w="108" w:type="dxa"/>
          </w:tblCellMar>
        </w:tblPrEx>
        <w:tc>
          <w:tcPr>
            <w:tcW w:w="4593" w:type="dxa"/>
          </w:tcPr>
          <w:p>
            <w:pPr>
              <w:pStyle w:val="yTable"/>
              <w:tabs>
                <w:tab w:val="right" w:pos="1735"/>
              </w:tabs>
              <w:spacing w:before="40" w:after="40"/>
              <w:ind w:left="-11" w:firstLine="11"/>
            </w:pPr>
            <w:r>
              <w:t>56022</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56028</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56030</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56036</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56041</w:t>
            </w:r>
          </w:p>
        </w:tc>
        <w:tc>
          <w:tcPr>
            <w:tcW w:w="1503" w:type="dxa"/>
          </w:tcPr>
          <w:p>
            <w:pPr>
              <w:pStyle w:val="yTable"/>
              <w:tabs>
                <w:tab w:val="decimal" w:pos="425"/>
                <w:tab w:val="right" w:pos="1418"/>
              </w:tabs>
              <w:spacing w:before="40" w:after="40"/>
              <w:ind w:left="34" w:right="295"/>
              <w:jc w:val="right"/>
            </w:pPr>
            <w:r>
              <w:t>119.35</w:t>
            </w:r>
          </w:p>
        </w:tc>
      </w:tr>
      <w:tr>
        <w:tblPrEx>
          <w:tblCellMar>
            <w:left w:w="108" w:type="dxa"/>
            <w:right w:w="108" w:type="dxa"/>
          </w:tblCellMar>
        </w:tblPrEx>
        <w:tc>
          <w:tcPr>
            <w:tcW w:w="4593" w:type="dxa"/>
          </w:tcPr>
          <w:p>
            <w:pPr>
              <w:pStyle w:val="yTable"/>
              <w:tabs>
                <w:tab w:val="right" w:pos="1735"/>
              </w:tabs>
              <w:spacing w:before="40" w:after="40"/>
              <w:ind w:left="-11" w:firstLine="11"/>
            </w:pPr>
            <w:r>
              <w:t>56047</w:t>
            </w:r>
          </w:p>
        </w:tc>
        <w:tc>
          <w:tcPr>
            <w:tcW w:w="1503" w:type="dxa"/>
          </w:tcPr>
          <w:p>
            <w:pPr>
              <w:pStyle w:val="yTable"/>
              <w:tabs>
                <w:tab w:val="decimal" w:pos="425"/>
                <w:tab w:val="right" w:pos="1418"/>
              </w:tabs>
              <w:spacing w:before="40" w:after="40"/>
              <w:ind w:left="34" w:right="295"/>
              <w:jc w:val="right"/>
            </w:pPr>
            <w:r>
              <w:t>152.40</w:t>
            </w:r>
          </w:p>
        </w:tc>
      </w:tr>
      <w:tr>
        <w:tblPrEx>
          <w:tblCellMar>
            <w:left w:w="108" w:type="dxa"/>
            <w:right w:w="108" w:type="dxa"/>
          </w:tblCellMar>
        </w:tblPrEx>
        <w:tc>
          <w:tcPr>
            <w:tcW w:w="4593" w:type="dxa"/>
          </w:tcPr>
          <w:p>
            <w:pPr>
              <w:pStyle w:val="yTable"/>
              <w:tabs>
                <w:tab w:val="right" w:pos="1735"/>
              </w:tabs>
              <w:spacing w:before="40" w:after="40"/>
              <w:ind w:left="-11" w:firstLine="11"/>
            </w:pPr>
            <w:r>
              <w:t>56050</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56053</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56056</w:t>
            </w:r>
          </w:p>
        </w:tc>
        <w:tc>
          <w:tcPr>
            <w:tcW w:w="1503" w:type="dxa"/>
          </w:tcPr>
          <w:p>
            <w:pPr>
              <w:pStyle w:val="yTable"/>
              <w:tabs>
                <w:tab w:val="decimal" w:pos="425"/>
                <w:tab w:val="right" w:pos="1418"/>
              </w:tabs>
              <w:spacing w:before="40" w:after="40"/>
              <w:ind w:left="34" w:right="295"/>
              <w:jc w:val="right"/>
            </w:pPr>
            <w:r>
              <w:t>187.80</w:t>
            </w:r>
          </w:p>
        </w:tc>
      </w:tr>
      <w:tr>
        <w:tblPrEx>
          <w:tblCellMar>
            <w:left w:w="108" w:type="dxa"/>
            <w:right w:w="108" w:type="dxa"/>
          </w:tblCellMar>
        </w:tblPrEx>
        <w:tc>
          <w:tcPr>
            <w:tcW w:w="4593" w:type="dxa"/>
          </w:tcPr>
          <w:p>
            <w:pPr>
              <w:pStyle w:val="yTable"/>
              <w:tabs>
                <w:tab w:val="right" w:pos="1735"/>
              </w:tabs>
              <w:spacing w:before="40" w:after="40"/>
              <w:ind w:left="-11" w:firstLine="11"/>
            </w:pPr>
            <w:r>
              <w:t>56062</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56068</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56070</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56076</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56101</w:t>
            </w:r>
          </w:p>
        </w:tc>
        <w:tc>
          <w:tcPr>
            <w:tcW w:w="1503" w:type="dxa"/>
          </w:tcPr>
          <w:p>
            <w:pPr>
              <w:pStyle w:val="yTable"/>
              <w:tabs>
                <w:tab w:val="decimal" w:pos="425"/>
                <w:tab w:val="right" w:pos="1418"/>
              </w:tabs>
              <w:spacing w:before="40" w:after="40"/>
              <w:ind w:left="34" w:right="295"/>
              <w:jc w:val="right"/>
            </w:pPr>
            <w:r>
              <w:t>277.95</w:t>
            </w:r>
          </w:p>
        </w:tc>
      </w:tr>
      <w:tr>
        <w:tblPrEx>
          <w:tblCellMar>
            <w:left w:w="108" w:type="dxa"/>
            <w:right w:w="108" w:type="dxa"/>
          </w:tblCellMar>
        </w:tblPrEx>
        <w:tc>
          <w:tcPr>
            <w:tcW w:w="4593" w:type="dxa"/>
          </w:tcPr>
          <w:p>
            <w:pPr>
              <w:pStyle w:val="yTable"/>
              <w:tabs>
                <w:tab w:val="right" w:pos="1735"/>
              </w:tabs>
              <w:spacing w:before="40" w:after="40"/>
              <w:ind w:left="-11" w:firstLine="11"/>
            </w:pPr>
            <w:r>
              <w:t>56107</w:t>
            </w:r>
          </w:p>
        </w:tc>
        <w:tc>
          <w:tcPr>
            <w:tcW w:w="1503" w:type="dxa"/>
          </w:tcPr>
          <w:p>
            <w:pPr>
              <w:pStyle w:val="yTable"/>
              <w:tabs>
                <w:tab w:val="decimal" w:pos="425"/>
                <w:tab w:val="right" w:pos="1418"/>
              </w:tabs>
              <w:spacing w:before="40" w:after="40"/>
              <w:ind w:left="34" w:right="295"/>
              <w:jc w:val="right"/>
            </w:pPr>
            <w:r>
              <w:t>410.90</w:t>
            </w:r>
          </w:p>
        </w:tc>
      </w:tr>
      <w:tr>
        <w:tblPrEx>
          <w:tblCellMar>
            <w:left w:w="108" w:type="dxa"/>
            <w:right w:w="108" w:type="dxa"/>
          </w:tblCellMar>
        </w:tblPrEx>
        <w:tc>
          <w:tcPr>
            <w:tcW w:w="4593" w:type="dxa"/>
          </w:tcPr>
          <w:p>
            <w:pPr>
              <w:pStyle w:val="yTable"/>
              <w:tabs>
                <w:tab w:val="right" w:pos="1735"/>
              </w:tabs>
              <w:spacing w:before="40" w:after="40"/>
              <w:ind w:left="-11" w:firstLine="11"/>
            </w:pPr>
            <w:r>
              <w:t>56141</w:t>
            </w:r>
          </w:p>
        </w:tc>
        <w:tc>
          <w:tcPr>
            <w:tcW w:w="1503" w:type="dxa"/>
          </w:tcPr>
          <w:p>
            <w:pPr>
              <w:pStyle w:val="yTable"/>
              <w:tabs>
                <w:tab w:val="decimal" w:pos="425"/>
                <w:tab w:val="right" w:pos="1418"/>
              </w:tabs>
              <w:spacing w:before="40" w:after="40"/>
              <w:ind w:left="34" w:right="295"/>
              <w:jc w:val="right"/>
            </w:pPr>
            <w:r>
              <w:t>140.70</w:t>
            </w:r>
          </w:p>
        </w:tc>
      </w:tr>
      <w:tr>
        <w:tblPrEx>
          <w:tblCellMar>
            <w:left w:w="108" w:type="dxa"/>
            <w:right w:w="108" w:type="dxa"/>
          </w:tblCellMar>
        </w:tblPrEx>
        <w:tc>
          <w:tcPr>
            <w:tcW w:w="4593" w:type="dxa"/>
          </w:tcPr>
          <w:p>
            <w:pPr>
              <w:pStyle w:val="yTable"/>
              <w:tabs>
                <w:tab w:val="right" w:pos="1735"/>
              </w:tabs>
              <w:spacing w:before="40" w:after="40"/>
              <w:ind w:left="-11" w:firstLine="11"/>
            </w:pPr>
            <w:r>
              <w:t>56147</w:t>
            </w:r>
          </w:p>
        </w:tc>
        <w:tc>
          <w:tcPr>
            <w:tcW w:w="1503" w:type="dxa"/>
          </w:tcPr>
          <w:p>
            <w:pPr>
              <w:pStyle w:val="yTable"/>
              <w:tabs>
                <w:tab w:val="decimal" w:pos="425"/>
                <w:tab w:val="right" w:pos="1418"/>
              </w:tabs>
              <w:spacing w:before="40" w:after="40"/>
              <w:ind w:left="34" w:right="295"/>
              <w:jc w:val="right"/>
            </w:pPr>
            <w:r>
              <w:t>207.40</w:t>
            </w:r>
          </w:p>
        </w:tc>
      </w:tr>
      <w:tr>
        <w:tblPrEx>
          <w:tblCellMar>
            <w:left w:w="108" w:type="dxa"/>
            <w:right w:w="108" w:type="dxa"/>
          </w:tblCellMar>
        </w:tblPrEx>
        <w:tc>
          <w:tcPr>
            <w:tcW w:w="4593" w:type="dxa"/>
          </w:tcPr>
          <w:p>
            <w:pPr>
              <w:pStyle w:val="yTable"/>
              <w:tabs>
                <w:tab w:val="right" w:pos="1735"/>
              </w:tabs>
              <w:spacing w:before="40" w:after="40"/>
              <w:ind w:left="-11" w:firstLine="11"/>
            </w:pPr>
            <w:r>
              <w:t>56219</w:t>
            </w:r>
          </w:p>
        </w:tc>
        <w:tc>
          <w:tcPr>
            <w:tcW w:w="1503" w:type="dxa"/>
          </w:tcPr>
          <w:p>
            <w:pPr>
              <w:pStyle w:val="yTable"/>
              <w:tabs>
                <w:tab w:val="decimal" w:pos="425"/>
                <w:tab w:val="right" w:pos="1418"/>
              </w:tabs>
              <w:spacing w:before="40" w:after="40"/>
              <w:ind w:left="34" w:right="295"/>
              <w:jc w:val="right"/>
            </w:pPr>
            <w:r>
              <w:t>394.15</w:t>
            </w:r>
          </w:p>
        </w:tc>
      </w:tr>
      <w:tr>
        <w:tblPrEx>
          <w:tblCellMar>
            <w:left w:w="108" w:type="dxa"/>
            <w:right w:w="108" w:type="dxa"/>
          </w:tblCellMar>
        </w:tblPrEx>
        <w:tc>
          <w:tcPr>
            <w:tcW w:w="4593" w:type="dxa"/>
          </w:tcPr>
          <w:p>
            <w:pPr>
              <w:pStyle w:val="yTable"/>
              <w:tabs>
                <w:tab w:val="right" w:pos="1735"/>
              </w:tabs>
              <w:spacing w:before="40" w:after="40"/>
              <w:ind w:left="-11" w:firstLine="11"/>
            </w:pPr>
            <w:r>
              <w:t>56220</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56221</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56225</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56226</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56227</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56228</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56229</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56230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56231</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56232</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56235</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56236</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56237</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56238</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56239</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56240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56259</w:t>
            </w:r>
          </w:p>
        </w:tc>
        <w:tc>
          <w:tcPr>
            <w:tcW w:w="1503" w:type="dxa"/>
          </w:tcPr>
          <w:p>
            <w:pPr>
              <w:pStyle w:val="yTable"/>
              <w:tabs>
                <w:tab w:val="decimal" w:pos="425"/>
                <w:tab w:val="right" w:pos="1418"/>
              </w:tabs>
              <w:spacing w:before="40" w:after="40"/>
              <w:ind w:left="34" w:right="295"/>
              <w:jc w:val="right"/>
            </w:pPr>
            <w:r>
              <w:t>199.15</w:t>
            </w:r>
          </w:p>
        </w:tc>
      </w:tr>
      <w:tr>
        <w:tblPrEx>
          <w:tblCellMar>
            <w:left w:w="108" w:type="dxa"/>
            <w:right w:w="108" w:type="dxa"/>
          </w:tblCellMar>
        </w:tblPrEx>
        <w:tc>
          <w:tcPr>
            <w:tcW w:w="4593" w:type="dxa"/>
          </w:tcPr>
          <w:p>
            <w:pPr>
              <w:pStyle w:val="yTable"/>
              <w:tabs>
                <w:tab w:val="right" w:pos="1735"/>
              </w:tabs>
              <w:spacing w:before="40" w:after="40"/>
              <w:ind w:left="-11" w:firstLine="11"/>
            </w:pPr>
            <w:r>
              <w:t>56301</w:t>
            </w:r>
          </w:p>
        </w:tc>
        <w:tc>
          <w:tcPr>
            <w:tcW w:w="1503" w:type="dxa"/>
          </w:tcPr>
          <w:p>
            <w:pPr>
              <w:pStyle w:val="yTable"/>
              <w:tabs>
                <w:tab w:val="decimal" w:pos="425"/>
                <w:tab w:val="right" w:pos="1418"/>
              </w:tabs>
              <w:spacing w:before="40" w:after="40"/>
              <w:ind w:left="34" w:right="295"/>
              <w:jc w:val="right"/>
            </w:pPr>
            <w:r>
              <w:t>356.50</w:t>
            </w:r>
          </w:p>
        </w:tc>
      </w:tr>
      <w:tr>
        <w:tblPrEx>
          <w:tblCellMar>
            <w:left w:w="108" w:type="dxa"/>
            <w:right w:w="108" w:type="dxa"/>
          </w:tblCellMar>
        </w:tblPrEx>
        <w:tc>
          <w:tcPr>
            <w:tcW w:w="4593" w:type="dxa"/>
          </w:tcPr>
          <w:p>
            <w:pPr>
              <w:pStyle w:val="yTable"/>
              <w:tabs>
                <w:tab w:val="right" w:pos="1735"/>
              </w:tabs>
              <w:spacing w:before="40" w:after="40"/>
              <w:ind w:left="-11" w:firstLine="11"/>
            </w:pPr>
            <w:r>
              <w:t>56307</w:t>
            </w:r>
          </w:p>
        </w:tc>
        <w:tc>
          <w:tcPr>
            <w:tcW w:w="1503" w:type="dxa"/>
          </w:tcPr>
          <w:p>
            <w:pPr>
              <w:pStyle w:val="yTable"/>
              <w:tabs>
                <w:tab w:val="decimal" w:pos="425"/>
                <w:tab w:val="right" w:pos="1418"/>
              </w:tabs>
              <w:spacing w:before="40" w:after="40"/>
              <w:ind w:left="34" w:right="295"/>
              <w:jc w:val="right"/>
            </w:pPr>
            <w:r>
              <w:t>483.35</w:t>
            </w:r>
          </w:p>
        </w:tc>
      </w:tr>
      <w:tr>
        <w:tblPrEx>
          <w:tblCellMar>
            <w:left w:w="108" w:type="dxa"/>
            <w:right w:w="108" w:type="dxa"/>
          </w:tblCellMar>
        </w:tblPrEx>
        <w:tc>
          <w:tcPr>
            <w:tcW w:w="4593" w:type="dxa"/>
          </w:tcPr>
          <w:p>
            <w:pPr>
              <w:pStyle w:val="yTable"/>
              <w:tabs>
                <w:tab w:val="right" w:pos="1735"/>
              </w:tabs>
              <w:spacing w:before="40" w:after="40"/>
              <w:ind w:left="-11" w:firstLine="11"/>
            </w:pPr>
            <w:r>
              <w:t>56341</w:t>
            </w:r>
          </w:p>
        </w:tc>
        <w:tc>
          <w:tcPr>
            <w:tcW w:w="1503" w:type="dxa"/>
          </w:tcPr>
          <w:p>
            <w:pPr>
              <w:pStyle w:val="yTable"/>
              <w:tabs>
                <w:tab w:val="decimal" w:pos="425"/>
                <w:tab w:val="right" w:pos="1418"/>
              </w:tabs>
              <w:spacing w:before="40" w:after="40"/>
              <w:ind w:left="34" w:right="295"/>
              <w:jc w:val="right"/>
            </w:pPr>
            <w:r>
              <w:t>180.60</w:t>
            </w:r>
          </w:p>
        </w:tc>
      </w:tr>
      <w:tr>
        <w:tblPrEx>
          <w:tblCellMar>
            <w:left w:w="108" w:type="dxa"/>
            <w:right w:w="108" w:type="dxa"/>
          </w:tblCellMar>
        </w:tblPrEx>
        <w:tc>
          <w:tcPr>
            <w:tcW w:w="4593" w:type="dxa"/>
          </w:tcPr>
          <w:p>
            <w:pPr>
              <w:pStyle w:val="yTable"/>
              <w:tabs>
                <w:tab w:val="right" w:pos="1735"/>
              </w:tabs>
              <w:spacing w:before="40" w:after="40"/>
              <w:ind w:left="-11" w:firstLine="11"/>
            </w:pPr>
            <w:r>
              <w:t>56347</w:t>
            </w:r>
          </w:p>
        </w:tc>
        <w:tc>
          <w:tcPr>
            <w:tcW w:w="1503" w:type="dxa"/>
          </w:tcPr>
          <w:p>
            <w:pPr>
              <w:pStyle w:val="yTable"/>
              <w:tabs>
                <w:tab w:val="decimal" w:pos="425"/>
                <w:tab w:val="right" w:pos="1418"/>
              </w:tabs>
              <w:spacing w:before="40" w:after="40"/>
              <w:ind w:left="34" w:right="295"/>
              <w:jc w:val="right"/>
            </w:pPr>
            <w:r>
              <w:t>244.10</w:t>
            </w:r>
          </w:p>
        </w:tc>
      </w:tr>
      <w:tr>
        <w:tblPrEx>
          <w:tblCellMar>
            <w:left w:w="108" w:type="dxa"/>
            <w:right w:w="108" w:type="dxa"/>
          </w:tblCellMar>
        </w:tblPrEx>
        <w:tc>
          <w:tcPr>
            <w:tcW w:w="4593" w:type="dxa"/>
          </w:tcPr>
          <w:p>
            <w:pPr>
              <w:pStyle w:val="yTable"/>
              <w:tabs>
                <w:tab w:val="right" w:pos="1735"/>
              </w:tabs>
              <w:spacing w:before="40" w:after="40"/>
              <w:ind w:left="-11" w:firstLine="11"/>
            </w:pPr>
            <w:r>
              <w:t>56401</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56407</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56409</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56412</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56441</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56447</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56449</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56452</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56501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56507</w:t>
            </w:r>
          </w:p>
        </w:tc>
        <w:tc>
          <w:tcPr>
            <w:tcW w:w="1503" w:type="dxa"/>
          </w:tcPr>
          <w:p>
            <w:pPr>
              <w:pStyle w:val="yTable"/>
              <w:tabs>
                <w:tab w:val="decimal" w:pos="425"/>
                <w:tab w:val="right" w:pos="1418"/>
              </w:tabs>
              <w:spacing w:before="40" w:after="40"/>
              <w:ind w:left="34" w:right="295"/>
              <w:jc w:val="right"/>
            </w:pPr>
            <w:r>
              <w:t>580.05</w:t>
            </w:r>
          </w:p>
        </w:tc>
      </w:tr>
      <w:tr>
        <w:tblPrEx>
          <w:tblCellMar>
            <w:left w:w="108" w:type="dxa"/>
            <w:right w:w="108" w:type="dxa"/>
          </w:tblCellMar>
        </w:tblPrEx>
        <w:tc>
          <w:tcPr>
            <w:tcW w:w="4593" w:type="dxa"/>
          </w:tcPr>
          <w:p>
            <w:pPr>
              <w:pStyle w:val="yTable"/>
              <w:tabs>
                <w:tab w:val="right" w:pos="1735"/>
              </w:tabs>
              <w:spacing w:before="40" w:after="40"/>
              <w:ind w:left="-11" w:firstLine="11"/>
            </w:pPr>
            <w:r>
              <w:t>56541</w:t>
            </w:r>
          </w:p>
        </w:tc>
        <w:tc>
          <w:tcPr>
            <w:tcW w:w="1503" w:type="dxa"/>
          </w:tcPr>
          <w:p>
            <w:pPr>
              <w:pStyle w:val="yTable"/>
              <w:tabs>
                <w:tab w:val="decimal" w:pos="425"/>
                <w:tab w:val="right" w:pos="1418"/>
              </w:tabs>
              <w:spacing w:before="40" w:after="40"/>
              <w:ind w:left="34" w:right="295"/>
              <w:jc w:val="right"/>
            </w:pPr>
            <w:r>
              <w:t>233.40</w:t>
            </w:r>
          </w:p>
        </w:tc>
      </w:tr>
      <w:tr>
        <w:tblPrEx>
          <w:tblCellMar>
            <w:left w:w="108" w:type="dxa"/>
            <w:right w:w="108" w:type="dxa"/>
          </w:tblCellMar>
        </w:tblPrEx>
        <w:tc>
          <w:tcPr>
            <w:tcW w:w="4593" w:type="dxa"/>
          </w:tcPr>
          <w:p>
            <w:pPr>
              <w:pStyle w:val="yTable"/>
              <w:tabs>
                <w:tab w:val="right" w:pos="1735"/>
              </w:tabs>
              <w:spacing w:before="40" w:after="40"/>
              <w:ind w:left="-11" w:firstLine="11"/>
            </w:pPr>
            <w:r>
              <w:t>56547</w:t>
            </w:r>
          </w:p>
        </w:tc>
        <w:tc>
          <w:tcPr>
            <w:tcW w:w="1503" w:type="dxa"/>
          </w:tcPr>
          <w:p>
            <w:pPr>
              <w:pStyle w:val="yTable"/>
              <w:tabs>
                <w:tab w:val="decimal" w:pos="425"/>
                <w:tab w:val="right" w:pos="1418"/>
              </w:tabs>
              <w:spacing w:before="40" w:after="40"/>
              <w:ind w:left="34" w:right="295"/>
              <w:jc w:val="right"/>
            </w:pPr>
            <w:r>
              <w:t>294.55</w:t>
            </w:r>
          </w:p>
        </w:tc>
      </w:tr>
      <w:tr>
        <w:tblPrEx>
          <w:tblCellMar>
            <w:left w:w="108" w:type="dxa"/>
            <w:right w:w="108" w:type="dxa"/>
          </w:tblCellMar>
        </w:tblPrEx>
        <w:tc>
          <w:tcPr>
            <w:tcW w:w="4593" w:type="dxa"/>
          </w:tcPr>
          <w:p>
            <w:pPr>
              <w:pStyle w:val="yTable"/>
              <w:tabs>
                <w:tab w:val="right" w:pos="1735"/>
              </w:tabs>
              <w:spacing w:before="40" w:after="40"/>
              <w:ind w:left="-11" w:firstLine="11"/>
            </w:pPr>
            <w:r>
              <w:t>56549</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56551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56619</w:t>
            </w:r>
          </w:p>
        </w:tc>
        <w:tc>
          <w:tcPr>
            <w:tcW w:w="1503" w:type="dxa"/>
          </w:tcPr>
          <w:p>
            <w:pPr>
              <w:pStyle w:val="yTable"/>
              <w:tabs>
                <w:tab w:val="decimal" w:pos="425"/>
                <w:tab w:val="right" w:pos="1418"/>
              </w:tabs>
              <w:spacing w:before="40" w:after="40"/>
              <w:ind w:left="34" w:right="295"/>
              <w:jc w:val="right"/>
            </w:pPr>
            <w:r>
              <w:t>265.85</w:t>
            </w:r>
          </w:p>
        </w:tc>
      </w:tr>
      <w:tr>
        <w:tblPrEx>
          <w:tblCellMar>
            <w:left w:w="108" w:type="dxa"/>
            <w:right w:w="108" w:type="dxa"/>
          </w:tblCellMar>
        </w:tblPrEx>
        <w:tc>
          <w:tcPr>
            <w:tcW w:w="4593" w:type="dxa"/>
          </w:tcPr>
          <w:p>
            <w:pPr>
              <w:pStyle w:val="yTable"/>
              <w:tabs>
                <w:tab w:val="right" w:pos="1735"/>
              </w:tabs>
              <w:spacing w:before="40" w:after="40"/>
              <w:ind w:left="-11" w:firstLine="11"/>
            </w:pPr>
            <w:r>
              <w:t>56625</w:t>
            </w:r>
          </w:p>
        </w:tc>
        <w:tc>
          <w:tcPr>
            <w:tcW w:w="1503" w:type="dxa"/>
          </w:tcPr>
          <w:p>
            <w:pPr>
              <w:pStyle w:val="yTable"/>
              <w:tabs>
                <w:tab w:val="decimal" w:pos="425"/>
                <w:tab w:val="right" w:pos="1418"/>
              </w:tabs>
              <w:spacing w:before="40" w:after="40"/>
              <w:ind w:left="34" w:right="295"/>
              <w:jc w:val="right"/>
            </w:pPr>
            <w:r>
              <w:t>404.40</w:t>
            </w:r>
          </w:p>
        </w:tc>
      </w:tr>
      <w:tr>
        <w:tblPrEx>
          <w:tblCellMar>
            <w:left w:w="108" w:type="dxa"/>
            <w:right w:w="108" w:type="dxa"/>
          </w:tblCellMar>
        </w:tblPrEx>
        <w:tc>
          <w:tcPr>
            <w:tcW w:w="4593" w:type="dxa"/>
          </w:tcPr>
          <w:p>
            <w:pPr>
              <w:pStyle w:val="yTable"/>
              <w:tabs>
                <w:tab w:val="right" w:pos="1735"/>
              </w:tabs>
              <w:spacing w:before="40" w:after="40"/>
              <w:ind w:left="-11" w:firstLine="11"/>
            </w:pPr>
            <w:r>
              <w:t>56659</w:t>
            </w:r>
          </w:p>
        </w:tc>
        <w:tc>
          <w:tcPr>
            <w:tcW w:w="1503" w:type="dxa"/>
          </w:tcPr>
          <w:p>
            <w:pPr>
              <w:pStyle w:val="yTable"/>
              <w:tabs>
                <w:tab w:val="decimal" w:pos="425"/>
                <w:tab w:val="right" w:pos="1418"/>
              </w:tabs>
              <w:spacing w:before="40" w:after="40"/>
              <w:ind w:left="34" w:right="295"/>
              <w:jc w:val="right"/>
            </w:pPr>
            <w:r>
              <w:t>135.45</w:t>
            </w:r>
          </w:p>
        </w:tc>
      </w:tr>
      <w:tr>
        <w:tblPrEx>
          <w:tblCellMar>
            <w:left w:w="108" w:type="dxa"/>
            <w:right w:w="108" w:type="dxa"/>
          </w:tblCellMar>
        </w:tblPrEx>
        <w:tc>
          <w:tcPr>
            <w:tcW w:w="4593" w:type="dxa"/>
          </w:tcPr>
          <w:p>
            <w:pPr>
              <w:pStyle w:val="yTable"/>
              <w:tabs>
                <w:tab w:val="right" w:pos="1735"/>
              </w:tabs>
              <w:spacing w:before="40" w:after="40"/>
              <w:ind w:left="-11" w:firstLine="11"/>
            </w:pPr>
            <w:r>
              <w:t>56665</w:t>
            </w:r>
          </w:p>
        </w:tc>
        <w:tc>
          <w:tcPr>
            <w:tcW w:w="1503" w:type="dxa"/>
          </w:tcPr>
          <w:p>
            <w:pPr>
              <w:pStyle w:val="yTable"/>
              <w:tabs>
                <w:tab w:val="decimal" w:pos="425"/>
                <w:tab w:val="right" w:pos="1418"/>
              </w:tabs>
              <w:spacing w:before="40" w:after="40"/>
              <w:ind w:left="34" w:right="295"/>
              <w:jc w:val="right"/>
            </w:pPr>
            <w:r>
              <w:t>202.30</w:t>
            </w:r>
          </w:p>
        </w:tc>
      </w:tr>
      <w:tr>
        <w:tblPrEx>
          <w:tblCellMar>
            <w:left w:w="108" w:type="dxa"/>
            <w:right w:w="108" w:type="dxa"/>
          </w:tblCellMar>
        </w:tblPrEx>
        <w:tc>
          <w:tcPr>
            <w:tcW w:w="4593" w:type="dxa"/>
          </w:tcPr>
          <w:p>
            <w:pPr>
              <w:pStyle w:val="yTable"/>
              <w:tabs>
                <w:tab w:val="right" w:pos="1735"/>
              </w:tabs>
              <w:spacing w:before="40" w:after="40"/>
              <w:ind w:left="-11" w:firstLine="11"/>
            </w:pPr>
            <w:r>
              <w:t>56801</w:t>
            </w:r>
          </w:p>
        </w:tc>
        <w:tc>
          <w:tcPr>
            <w:tcW w:w="1503" w:type="dxa"/>
          </w:tcPr>
          <w:p>
            <w:pPr>
              <w:pStyle w:val="yTable"/>
              <w:tabs>
                <w:tab w:val="decimal" w:pos="425"/>
                <w:tab w:val="right" w:pos="1418"/>
              </w:tabs>
              <w:spacing w:before="40" w:after="40"/>
              <w:ind w:left="34" w:right="295"/>
              <w:jc w:val="right"/>
            </w:pPr>
            <w:r>
              <w:t>563.80</w:t>
            </w:r>
          </w:p>
        </w:tc>
      </w:tr>
      <w:tr>
        <w:tblPrEx>
          <w:tblCellMar>
            <w:left w:w="108" w:type="dxa"/>
            <w:right w:w="108" w:type="dxa"/>
          </w:tblCellMar>
        </w:tblPrEx>
        <w:tc>
          <w:tcPr>
            <w:tcW w:w="4593" w:type="dxa"/>
          </w:tcPr>
          <w:p>
            <w:pPr>
              <w:pStyle w:val="yTable"/>
              <w:tabs>
                <w:tab w:val="right" w:pos="1735"/>
              </w:tabs>
              <w:spacing w:before="40" w:after="40"/>
              <w:ind w:left="-11" w:firstLine="11"/>
            </w:pPr>
            <w:r>
              <w:t>56807</w:t>
            </w:r>
          </w:p>
        </w:tc>
        <w:tc>
          <w:tcPr>
            <w:tcW w:w="1503" w:type="dxa"/>
          </w:tcPr>
          <w:p>
            <w:pPr>
              <w:pStyle w:val="yTable"/>
              <w:tabs>
                <w:tab w:val="decimal" w:pos="425"/>
                <w:tab w:val="right" w:pos="1418"/>
              </w:tabs>
              <w:spacing w:before="40" w:after="40"/>
              <w:ind w:left="34" w:right="295"/>
              <w:jc w:val="right"/>
            </w:pPr>
            <w:r>
              <w:t>676.70</w:t>
            </w:r>
          </w:p>
        </w:tc>
      </w:tr>
      <w:tr>
        <w:tblPrEx>
          <w:tblCellMar>
            <w:left w:w="108" w:type="dxa"/>
            <w:right w:w="108" w:type="dxa"/>
          </w:tblCellMar>
        </w:tblPrEx>
        <w:tc>
          <w:tcPr>
            <w:tcW w:w="4593" w:type="dxa"/>
          </w:tcPr>
          <w:p>
            <w:pPr>
              <w:pStyle w:val="yTable"/>
              <w:tabs>
                <w:tab w:val="right" w:pos="1735"/>
              </w:tabs>
              <w:spacing w:before="40" w:after="40"/>
              <w:ind w:left="-11" w:firstLine="11"/>
            </w:pPr>
            <w:r>
              <w:t>56841</w:t>
            </w:r>
          </w:p>
        </w:tc>
        <w:tc>
          <w:tcPr>
            <w:tcW w:w="1503" w:type="dxa"/>
          </w:tcPr>
          <w:p>
            <w:pPr>
              <w:pStyle w:val="yTable"/>
              <w:tabs>
                <w:tab w:val="decimal" w:pos="425"/>
                <w:tab w:val="right" w:pos="1418"/>
              </w:tabs>
              <w:spacing w:before="40" w:after="40"/>
              <w:ind w:left="34" w:right="295"/>
              <w:jc w:val="right"/>
            </w:pPr>
            <w:r>
              <w:t>282.00</w:t>
            </w:r>
          </w:p>
        </w:tc>
      </w:tr>
      <w:tr>
        <w:tblPrEx>
          <w:tblCellMar>
            <w:left w:w="108" w:type="dxa"/>
            <w:right w:w="108" w:type="dxa"/>
          </w:tblCellMar>
        </w:tblPrEx>
        <w:tc>
          <w:tcPr>
            <w:tcW w:w="4593" w:type="dxa"/>
          </w:tcPr>
          <w:p>
            <w:pPr>
              <w:pStyle w:val="yTable"/>
              <w:tabs>
                <w:tab w:val="right" w:pos="1735"/>
              </w:tabs>
              <w:spacing w:before="40" w:after="40"/>
              <w:ind w:left="-11" w:firstLine="11"/>
            </w:pPr>
            <w:r>
              <w:t>56847</w:t>
            </w:r>
          </w:p>
        </w:tc>
        <w:tc>
          <w:tcPr>
            <w:tcW w:w="1503" w:type="dxa"/>
          </w:tcPr>
          <w:p>
            <w:pPr>
              <w:pStyle w:val="yTable"/>
              <w:tabs>
                <w:tab w:val="decimal" w:pos="425"/>
                <w:tab w:val="right" w:pos="1418"/>
              </w:tabs>
              <w:spacing w:before="40" w:after="40"/>
              <w:ind w:left="34" w:right="295"/>
              <w:jc w:val="right"/>
            </w:pPr>
            <w:r>
              <w:t>343.00</w:t>
            </w:r>
          </w:p>
        </w:tc>
      </w:tr>
      <w:tr>
        <w:tblPrEx>
          <w:tblCellMar>
            <w:left w:w="108" w:type="dxa"/>
            <w:right w:w="108" w:type="dxa"/>
          </w:tblCellMar>
        </w:tblPrEx>
        <w:tc>
          <w:tcPr>
            <w:tcW w:w="4593" w:type="dxa"/>
          </w:tcPr>
          <w:p>
            <w:pPr>
              <w:pStyle w:val="yTable"/>
              <w:tabs>
                <w:tab w:val="right" w:pos="1735"/>
              </w:tabs>
              <w:spacing w:before="40" w:after="40"/>
              <w:ind w:left="-11" w:firstLine="11"/>
            </w:pPr>
            <w:r>
              <w:t>57001</w:t>
            </w:r>
          </w:p>
        </w:tc>
        <w:tc>
          <w:tcPr>
            <w:tcW w:w="1503" w:type="dxa"/>
          </w:tcPr>
          <w:p>
            <w:pPr>
              <w:pStyle w:val="yTable"/>
              <w:tabs>
                <w:tab w:val="decimal" w:pos="425"/>
                <w:tab w:val="right" w:pos="1418"/>
              </w:tabs>
              <w:spacing w:before="40" w:after="40"/>
              <w:ind w:left="34" w:right="295"/>
              <w:jc w:val="right"/>
            </w:pPr>
            <w:r>
              <w:t>563.90</w:t>
            </w:r>
          </w:p>
        </w:tc>
      </w:tr>
      <w:tr>
        <w:tblPrEx>
          <w:tblCellMar>
            <w:left w:w="108" w:type="dxa"/>
            <w:right w:w="108" w:type="dxa"/>
          </w:tblCellMar>
        </w:tblPrEx>
        <w:tc>
          <w:tcPr>
            <w:tcW w:w="4593" w:type="dxa"/>
          </w:tcPr>
          <w:p>
            <w:pPr>
              <w:pStyle w:val="yTable"/>
              <w:tabs>
                <w:tab w:val="right" w:pos="1735"/>
              </w:tabs>
              <w:spacing w:before="40" w:after="40"/>
              <w:ind w:left="-11" w:firstLine="11"/>
            </w:pPr>
            <w:r>
              <w:t>57007</w:t>
            </w:r>
          </w:p>
        </w:tc>
        <w:tc>
          <w:tcPr>
            <w:tcW w:w="1503" w:type="dxa"/>
          </w:tcPr>
          <w:p>
            <w:pPr>
              <w:pStyle w:val="yTable"/>
              <w:tabs>
                <w:tab w:val="decimal" w:pos="425"/>
                <w:tab w:val="right" w:pos="1418"/>
              </w:tabs>
              <w:spacing w:before="40" w:after="40"/>
              <w:ind w:left="34" w:right="295"/>
              <w:jc w:val="right"/>
            </w:pPr>
            <w:r>
              <w:t>686.10</w:t>
            </w:r>
          </w:p>
        </w:tc>
      </w:tr>
      <w:tr>
        <w:tblPrEx>
          <w:tblCellMar>
            <w:left w:w="108" w:type="dxa"/>
            <w:right w:w="108" w:type="dxa"/>
          </w:tblCellMar>
        </w:tblPrEx>
        <w:tc>
          <w:tcPr>
            <w:tcW w:w="4593" w:type="dxa"/>
          </w:tcPr>
          <w:p>
            <w:pPr>
              <w:pStyle w:val="yTable"/>
              <w:tabs>
                <w:tab w:val="right" w:pos="1735"/>
              </w:tabs>
              <w:spacing w:before="40" w:after="40"/>
              <w:ind w:left="-11" w:firstLine="11"/>
            </w:pPr>
            <w:r>
              <w:t>57041</w:t>
            </w:r>
          </w:p>
        </w:tc>
        <w:tc>
          <w:tcPr>
            <w:tcW w:w="1503" w:type="dxa"/>
          </w:tcPr>
          <w:p>
            <w:pPr>
              <w:pStyle w:val="yTable"/>
              <w:tabs>
                <w:tab w:val="decimal" w:pos="425"/>
                <w:tab w:val="right" w:pos="1418"/>
              </w:tabs>
              <w:spacing w:before="40" w:after="40"/>
              <w:ind w:left="34" w:right="295"/>
              <w:jc w:val="right"/>
            </w:pPr>
            <w:r>
              <w:t>282.05</w:t>
            </w:r>
          </w:p>
        </w:tc>
      </w:tr>
      <w:tr>
        <w:tblPrEx>
          <w:tblCellMar>
            <w:left w:w="108" w:type="dxa"/>
            <w:right w:w="108" w:type="dxa"/>
          </w:tblCellMar>
        </w:tblPrEx>
        <w:tc>
          <w:tcPr>
            <w:tcW w:w="4593" w:type="dxa"/>
          </w:tcPr>
          <w:p>
            <w:pPr>
              <w:pStyle w:val="yTable"/>
              <w:tabs>
                <w:tab w:val="right" w:pos="1735"/>
              </w:tabs>
              <w:spacing w:before="40" w:after="40"/>
              <w:ind w:left="-11" w:firstLine="11"/>
            </w:pPr>
            <w:r>
              <w:t>57047</w:t>
            </w:r>
          </w:p>
        </w:tc>
        <w:tc>
          <w:tcPr>
            <w:tcW w:w="1503" w:type="dxa"/>
          </w:tcPr>
          <w:p>
            <w:pPr>
              <w:pStyle w:val="yTable"/>
              <w:tabs>
                <w:tab w:val="decimal" w:pos="425"/>
                <w:tab w:val="right" w:pos="1418"/>
              </w:tabs>
              <w:spacing w:before="40" w:after="40"/>
              <w:ind w:left="34" w:right="295"/>
              <w:jc w:val="right"/>
            </w:pPr>
            <w:r>
              <w:t>343.05</w:t>
            </w:r>
          </w:p>
        </w:tc>
      </w:tr>
      <w:tr>
        <w:tblPrEx>
          <w:tblCellMar>
            <w:left w:w="108" w:type="dxa"/>
            <w:right w:w="108" w:type="dxa"/>
          </w:tblCellMar>
        </w:tblPrEx>
        <w:tc>
          <w:tcPr>
            <w:tcW w:w="4593" w:type="dxa"/>
          </w:tcPr>
          <w:p>
            <w:pPr>
              <w:pStyle w:val="yTable"/>
              <w:tabs>
                <w:tab w:val="right" w:pos="1735"/>
              </w:tabs>
              <w:spacing w:before="40" w:after="40"/>
              <w:ind w:left="-11" w:firstLine="11"/>
            </w:pPr>
            <w:r>
              <w:t>57201</w:t>
            </w:r>
          </w:p>
        </w:tc>
        <w:tc>
          <w:tcPr>
            <w:tcW w:w="1503" w:type="dxa"/>
          </w:tcPr>
          <w:p>
            <w:pPr>
              <w:pStyle w:val="yTable"/>
              <w:tabs>
                <w:tab w:val="decimal" w:pos="425"/>
                <w:tab w:val="right" w:pos="1418"/>
              </w:tabs>
              <w:spacing w:before="40" w:after="40"/>
              <w:ind w:left="34" w:right="295"/>
              <w:jc w:val="right"/>
            </w:pPr>
            <w:r>
              <w:t>187.55</w:t>
            </w:r>
          </w:p>
        </w:tc>
      </w:tr>
      <w:tr>
        <w:tblPrEx>
          <w:tblCellMar>
            <w:left w:w="108" w:type="dxa"/>
            <w:right w:w="108" w:type="dxa"/>
          </w:tblCellMar>
        </w:tblPrEx>
        <w:tc>
          <w:tcPr>
            <w:tcW w:w="4593" w:type="dxa"/>
          </w:tcPr>
          <w:p>
            <w:pPr>
              <w:pStyle w:val="yTable"/>
              <w:tabs>
                <w:tab w:val="right" w:pos="1735"/>
              </w:tabs>
              <w:spacing w:before="40" w:after="40"/>
              <w:ind w:left="-11" w:firstLine="11"/>
            </w:pPr>
            <w:r>
              <w:t>57247</w:t>
            </w:r>
          </w:p>
        </w:tc>
        <w:tc>
          <w:tcPr>
            <w:tcW w:w="1503"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593" w:type="dxa"/>
          </w:tcPr>
          <w:p>
            <w:pPr>
              <w:pStyle w:val="yTable"/>
              <w:tabs>
                <w:tab w:val="right" w:pos="1735"/>
              </w:tabs>
              <w:spacing w:before="40" w:after="40"/>
              <w:ind w:left="-11" w:firstLine="11"/>
            </w:pPr>
            <w:r>
              <w:t>57341</w:t>
            </w:r>
          </w:p>
        </w:tc>
        <w:tc>
          <w:tcPr>
            <w:tcW w:w="1503" w:type="dxa"/>
          </w:tcPr>
          <w:p>
            <w:pPr>
              <w:pStyle w:val="yTable"/>
              <w:tabs>
                <w:tab w:val="decimal" w:pos="425"/>
                <w:tab w:val="right" w:pos="1418"/>
              </w:tabs>
              <w:spacing w:before="40" w:after="40"/>
              <w:ind w:left="34" w:right="295"/>
              <w:jc w:val="right"/>
            </w:pPr>
            <w:r>
              <w:t>567.95</w:t>
            </w:r>
          </w:p>
        </w:tc>
      </w:tr>
      <w:tr>
        <w:tblPrEx>
          <w:tblCellMar>
            <w:left w:w="108" w:type="dxa"/>
            <w:right w:w="108" w:type="dxa"/>
          </w:tblCellMar>
        </w:tblPrEx>
        <w:tc>
          <w:tcPr>
            <w:tcW w:w="4593" w:type="dxa"/>
          </w:tcPr>
          <w:p>
            <w:pPr>
              <w:pStyle w:val="yTable"/>
              <w:tabs>
                <w:tab w:val="right" w:pos="1735"/>
              </w:tabs>
              <w:spacing w:before="40" w:after="40"/>
              <w:ind w:left="-11" w:firstLine="11"/>
            </w:pPr>
            <w:r>
              <w:t>57345</w:t>
            </w:r>
          </w:p>
        </w:tc>
        <w:tc>
          <w:tcPr>
            <w:tcW w:w="1503" w:type="dxa"/>
          </w:tcPr>
          <w:p>
            <w:pPr>
              <w:pStyle w:val="yTable"/>
              <w:tabs>
                <w:tab w:val="decimal" w:pos="425"/>
                <w:tab w:val="right" w:pos="1418"/>
              </w:tabs>
              <w:spacing w:before="40" w:after="40"/>
              <w:ind w:left="34" w:right="295"/>
              <w:jc w:val="right"/>
            </w:pPr>
            <w:r>
              <w:t>291.95</w:t>
            </w:r>
          </w:p>
        </w:tc>
      </w:tr>
      <w:tr>
        <w:tblPrEx>
          <w:tblCellMar>
            <w:left w:w="108" w:type="dxa"/>
            <w:right w:w="108" w:type="dxa"/>
          </w:tblCellMar>
        </w:tblPrEx>
        <w:tc>
          <w:tcPr>
            <w:tcW w:w="4593" w:type="dxa"/>
          </w:tcPr>
          <w:p>
            <w:pPr>
              <w:pStyle w:val="yTable"/>
              <w:tabs>
                <w:tab w:val="right" w:pos="1735"/>
              </w:tabs>
              <w:spacing w:before="40" w:after="40"/>
              <w:ind w:left="-11" w:firstLine="11"/>
            </w:pPr>
            <w:r>
              <w:t>57350</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57351</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57355</w:t>
            </w:r>
          </w:p>
        </w:tc>
        <w:tc>
          <w:tcPr>
            <w:tcW w:w="1503" w:type="dxa"/>
          </w:tcPr>
          <w:p>
            <w:pPr>
              <w:pStyle w:val="yTable"/>
              <w:tabs>
                <w:tab w:val="decimal" w:pos="425"/>
                <w:tab w:val="right" w:pos="1418"/>
              </w:tabs>
              <w:spacing w:before="40" w:after="40"/>
              <w:ind w:left="34" w:right="295"/>
              <w:jc w:val="right"/>
            </w:pPr>
            <w:r>
              <w:t>319.20</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57356</w:t>
            </w:r>
          </w:p>
        </w:tc>
        <w:tc>
          <w:tcPr>
            <w:tcW w:w="1503" w:type="dxa"/>
            <w:tcBorders>
              <w:bottom w:val="single" w:sz="4" w:space="0" w:color="auto"/>
            </w:tcBorders>
          </w:tcPr>
          <w:p>
            <w:pPr>
              <w:pStyle w:val="yTable"/>
              <w:tabs>
                <w:tab w:val="decimal" w:pos="425"/>
                <w:tab w:val="right" w:pos="1418"/>
              </w:tabs>
              <w:spacing w:before="40" w:after="40"/>
              <w:ind w:left="34" w:right="295"/>
              <w:jc w:val="right"/>
            </w:pPr>
            <w:r>
              <w:t>319.20</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i/>
              </w:rPr>
            </w:pPr>
            <w:r>
              <w:rPr>
                <w:i/>
              </w:rPr>
              <w:t>(1 November 2005)</w:t>
            </w:r>
          </w:p>
        </w:tc>
        <w:tc>
          <w:tcPr>
            <w:tcW w:w="1276" w:type="dxa"/>
            <w:tcBorders>
              <w:top w:val="single" w:sz="4" w:space="0" w:color="auto"/>
              <w:bottom w:val="single" w:sz="4" w:space="0" w:color="auto"/>
            </w:tcBorders>
          </w:tcPr>
          <w:p>
            <w:pPr>
              <w:pStyle w:val="yTable"/>
              <w:tabs>
                <w:tab w:val="decimal" w:pos="601"/>
              </w:tabs>
              <w:spacing w:before="40" w:after="40"/>
              <w:ind w:left="318"/>
              <w:rPr>
                <w:b/>
              </w:rPr>
            </w:pPr>
            <w:r>
              <w:rPr>
                <w:b/>
              </w:rPr>
              <w:t>Fee</w:t>
            </w:r>
          </w:p>
          <w:p>
            <w:pPr>
              <w:pStyle w:val="yTable"/>
              <w:tabs>
                <w:tab w:val="decimal" w:pos="601"/>
              </w:tabs>
              <w:spacing w:before="40" w:after="40"/>
              <w:ind w:left="318"/>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57506</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57509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57512</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57515</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57518</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57524</w:t>
            </w:r>
          </w:p>
        </w:tc>
        <w:tc>
          <w:tcPr>
            <w:tcW w:w="1276" w:type="dxa"/>
          </w:tcPr>
          <w:p>
            <w:pPr>
              <w:pStyle w:val="yTable"/>
              <w:tabs>
                <w:tab w:val="decimal" w:pos="425"/>
                <w:tab w:val="right" w:pos="1418"/>
              </w:tabs>
              <w:spacing w:before="40" w:after="40"/>
              <w:ind w:left="34" w:right="295"/>
              <w:jc w:val="right"/>
            </w:pPr>
            <w:r>
              <w:t>380.25</w:t>
            </w:r>
          </w:p>
        </w:tc>
      </w:tr>
      <w:tr>
        <w:tblPrEx>
          <w:tblCellMar>
            <w:left w:w="108" w:type="dxa"/>
            <w:right w:w="108" w:type="dxa"/>
          </w:tblCellMar>
        </w:tblPrEx>
        <w:tc>
          <w:tcPr>
            <w:tcW w:w="4820" w:type="dxa"/>
          </w:tcPr>
          <w:p>
            <w:pPr>
              <w:pStyle w:val="yTable"/>
              <w:tabs>
                <w:tab w:val="right" w:pos="1735"/>
              </w:tabs>
              <w:spacing w:before="40" w:after="40"/>
              <w:ind w:left="-11" w:firstLine="11"/>
            </w:pPr>
            <w:r>
              <w:t>57527</w:t>
            </w:r>
          </w:p>
        </w:tc>
        <w:tc>
          <w:tcPr>
            <w:tcW w:w="1276" w:type="dxa"/>
          </w:tcPr>
          <w:p>
            <w:pPr>
              <w:pStyle w:val="yTable"/>
              <w:tabs>
                <w:tab w:val="decimal" w:pos="425"/>
                <w:tab w:val="right" w:pos="1418"/>
              </w:tabs>
              <w:spacing w:before="40" w:after="40"/>
              <w:ind w:left="34" w:right="295"/>
              <w:jc w:val="right"/>
            </w:pPr>
            <w:r>
              <w:t>91.75</w:t>
            </w:r>
          </w:p>
        </w:tc>
      </w:tr>
      <w:tr>
        <w:tblPrEx>
          <w:tblCellMar>
            <w:left w:w="108" w:type="dxa"/>
            <w:right w:w="108" w:type="dxa"/>
          </w:tblCellMar>
        </w:tblPrEx>
        <w:tc>
          <w:tcPr>
            <w:tcW w:w="4820" w:type="dxa"/>
          </w:tcPr>
          <w:p>
            <w:pPr>
              <w:pStyle w:val="yTable"/>
              <w:tabs>
                <w:tab w:val="right" w:pos="1735"/>
              </w:tabs>
              <w:spacing w:before="40" w:after="40"/>
              <w:ind w:left="-11" w:firstLine="11"/>
            </w:pPr>
            <w:r>
              <w:t>57700</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57703</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57706</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57709</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57712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57715</w:t>
            </w:r>
          </w:p>
        </w:tc>
        <w:tc>
          <w:tcPr>
            <w:tcW w:w="1276" w:type="dxa"/>
          </w:tcPr>
          <w:p>
            <w:pPr>
              <w:pStyle w:val="yTable"/>
              <w:tabs>
                <w:tab w:val="decimal" w:pos="425"/>
                <w:tab w:val="right" w:pos="1418"/>
              </w:tabs>
              <w:spacing w:before="40" w:after="40"/>
              <w:ind w:left="34" w:right="295"/>
              <w:jc w:val="right"/>
            </w:pPr>
            <w:r>
              <w:t>85.00</w:t>
            </w:r>
          </w:p>
        </w:tc>
      </w:tr>
      <w:tr>
        <w:tblPrEx>
          <w:tblCellMar>
            <w:left w:w="108" w:type="dxa"/>
            <w:right w:w="108" w:type="dxa"/>
          </w:tblCellMar>
        </w:tblPrEx>
        <w:tc>
          <w:tcPr>
            <w:tcW w:w="4820" w:type="dxa"/>
          </w:tcPr>
          <w:p>
            <w:pPr>
              <w:pStyle w:val="yTable"/>
              <w:tabs>
                <w:tab w:val="right" w:pos="1735"/>
              </w:tabs>
              <w:spacing w:before="40" w:after="40"/>
              <w:ind w:left="-11" w:firstLine="11"/>
            </w:pPr>
            <w:r>
              <w:t>57721</w:t>
            </w:r>
          </w:p>
        </w:tc>
        <w:tc>
          <w:tcPr>
            <w:tcW w:w="1276" w:type="dxa"/>
          </w:tcPr>
          <w:p>
            <w:pPr>
              <w:pStyle w:val="yTable"/>
              <w:tabs>
                <w:tab w:val="decimal" w:pos="425"/>
                <w:tab w:val="right" w:pos="1418"/>
              </w:tabs>
              <w:spacing w:before="40" w:after="40"/>
              <w:ind w:left="34" w:right="295"/>
              <w:jc w:val="right"/>
            </w:pPr>
            <w:r>
              <w:t>138.50</w:t>
            </w:r>
          </w:p>
        </w:tc>
      </w:tr>
      <w:tr>
        <w:tblPrEx>
          <w:tblCellMar>
            <w:left w:w="108" w:type="dxa"/>
            <w:right w:w="108" w:type="dxa"/>
          </w:tblCellMar>
        </w:tblPrEx>
        <w:tc>
          <w:tcPr>
            <w:tcW w:w="4820" w:type="dxa"/>
          </w:tcPr>
          <w:p>
            <w:pPr>
              <w:pStyle w:val="yTable"/>
              <w:tabs>
                <w:tab w:val="right" w:pos="1735"/>
              </w:tabs>
              <w:spacing w:before="40" w:after="40"/>
              <w:ind w:left="-11" w:firstLine="11"/>
            </w:pPr>
            <w:r>
              <w:t>57901</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57902</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57903</w:t>
            </w:r>
          </w:p>
        </w:tc>
        <w:tc>
          <w:tcPr>
            <w:tcW w:w="1276" w:type="dxa"/>
          </w:tcPr>
          <w:p>
            <w:pPr>
              <w:pStyle w:val="yTable"/>
              <w:tabs>
                <w:tab w:val="decimal" w:pos="425"/>
                <w:tab w:val="right" w:pos="1418"/>
              </w:tabs>
              <w:spacing w:before="40" w:after="40"/>
              <w:ind w:left="34" w:right="295"/>
              <w:jc w:val="right"/>
            </w:pPr>
            <w:r>
              <w:t>66.00</w:t>
            </w:r>
          </w:p>
        </w:tc>
      </w:tr>
      <w:tr>
        <w:tblPrEx>
          <w:tblCellMar>
            <w:left w:w="108" w:type="dxa"/>
            <w:right w:w="108" w:type="dxa"/>
          </w:tblCellMar>
        </w:tblPrEx>
        <w:tc>
          <w:tcPr>
            <w:tcW w:w="4820" w:type="dxa"/>
          </w:tcPr>
          <w:p>
            <w:pPr>
              <w:pStyle w:val="yTable"/>
              <w:tabs>
                <w:tab w:val="right" w:pos="1735"/>
              </w:tabs>
              <w:spacing w:before="40" w:after="40"/>
              <w:ind w:left="-11" w:firstLine="11"/>
            </w:pPr>
            <w:r>
              <w:t>57906</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57915</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57921</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57924</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57927</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57930</w:t>
            </w:r>
          </w:p>
        </w:tc>
        <w:tc>
          <w:tcPr>
            <w:tcW w:w="1276" w:type="dxa"/>
          </w:tcPr>
          <w:p>
            <w:pPr>
              <w:pStyle w:val="yTable"/>
              <w:tabs>
                <w:tab w:val="decimal" w:pos="425"/>
                <w:tab w:val="right" w:pos="1418"/>
              </w:tabs>
              <w:spacing w:before="40" w:after="40"/>
              <w:ind w:left="34" w:right="295"/>
              <w:jc w:val="right"/>
            </w:pPr>
            <w:r>
              <w:t>45.90</w:t>
            </w:r>
          </w:p>
        </w:tc>
      </w:tr>
      <w:tr>
        <w:tblPrEx>
          <w:tblCellMar>
            <w:left w:w="108" w:type="dxa"/>
            <w:right w:w="108" w:type="dxa"/>
          </w:tblCellMar>
        </w:tblPrEx>
        <w:tc>
          <w:tcPr>
            <w:tcW w:w="4820" w:type="dxa"/>
          </w:tcPr>
          <w:p>
            <w:pPr>
              <w:pStyle w:val="yTable"/>
              <w:tabs>
                <w:tab w:val="right" w:pos="1735"/>
              </w:tabs>
              <w:spacing w:before="40" w:after="40"/>
              <w:ind w:left="-11" w:firstLine="11"/>
            </w:pPr>
            <w:r>
              <w:t>57933</w:t>
            </w:r>
          </w:p>
        </w:tc>
        <w:tc>
          <w:tcPr>
            <w:tcW w:w="1276" w:type="dxa"/>
          </w:tcPr>
          <w:p>
            <w:pPr>
              <w:pStyle w:val="yTable"/>
              <w:tabs>
                <w:tab w:val="decimal" w:pos="425"/>
                <w:tab w:val="right" w:pos="1418"/>
              </w:tabs>
              <w:spacing w:before="40" w:after="40"/>
              <w:ind w:left="34" w:right="295"/>
              <w:jc w:val="right"/>
            </w:pPr>
            <w:r>
              <w:t>109.20</w:t>
            </w:r>
          </w:p>
        </w:tc>
      </w:tr>
      <w:tr>
        <w:tblPrEx>
          <w:tblCellMar>
            <w:left w:w="108" w:type="dxa"/>
            <w:right w:w="108" w:type="dxa"/>
          </w:tblCellMar>
        </w:tblPrEx>
        <w:tc>
          <w:tcPr>
            <w:tcW w:w="4820" w:type="dxa"/>
          </w:tcPr>
          <w:p>
            <w:pPr>
              <w:pStyle w:val="yTable"/>
              <w:tabs>
                <w:tab w:val="right" w:pos="1735"/>
              </w:tabs>
              <w:spacing w:before="40" w:after="40"/>
              <w:ind w:left="-11" w:firstLine="11"/>
            </w:pPr>
            <w:r>
              <w:t>57939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57942</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57945</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57960</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57963</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57966</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57969</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58100</w:t>
            </w:r>
          </w:p>
        </w:tc>
        <w:tc>
          <w:tcPr>
            <w:tcW w:w="1276"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820" w:type="dxa"/>
          </w:tcPr>
          <w:p>
            <w:pPr>
              <w:pStyle w:val="yTable"/>
              <w:tabs>
                <w:tab w:val="right" w:pos="1735"/>
              </w:tabs>
              <w:spacing w:before="40" w:after="40"/>
              <w:ind w:left="-11" w:firstLine="11"/>
            </w:pPr>
            <w:r>
              <w:t>58103</w:t>
            </w:r>
          </w:p>
        </w:tc>
        <w:tc>
          <w:tcPr>
            <w:tcW w:w="1276" w:type="dxa"/>
          </w:tcPr>
          <w:p>
            <w:pPr>
              <w:pStyle w:val="yTable"/>
              <w:tabs>
                <w:tab w:val="decimal" w:pos="425"/>
                <w:tab w:val="right" w:pos="1418"/>
              </w:tabs>
              <w:spacing w:before="40" w:after="40"/>
              <w:ind w:left="34" w:right="295"/>
              <w:jc w:val="right"/>
            </w:pPr>
            <w:r>
              <w:t>76.90</w:t>
            </w:r>
          </w:p>
        </w:tc>
      </w:tr>
      <w:tr>
        <w:tblPrEx>
          <w:tblCellMar>
            <w:left w:w="108" w:type="dxa"/>
            <w:right w:w="108" w:type="dxa"/>
          </w:tblCellMar>
        </w:tblPrEx>
        <w:tc>
          <w:tcPr>
            <w:tcW w:w="4820" w:type="dxa"/>
          </w:tcPr>
          <w:p>
            <w:pPr>
              <w:pStyle w:val="yTable"/>
              <w:tabs>
                <w:tab w:val="right" w:pos="1735"/>
              </w:tabs>
              <w:spacing w:before="40" w:after="40"/>
              <w:ind w:left="-11" w:firstLine="11"/>
            </w:pPr>
            <w:r>
              <w:t>58106</w:t>
            </w:r>
          </w:p>
        </w:tc>
        <w:tc>
          <w:tcPr>
            <w:tcW w:w="1276" w:type="dxa"/>
          </w:tcPr>
          <w:p>
            <w:pPr>
              <w:pStyle w:val="yTable"/>
              <w:tabs>
                <w:tab w:val="decimal" w:pos="425"/>
                <w:tab w:val="right" w:pos="1418"/>
              </w:tabs>
              <w:spacing w:before="40" w:after="40"/>
              <w:ind w:left="34" w:right="295"/>
              <w:jc w:val="right"/>
            </w:pPr>
            <w:r>
              <w:t>107.45</w:t>
            </w:r>
          </w:p>
        </w:tc>
      </w:tr>
      <w:tr>
        <w:tblPrEx>
          <w:tblCellMar>
            <w:left w:w="108" w:type="dxa"/>
            <w:right w:w="108" w:type="dxa"/>
          </w:tblCellMar>
        </w:tblPrEx>
        <w:tc>
          <w:tcPr>
            <w:tcW w:w="4820" w:type="dxa"/>
          </w:tcPr>
          <w:p>
            <w:pPr>
              <w:pStyle w:val="yTable"/>
              <w:tabs>
                <w:tab w:val="right" w:pos="1735"/>
              </w:tabs>
              <w:spacing w:before="40" w:after="40"/>
              <w:ind w:left="-11" w:firstLine="11"/>
            </w:pPr>
            <w:r>
              <w:t>58108</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58109</w:t>
            </w:r>
          </w:p>
        </w:tc>
        <w:tc>
          <w:tcPr>
            <w:tcW w:w="1276" w:type="dxa"/>
          </w:tcPr>
          <w:p>
            <w:pPr>
              <w:pStyle w:val="yTable"/>
              <w:tabs>
                <w:tab w:val="decimal" w:pos="425"/>
                <w:tab w:val="right" w:pos="1418"/>
              </w:tabs>
              <w:spacing w:before="40" w:after="40"/>
              <w:ind w:left="34" w:right="295"/>
              <w:jc w:val="right"/>
            </w:pPr>
            <w:r>
              <w:t>65.60</w:t>
            </w:r>
          </w:p>
        </w:tc>
      </w:tr>
      <w:tr>
        <w:tblPrEx>
          <w:tblCellMar>
            <w:left w:w="108" w:type="dxa"/>
            <w:right w:w="108" w:type="dxa"/>
          </w:tblCellMar>
        </w:tblPrEx>
        <w:tc>
          <w:tcPr>
            <w:tcW w:w="4820" w:type="dxa"/>
          </w:tcPr>
          <w:p>
            <w:pPr>
              <w:pStyle w:val="yTable"/>
              <w:tabs>
                <w:tab w:val="right" w:pos="1735"/>
              </w:tabs>
              <w:spacing w:before="40" w:after="40"/>
              <w:ind w:left="-11" w:firstLine="11"/>
            </w:pPr>
            <w:r>
              <w:t>58112</w:t>
            </w:r>
          </w:p>
        </w:tc>
        <w:tc>
          <w:tcPr>
            <w:tcW w:w="1276" w:type="dxa"/>
          </w:tcPr>
          <w:p>
            <w:pPr>
              <w:pStyle w:val="yTable"/>
              <w:tabs>
                <w:tab w:val="decimal" w:pos="425"/>
                <w:tab w:val="right" w:pos="1418"/>
              </w:tabs>
              <w:spacing w:before="40" w:after="40"/>
              <w:ind w:left="34" w:right="295"/>
              <w:jc w:val="right"/>
            </w:pPr>
            <w:r>
              <w:t>135.75</w:t>
            </w:r>
          </w:p>
        </w:tc>
      </w:tr>
      <w:tr>
        <w:tblPrEx>
          <w:tblCellMar>
            <w:left w:w="108" w:type="dxa"/>
            <w:right w:w="108" w:type="dxa"/>
          </w:tblCellMar>
        </w:tblPrEx>
        <w:tc>
          <w:tcPr>
            <w:tcW w:w="4820" w:type="dxa"/>
          </w:tcPr>
          <w:p>
            <w:pPr>
              <w:pStyle w:val="yTable"/>
              <w:tabs>
                <w:tab w:val="right" w:pos="1735"/>
              </w:tabs>
              <w:spacing w:before="40" w:after="40"/>
              <w:ind w:left="-11" w:firstLine="11"/>
            </w:pPr>
            <w:r>
              <w:t>58115</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58300</w:t>
            </w:r>
          </w:p>
        </w:tc>
        <w:tc>
          <w:tcPr>
            <w:tcW w:w="1276" w:type="dxa"/>
          </w:tcPr>
          <w:p>
            <w:pPr>
              <w:pStyle w:val="yTable"/>
              <w:tabs>
                <w:tab w:val="decimal" w:pos="425"/>
                <w:tab w:val="right" w:pos="1418"/>
              </w:tabs>
              <w:spacing w:before="40" w:after="40"/>
              <w:ind w:left="34" w:right="295"/>
              <w:jc w:val="right"/>
            </w:pPr>
            <w:r>
              <w:t>56.00</w:t>
            </w:r>
          </w:p>
        </w:tc>
      </w:tr>
      <w:tr>
        <w:tblPrEx>
          <w:tblCellMar>
            <w:left w:w="108" w:type="dxa"/>
            <w:right w:w="108" w:type="dxa"/>
          </w:tblCellMar>
        </w:tblPrEx>
        <w:tc>
          <w:tcPr>
            <w:tcW w:w="4820" w:type="dxa"/>
          </w:tcPr>
          <w:p>
            <w:pPr>
              <w:pStyle w:val="yTable"/>
              <w:tabs>
                <w:tab w:val="right" w:pos="1735"/>
              </w:tabs>
              <w:spacing w:before="40" w:after="40"/>
              <w:ind w:left="-11" w:firstLine="11"/>
            </w:pPr>
            <w:r>
              <w:t>58306</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58500</w:t>
            </w:r>
          </w:p>
        </w:tc>
        <w:tc>
          <w:tcPr>
            <w:tcW w:w="1276" w:type="dxa"/>
          </w:tcPr>
          <w:p>
            <w:pPr>
              <w:pStyle w:val="yTable"/>
              <w:tabs>
                <w:tab w:val="decimal" w:pos="425"/>
                <w:tab w:val="right" w:pos="1418"/>
              </w:tabs>
              <w:spacing w:before="40" w:after="40"/>
              <w:ind w:left="34" w:right="295"/>
              <w:jc w:val="right"/>
            </w:pPr>
            <w:r>
              <w:t>49.35</w:t>
            </w:r>
          </w:p>
        </w:tc>
      </w:tr>
      <w:tr>
        <w:tblPrEx>
          <w:tblCellMar>
            <w:left w:w="108" w:type="dxa"/>
            <w:right w:w="108" w:type="dxa"/>
          </w:tblCellMar>
        </w:tblPrEx>
        <w:tc>
          <w:tcPr>
            <w:tcW w:w="4820" w:type="dxa"/>
          </w:tcPr>
          <w:p>
            <w:pPr>
              <w:pStyle w:val="yTable"/>
              <w:tabs>
                <w:tab w:val="right" w:pos="1735"/>
              </w:tabs>
              <w:spacing w:before="40" w:after="40"/>
              <w:ind w:left="-11" w:firstLine="11"/>
            </w:pPr>
            <w:r>
              <w:t>58503</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58506</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58509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58521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58524</w:t>
            </w:r>
          </w:p>
        </w:tc>
        <w:tc>
          <w:tcPr>
            <w:tcW w:w="1276" w:type="dxa"/>
          </w:tcPr>
          <w:p>
            <w:pPr>
              <w:pStyle w:val="yTable"/>
              <w:tabs>
                <w:tab w:val="decimal" w:pos="425"/>
                <w:tab w:val="right" w:pos="1418"/>
              </w:tabs>
              <w:spacing w:before="40" w:after="40"/>
              <w:ind w:left="34" w:right="295"/>
              <w:jc w:val="right"/>
            </w:pPr>
            <w:r>
              <w:t>78.85</w:t>
            </w:r>
          </w:p>
        </w:tc>
      </w:tr>
      <w:tr>
        <w:tblPrEx>
          <w:tblCellMar>
            <w:left w:w="108" w:type="dxa"/>
            <w:right w:w="108" w:type="dxa"/>
          </w:tblCellMar>
        </w:tblPrEx>
        <w:tc>
          <w:tcPr>
            <w:tcW w:w="4820" w:type="dxa"/>
          </w:tcPr>
          <w:p>
            <w:pPr>
              <w:pStyle w:val="yTable"/>
              <w:tabs>
                <w:tab w:val="right" w:pos="1735"/>
              </w:tabs>
              <w:spacing w:before="40" w:after="40"/>
              <w:ind w:left="-11" w:firstLine="11"/>
            </w:pPr>
            <w:r>
              <w:t>58527</w:t>
            </w:r>
          </w:p>
        </w:tc>
        <w:tc>
          <w:tcPr>
            <w:tcW w:w="1276" w:type="dxa"/>
          </w:tcPr>
          <w:p>
            <w:pPr>
              <w:pStyle w:val="yTable"/>
              <w:tabs>
                <w:tab w:val="decimal" w:pos="425"/>
                <w:tab w:val="right" w:pos="1418"/>
              </w:tabs>
              <w:spacing w:before="40" w:after="40"/>
              <w:ind w:left="34" w:right="295"/>
              <w:jc w:val="right"/>
            </w:pPr>
            <w:r>
              <w:t>96.85</w:t>
            </w:r>
          </w:p>
        </w:tc>
      </w:tr>
      <w:tr>
        <w:tblPrEx>
          <w:tblCellMar>
            <w:left w:w="108" w:type="dxa"/>
            <w:right w:w="108" w:type="dxa"/>
          </w:tblCellMar>
        </w:tblPrEx>
        <w:tc>
          <w:tcPr>
            <w:tcW w:w="4820" w:type="dxa"/>
          </w:tcPr>
          <w:p>
            <w:pPr>
              <w:pStyle w:val="yTable"/>
              <w:tabs>
                <w:tab w:val="right" w:pos="1735"/>
              </w:tabs>
              <w:spacing w:before="40" w:after="40"/>
              <w:ind w:left="-11" w:firstLine="11"/>
            </w:pPr>
            <w:r>
              <w:t>58700</w:t>
            </w:r>
          </w:p>
        </w:tc>
        <w:tc>
          <w:tcPr>
            <w:tcW w:w="1276" w:type="dxa"/>
          </w:tcPr>
          <w:p>
            <w:pPr>
              <w:pStyle w:val="yTable"/>
              <w:tabs>
                <w:tab w:val="decimal" w:pos="425"/>
                <w:tab w:val="right" w:pos="1418"/>
              </w:tabs>
              <w:spacing w:before="40" w:after="40"/>
              <w:ind w:left="34" w:right="295"/>
              <w:jc w:val="right"/>
            </w:pPr>
            <w:r>
              <w:t>64.30</w:t>
            </w:r>
          </w:p>
        </w:tc>
      </w:tr>
      <w:tr>
        <w:tblPrEx>
          <w:tblCellMar>
            <w:left w:w="108" w:type="dxa"/>
            <w:right w:w="108" w:type="dxa"/>
          </w:tblCellMar>
        </w:tblPrEx>
        <w:tc>
          <w:tcPr>
            <w:tcW w:w="4820" w:type="dxa"/>
          </w:tcPr>
          <w:p>
            <w:pPr>
              <w:pStyle w:val="yTable"/>
              <w:tabs>
                <w:tab w:val="right" w:pos="1735"/>
              </w:tabs>
              <w:spacing w:before="40" w:after="40"/>
              <w:ind w:left="-11" w:firstLine="11"/>
            </w:pPr>
            <w:r>
              <w:t>58706</w:t>
            </w:r>
          </w:p>
        </w:tc>
        <w:tc>
          <w:tcPr>
            <w:tcW w:w="1276" w:type="dxa"/>
          </w:tcPr>
          <w:p>
            <w:pPr>
              <w:pStyle w:val="yTable"/>
              <w:tabs>
                <w:tab w:val="decimal" w:pos="425"/>
                <w:tab w:val="right" w:pos="1418"/>
              </w:tabs>
              <w:spacing w:before="40" w:after="40"/>
              <w:ind w:left="34" w:right="295"/>
              <w:jc w:val="right"/>
            </w:pPr>
            <w:r>
              <w:t>220.35</w:t>
            </w:r>
          </w:p>
        </w:tc>
      </w:tr>
      <w:tr>
        <w:tblPrEx>
          <w:tblCellMar>
            <w:left w:w="108" w:type="dxa"/>
            <w:right w:w="108" w:type="dxa"/>
          </w:tblCellMar>
        </w:tblPrEx>
        <w:tc>
          <w:tcPr>
            <w:tcW w:w="4820" w:type="dxa"/>
          </w:tcPr>
          <w:p>
            <w:pPr>
              <w:pStyle w:val="yTable"/>
              <w:tabs>
                <w:tab w:val="right" w:pos="1735"/>
              </w:tabs>
              <w:spacing w:before="40" w:after="40"/>
              <w:ind w:left="-11" w:firstLine="11"/>
            </w:pPr>
            <w:r>
              <w:t>58715</w:t>
            </w:r>
          </w:p>
        </w:tc>
        <w:tc>
          <w:tcPr>
            <w:tcW w:w="1276" w:type="dxa"/>
          </w:tcPr>
          <w:p>
            <w:pPr>
              <w:pStyle w:val="yTable"/>
              <w:tabs>
                <w:tab w:val="decimal" w:pos="425"/>
                <w:tab w:val="right" w:pos="1418"/>
              </w:tabs>
              <w:spacing w:before="40" w:after="40"/>
              <w:ind w:left="34" w:right="295"/>
              <w:jc w:val="right"/>
            </w:pPr>
            <w:r>
              <w:t>211.50</w:t>
            </w:r>
          </w:p>
        </w:tc>
      </w:tr>
      <w:tr>
        <w:tblPrEx>
          <w:tblCellMar>
            <w:left w:w="108" w:type="dxa"/>
            <w:right w:w="108" w:type="dxa"/>
          </w:tblCellMar>
        </w:tblPrEx>
        <w:tc>
          <w:tcPr>
            <w:tcW w:w="4820" w:type="dxa"/>
          </w:tcPr>
          <w:p>
            <w:pPr>
              <w:pStyle w:val="yTable"/>
              <w:tabs>
                <w:tab w:val="right" w:pos="1735"/>
              </w:tabs>
              <w:spacing w:before="40" w:after="40"/>
              <w:ind w:left="-11" w:firstLine="11"/>
            </w:pPr>
            <w:r>
              <w:t>58718</w:t>
            </w:r>
          </w:p>
        </w:tc>
        <w:tc>
          <w:tcPr>
            <w:tcW w:w="1276" w:type="dxa"/>
          </w:tcPr>
          <w:p>
            <w:pPr>
              <w:pStyle w:val="yTable"/>
              <w:tabs>
                <w:tab w:val="decimal" w:pos="425"/>
                <w:tab w:val="right" w:pos="1418"/>
              </w:tabs>
              <w:spacing w:before="40" w:after="40"/>
              <w:ind w:left="34" w:right="295"/>
              <w:jc w:val="right"/>
            </w:pPr>
            <w:r>
              <w:t>176.00</w:t>
            </w:r>
          </w:p>
        </w:tc>
      </w:tr>
      <w:tr>
        <w:tblPrEx>
          <w:tblCellMar>
            <w:left w:w="108" w:type="dxa"/>
            <w:right w:w="108" w:type="dxa"/>
          </w:tblCellMar>
        </w:tblPrEx>
        <w:tc>
          <w:tcPr>
            <w:tcW w:w="4820" w:type="dxa"/>
          </w:tcPr>
          <w:p>
            <w:pPr>
              <w:pStyle w:val="yTable"/>
              <w:tabs>
                <w:tab w:val="right" w:pos="1735"/>
              </w:tabs>
              <w:spacing w:before="40" w:after="40"/>
              <w:ind w:left="-11" w:firstLine="11"/>
            </w:pPr>
            <w:r>
              <w:t>58721</w:t>
            </w:r>
          </w:p>
        </w:tc>
        <w:tc>
          <w:tcPr>
            <w:tcW w:w="1276" w:type="dxa"/>
          </w:tcPr>
          <w:p>
            <w:pPr>
              <w:pStyle w:val="yTable"/>
              <w:tabs>
                <w:tab w:val="decimal" w:pos="425"/>
                <w:tab w:val="right" w:pos="1418"/>
              </w:tabs>
              <w:spacing w:before="40" w:after="40"/>
              <w:ind w:left="34" w:right="295"/>
              <w:jc w:val="right"/>
            </w:pPr>
            <w:r>
              <w:t>192.90</w:t>
            </w:r>
          </w:p>
        </w:tc>
      </w:tr>
      <w:tr>
        <w:tblPrEx>
          <w:tblCellMar>
            <w:left w:w="108" w:type="dxa"/>
            <w:right w:w="108" w:type="dxa"/>
          </w:tblCellMar>
        </w:tblPrEx>
        <w:tc>
          <w:tcPr>
            <w:tcW w:w="4820" w:type="dxa"/>
          </w:tcPr>
          <w:p>
            <w:pPr>
              <w:pStyle w:val="yTable"/>
              <w:tabs>
                <w:tab w:val="right" w:pos="1735"/>
              </w:tabs>
              <w:spacing w:before="40" w:after="40"/>
              <w:ind w:left="-11" w:firstLine="11"/>
            </w:pPr>
            <w:r>
              <w:t>58900</w:t>
            </w:r>
          </w:p>
        </w:tc>
        <w:tc>
          <w:tcPr>
            <w:tcW w:w="1276" w:type="dxa"/>
          </w:tcPr>
          <w:p>
            <w:pPr>
              <w:pStyle w:val="yTable"/>
              <w:tabs>
                <w:tab w:val="decimal" w:pos="425"/>
                <w:tab w:val="right" w:pos="1418"/>
              </w:tabs>
              <w:spacing w:before="40" w:after="40"/>
              <w:ind w:left="34" w:right="295"/>
              <w:jc w:val="right"/>
            </w:pPr>
            <w:r>
              <w:t>49.80</w:t>
            </w:r>
          </w:p>
        </w:tc>
      </w:tr>
      <w:tr>
        <w:tblPrEx>
          <w:tblCellMar>
            <w:left w:w="108" w:type="dxa"/>
            <w:right w:w="108" w:type="dxa"/>
          </w:tblCellMar>
        </w:tblPrEx>
        <w:tc>
          <w:tcPr>
            <w:tcW w:w="4820" w:type="dxa"/>
          </w:tcPr>
          <w:p>
            <w:pPr>
              <w:pStyle w:val="yTable"/>
              <w:tabs>
                <w:tab w:val="right" w:pos="1735"/>
              </w:tabs>
              <w:spacing w:before="40" w:after="40"/>
              <w:ind w:left="-11" w:firstLine="11"/>
            </w:pPr>
            <w:r>
              <w:t>58903</w:t>
            </w:r>
          </w:p>
        </w:tc>
        <w:tc>
          <w:tcPr>
            <w:tcW w:w="1276" w:type="dxa"/>
          </w:tcPr>
          <w:p>
            <w:pPr>
              <w:pStyle w:val="yTable"/>
              <w:tabs>
                <w:tab w:val="decimal" w:pos="425"/>
                <w:tab w:val="right" w:pos="1418"/>
              </w:tabs>
              <w:spacing w:before="40" w:after="40"/>
              <w:ind w:left="34" w:right="295"/>
              <w:jc w:val="right"/>
            </w:pPr>
            <w:r>
              <w:t>66.40</w:t>
            </w:r>
          </w:p>
        </w:tc>
      </w:tr>
      <w:tr>
        <w:tblPrEx>
          <w:tblCellMar>
            <w:left w:w="108" w:type="dxa"/>
            <w:right w:w="108" w:type="dxa"/>
          </w:tblCellMar>
        </w:tblPrEx>
        <w:tc>
          <w:tcPr>
            <w:tcW w:w="4820" w:type="dxa"/>
          </w:tcPr>
          <w:p>
            <w:pPr>
              <w:pStyle w:val="yTable"/>
              <w:tabs>
                <w:tab w:val="right" w:pos="1735"/>
              </w:tabs>
              <w:spacing w:before="40" w:after="40"/>
              <w:ind w:left="-11" w:firstLine="11"/>
            </w:pPr>
            <w:r>
              <w:t>58909</w:t>
            </w:r>
          </w:p>
        </w:tc>
        <w:tc>
          <w:tcPr>
            <w:tcW w:w="1276" w:type="dxa"/>
          </w:tcPr>
          <w:p>
            <w:pPr>
              <w:pStyle w:val="yTable"/>
              <w:tabs>
                <w:tab w:val="decimal" w:pos="425"/>
                <w:tab w:val="right" w:pos="1418"/>
              </w:tabs>
              <w:spacing w:before="40" w:after="40"/>
              <w:ind w:left="34" w:right="295"/>
              <w:jc w:val="right"/>
            </w:pPr>
            <w:r>
              <w:t>125.50</w:t>
            </w:r>
          </w:p>
        </w:tc>
      </w:tr>
      <w:tr>
        <w:tblPrEx>
          <w:tblCellMar>
            <w:left w:w="108" w:type="dxa"/>
            <w:right w:w="108" w:type="dxa"/>
          </w:tblCellMar>
        </w:tblPrEx>
        <w:tc>
          <w:tcPr>
            <w:tcW w:w="4820" w:type="dxa"/>
          </w:tcPr>
          <w:p>
            <w:pPr>
              <w:pStyle w:val="yTable"/>
              <w:tabs>
                <w:tab w:val="right" w:pos="1735"/>
              </w:tabs>
              <w:spacing w:before="40" w:after="40"/>
              <w:ind w:left="-11" w:firstLine="11"/>
            </w:pPr>
            <w:r>
              <w:t>58912</w:t>
            </w:r>
          </w:p>
        </w:tc>
        <w:tc>
          <w:tcPr>
            <w:tcW w:w="1276" w:type="dxa"/>
          </w:tcPr>
          <w:p>
            <w:pPr>
              <w:pStyle w:val="yTable"/>
              <w:tabs>
                <w:tab w:val="decimal" w:pos="425"/>
                <w:tab w:val="right" w:pos="1418"/>
              </w:tabs>
              <w:spacing w:before="40" w:after="40"/>
              <w:ind w:left="34" w:right="295"/>
              <w:jc w:val="right"/>
            </w:pPr>
            <w:r>
              <w:t>153.85</w:t>
            </w:r>
          </w:p>
        </w:tc>
      </w:tr>
      <w:tr>
        <w:tblPrEx>
          <w:tblCellMar>
            <w:left w:w="108" w:type="dxa"/>
            <w:right w:w="108" w:type="dxa"/>
          </w:tblCellMar>
        </w:tblPrEx>
        <w:tc>
          <w:tcPr>
            <w:tcW w:w="4820" w:type="dxa"/>
          </w:tcPr>
          <w:p>
            <w:pPr>
              <w:pStyle w:val="yTable"/>
              <w:tabs>
                <w:tab w:val="right" w:pos="1735"/>
              </w:tabs>
              <w:spacing w:before="40" w:after="40"/>
              <w:ind w:left="-11" w:firstLine="11"/>
            </w:pPr>
            <w:r>
              <w:t>58915</w:t>
            </w:r>
          </w:p>
        </w:tc>
        <w:tc>
          <w:tcPr>
            <w:tcW w:w="1276" w:type="dxa"/>
          </w:tcPr>
          <w:p>
            <w:pPr>
              <w:pStyle w:val="yTable"/>
              <w:tabs>
                <w:tab w:val="decimal" w:pos="425"/>
                <w:tab w:val="right" w:pos="1418"/>
              </w:tabs>
              <w:spacing w:before="40" w:after="40"/>
              <w:ind w:left="34" w:right="295"/>
              <w:jc w:val="right"/>
            </w:pPr>
            <w:r>
              <w:t>110.15</w:t>
            </w:r>
          </w:p>
        </w:tc>
      </w:tr>
      <w:tr>
        <w:tblPrEx>
          <w:tblCellMar>
            <w:left w:w="108" w:type="dxa"/>
            <w:right w:w="108" w:type="dxa"/>
          </w:tblCellMar>
        </w:tblPrEx>
        <w:tc>
          <w:tcPr>
            <w:tcW w:w="4820" w:type="dxa"/>
          </w:tcPr>
          <w:p>
            <w:pPr>
              <w:pStyle w:val="yTable"/>
              <w:tabs>
                <w:tab w:val="right" w:pos="1735"/>
              </w:tabs>
              <w:spacing w:before="40" w:after="40"/>
              <w:ind w:left="-11" w:firstLine="11"/>
            </w:pPr>
            <w:r>
              <w:t>58916</w:t>
            </w:r>
          </w:p>
        </w:tc>
        <w:tc>
          <w:tcPr>
            <w:tcW w:w="1276" w:type="dxa"/>
          </w:tcPr>
          <w:p>
            <w:pPr>
              <w:pStyle w:val="yTable"/>
              <w:tabs>
                <w:tab w:val="decimal" w:pos="425"/>
                <w:tab w:val="right" w:pos="1418"/>
              </w:tabs>
              <w:spacing w:before="40" w:after="40"/>
              <w:ind w:left="34" w:right="295"/>
              <w:jc w:val="right"/>
            </w:pPr>
            <w:r>
              <w:t>193.25</w:t>
            </w:r>
          </w:p>
        </w:tc>
      </w:tr>
      <w:tr>
        <w:tblPrEx>
          <w:tblCellMar>
            <w:left w:w="108" w:type="dxa"/>
            <w:right w:w="108" w:type="dxa"/>
          </w:tblCellMar>
        </w:tblPrEx>
        <w:tc>
          <w:tcPr>
            <w:tcW w:w="4820" w:type="dxa"/>
          </w:tcPr>
          <w:p>
            <w:pPr>
              <w:pStyle w:val="yTable"/>
              <w:tabs>
                <w:tab w:val="right" w:pos="1735"/>
              </w:tabs>
              <w:spacing w:before="40" w:after="40"/>
              <w:ind w:left="-11" w:firstLine="11"/>
            </w:pPr>
            <w:r>
              <w:t>58921</w:t>
            </w:r>
          </w:p>
        </w:tc>
        <w:tc>
          <w:tcPr>
            <w:tcW w:w="1276" w:type="dxa"/>
          </w:tcPr>
          <w:p>
            <w:pPr>
              <w:pStyle w:val="yTable"/>
              <w:tabs>
                <w:tab w:val="decimal" w:pos="425"/>
                <w:tab w:val="right" w:pos="1418"/>
              </w:tabs>
              <w:spacing w:before="40" w:after="40"/>
              <w:ind w:left="34" w:right="295"/>
              <w:jc w:val="right"/>
            </w:pPr>
            <w:r>
              <w:t>188.75</w:t>
            </w:r>
          </w:p>
        </w:tc>
      </w:tr>
      <w:tr>
        <w:tblPrEx>
          <w:tblCellMar>
            <w:left w:w="108" w:type="dxa"/>
            <w:right w:w="108" w:type="dxa"/>
          </w:tblCellMar>
        </w:tblPrEx>
        <w:tc>
          <w:tcPr>
            <w:tcW w:w="4820" w:type="dxa"/>
          </w:tcPr>
          <w:p>
            <w:pPr>
              <w:pStyle w:val="yTable"/>
              <w:tabs>
                <w:tab w:val="right" w:pos="1735"/>
              </w:tabs>
              <w:spacing w:before="40" w:after="40"/>
              <w:ind w:left="-11" w:firstLine="11"/>
            </w:pPr>
            <w:r>
              <w:t>58924</w:t>
            </w:r>
          </w:p>
        </w:tc>
        <w:tc>
          <w:tcPr>
            <w:tcW w:w="1276" w:type="dxa"/>
          </w:tcPr>
          <w:p>
            <w:pPr>
              <w:pStyle w:val="yTable"/>
              <w:tabs>
                <w:tab w:val="decimal" w:pos="425"/>
                <w:tab w:val="right" w:pos="1418"/>
              </w:tabs>
              <w:spacing w:before="40" w:after="40"/>
              <w:ind w:left="34" w:right="295"/>
              <w:jc w:val="right"/>
            </w:pPr>
            <w:r>
              <w:t>117.30</w:t>
            </w:r>
          </w:p>
        </w:tc>
      </w:tr>
      <w:tr>
        <w:tblPrEx>
          <w:tblCellMar>
            <w:left w:w="108" w:type="dxa"/>
            <w:right w:w="108" w:type="dxa"/>
          </w:tblCellMar>
        </w:tblPrEx>
        <w:tc>
          <w:tcPr>
            <w:tcW w:w="4820" w:type="dxa"/>
          </w:tcPr>
          <w:p>
            <w:pPr>
              <w:pStyle w:val="yTable"/>
              <w:tabs>
                <w:tab w:val="right" w:pos="1735"/>
              </w:tabs>
              <w:spacing w:before="40" w:after="40"/>
              <w:ind w:left="-11" w:firstLine="11"/>
            </w:pPr>
            <w:r>
              <w:t>58927</w:t>
            </w:r>
          </w:p>
        </w:tc>
        <w:tc>
          <w:tcPr>
            <w:tcW w:w="1276" w:type="dxa"/>
          </w:tcPr>
          <w:p>
            <w:pPr>
              <w:pStyle w:val="yTable"/>
              <w:tabs>
                <w:tab w:val="decimal" w:pos="425"/>
                <w:tab w:val="right" w:pos="1418"/>
              </w:tabs>
              <w:spacing w:before="40" w:after="40"/>
              <w:ind w:left="34" w:right="295"/>
              <w:jc w:val="right"/>
            </w:pPr>
            <w:r>
              <w:t>106.70</w:t>
            </w:r>
          </w:p>
        </w:tc>
      </w:tr>
      <w:tr>
        <w:tblPrEx>
          <w:tblCellMar>
            <w:left w:w="108" w:type="dxa"/>
            <w:right w:w="108" w:type="dxa"/>
          </w:tblCellMar>
        </w:tblPrEx>
        <w:tc>
          <w:tcPr>
            <w:tcW w:w="4820" w:type="dxa"/>
          </w:tcPr>
          <w:p>
            <w:pPr>
              <w:pStyle w:val="yTable"/>
              <w:tabs>
                <w:tab w:val="right" w:pos="1735"/>
              </w:tabs>
              <w:spacing w:before="40" w:after="40"/>
              <w:ind w:left="-11" w:firstLine="11"/>
            </w:pPr>
            <w:r>
              <w:t>58933</w:t>
            </w:r>
          </w:p>
        </w:tc>
        <w:tc>
          <w:tcPr>
            <w:tcW w:w="1276" w:type="dxa"/>
          </w:tcPr>
          <w:p>
            <w:pPr>
              <w:pStyle w:val="yTable"/>
              <w:tabs>
                <w:tab w:val="decimal" w:pos="425"/>
                <w:tab w:val="right" w:pos="1418"/>
              </w:tabs>
              <w:spacing w:before="40" w:after="40"/>
              <w:ind w:left="34" w:right="295"/>
              <w:jc w:val="right"/>
            </w:pPr>
            <w:r>
              <w:t>286.90</w:t>
            </w:r>
          </w:p>
        </w:tc>
      </w:tr>
      <w:tr>
        <w:tblPrEx>
          <w:tblCellMar>
            <w:left w:w="108" w:type="dxa"/>
            <w:right w:w="108" w:type="dxa"/>
          </w:tblCellMar>
        </w:tblPrEx>
        <w:tc>
          <w:tcPr>
            <w:tcW w:w="4820" w:type="dxa"/>
          </w:tcPr>
          <w:p>
            <w:pPr>
              <w:pStyle w:val="yTable"/>
              <w:tabs>
                <w:tab w:val="right" w:pos="1735"/>
              </w:tabs>
              <w:spacing w:before="40" w:after="40"/>
              <w:ind w:left="-11" w:firstLine="11"/>
            </w:pPr>
            <w:r>
              <w:t>58936</w:t>
            </w:r>
          </w:p>
        </w:tc>
        <w:tc>
          <w:tcPr>
            <w:tcW w:w="1276" w:type="dxa"/>
          </w:tcPr>
          <w:p>
            <w:pPr>
              <w:pStyle w:val="yTable"/>
              <w:tabs>
                <w:tab w:val="decimal" w:pos="425"/>
                <w:tab w:val="right" w:pos="1418"/>
              </w:tabs>
              <w:spacing w:before="40" w:after="40"/>
              <w:ind w:left="34" w:right="295"/>
              <w:jc w:val="right"/>
            </w:pPr>
            <w:r>
              <w:t>273.45</w:t>
            </w:r>
          </w:p>
        </w:tc>
      </w:tr>
      <w:tr>
        <w:tblPrEx>
          <w:tblCellMar>
            <w:left w:w="108" w:type="dxa"/>
            <w:right w:w="108" w:type="dxa"/>
          </w:tblCellMar>
        </w:tblPrEx>
        <w:tc>
          <w:tcPr>
            <w:tcW w:w="4820" w:type="dxa"/>
          </w:tcPr>
          <w:p>
            <w:pPr>
              <w:pStyle w:val="yTable"/>
              <w:tabs>
                <w:tab w:val="right" w:pos="1735"/>
              </w:tabs>
              <w:spacing w:before="40" w:after="40"/>
              <w:ind w:left="-11" w:firstLine="11"/>
            </w:pPr>
            <w:r>
              <w:t>58939</w:t>
            </w:r>
          </w:p>
        </w:tc>
        <w:tc>
          <w:tcPr>
            <w:tcW w:w="1276" w:type="dxa"/>
          </w:tcPr>
          <w:p>
            <w:pPr>
              <w:pStyle w:val="yTable"/>
              <w:tabs>
                <w:tab w:val="decimal" w:pos="425"/>
                <w:tab w:val="right" w:pos="1418"/>
              </w:tabs>
              <w:spacing w:before="40" w:after="40"/>
              <w:ind w:left="34" w:right="295"/>
              <w:jc w:val="right"/>
            </w:pPr>
            <w:r>
              <w:t>194.40</w:t>
            </w:r>
          </w:p>
        </w:tc>
      </w:tr>
      <w:tr>
        <w:tblPrEx>
          <w:tblCellMar>
            <w:left w:w="108" w:type="dxa"/>
            <w:right w:w="108" w:type="dxa"/>
          </w:tblCellMar>
        </w:tblPrEx>
        <w:tc>
          <w:tcPr>
            <w:tcW w:w="4820" w:type="dxa"/>
          </w:tcPr>
          <w:p>
            <w:pPr>
              <w:pStyle w:val="yTable"/>
              <w:tabs>
                <w:tab w:val="right" w:pos="1735"/>
              </w:tabs>
              <w:spacing w:before="40" w:after="40"/>
              <w:ind w:left="-11" w:firstLine="11"/>
            </w:pPr>
            <w:r>
              <w:t>59103</w:t>
            </w:r>
          </w:p>
        </w:tc>
        <w:tc>
          <w:tcPr>
            <w:tcW w:w="1276" w:type="dxa"/>
          </w:tcPr>
          <w:p>
            <w:pPr>
              <w:pStyle w:val="yTable"/>
              <w:tabs>
                <w:tab w:val="decimal" w:pos="425"/>
                <w:tab w:val="right" w:pos="1418"/>
              </w:tabs>
              <w:spacing w:before="40" w:after="40"/>
              <w:ind w:left="34" w:right="295"/>
              <w:jc w:val="right"/>
            </w:pPr>
            <w:r>
              <w:t>29.75</w:t>
            </w:r>
          </w:p>
        </w:tc>
      </w:tr>
      <w:tr>
        <w:tblPrEx>
          <w:tblCellMar>
            <w:left w:w="108" w:type="dxa"/>
            <w:right w:w="108" w:type="dxa"/>
          </w:tblCellMar>
        </w:tblPrEx>
        <w:tc>
          <w:tcPr>
            <w:tcW w:w="4820" w:type="dxa"/>
          </w:tcPr>
          <w:p>
            <w:pPr>
              <w:pStyle w:val="yTable"/>
              <w:tabs>
                <w:tab w:val="right" w:pos="1735"/>
              </w:tabs>
              <w:spacing w:before="40" w:after="40"/>
              <w:ind w:left="-11" w:firstLine="11"/>
            </w:pPr>
            <w:r>
              <w:t>59300</w:t>
            </w:r>
          </w:p>
        </w:tc>
        <w:tc>
          <w:tcPr>
            <w:tcW w:w="1276" w:type="dxa"/>
          </w:tcPr>
          <w:p>
            <w:pPr>
              <w:pStyle w:val="yTable"/>
              <w:tabs>
                <w:tab w:val="decimal" w:pos="425"/>
                <w:tab w:val="right" w:pos="1418"/>
              </w:tabs>
              <w:spacing w:before="40" w:after="40"/>
              <w:ind w:left="34" w:right="295"/>
              <w:jc w:val="right"/>
            </w:pPr>
            <w:r>
              <w:t>124.90</w:t>
            </w:r>
          </w:p>
        </w:tc>
      </w:tr>
      <w:tr>
        <w:tblPrEx>
          <w:tblCellMar>
            <w:left w:w="108" w:type="dxa"/>
            <w:right w:w="108" w:type="dxa"/>
          </w:tblCellMar>
        </w:tblPrEx>
        <w:tc>
          <w:tcPr>
            <w:tcW w:w="4820" w:type="dxa"/>
          </w:tcPr>
          <w:p>
            <w:pPr>
              <w:pStyle w:val="yTable"/>
              <w:tabs>
                <w:tab w:val="right" w:pos="1735"/>
              </w:tabs>
              <w:spacing w:before="40" w:after="40"/>
              <w:ind w:left="-11" w:firstLine="11"/>
            </w:pPr>
            <w:r>
              <w:t>59303</w:t>
            </w:r>
          </w:p>
        </w:tc>
        <w:tc>
          <w:tcPr>
            <w:tcW w:w="1276" w:type="dxa"/>
          </w:tcPr>
          <w:p>
            <w:pPr>
              <w:pStyle w:val="yTable"/>
              <w:tabs>
                <w:tab w:val="decimal" w:pos="425"/>
                <w:tab w:val="right" w:pos="1418"/>
              </w:tabs>
              <w:spacing w:before="40" w:after="40"/>
              <w:ind w:left="34" w:right="295"/>
              <w:jc w:val="right"/>
            </w:pPr>
            <w:r>
              <w:t>75.30</w:t>
            </w:r>
          </w:p>
        </w:tc>
      </w:tr>
      <w:tr>
        <w:tblPrEx>
          <w:tblCellMar>
            <w:left w:w="108" w:type="dxa"/>
            <w:right w:w="108" w:type="dxa"/>
          </w:tblCellMar>
        </w:tblPrEx>
        <w:tc>
          <w:tcPr>
            <w:tcW w:w="4820" w:type="dxa"/>
          </w:tcPr>
          <w:p>
            <w:pPr>
              <w:pStyle w:val="yTable"/>
              <w:tabs>
                <w:tab w:val="right" w:pos="1735"/>
              </w:tabs>
              <w:spacing w:before="40" w:after="40"/>
              <w:ind w:left="-11" w:firstLine="11"/>
            </w:pPr>
            <w:r>
              <w:t>59306</w:t>
            </w:r>
          </w:p>
        </w:tc>
        <w:tc>
          <w:tcPr>
            <w:tcW w:w="1276" w:type="dxa"/>
          </w:tcPr>
          <w:p>
            <w:pPr>
              <w:pStyle w:val="yTable"/>
              <w:tabs>
                <w:tab w:val="decimal" w:pos="425"/>
                <w:tab w:val="right" w:pos="1418"/>
              </w:tabs>
              <w:spacing w:before="40" w:after="40"/>
              <w:ind w:left="34" w:right="295"/>
              <w:jc w:val="right"/>
            </w:pPr>
            <w:r>
              <w:t>140.00</w:t>
            </w:r>
          </w:p>
        </w:tc>
      </w:tr>
      <w:tr>
        <w:tblPrEx>
          <w:tblCellMar>
            <w:left w:w="108" w:type="dxa"/>
            <w:right w:w="108" w:type="dxa"/>
          </w:tblCellMar>
        </w:tblPrEx>
        <w:tc>
          <w:tcPr>
            <w:tcW w:w="4820" w:type="dxa"/>
          </w:tcPr>
          <w:p>
            <w:pPr>
              <w:pStyle w:val="yTable"/>
              <w:tabs>
                <w:tab w:val="right" w:pos="1735"/>
              </w:tabs>
              <w:spacing w:before="40" w:after="40"/>
              <w:ind w:left="-11" w:firstLine="11"/>
            </w:pPr>
            <w:r>
              <w:t>59309</w:t>
            </w:r>
          </w:p>
        </w:tc>
        <w:tc>
          <w:tcPr>
            <w:tcW w:w="1276" w:type="dxa"/>
          </w:tcPr>
          <w:p>
            <w:pPr>
              <w:pStyle w:val="yTable"/>
              <w:tabs>
                <w:tab w:val="decimal" w:pos="425"/>
                <w:tab w:val="right" w:pos="1418"/>
              </w:tabs>
              <w:spacing w:before="40" w:after="40"/>
              <w:ind w:left="34" w:right="295"/>
              <w:jc w:val="right"/>
            </w:pPr>
            <w:r>
              <w:t>279.90</w:t>
            </w:r>
          </w:p>
        </w:tc>
      </w:tr>
      <w:tr>
        <w:tblPrEx>
          <w:tblCellMar>
            <w:left w:w="108" w:type="dxa"/>
            <w:right w:w="108" w:type="dxa"/>
          </w:tblCellMar>
        </w:tblPrEx>
        <w:tc>
          <w:tcPr>
            <w:tcW w:w="4820" w:type="dxa"/>
          </w:tcPr>
          <w:p>
            <w:pPr>
              <w:pStyle w:val="yTable"/>
              <w:tabs>
                <w:tab w:val="right" w:pos="1735"/>
              </w:tabs>
              <w:spacing w:before="40" w:after="40"/>
              <w:ind w:left="-11" w:firstLine="11"/>
            </w:pPr>
            <w:r>
              <w:t>59312</w:t>
            </w:r>
          </w:p>
        </w:tc>
        <w:tc>
          <w:tcPr>
            <w:tcW w:w="1276" w:type="dxa"/>
          </w:tcPr>
          <w:p>
            <w:pPr>
              <w:pStyle w:val="yTable"/>
              <w:tabs>
                <w:tab w:val="decimal" w:pos="425"/>
                <w:tab w:val="right" w:pos="1418"/>
              </w:tabs>
              <w:spacing w:before="40" w:after="40"/>
              <w:ind w:left="34" w:right="295"/>
              <w:jc w:val="right"/>
            </w:pPr>
            <w:r>
              <w:t>121.40</w:t>
            </w:r>
          </w:p>
        </w:tc>
      </w:tr>
      <w:tr>
        <w:tblPrEx>
          <w:tblCellMar>
            <w:left w:w="108" w:type="dxa"/>
            <w:right w:w="108" w:type="dxa"/>
          </w:tblCellMar>
        </w:tblPrEx>
        <w:tc>
          <w:tcPr>
            <w:tcW w:w="4820" w:type="dxa"/>
          </w:tcPr>
          <w:p>
            <w:pPr>
              <w:pStyle w:val="yTable"/>
              <w:tabs>
                <w:tab w:val="right" w:pos="1735"/>
              </w:tabs>
              <w:spacing w:before="40" w:after="40"/>
              <w:ind w:left="-11" w:firstLine="11"/>
            </w:pPr>
            <w:r>
              <w:t>59314</w:t>
            </w:r>
          </w:p>
        </w:tc>
        <w:tc>
          <w:tcPr>
            <w:tcW w:w="1276" w:type="dxa"/>
          </w:tcPr>
          <w:p>
            <w:pPr>
              <w:pStyle w:val="yTable"/>
              <w:tabs>
                <w:tab w:val="decimal" w:pos="425"/>
                <w:tab w:val="right" w:pos="1418"/>
              </w:tabs>
              <w:spacing w:before="40" w:after="40"/>
              <w:ind w:left="34" w:right="295"/>
              <w:jc w:val="right"/>
            </w:pPr>
            <w:r>
              <w:t>73.25</w:t>
            </w:r>
          </w:p>
        </w:tc>
      </w:tr>
      <w:tr>
        <w:tblPrEx>
          <w:tblCellMar>
            <w:left w:w="108" w:type="dxa"/>
            <w:right w:w="108" w:type="dxa"/>
          </w:tblCellMar>
        </w:tblPrEx>
        <w:tc>
          <w:tcPr>
            <w:tcW w:w="4820" w:type="dxa"/>
          </w:tcPr>
          <w:p>
            <w:pPr>
              <w:pStyle w:val="yTable"/>
              <w:tabs>
                <w:tab w:val="right" w:pos="1735"/>
              </w:tabs>
              <w:spacing w:before="40" w:after="40"/>
              <w:ind w:left="-11" w:firstLine="11"/>
            </w:pPr>
            <w:r>
              <w:t>59318</w:t>
            </w:r>
          </w:p>
        </w:tc>
        <w:tc>
          <w:tcPr>
            <w:tcW w:w="1276" w:type="dxa"/>
          </w:tcPr>
          <w:p>
            <w:pPr>
              <w:pStyle w:val="yTable"/>
              <w:tabs>
                <w:tab w:val="decimal" w:pos="425"/>
                <w:tab w:val="right" w:pos="1418"/>
              </w:tabs>
              <w:spacing w:before="40" w:after="40"/>
              <w:ind w:left="34" w:right="295"/>
              <w:jc w:val="right"/>
            </w:pPr>
            <w:r>
              <w:t>65.65</w:t>
            </w:r>
          </w:p>
        </w:tc>
      </w:tr>
      <w:tr>
        <w:tblPrEx>
          <w:tblCellMar>
            <w:left w:w="108" w:type="dxa"/>
            <w:right w:w="108" w:type="dxa"/>
          </w:tblCellMar>
        </w:tblPrEx>
        <w:tc>
          <w:tcPr>
            <w:tcW w:w="4820" w:type="dxa"/>
          </w:tcPr>
          <w:p>
            <w:pPr>
              <w:pStyle w:val="yTable"/>
              <w:tabs>
                <w:tab w:val="right" w:pos="1735"/>
              </w:tabs>
              <w:spacing w:before="40" w:after="40"/>
              <w:ind w:left="-11" w:firstLine="11"/>
            </w:pPr>
            <w:r>
              <w:t>59503</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59700</w:t>
            </w:r>
          </w:p>
        </w:tc>
        <w:tc>
          <w:tcPr>
            <w:tcW w:w="1276" w:type="dxa"/>
          </w:tcPr>
          <w:p>
            <w:pPr>
              <w:pStyle w:val="yTable"/>
              <w:tabs>
                <w:tab w:val="decimal" w:pos="425"/>
                <w:tab w:val="right" w:pos="1418"/>
              </w:tabs>
              <w:spacing w:before="40" w:after="40"/>
              <w:ind w:left="34" w:right="295"/>
              <w:jc w:val="right"/>
            </w:pPr>
            <w:r>
              <w:t>134.75</w:t>
            </w:r>
          </w:p>
        </w:tc>
      </w:tr>
      <w:tr>
        <w:tblPrEx>
          <w:tblCellMar>
            <w:left w:w="108" w:type="dxa"/>
            <w:right w:w="108" w:type="dxa"/>
          </w:tblCellMar>
        </w:tblPrEx>
        <w:tc>
          <w:tcPr>
            <w:tcW w:w="4820" w:type="dxa"/>
          </w:tcPr>
          <w:p>
            <w:pPr>
              <w:pStyle w:val="yTable"/>
              <w:tabs>
                <w:tab w:val="right" w:pos="1735"/>
              </w:tabs>
              <w:spacing w:before="40" w:after="40"/>
              <w:ind w:left="-11" w:firstLine="11"/>
            </w:pPr>
            <w:r>
              <w:t>59703</w:t>
            </w:r>
          </w:p>
        </w:tc>
        <w:tc>
          <w:tcPr>
            <w:tcW w:w="1276" w:type="dxa"/>
          </w:tcPr>
          <w:p>
            <w:pPr>
              <w:pStyle w:val="yTable"/>
              <w:tabs>
                <w:tab w:val="decimal" w:pos="425"/>
                <w:tab w:val="right" w:pos="1418"/>
              </w:tabs>
              <w:spacing w:before="40" w:after="40"/>
              <w:ind w:left="34" w:right="295"/>
              <w:jc w:val="right"/>
            </w:pPr>
            <w:r>
              <w:t>105.90</w:t>
            </w:r>
          </w:p>
        </w:tc>
      </w:tr>
      <w:tr>
        <w:tblPrEx>
          <w:tblCellMar>
            <w:left w:w="108" w:type="dxa"/>
            <w:right w:w="108" w:type="dxa"/>
          </w:tblCellMar>
        </w:tblPrEx>
        <w:tc>
          <w:tcPr>
            <w:tcW w:w="4820" w:type="dxa"/>
          </w:tcPr>
          <w:p>
            <w:pPr>
              <w:pStyle w:val="yTable"/>
              <w:tabs>
                <w:tab w:val="right" w:pos="1735"/>
              </w:tabs>
              <w:spacing w:before="40" w:after="40"/>
              <w:ind w:left="-11" w:firstLine="11"/>
            </w:pPr>
            <w:r>
              <w:t>59712</w:t>
            </w:r>
          </w:p>
        </w:tc>
        <w:tc>
          <w:tcPr>
            <w:tcW w:w="1276" w:type="dxa"/>
          </w:tcPr>
          <w:p>
            <w:pPr>
              <w:pStyle w:val="yTable"/>
              <w:tabs>
                <w:tab w:val="decimal" w:pos="425"/>
                <w:tab w:val="right" w:pos="1418"/>
              </w:tabs>
              <w:spacing w:before="40" w:after="40"/>
              <w:ind w:left="34" w:right="295"/>
              <w:jc w:val="right"/>
            </w:pPr>
            <w:r>
              <w:t>158.65</w:t>
            </w:r>
          </w:p>
        </w:tc>
      </w:tr>
      <w:tr>
        <w:tblPrEx>
          <w:tblCellMar>
            <w:left w:w="108" w:type="dxa"/>
            <w:right w:w="108" w:type="dxa"/>
          </w:tblCellMar>
        </w:tblPrEx>
        <w:tc>
          <w:tcPr>
            <w:tcW w:w="4820" w:type="dxa"/>
          </w:tcPr>
          <w:p>
            <w:pPr>
              <w:pStyle w:val="yTable"/>
              <w:tabs>
                <w:tab w:val="right" w:pos="1735"/>
              </w:tabs>
              <w:spacing w:before="40" w:after="40"/>
              <w:ind w:left="-11" w:firstLine="11"/>
            </w:pPr>
            <w:r>
              <w:t>59715</w:t>
            </w:r>
          </w:p>
        </w:tc>
        <w:tc>
          <w:tcPr>
            <w:tcW w:w="1276" w:type="dxa"/>
          </w:tcPr>
          <w:p>
            <w:pPr>
              <w:pStyle w:val="yTable"/>
              <w:tabs>
                <w:tab w:val="decimal" w:pos="425"/>
                <w:tab w:val="right" w:pos="1418"/>
              </w:tabs>
              <w:spacing w:before="40" w:after="40"/>
              <w:ind w:left="34" w:right="295"/>
              <w:jc w:val="right"/>
            </w:pPr>
            <w:r>
              <w:t>200.35</w:t>
            </w:r>
          </w:p>
        </w:tc>
      </w:tr>
      <w:tr>
        <w:tblPrEx>
          <w:tblCellMar>
            <w:left w:w="108" w:type="dxa"/>
            <w:right w:w="108" w:type="dxa"/>
          </w:tblCellMar>
        </w:tblPrEx>
        <w:tc>
          <w:tcPr>
            <w:tcW w:w="4820" w:type="dxa"/>
          </w:tcPr>
          <w:p>
            <w:pPr>
              <w:pStyle w:val="yTable"/>
              <w:tabs>
                <w:tab w:val="right" w:pos="1735"/>
              </w:tabs>
              <w:spacing w:before="40" w:after="40"/>
              <w:ind w:left="-11" w:firstLine="11"/>
            </w:pPr>
            <w:r>
              <w:t>59718</w:t>
            </w:r>
          </w:p>
        </w:tc>
        <w:tc>
          <w:tcPr>
            <w:tcW w:w="1276" w:type="dxa"/>
          </w:tcPr>
          <w:p>
            <w:pPr>
              <w:pStyle w:val="yTable"/>
              <w:tabs>
                <w:tab w:val="decimal" w:pos="425"/>
                <w:tab w:val="right" w:pos="1418"/>
              </w:tabs>
              <w:spacing w:before="40" w:after="40"/>
              <w:ind w:left="34" w:right="295"/>
              <w:jc w:val="right"/>
            </w:pPr>
            <w:r>
              <w:t>187.95</w:t>
            </w:r>
          </w:p>
        </w:tc>
      </w:tr>
      <w:tr>
        <w:tblPrEx>
          <w:tblCellMar>
            <w:left w:w="108" w:type="dxa"/>
            <w:right w:w="108" w:type="dxa"/>
          </w:tblCellMar>
        </w:tblPrEx>
        <w:tc>
          <w:tcPr>
            <w:tcW w:w="4820" w:type="dxa"/>
          </w:tcPr>
          <w:p>
            <w:pPr>
              <w:pStyle w:val="yTable"/>
              <w:tabs>
                <w:tab w:val="right" w:pos="1735"/>
              </w:tabs>
              <w:spacing w:before="40" w:after="40"/>
              <w:ind w:left="-11" w:firstLine="11"/>
            </w:pPr>
            <w:r>
              <w:t>59724</w:t>
            </w:r>
          </w:p>
        </w:tc>
        <w:tc>
          <w:tcPr>
            <w:tcW w:w="1276" w:type="dxa"/>
          </w:tcPr>
          <w:p>
            <w:pPr>
              <w:pStyle w:val="yTable"/>
              <w:tabs>
                <w:tab w:val="decimal" w:pos="425"/>
                <w:tab w:val="right" w:pos="1418"/>
              </w:tabs>
              <w:spacing w:before="40" w:after="40"/>
              <w:ind w:left="34" w:right="295"/>
              <w:jc w:val="right"/>
            </w:pPr>
            <w:r>
              <w:t>316.05</w:t>
            </w:r>
          </w:p>
        </w:tc>
      </w:tr>
      <w:tr>
        <w:tblPrEx>
          <w:tblCellMar>
            <w:left w:w="108" w:type="dxa"/>
            <w:right w:w="108" w:type="dxa"/>
          </w:tblCellMar>
        </w:tblPrEx>
        <w:tc>
          <w:tcPr>
            <w:tcW w:w="4820" w:type="dxa"/>
          </w:tcPr>
          <w:p>
            <w:pPr>
              <w:pStyle w:val="yTable"/>
              <w:tabs>
                <w:tab w:val="right" w:pos="1735"/>
              </w:tabs>
              <w:spacing w:before="40" w:after="40"/>
              <w:ind w:left="-11" w:firstLine="11"/>
            </w:pPr>
            <w:r>
              <w:t>59733</w:t>
            </w:r>
          </w:p>
        </w:tc>
        <w:tc>
          <w:tcPr>
            <w:tcW w:w="1276" w:type="dxa"/>
          </w:tcPr>
          <w:p>
            <w:pPr>
              <w:pStyle w:val="yTable"/>
              <w:tabs>
                <w:tab w:val="decimal" w:pos="425"/>
                <w:tab w:val="right" w:pos="1418"/>
              </w:tabs>
              <w:spacing w:before="40" w:after="40"/>
              <w:ind w:left="34" w:right="295"/>
              <w:jc w:val="right"/>
            </w:pPr>
            <w:r>
              <w:t>150.30</w:t>
            </w:r>
          </w:p>
        </w:tc>
      </w:tr>
      <w:tr>
        <w:tblPrEx>
          <w:tblCellMar>
            <w:left w:w="108" w:type="dxa"/>
            <w:right w:w="108" w:type="dxa"/>
          </w:tblCellMar>
        </w:tblPrEx>
        <w:tc>
          <w:tcPr>
            <w:tcW w:w="4820" w:type="dxa"/>
          </w:tcPr>
          <w:p>
            <w:pPr>
              <w:pStyle w:val="yTable"/>
              <w:tabs>
                <w:tab w:val="right" w:pos="1735"/>
              </w:tabs>
              <w:spacing w:before="40" w:after="40"/>
              <w:ind w:left="-11" w:firstLine="11"/>
            </w:pPr>
            <w:r>
              <w:t>59736</w:t>
            </w:r>
          </w:p>
        </w:tc>
        <w:tc>
          <w:tcPr>
            <w:tcW w:w="1276" w:type="dxa"/>
          </w:tcPr>
          <w:p>
            <w:pPr>
              <w:pStyle w:val="yTable"/>
              <w:tabs>
                <w:tab w:val="decimal" w:pos="425"/>
                <w:tab w:val="right" w:pos="1418"/>
              </w:tabs>
              <w:spacing w:before="40" w:after="40"/>
              <w:ind w:left="34" w:right="295"/>
              <w:jc w:val="right"/>
            </w:pPr>
            <w:r>
              <w:t>86.55</w:t>
            </w:r>
          </w:p>
        </w:tc>
      </w:tr>
      <w:tr>
        <w:tblPrEx>
          <w:tblCellMar>
            <w:left w:w="108" w:type="dxa"/>
            <w:right w:w="108" w:type="dxa"/>
          </w:tblCellMar>
        </w:tblPrEx>
        <w:tc>
          <w:tcPr>
            <w:tcW w:w="4820" w:type="dxa"/>
          </w:tcPr>
          <w:p>
            <w:pPr>
              <w:pStyle w:val="yTable"/>
              <w:tabs>
                <w:tab w:val="right" w:pos="1735"/>
              </w:tabs>
              <w:spacing w:before="40" w:after="40"/>
              <w:ind w:left="-11" w:firstLine="11"/>
            </w:pPr>
            <w:r>
              <w:t>59739</w:t>
            </w:r>
          </w:p>
        </w:tc>
        <w:tc>
          <w:tcPr>
            <w:tcW w:w="1276" w:type="dxa"/>
          </w:tcPr>
          <w:p>
            <w:pPr>
              <w:pStyle w:val="yTable"/>
              <w:tabs>
                <w:tab w:val="decimal" w:pos="425"/>
                <w:tab w:val="right" w:pos="1418"/>
              </w:tabs>
              <w:spacing w:before="40" w:after="40"/>
              <w:ind w:left="34" w:right="295"/>
              <w:jc w:val="right"/>
            </w:pPr>
            <w:r>
              <w:t>102.95</w:t>
            </w:r>
          </w:p>
        </w:tc>
      </w:tr>
      <w:tr>
        <w:tblPrEx>
          <w:tblCellMar>
            <w:left w:w="108" w:type="dxa"/>
            <w:right w:w="108" w:type="dxa"/>
          </w:tblCellMar>
        </w:tblPrEx>
        <w:tc>
          <w:tcPr>
            <w:tcW w:w="4820" w:type="dxa"/>
          </w:tcPr>
          <w:p>
            <w:pPr>
              <w:pStyle w:val="yTable"/>
              <w:tabs>
                <w:tab w:val="right" w:pos="1735"/>
              </w:tabs>
              <w:spacing w:before="40" w:after="40"/>
              <w:ind w:left="-11" w:firstLine="11"/>
            </w:pPr>
            <w:r>
              <w:t>59751</w:t>
            </w:r>
          </w:p>
        </w:tc>
        <w:tc>
          <w:tcPr>
            <w:tcW w:w="1276" w:type="dxa"/>
          </w:tcPr>
          <w:p>
            <w:pPr>
              <w:pStyle w:val="yTable"/>
              <w:tabs>
                <w:tab w:val="decimal" w:pos="425"/>
                <w:tab w:val="right" w:pos="1418"/>
              </w:tabs>
              <w:spacing w:before="40" w:after="40"/>
              <w:ind w:left="34" w:right="295"/>
              <w:jc w:val="right"/>
            </w:pPr>
            <w:r>
              <w:t>194.20</w:t>
            </w:r>
          </w:p>
        </w:tc>
      </w:tr>
      <w:tr>
        <w:tblPrEx>
          <w:tblCellMar>
            <w:left w:w="108" w:type="dxa"/>
            <w:right w:w="108" w:type="dxa"/>
          </w:tblCellMar>
        </w:tblPrEx>
        <w:tc>
          <w:tcPr>
            <w:tcW w:w="4820" w:type="dxa"/>
          </w:tcPr>
          <w:p>
            <w:pPr>
              <w:pStyle w:val="yTable"/>
              <w:tabs>
                <w:tab w:val="right" w:pos="1735"/>
              </w:tabs>
              <w:spacing w:before="40" w:after="40"/>
              <w:ind w:left="-11" w:firstLine="11"/>
            </w:pPr>
            <w:r>
              <w:t>59754</w:t>
            </w:r>
          </w:p>
        </w:tc>
        <w:tc>
          <w:tcPr>
            <w:tcW w:w="1276" w:type="dxa"/>
          </w:tcPr>
          <w:p>
            <w:pPr>
              <w:pStyle w:val="yTable"/>
              <w:tabs>
                <w:tab w:val="decimal" w:pos="425"/>
                <w:tab w:val="right" w:pos="1418"/>
              </w:tabs>
              <w:spacing w:before="40" w:after="40"/>
              <w:ind w:left="34" w:right="295"/>
              <w:jc w:val="right"/>
            </w:pPr>
            <w:r>
              <w:t>306.10</w:t>
            </w:r>
          </w:p>
        </w:tc>
      </w:tr>
      <w:tr>
        <w:tblPrEx>
          <w:tblCellMar>
            <w:left w:w="108" w:type="dxa"/>
            <w:right w:w="108" w:type="dxa"/>
          </w:tblCellMar>
        </w:tblPrEx>
        <w:tc>
          <w:tcPr>
            <w:tcW w:w="4820" w:type="dxa"/>
          </w:tcPr>
          <w:p>
            <w:pPr>
              <w:pStyle w:val="yTable"/>
              <w:tabs>
                <w:tab w:val="right" w:pos="1735"/>
              </w:tabs>
              <w:spacing w:before="40" w:after="40"/>
              <w:ind w:left="-11" w:firstLine="11"/>
            </w:pPr>
            <w:r>
              <w:t>59760</w:t>
            </w:r>
          </w:p>
        </w:tc>
        <w:tc>
          <w:tcPr>
            <w:tcW w:w="1276" w:type="dxa"/>
          </w:tcPr>
          <w:p>
            <w:pPr>
              <w:pStyle w:val="yTable"/>
              <w:tabs>
                <w:tab w:val="decimal" w:pos="425"/>
                <w:tab w:val="right" w:pos="1418"/>
              </w:tabs>
              <w:spacing w:before="40" w:after="40"/>
              <w:ind w:left="34" w:right="295"/>
              <w:jc w:val="right"/>
            </w:pPr>
            <w:r>
              <w:t>160.70</w:t>
            </w:r>
          </w:p>
        </w:tc>
      </w:tr>
      <w:tr>
        <w:tblPrEx>
          <w:tblCellMar>
            <w:left w:w="108" w:type="dxa"/>
            <w:right w:w="108" w:type="dxa"/>
          </w:tblCellMar>
        </w:tblPrEx>
        <w:tc>
          <w:tcPr>
            <w:tcW w:w="4820" w:type="dxa"/>
          </w:tcPr>
          <w:p>
            <w:pPr>
              <w:pStyle w:val="yTable"/>
              <w:tabs>
                <w:tab w:val="right" w:pos="1735"/>
              </w:tabs>
              <w:spacing w:before="40" w:after="40"/>
              <w:ind w:left="-11" w:firstLine="11"/>
            </w:pPr>
            <w:r>
              <w:t>59763</w:t>
            </w:r>
          </w:p>
        </w:tc>
        <w:tc>
          <w:tcPr>
            <w:tcW w:w="1276" w:type="dxa"/>
          </w:tcPr>
          <w:p>
            <w:pPr>
              <w:pStyle w:val="yTable"/>
              <w:tabs>
                <w:tab w:val="decimal" w:pos="425"/>
                <w:tab w:val="right" w:pos="1418"/>
              </w:tabs>
              <w:spacing w:before="40" w:after="40"/>
              <w:ind w:left="34" w:right="295"/>
              <w:jc w:val="right"/>
            </w:pPr>
            <w:r>
              <w:t>186.85</w:t>
            </w:r>
          </w:p>
        </w:tc>
      </w:tr>
      <w:tr>
        <w:tblPrEx>
          <w:tblCellMar>
            <w:left w:w="108" w:type="dxa"/>
            <w:right w:w="108" w:type="dxa"/>
          </w:tblCellMar>
        </w:tblPrEx>
        <w:tc>
          <w:tcPr>
            <w:tcW w:w="4820" w:type="dxa"/>
          </w:tcPr>
          <w:p>
            <w:pPr>
              <w:pStyle w:val="yTable"/>
              <w:tabs>
                <w:tab w:val="right" w:pos="1735"/>
              </w:tabs>
              <w:spacing w:before="40" w:after="40"/>
              <w:ind w:left="-11" w:firstLine="11"/>
            </w:pPr>
            <w:r>
              <w:t>59903</w:t>
            </w:r>
          </w:p>
        </w:tc>
        <w:tc>
          <w:tcPr>
            <w:tcW w:w="1276" w:type="dxa"/>
          </w:tcPr>
          <w:p>
            <w:pPr>
              <w:pStyle w:val="yTable"/>
              <w:tabs>
                <w:tab w:val="decimal" w:pos="425"/>
                <w:tab w:val="right" w:pos="1418"/>
              </w:tabs>
              <w:spacing w:before="40" w:after="40"/>
              <w:ind w:left="34" w:right="295"/>
              <w:jc w:val="right"/>
            </w:pPr>
            <w:r>
              <w:t>159.85</w:t>
            </w:r>
          </w:p>
        </w:tc>
      </w:tr>
      <w:tr>
        <w:tblPrEx>
          <w:tblCellMar>
            <w:left w:w="108" w:type="dxa"/>
            <w:right w:w="108" w:type="dxa"/>
          </w:tblCellMar>
        </w:tblPrEx>
        <w:tc>
          <w:tcPr>
            <w:tcW w:w="4820" w:type="dxa"/>
          </w:tcPr>
          <w:p>
            <w:pPr>
              <w:pStyle w:val="yTable"/>
              <w:tabs>
                <w:tab w:val="right" w:pos="1735"/>
              </w:tabs>
              <w:spacing w:before="40" w:after="40"/>
              <w:ind w:left="-11" w:firstLine="11"/>
            </w:pPr>
            <w:r>
              <w:t>59912</w:t>
            </w:r>
          </w:p>
        </w:tc>
        <w:tc>
          <w:tcPr>
            <w:tcW w:w="1276" w:type="dxa"/>
          </w:tcPr>
          <w:p>
            <w:pPr>
              <w:pStyle w:val="yTable"/>
              <w:tabs>
                <w:tab w:val="decimal" w:pos="425"/>
                <w:tab w:val="right" w:pos="1418"/>
              </w:tabs>
              <w:spacing w:before="40" w:after="40"/>
              <w:ind w:left="34" w:right="295"/>
              <w:jc w:val="right"/>
            </w:pPr>
            <w:r>
              <w:t>425.90</w:t>
            </w:r>
          </w:p>
        </w:tc>
      </w:tr>
      <w:tr>
        <w:tblPrEx>
          <w:tblCellMar>
            <w:left w:w="108" w:type="dxa"/>
            <w:right w:w="108" w:type="dxa"/>
          </w:tblCellMar>
        </w:tblPrEx>
        <w:tc>
          <w:tcPr>
            <w:tcW w:w="4820" w:type="dxa"/>
          </w:tcPr>
          <w:p>
            <w:pPr>
              <w:pStyle w:val="yTable"/>
              <w:tabs>
                <w:tab w:val="right" w:pos="1735"/>
              </w:tabs>
              <w:spacing w:before="40" w:after="40"/>
              <w:ind w:left="-11" w:firstLine="11"/>
            </w:pPr>
            <w:r>
              <w:t>59925</w:t>
            </w:r>
          </w:p>
        </w:tc>
        <w:tc>
          <w:tcPr>
            <w:tcW w:w="1276" w:type="dxa"/>
          </w:tcPr>
          <w:p>
            <w:pPr>
              <w:pStyle w:val="yTable"/>
              <w:tabs>
                <w:tab w:val="decimal" w:pos="425"/>
                <w:tab w:val="right" w:pos="1418"/>
              </w:tabs>
              <w:spacing w:before="40" w:after="40"/>
              <w:ind w:left="34" w:right="295"/>
              <w:jc w:val="right"/>
            </w:pPr>
            <w:r>
              <w:t>505.75</w:t>
            </w:r>
          </w:p>
        </w:tc>
      </w:tr>
      <w:tr>
        <w:tblPrEx>
          <w:tblCellMar>
            <w:left w:w="108" w:type="dxa"/>
            <w:right w:w="108" w:type="dxa"/>
          </w:tblCellMar>
        </w:tblPrEx>
        <w:tc>
          <w:tcPr>
            <w:tcW w:w="4820" w:type="dxa"/>
          </w:tcPr>
          <w:p>
            <w:pPr>
              <w:pStyle w:val="yTable"/>
              <w:tabs>
                <w:tab w:val="right" w:pos="1735"/>
              </w:tabs>
              <w:spacing w:before="40" w:after="40"/>
              <w:ind w:left="-11" w:firstLine="11"/>
            </w:pPr>
            <w:r>
              <w:t>59970</w:t>
            </w:r>
          </w:p>
        </w:tc>
        <w:tc>
          <w:tcPr>
            <w:tcW w:w="1276" w:type="dxa"/>
          </w:tcPr>
          <w:p>
            <w:pPr>
              <w:pStyle w:val="yTable"/>
              <w:tabs>
                <w:tab w:val="decimal" w:pos="425"/>
                <w:tab w:val="right" w:pos="1418"/>
              </w:tabs>
              <w:spacing w:before="40" w:after="40"/>
              <w:ind w:left="34" w:right="295"/>
              <w:jc w:val="right"/>
            </w:pPr>
            <w:r>
              <w:t>234.90</w:t>
            </w:r>
          </w:p>
        </w:tc>
      </w:tr>
      <w:tr>
        <w:tblPrEx>
          <w:tblCellMar>
            <w:left w:w="108" w:type="dxa"/>
            <w:right w:w="108" w:type="dxa"/>
          </w:tblCellMar>
        </w:tblPrEx>
        <w:tc>
          <w:tcPr>
            <w:tcW w:w="4820" w:type="dxa"/>
          </w:tcPr>
          <w:p>
            <w:pPr>
              <w:pStyle w:val="yTable"/>
              <w:tabs>
                <w:tab w:val="right" w:pos="1735"/>
              </w:tabs>
              <w:spacing w:before="40" w:after="40"/>
              <w:ind w:left="-11" w:firstLine="11"/>
            </w:pPr>
            <w:r>
              <w:t>59971</w:t>
            </w:r>
          </w:p>
        </w:tc>
        <w:tc>
          <w:tcPr>
            <w:tcW w:w="1276" w:type="dxa"/>
          </w:tcPr>
          <w:p>
            <w:pPr>
              <w:pStyle w:val="yTable"/>
              <w:tabs>
                <w:tab w:val="decimal" w:pos="425"/>
                <w:tab w:val="right" w:pos="1418"/>
              </w:tabs>
              <w:spacing w:before="40" w:after="40"/>
              <w:ind w:left="34" w:right="295"/>
              <w:jc w:val="right"/>
            </w:pPr>
            <w:r>
              <w:t>79.95</w:t>
            </w:r>
          </w:p>
        </w:tc>
      </w:tr>
      <w:tr>
        <w:tblPrEx>
          <w:tblCellMar>
            <w:left w:w="108" w:type="dxa"/>
            <w:right w:w="108" w:type="dxa"/>
          </w:tblCellMar>
        </w:tblPrEx>
        <w:tc>
          <w:tcPr>
            <w:tcW w:w="4820" w:type="dxa"/>
          </w:tcPr>
          <w:p>
            <w:pPr>
              <w:pStyle w:val="yTable"/>
              <w:tabs>
                <w:tab w:val="right" w:pos="1735"/>
              </w:tabs>
              <w:spacing w:before="40" w:after="40"/>
              <w:ind w:left="-11" w:firstLine="11"/>
            </w:pPr>
            <w:r>
              <w:t>59972</w:t>
            </w:r>
          </w:p>
        </w:tc>
        <w:tc>
          <w:tcPr>
            <w:tcW w:w="1276" w:type="dxa"/>
          </w:tcPr>
          <w:p>
            <w:pPr>
              <w:pStyle w:val="yTable"/>
              <w:tabs>
                <w:tab w:val="decimal" w:pos="425"/>
                <w:tab w:val="right" w:pos="1418"/>
              </w:tabs>
              <w:spacing w:before="40" w:after="40"/>
              <w:ind w:left="34" w:right="295"/>
              <w:jc w:val="right"/>
            </w:pPr>
            <w:r>
              <w:t>212.95</w:t>
            </w:r>
          </w:p>
        </w:tc>
      </w:tr>
      <w:tr>
        <w:tblPrEx>
          <w:tblCellMar>
            <w:left w:w="108" w:type="dxa"/>
            <w:right w:w="108" w:type="dxa"/>
          </w:tblCellMar>
        </w:tblPrEx>
        <w:tc>
          <w:tcPr>
            <w:tcW w:w="4820" w:type="dxa"/>
          </w:tcPr>
          <w:p>
            <w:pPr>
              <w:pStyle w:val="yTable"/>
              <w:tabs>
                <w:tab w:val="right" w:pos="1735"/>
              </w:tabs>
              <w:spacing w:before="40" w:after="40"/>
              <w:ind w:left="-11" w:firstLine="11"/>
            </w:pPr>
            <w:r>
              <w:t>59973</w:t>
            </w:r>
          </w:p>
        </w:tc>
        <w:tc>
          <w:tcPr>
            <w:tcW w:w="1276" w:type="dxa"/>
          </w:tcPr>
          <w:p>
            <w:pPr>
              <w:pStyle w:val="yTable"/>
              <w:tabs>
                <w:tab w:val="decimal" w:pos="425"/>
                <w:tab w:val="right" w:pos="1418"/>
              </w:tabs>
              <w:spacing w:before="40" w:after="40"/>
              <w:ind w:left="34" w:right="295"/>
              <w:jc w:val="right"/>
            </w:pPr>
            <w:r>
              <w:t>252.95</w:t>
            </w:r>
          </w:p>
        </w:tc>
      </w:tr>
      <w:tr>
        <w:tblPrEx>
          <w:tblCellMar>
            <w:left w:w="108" w:type="dxa"/>
            <w:right w:w="108" w:type="dxa"/>
          </w:tblCellMar>
        </w:tblPrEx>
        <w:tc>
          <w:tcPr>
            <w:tcW w:w="4820" w:type="dxa"/>
          </w:tcPr>
          <w:p>
            <w:pPr>
              <w:pStyle w:val="yTable"/>
              <w:tabs>
                <w:tab w:val="right" w:pos="1735"/>
              </w:tabs>
              <w:spacing w:before="40" w:after="40"/>
              <w:ind w:left="-11" w:firstLine="11"/>
            </w:pPr>
            <w:r>
              <w:t>59974</w:t>
            </w:r>
          </w:p>
        </w:tc>
        <w:tc>
          <w:tcPr>
            <w:tcW w:w="1276" w:type="dxa"/>
          </w:tcPr>
          <w:p>
            <w:pPr>
              <w:pStyle w:val="yTable"/>
              <w:tabs>
                <w:tab w:val="decimal" w:pos="425"/>
                <w:tab w:val="right" w:pos="1418"/>
              </w:tabs>
              <w:spacing w:before="40" w:after="40"/>
              <w:ind w:left="34" w:right="295"/>
              <w:jc w:val="right"/>
            </w:pPr>
            <w:r>
              <w:t>117.50</w:t>
            </w:r>
          </w:p>
        </w:tc>
      </w:tr>
      <w:tr>
        <w:tblPrEx>
          <w:tblCellMar>
            <w:left w:w="108" w:type="dxa"/>
            <w:right w:w="108" w:type="dxa"/>
          </w:tblCellMar>
        </w:tblPrEx>
        <w:tc>
          <w:tcPr>
            <w:tcW w:w="4820" w:type="dxa"/>
          </w:tcPr>
          <w:p>
            <w:pPr>
              <w:pStyle w:val="yTable"/>
              <w:tabs>
                <w:tab w:val="right" w:pos="1735"/>
              </w:tabs>
              <w:spacing w:before="40" w:after="40"/>
              <w:ind w:left="-11" w:firstLine="11"/>
            </w:pPr>
            <w:r>
              <w:t>60000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60003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60006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60009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60012</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60015</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60018</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60021</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60024</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60027</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60030</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60033</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60036</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60039</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60042</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60045</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60048</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60051</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60054</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60057</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60060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60063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60066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60069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60072</w:t>
            </w:r>
          </w:p>
        </w:tc>
        <w:tc>
          <w:tcPr>
            <w:tcW w:w="1276" w:type="dxa"/>
          </w:tcPr>
          <w:p>
            <w:pPr>
              <w:pStyle w:val="yTable"/>
              <w:tabs>
                <w:tab w:val="decimal" w:pos="425"/>
                <w:tab w:val="right" w:pos="1418"/>
              </w:tabs>
              <w:spacing w:before="40" w:after="40"/>
              <w:ind w:left="34" w:right="295"/>
              <w:jc w:val="right"/>
            </w:pPr>
            <w:r>
              <w:t>67.15</w:t>
            </w:r>
          </w:p>
        </w:tc>
      </w:tr>
      <w:tr>
        <w:tblPrEx>
          <w:tblCellMar>
            <w:left w:w="108" w:type="dxa"/>
            <w:right w:w="108" w:type="dxa"/>
          </w:tblCellMar>
        </w:tblPrEx>
        <w:tc>
          <w:tcPr>
            <w:tcW w:w="4820" w:type="dxa"/>
          </w:tcPr>
          <w:p>
            <w:pPr>
              <w:pStyle w:val="yTable"/>
              <w:tabs>
                <w:tab w:val="right" w:pos="1735"/>
              </w:tabs>
              <w:spacing w:before="40" w:after="40"/>
              <w:ind w:left="-11" w:firstLine="11"/>
            </w:pPr>
            <w:r>
              <w:t>60075</w:t>
            </w:r>
          </w:p>
        </w:tc>
        <w:tc>
          <w:tcPr>
            <w:tcW w:w="1276" w:type="dxa"/>
          </w:tcPr>
          <w:p>
            <w:pPr>
              <w:pStyle w:val="yTable"/>
              <w:tabs>
                <w:tab w:val="decimal" w:pos="425"/>
                <w:tab w:val="right" w:pos="1418"/>
              </w:tabs>
              <w:spacing w:before="40" w:after="40"/>
              <w:ind w:left="34" w:right="295"/>
              <w:jc w:val="right"/>
            </w:pPr>
            <w:r>
              <w:t>134.10</w:t>
            </w:r>
          </w:p>
        </w:tc>
      </w:tr>
      <w:tr>
        <w:tblPrEx>
          <w:tblCellMar>
            <w:left w:w="108" w:type="dxa"/>
            <w:right w:w="108" w:type="dxa"/>
          </w:tblCellMar>
        </w:tblPrEx>
        <w:tc>
          <w:tcPr>
            <w:tcW w:w="4820" w:type="dxa"/>
          </w:tcPr>
          <w:p>
            <w:pPr>
              <w:pStyle w:val="yTable"/>
              <w:tabs>
                <w:tab w:val="right" w:pos="1735"/>
              </w:tabs>
              <w:spacing w:before="40" w:after="40"/>
              <w:ind w:left="-11" w:firstLine="11"/>
            </w:pPr>
            <w:r>
              <w:t>60078</w:t>
            </w:r>
          </w:p>
        </w:tc>
        <w:tc>
          <w:tcPr>
            <w:tcW w:w="1276" w:type="dxa"/>
          </w:tcPr>
          <w:p>
            <w:pPr>
              <w:pStyle w:val="yTable"/>
              <w:tabs>
                <w:tab w:val="decimal" w:pos="425"/>
                <w:tab w:val="right" w:pos="1418"/>
              </w:tabs>
              <w:spacing w:before="40" w:after="40"/>
              <w:ind w:left="34" w:right="295"/>
              <w:jc w:val="right"/>
            </w:pPr>
            <w:r>
              <w:t>201.30</w:t>
            </w:r>
          </w:p>
        </w:tc>
      </w:tr>
      <w:tr>
        <w:tblPrEx>
          <w:tblCellMar>
            <w:left w:w="108" w:type="dxa"/>
            <w:right w:w="108" w:type="dxa"/>
          </w:tblCellMar>
        </w:tblPrEx>
        <w:tc>
          <w:tcPr>
            <w:tcW w:w="4820" w:type="dxa"/>
          </w:tcPr>
          <w:p>
            <w:pPr>
              <w:pStyle w:val="yTable"/>
              <w:tabs>
                <w:tab w:val="right" w:pos="1735"/>
              </w:tabs>
              <w:spacing w:before="40" w:after="40"/>
              <w:ind w:left="-11" w:firstLine="11"/>
            </w:pPr>
            <w:r>
              <w:t>60100</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60500</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60503</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60506</w:t>
            </w:r>
          </w:p>
        </w:tc>
        <w:tc>
          <w:tcPr>
            <w:tcW w:w="1276" w:type="dxa"/>
          </w:tcPr>
          <w:p>
            <w:pPr>
              <w:pStyle w:val="yTable"/>
              <w:tabs>
                <w:tab w:val="decimal" w:pos="425"/>
                <w:tab w:val="right" w:pos="1418"/>
              </w:tabs>
              <w:spacing w:before="40" w:after="40"/>
              <w:ind w:left="34" w:right="295"/>
              <w:jc w:val="right"/>
            </w:pPr>
            <w:r>
              <w:t>89.00</w:t>
            </w:r>
          </w:p>
        </w:tc>
      </w:tr>
      <w:tr>
        <w:tblPrEx>
          <w:tblCellMar>
            <w:left w:w="108" w:type="dxa"/>
            <w:right w:w="108" w:type="dxa"/>
          </w:tblCellMar>
        </w:tblPrEx>
        <w:tc>
          <w:tcPr>
            <w:tcW w:w="4820" w:type="dxa"/>
          </w:tcPr>
          <w:p>
            <w:pPr>
              <w:pStyle w:val="yTable"/>
              <w:tabs>
                <w:tab w:val="right" w:pos="1735"/>
              </w:tabs>
              <w:spacing w:before="40" w:after="40"/>
              <w:ind w:left="-11" w:firstLine="11"/>
            </w:pPr>
            <w:r>
              <w:t>60509</w:t>
            </w:r>
          </w:p>
        </w:tc>
        <w:tc>
          <w:tcPr>
            <w:tcW w:w="1276" w:type="dxa"/>
          </w:tcPr>
          <w:p>
            <w:pPr>
              <w:pStyle w:val="yTable"/>
              <w:tabs>
                <w:tab w:val="decimal" w:pos="425"/>
                <w:tab w:val="right" w:pos="1418"/>
              </w:tabs>
              <w:spacing w:before="40" w:after="40"/>
              <w:ind w:left="34" w:right="295"/>
              <w:jc w:val="right"/>
            </w:pPr>
            <w:r>
              <w:t>138.00</w:t>
            </w:r>
          </w:p>
        </w:tc>
      </w:tr>
      <w:tr>
        <w:tblPrEx>
          <w:tblCellMar>
            <w:left w:w="108" w:type="dxa"/>
            <w:right w:w="108" w:type="dxa"/>
          </w:tblCellMar>
        </w:tblPrEx>
        <w:tc>
          <w:tcPr>
            <w:tcW w:w="4820" w:type="dxa"/>
          </w:tcPr>
          <w:p>
            <w:pPr>
              <w:pStyle w:val="yTable"/>
              <w:tabs>
                <w:tab w:val="right" w:pos="1735"/>
              </w:tabs>
              <w:spacing w:before="40" w:after="40"/>
              <w:ind w:left="-11" w:firstLine="11"/>
            </w:pPr>
            <w:r>
              <w:t>60918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60927</w:t>
            </w:r>
          </w:p>
        </w:tc>
        <w:tc>
          <w:tcPr>
            <w:tcW w:w="1276" w:type="dxa"/>
          </w:tcPr>
          <w:p>
            <w:pPr>
              <w:pStyle w:val="yTable"/>
              <w:tabs>
                <w:tab w:val="decimal" w:pos="425"/>
                <w:tab w:val="right" w:pos="1418"/>
              </w:tabs>
              <w:spacing w:before="40" w:after="40"/>
              <w:ind w:left="34" w:right="295"/>
              <w:jc w:val="right"/>
            </w:pPr>
            <w:r>
              <w:t>53.10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61109</w:t>
            </w:r>
          </w:p>
        </w:tc>
        <w:tc>
          <w:tcPr>
            <w:tcW w:w="1276" w:type="dxa"/>
            <w:tcBorders>
              <w:bottom w:val="single" w:sz="4" w:space="0" w:color="auto"/>
            </w:tcBorders>
          </w:tcPr>
          <w:p>
            <w:pPr>
              <w:pStyle w:val="yTable"/>
              <w:tabs>
                <w:tab w:val="decimal" w:pos="425"/>
                <w:tab w:val="right" w:pos="1418"/>
              </w:tabs>
              <w:spacing w:before="40" w:after="40"/>
              <w:ind w:left="34" w:right="295"/>
              <w:jc w:val="right"/>
            </w:pPr>
            <w:r>
              <w:t>361.30</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61302</w:t>
            </w:r>
          </w:p>
        </w:tc>
        <w:tc>
          <w:tcPr>
            <w:tcW w:w="1276" w:type="dxa"/>
          </w:tcPr>
          <w:p>
            <w:pPr>
              <w:pStyle w:val="yTable"/>
              <w:tabs>
                <w:tab w:val="decimal" w:pos="425"/>
                <w:tab w:val="right" w:pos="1418"/>
              </w:tabs>
              <w:spacing w:before="40" w:after="40"/>
              <w:ind w:left="34" w:right="295"/>
              <w:jc w:val="right"/>
            </w:pPr>
            <w:r>
              <w:t>482.50</w:t>
            </w:r>
          </w:p>
        </w:tc>
      </w:tr>
      <w:tr>
        <w:tblPrEx>
          <w:tblCellMar>
            <w:left w:w="108" w:type="dxa"/>
            <w:right w:w="108" w:type="dxa"/>
          </w:tblCellMar>
        </w:tblPrEx>
        <w:tc>
          <w:tcPr>
            <w:tcW w:w="4820" w:type="dxa"/>
          </w:tcPr>
          <w:p>
            <w:pPr>
              <w:pStyle w:val="yTable"/>
              <w:tabs>
                <w:tab w:val="right" w:pos="1735"/>
              </w:tabs>
              <w:spacing w:before="40" w:after="40"/>
              <w:ind w:left="-11" w:firstLine="11"/>
            </w:pPr>
            <w:r>
              <w:t>61303</w:t>
            </w:r>
          </w:p>
        </w:tc>
        <w:tc>
          <w:tcPr>
            <w:tcW w:w="1276" w:type="dxa"/>
          </w:tcPr>
          <w:p>
            <w:pPr>
              <w:pStyle w:val="yTable"/>
              <w:tabs>
                <w:tab w:val="decimal" w:pos="425"/>
                <w:tab w:val="right" w:pos="1418"/>
              </w:tabs>
              <w:spacing w:before="40" w:after="40"/>
              <w:ind w:left="34" w:right="295"/>
              <w:jc w:val="right"/>
            </w:pPr>
            <w:r>
              <w:t>607.65</w:t>
            </w:r>
          </w:p>
        </w:tc>
      </w:tr>
      <w:tr>
        <w:tblPrEx>
          <w:tblCellMar>
            <w:left w:w="108" w:type="dxa"/>
            <w:right w:w="108" w:type="dxa"/>
          </w:tblCellMar>
        </w:tblPrEx>
        <w:tc>
          <w:tcPr>
            <w:tcW w:w="4820" w:type="dxa"/>
          </w:tcPr>
          <w:p>
            <w:pPr>
              <w:pStyle w:val="yTable"/>
              <w:tabs>
                <w:tab w:val="right" w:pos="1735"/>
              </w:tabs>
              <w:spacing w:before="40" w:after="40"/>
              <w:ind w:left="-11" w:firstLine="11"/>
            </w:pPr>
            <w:r>
              <w:t>61306</w:t>
            </w:r>
          </w:p>
        </w:tc>
        <w:tc>
          <w:tcPr>
            <w:tcW w:w="1276" w:type="dxa"/>
          </w:tcPr>
          <w:p>
            <w:pPr>
              <w:pStyle w:val="yTable"/>
              <w:tabs>
                <w:tab w:val="decimal" w:pos="425"/>
                <w:tab w:val="right" w:pos="1418"/>
              </w:tabs>
              <w:spacing w:before="40" w:after="40"/>
              <w:ind w:left="34" w:right="295"/>
              <w:jc w:val="right"/>
            </w:pPr>
            <w:r>
              <w:t>762.80</w:t>
            </w:r>
          </w:p>
        </w:tc>
      </w:tr>
      <w:tr>
        <w:tblPrEx>
          <w:tblCellMar>
            <w:left w:w="108" w:type="dxa"/>
            <w:right w:w="108" w:type="dxa"/>
          </w:tblCellMar>
        </w:tblPrEx>
        <w:tc>
          <w:tcPr>
            <w:tcW w:w="4820" w:type="dxa"/>
          </w:tcPr>
          <w:p>
            <w:pPr>
              <w:pStyle w:val="yTable"/>
              <w:tabs>
                <w:tab w:val="right" w:pos="1735"/>
              </w:tabs>
              <w:spacing w:before="40" w:after="40"/>
              <w:ind w:left="-11" w:firstLine="11"/>
            </w:pPr>
            <w:r>
              <w:t>61307</w:t>
            </w:r>
          </w:p>
        </w:tc>
        <w:tc>
          <w:tcPr>
            <w:tcW w:w="1276" w:type="dxa"/>
          </w:tcPr>
          <w:p>
            <w:pPr>
              <w:pStyle w:val="yTable"/>
              <w:tabs>
                <w:tab w:val="decimal" w:pos="425"/>
                <w:tab w:val="right" w:pos="1418"/>
              </w:tabs>
              <w:spacing w:before="40" w:after="40"/>
              <w:ind w:left="34" w:right="295"/>
              <w:jc w:val="right"/>
            </w:pPr>
            <w:r>
              <w:t>897.45</w:t>
            </w:r>
          </w:p>
        </w:tc>
      </w:tr>
      <w:tr>
        <w:tblPrEx>
          <w:tblCellMar>
            <w:left w:w="108" w:type="dxa"/>
            <w:right w:w="108" w:type="dxa"/>
          </w:tblCellMar>
        </w:tblPrEx>
        <w:tc>
          <w:tcPr>
            <w:tcW w:w="4820" w:type="dxa"/>
          </w:tcPr>
          <w:p>
            <w:pPr>
              <w:pStyle w:val="yTable"/>
              <w:tabs>
                <w:tab w:val="right" w:pos="1735"/>
              </w:tabs>
              <w:spacing w:before="40" w:after="40"/>
              <w:ind w:left="-11" w:firstLine="11"/>
            </w:pPr>
            <w:r>
              <w:t>61310</w:t>
            </w:r>
          </w:p>
        </w:tc>
        <w:tc>
          <w:tcPr>
            <w:tcW w:w="1276" w:type="dxa"/>
          </w:tcPr>
          <w:p>
            <w:pPr>
              <w:pStyle w:val="yTable"/>
              <w:tabs>
                <w:tab w:val="decimal" w:pos="425"/>
                <w:tab w:val="right" w:pos="1418"/>
              </w:tabs>
              <w:spacing w:before="40" w:after="40"/>
              <w:ind w:left="34" w:right="295"/>
              <w:jc w:val="right"/>
            </w:pPr>
            <w:r>
              <w:t>394.80</w:t>
            </w:r>
          </w:p>
        </w:tc>
      </w:tr>
      <w:tr>
        <w:tblPrEx>
          <w:tblCellMar>
            <w:left w:w="108" w:type="dxa"/>
            <w:right w:w="108" w:type="dxa"/>
          </w:tblCellMar>
        </w:tblPrEx>
        <w:tc>
          <w:tcPr>
            <w:tcW w:w="4820" w:type="dxa"/>
          </w:tcPr>
          <w:p>
            <w:pPr>
              <w:pStyle w:val="yTable"/>
              <w:tabs>
                <w:tab w:val="right" w:pos="1735"/>
              </w:tabs>
              <w:spacing w:before="40" w:after="40"/>
              <w:ind w:left="-11" w:firstLine="11"/>
            </w:pPr>
            <w:r>
              <w:t>61313</w:t>
            </w:r>
          </w:p>
        </w:tc>
        <w:tc>
          <w:tcPr>
            <w:tcW w:w="1276" w:type="dxa"/>
          </w:tcPr>
          <w:p>
            <w:pPr>
              <w:pStyle w:val="yTable"/>
              <w:tabs>
                <w:tab w:val="decimal" w:pos="425"/>
                <w:tab w:val="right" w:pos="1418"/>
              </w:tabs>
              <w:spacing w:before="40" w:after="40"/>
              <w:ind w:left="34" w:right="295"/>
              <w:jc w:val="right"/>
            </w:pPr>
            <w:r>
              <w:t>326.10</w:t>
            </w:r>
          </w:p>
        </w:tc>
      </w:tr>
      <w:tr>
        <w:tblPrEx>
          <w:tblCellMar>
            <w:left w:w="108" w:type="dxa"/>
            <w:right w:w="108" w:type="dxa"/>
          </w:tblCellMar>
        </w:tblPrEx>
        <w:tc>
          <w:tcPr>
            <w:tcW w:w="4820" w:type="dxa"/>
          </w:tcPr>
          <w:p>
            <w:pPr>
              <w:pStyle w:val="yTable"/>
              <w:tabs>
                <w:tab w:val="right" w:pos="1735"/>
              </w:tabs>
              <w:spacing w:before="40" w:after="40"/>
              <w:ind w:left="-11" w:firstLine="11"/>
            </w:pPr>
            <w:r>
              <w:t>61314</w:t>
            </w:r>
          </w:p>
        </w:tc>
        <w:tc>
          <w:tcPr>
            <w:tcW w:w="1276" w:type="dxa"/>
          </w:tcPr>
          <w:p>
            <w:pPr>
              <w:pStyle w:val="yTable"/>
              <w:tabs>
                <w:tab w:val="decimal" w:pos="425"/>
                <w:tab w:val="right" w:pos="1418"/>
              </w:tabs>
              <w:spacing w:before="40" w:after="40"/>
              <w:ind w:left="34" w:right="295"/>
              <w:jc w:val="right"/>
            </w:pPr>
            <w:r>
              <w:t>451.45</w:t>
            </w:r>
          </w:p>
        </w:tc>
      </w:tr>
      <w:tr>
        <w:tblPrEx>
          <w:tblCellMar>
            <w:left w:w="108" w:type="dxa"/>
            <w:right w:w="108" w:type="dxa"/>
          </w:tblCellMar>
        </w:tblPrEx>
        <w:tc>
          <w:tcPr>
            <w:tcW w:w="4820" w:type="dxa"/>
          </w:tcPr>
          <w:p>
            <w:pPr>
              <w:pStyle w:val="yTable"/>
              <w:tabs>
                <w:tab w:val="right" w:pos="1735"/>
              </w:tabs>
              <w:spacing w:before="40" w:after="40"/>
              <w:ind w:left="-11" w:firstLine="11"/>
            </w:pPr>
            <w:r>
              <w:t>61316</w:t>
            </w:r>
          </w:p>
        </w:tc>
        <w:tc>
          <w:tcPr>
            <w:tcW w:w="1276" w:type="dxa"/>
          </w:tcPr>
          <w:p>
            <w:pPr>
              <w:pStyle w:val="yTable"/>
              <w:tabs>
                <w:tab w:val="decimal" w:pos="425"/>
                <w:tab w:val="right" w:pos="1418"/>
              </w:tabs>
              <w:spacing w:before="40" w:after="40"/>
              <w:ind w:left="34" w:right="295"/>
              <w:jc w:val="right"/>
            </w:pPr>
            <w:r>
              <w:t>409.75</w:t>
            </w:r>
          </w:p>
        </w:tc>
      </w:tr>
      <w:tr>
        <w:tblPrEx>
          <w:tblCellMar>
            <w:left w:w="108" w:type="dxa"/>
            <w:right w:w="108" w:type="dxa"/>
          </w:tblCellMar>
        </w:tblPrEx>
        <w:tc>
          <w:tcPr>
            <w:tcW w:w="4820" w:type="dxa"/>
          </w:tcPr>
          <w:p>
            <w:pPr>
              <w:pStyle w:val="yTable"/>
              <w:tabs>
                <w:tab w:val="right" w:pos="1735"/>
              </w:tabs>
              <w:spacing w:before="40" w:after="40"/>
              <w:ind w:left="-11" w:firstLine="11"/>
            </w:pPr>
            <w:r>
              <w:t>61317</w:t>
            </w:r>
          </w:p>
        </w:tc>
        <w:tc>
          <w:tcPr>
            <w:tcW w:w="1276" w:type="dxa"/>
          </w:tcPr>
          <w:p>
            <w:pPr>
              <w:pStyle w:val="yTable"/>
              <w:tabs>
                <w:tab w:val="decimal" w:pos="425"/>
                <w:tab w:val="right" w:pos="1418"/>
              </w:tabs>
              <w:spacing w:before="40" w:after="40"/>
              <w:ind w:left="34" w:right="295"/>
              <w:jc w:val="right"/>
            </w:pPr>
            <w:r>
              <w:t>529.25</w:t>
            </w:r>
          </w:p>
        </w:tc>
      </w:tr>
      <w:tr>
        <w:tblPrEx>
          <w:tblCellMar>
            <w:left w:w="108" w:type="dxa"/>
            <w:right w:w="108" w:type="dxa"/>
          </w:tblCellMar>
        </w:tblPrEx>
        <w:tc>
          <w:tcPr>
            <w:tcW w:w="4820" w:type="dxa"/>
          </w:tcPr>
          <w:p>
            <w:pPr>
              <w:pStyle w:val="yTable"/>
              <w:tabs>
                <w:tab w:val="right" w:pos="1735"/>
              </w:tabs>
              <w:spacing w:before="40" w:after="40"/>
              <w:ind w:left="-11" w:firstLine="11"/>
            </w:pPr>
            <w:r>
              <w:t>61320</w:t>
            </w:r>
          </w:p>
        </w:tc>
        <w:tc>
          <w:tcPr>
            <w:tcW w:w="1276" w:type="dxa"/>
          </w:tcPr>
          <w:p>
            <w:pPr>
              <w:pStyle w:val="yTable"/>
              <w:tabs>
                <w:tab w:val="decimal" w:pos="425"/>
                <w:tab w:val="right" w:pos="1418"/>
              </w:tabs>
              <w:spacing w:before="40" w:after="40"/>
              <w:ind w:left="34" w:right="295"/>
              <w:jc w:val="right"/>
            </w:pPr>
            <w:r>
              <w:t>246.05</w:t>
            </w:r>
          </w:p>
        </w:tc>
      </w:tr>
      <w:tr>
        <w:tblPrEx>
          <w:tblCellMar>
            <w:left w:w="108" w:type="dxa"/>
            <w:right w:w="108" w:type="dxa"/>
          </w:tblCellMar>
        </w:tblPrEx>
        <w:tc>
          <w:tcPr>
            <w:tcW w:w="4820" w:type="dxa"/>
          </w:tcPr>
          <w:p>
            <w:pPr>
              <w:pStyle w:val="yTable"/>
              <w:tabs>
                <w:tab w:val="right" w:pos="1735"/>
              </w:tabs>
              <w:spacing w:before="40" w:after="40"/>
              <w:ind w:left="-11" w:firstLine="11"/>
            </w:pPr>
            <w:r>
              <w:t>61328</w:t>
            </w:r>
          </w:p>
        </w:tc>
        <w:tc>
          <w:tcPr>
            <w:tcW w:w="1276" w:type="dxa"/>
          </w:tcPr>
          <w:p>
            <w:pPr>
              <w:pStyle w:val="yTable"/>
              <w:tabs>
                <w:tab w:val="decimal" w:pos="425"/>
                <w:tab w:val="right" w:pos="1418"/>
              </w:tabs>
              <w:spacing w:before="40" w:after="40"/>
              <w:ind w:left="34" w:right="295"/>
              <w:jc w:val="right"/>
            </w:pPr>
            <w:r>
              <w:t>244.70</w:t>
            </w:r>
          </w:p>
        </w:tc>
      </w:tr>
      <w:tr>
        <w:tblPrEx>
          <w:tblCellMar>
            <w:left w:w="108" w:type="dxa"/>
            <w:right w:w="108" w:type="dxa"/>
          </w:tblCellMar>
        </w:tblPrEx>
        <w:tc>
          <w:tcPr>
            <w:tcW w:w="4820" w:type="dxa"/>
          </w:tcPr>
          <w:p>
            <w:pPr>
              <w:pStyle w:val="yTable"/>
              <w:tabs>
                <w:tab w:val="right" w:pos="1735"/>
              </w:tabs>
              <w:spacing w:before="40" w:after="40"/>
              <w:ind w:left="-11" w:firstLine="11"/>
            </w:pPr>
            <w:r>
              <w:t>61340</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Pr>
          <w:p>
            <w:pPr>
              <w:pStyle w:val="yTable"/>
              <w:tabs>
                <w:tab w:val="right" w:pos="1735"/>
              </w:tabs>
              <w:spacing w:before="40" w:after="40"/>
              <w:ind w:left="-11" w:firstLine="11"/>
            </w:pPr>
            <w:r>
              <w:t>61348</w:t>
            </w:r>
          </w:p>
        </w:tc>
        <w:tc>
          <w:tcPr>
            <w:tcW w:w="1276" w:type="dxa"/>
          </w:tcPr>
          <w:p>
            <w:pPr>
              <w:pStyle w:val="yTable"/>
              <w:tabs>
                <w:tab w:val="decimal" w:pos="425"/>
                <w:tab w:val="right" w:pos="1418"/>
              </w:tabs>
              <w:spacing w:before="40" w:after="40"/>
              <w:ind w:left="34" w:right="295"/>
              <w:jc w:val="right"/>
            </w:pPr>
            <w:r>
              <w:t>476.55</w:t>
            </w:r>
          </w:p>
        </w:tc>
      </w:tr>
      <w:tr>
        <w:tblPrEx>
          <w:tblCellMar>
            <w:left w:w="108" w:type="dxa"/>
            <w:right w:w="108" w:type="dxa"/>
          </w:tblCellMar>
        </w:tblPrEx>
        <w:tc>
          <w:tcPr>
            <w:tcW w:w="4820" w:type="dxa"/>
          </w:tcPr>
          <w:p>
            <w:pPr>
              <w:pStyle w:val="yTable"/>
              <w:tabs>
                <w:tab w:val="right" w:pos="1735"/>
              </w:tabs>
              <w:spacing w:before="40" w:after="40"/>
              <w:ind w:left="-11" w:firstLine="11"/>
            </w:pPr>
            <w:r>
              <w:t>61352</w:t>
            </w:r>
          </w:p>
        </w:tc>
        <w:tc>
          <w:tcPr>
            <w:tcW w:w="1276" w:type="dxa"/>
          </w:tcPr>
          <w:p>
            <w:pPr>
              <w:pStyle w:val="yTable"/>
              <w:tabs>
                <w:tab w:val="decimal" w:pos="425"/>
                <w:tab w:val="right" w:pos="1418"/>
              </w:tabs>
              <w:spacing w:before="40" w:after="40"/>
              <w:ind w:left="34" w:right="295"/>
              <w:jc w:val="right"/>
            </w:pPr>
            <w:r>
              <w:t>278.80</w:t>
            </w:r>
          </w:p>
        </w:tc>
      </w:tr>
      <w:tr>
        <w:tblPrEx>
          <w:tblCellMar>
            <w:left w:w="108" w:type="dxa"/>
            <w:right w:w="108" w:type="dxa"/>
          </w:tblCellMar>
        </w:tblPrEx>
        <w:tc>
          <w:tcPr>
            <w:tcW w:w="4820" w:type="dxa"/>
          </w:tcPr>
          <w:p>
            <w:pPr>
              <w:pStyle w:val="yTable"/>
              <w:tabs>
                <w:tab w:val="right" w:pos="1735"/>
              </w:tabs>
              <w:spacing w:before="40" w:after="40"/>
              <w:ind w:left="-11" w:firstLine="11"/>
            </w:pPr>
            <w:r>
              <w:t>61353</w:t>
            </w:r>
          </w:p>
        </w:tc>
        <w:tc>
          <w:tcPr>
            <w:tcW w:w="1276" w:type="dxa"/>
          </w:tcPr>
          <w:p>
            <w:pPr>
              <w:pStyle w:val="yTable"/>
              <w:tabs>
                <w:tab w:val="decimal" w:pos="425"/>
                <w:tab w:val="right" w:pos="1418"/>
              </w:tabs>
              <w:spacing w:before="40" w:after="40"/>
              <w:ind w:left="34" w:right="295"/>
              <w:jc w:val="right"/>
            </w:pPr>
            <w:r>
              <w:t>415.55</w:t>
            </w:r>
          </w:p>
        </w:tc>
      </w:tr>
      <w:tr>
        <w:tblPrEx>
          <w:tblCellMar>
            <w:left w:w="108" w:type="dxa"/>
            <w:right w:w="108" w:type="dxa"/>
          </w:tblCellMar>
        </w:tblPrEx>
        <w:tc>
          <w:tcPr>
            <w:tcW w:w="4820" w:type="dxa"/>
          </w:tcPr>
          <w:p>
            <w:pPr>
              <w:pStyle w:val="yTable"/>
              <w:tabs>
                <w:tab w:val="right" w:pos="1735"/>
              </w:tabs>
              <w:spacing w:before="40" w:after="40"/>
              <w:ind w:left="-11" w:firstLine="11"/>
            </w:pPr>
            <w:r>
              <w:t>61356</w:t>
            </w:r>
          </w:p>
        </w:tc>
        <w:tc>
          <w:tcPr>
            <w:tcW w:w="1276" w:type="dxa"/>
          </w:tcPr>
          <w:p>
            <w:pPr>
              <w:pStyle w:val="yTable"/>
              <w:tabs>
                <w:tab w:val="decimal" w:pos="425"/>
                <w:tab w:val="right" w:pos="1418"/>
              </w:tabs>
              <w:spacing w:before="40" w:after="40"/>
              <w:ind w:left="34" w:right="295"/>
              <w:jc w:val="right"/>
            </w:pPr>
            <w:r>
              <w:t>422.20</w:t>
            </w:r>
          </w:p>
        </w:tc>
      </w:tr>
      <w:tr>
        <w:tblPrEx>
          <w:tblCellMar>
            <w:left w:w="108" w:type="dxa"/>
            <w:right w:w="108" w:type="dxa"/>
          </w:tblCellMar>
        </w:tblPrEx>
        <w:tc>
          <w:tcPr>
            <w:tcW w:w="4820" w:type="dxa"/>
          </w:tcPr>
          <w:p>
            <w:pPr>
              <w:pStyle w:val="yTable"/>
              <w:tabs>
                <w:tab w:val="right" w:pos="1735"/>
              </w:tabs>
              <w:spacing w:before="40" w:after="40"/>
              <w:ind w:left="-11" w:firstLine="11"/>
            </w:pPr>
            <w:r>
              <w:t>61360</w:t>
            </w:r>
          </w:p>
        </w:tc>
        <w:tc>
          <w:tcPr>
            <w:tcW w:w="1276" w:type="dxa"/>
          </w:tcPr>
          <w:p>
            <w:pPr>
              <w:pStyle w:val="yTable"/>
              <w:tabs>
                <w:tab w:val="decimal" w:pos="425"/>
                <w:tab w:val="right" w:pos="1418"/>
              </w:tabs>
              <w:spacing w:before="40" w:after="40"/>
              <w:ind w:left="34" w:right="295"/>
              <w:jc w:val="right"/>
            </w:pPr>
            <w:r>
              <w:t>433.55</w:t>
            </w:r>
          </w:p>
        </w:tc>
      </w:tr>
      <w:tr>
        <w:tblPrEx>
          <w:tblCellMar>
            <w:left w:w="108" w:type="dxa"/>
            <w:right w:w="108" w:type="dxa"/>
          </w:tblCellMar>
        </w:tblPrEx>
        <w:tc>
          <w:tcPr>
            <w:tcW w:w="4820" w:type="dxa"/>
          </w:tcPr>
          <w:p>
            <w:pPr>
              <w:pStyle w:val="yTable"/>
              <w:tabs>
                <w:tab w:val="right" w:pos="1735"/>
              </w:tabs>
              <w:spacing w:before="40" w:after="40"/>
              <w:ind w:left="-11" w:firstLine="11"/>
            </w:pPr>
            <w:r>
              <w:t>61361</w:t>
            </w:r>
          </w:p>
        </w:tc>
        <w:tc>
          <w:tcPr>
            <w:tcW w:w="1276" w:type="dxa"/>
          </w:tcPr>
          <w:p>
            <w:pPr>
              <w:pStyle w:val="yTable"/>
              <w:tabs>
                <w:tab w:val="decimal" w:pos="425"/>
                <w:tab w:val="right" w:pos="1418"/>
              </w:tabs>
              <w:spacing w:before="40" w:after="40"/>
              <w:ind w:left="34" w:right="295"/>
              <w:jc w:val="right"/>
            </w:pPr>
            <w:r>
              <w:t>495.95</w:t>
            </w:r>
          </w:p>
        </w:tc>
      </w:tr>
      <w:tr>
        <w:tblPrEx>
          <w:tblCellMar>
            <w:left w:w="108" w:type="dxa"/>
            <w:right w:w="108" w:type="dxa"/>
          </w:tblCellMar>
        </w:tblPrEx>
        <w:tc>
          <w:tcPr>
            <w:tcW w:w="4820" w:type="dxa"/>
          </w:tcPr>
          <w:p>
            <w:pPr>
              <w:pStyle w:val="yTable"/>
              <w:tabs>
                <w:tab w:val="right" w:pos="1735"/>
              </w:tabs>
              <w:spacing w:before="40" w:after="40"/>
              <w:ind w:left="-11" w:firstLine="11"/>
            </w:pPr>
            <w:r>
              <w:t>61364</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61368</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61369</w:t>
            </w:r>
          </w:p>
        </w:tc>
        <w:tc>
          <w:tcPr>
            <w:tcW w:w="1276" w:type="dxa"/>
          </w:tcPr>
          <w:p>
            <w:pPr>
              <w:pStyle w:val="yTable"/>
              <w:tabs>
                <w:tab w:val="decimal" w:pos="425"/>
                <w:tab w:val="right" w:pos="1418"/>
              </w:tabs>
              <w:spacing w:before="40" w:after="40"/>
              <w:ind w:left="34" w:right="295" w:hanging="142"/>
              <w:jc w:val="right"/>
            </w:pPr>
            <w:r>
              <w:t>2 166.70</w:t>
            </w:r>
          </w:p>
        </w:tc>
      </w:tr>
      <w:tr>
        <w:tblPrEx>
          <w:tblCellMar>
            <w:left w:w="108" w:type="dxa"/>
            <w:right w:w="108" w:type="dxa"/>
          </w:tblCellMar>
        </w:tblPrEx>
        <w:tc>
          <w:tcPr>
            <w:tcW w:w="4820" w:type="dxa"/>
          </w:tcPr>
          <w:p>
            <w:pPr>
              <w:pStyle w:val="yTable"/>
              <w:tabs>
                <w:tab w:val="right" w:pos="1735"/>
              </w:tabs>
              <w:spacing w:before="40" w:after="40"/>
              <w:ind w:left="-11" w:firstLine="11"/>
            </w:pPr>
            <w:r>
              <w:t>61372</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61373</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61376</w:t>
            </w:r>
          </w:p>
        </w:tc>
        <w:tc>
          <w:tcPr>
            <w:tcW w:w="1276" w:type="dxa"/>
          </w:tcPr>
          <w:p>
            <w:pPr>
              <w:pStyle w:val="yTable"/>
              <w:tabs>
                <w:tab w:val="decimal" w:pos="425"/>
                <w:tab w:val="right" w:pos="1418"/>
              </w:tabs>
              <w:spacing w:before="40" w:after="40"/>
              <w:ind w:left="34" w:right="295"/>
              <w:jc w:val="right"/>
            </w:pPr>
            <w:r>
              <w:t>154.10</w:t>
            </w:r>
          </w:p>
        </w:tc>
      </w:tr>
      <w:tr>
        <w:tblPrEx>
          <w:tblCellMar>
            <w:left w:w="108" w:type="dxa"/>
            <w:right w:w="108" w:type="dxa"/>
          </w:tblCellMar>
        </w:tblPrEx>
        <w:tc>
          <w:tcPr>
            <w:tcW w:w="4820" w:type="dxa"/>
          </w:tcPr>
          <w:p>
            <w:pPr>
              <w:pStyle w:val="yTable"/>
              <w:tabs>
                <w:tab w:val="right" w:pos="1735"/>
              </w:tabs>
              <w:spacing w:before="40" w:after="40"/>
              <w:ind w:left="-11" w:firstLine="11"/>
            </w:pPr>
            <w:r>
              <w:t>61381</w:t>
            </w:r>
          </w:p>
        </w:tc>
        <w:tc>
          <w:tcPr>
            <w:tcW w:w="1276" w:type="dxa"/>
          </w:tcPr>
          <w:p>
            <w:pPr>
              <w:pStyle w:val="yTable"/>
              <w:tabs>
                <w:tab w:val="decimal" w:pos="425"/>
                <w:tab w:val="right" w:pos="1418"/>
              </w:tabs>
              <w:spacing w:before="40" w:after="40"/>
              <w:ind w:left="34" w:right="295"/>
              <w:jc w:val="right"/>
            </w:pPr>
            <w:r>
              <w:t>617.35</w:t>
            </w:r>
          </w:p>
        </w:tc>
      </w:tr>
      <w:tr>
        <w:tblPrEx>
          <w:tblCellMar>
            <w:left w:w="108" w:type="dxa"/>
            <w:right w:w="108" w:type="dxa"/>
          </w:tblCellMar>
        </w:tblPrEx>
        <w:tc>
          <w:tcPr>
            <w:tcW w:w="4820" w:type="dxa"/>
          </w:tcPr>
          <w:p>
            <w:pPr>
              <w:pStyle w:val="yTable"/>
              <w:tabs>
                <w:tab w:val="right" w:pos="1735"/>
              </w:tabs>
              <w:spacing w:before="40" w:after="40"/>
              <w:ind w:left="-11" w:firstLine="11"/>
            </w:pPr>
            <w:r>
              <w:t>61383</w:t>
            </w:r>
          </w:p>
        </w:tc>
        <w:tc>
          <w:tcPr>
            <w:tcW w:w="1276" w:type="dxa"/>
          </w:tcPr>
          <w:p>
            <w:pPr>
              <w:pStyle w:val="yTable"/>
              <w:tabs>
                <w:tab w:val="decimal" w:pos="425"/>
                <w:tab w:val="right" w:pos="1418"/>
              </w:tabs>
              <w:spacing w:before="40" w:after="40"/>
              <w:ind w:left="34" w:right="295"/>
              <w:jc w:val="right"/>
            </w:pPr>
            <w:r>
              <w:t>671.75</w:t>
            </w:r>
          </w:p>
        </w:tc>
      </w:tr>
      <w:tr>
        <w:tblPrEx>
          <w:tblCellMar>
            <w:left w:w="108" w:type="dxa"/>
            <w:right w:w="108" w:type="dxa"/>
          </w:tblCellMar>
        </w:tblPrEx>
        <w:tc>
          <w:tcPr>
            <w:tcW w:w="4820" w:type="dxa"/>
          </w:tcPr>
          <w:p>
            <w:pPr>
              <w:pStyle w:val="yTable"/>
              <w:tabs>
                <w:tab w:val="right" w:pos="1735"/>
              </w:tabs>
              <w:spacing w:before="40" w:after="40"/>
              <w:ind w:left="-11" w:firstLine="11"/>
            </w:pPr>
            <w:r>
              <w:t>61384</w:t>
            </w:r>
          </w:p>
        </w:tc>
        <w:tc>
          <w:tcPr>
            <w:tcW w:w="1276" w:type="dxa"/>
          </w:tcPr>
          <w:p>
            <w:pPr>
              <w:pStyle w:val="yTable"/>
              <w:tabs>
                <w:tab w:val="decimal" w:pos="425"/>
                <w:tab w:val="right" w:pos="1418"/>
              </w:tabs>
              <w:spacing w:before="40" w:after="40"/>
              <w:ind w:left="34" w:right="295"/>
              <w:jc w:val="right"/>
            </w:pPr>
            <w:r>
              <w:t>739.20</w:t>
            </w:r>
          </w:p>
        </w:tc>
      </w:tr>
      <w:tr>
        <w:tblPrEx>
          <w:tblCellMar>
            <w:left w:w="108" w:type="dxa"/>
            <w:right w:w="108" w:type="dxa"/>
          </w:tblCellMar>
        </w:tblPrEx>
        <w:tc>
          <w:tcPr>
            <w:tcW w:w="4820" w:type="dxa"/>
          </w:tcPr>
          <w:p>
            <w:pPr>
              <w:pStyle w:val="yTable"/>
              <w:tabs>
                <w:tab w:val="right" w:pos="1735"/>
              </w:tabs>
              <w:spacing w:before="40" w:after="40"/>
              <w:ind w:left="-11" w:firstLine="11"/>
            </w:pPr>
            <w:r>
              <w:t>61386</w:t>
            </w:r>
          </w:p>
        </w:tc>
        <w:tc>
          <w:tcPr>
            <w:tcW w:w="1276" w:type="dxa"/>
          </w:tcPr>
          <w:p>
            <w:pPr>
              <w:pStyle w:val="yTable"/>
              <w:tabs>
                <w:tab w:val="decimal" w:pos="425"/>
                <w:tab w:val="right" w:pos="1418"/>
              </w:tabs>
              <w:spacing w:before="40" w:after="40"/>
              <w:ind w:left="34" w:right="295"/>
              <w:jc w:val="right"/>
            </w:pPr>
            <w:r>
              <w:t>357.40</w:t>
            </w:r>
          </w:p>
        </w:tc>
      </w:tr>
      <w:tr>
        <w:tblPrEx>
          <w:tblCellMar>
            <w:left w:w="108" w:type="dxa"/>
            <w:right w:w="108" w:type="dxa"/>
          </w:tblCellMar>
        </w:tblPrEx>
        <w:tc>
          <w:tcPr>
            <w:tcW w:w="4820" w:type="dxa"/>
          </w:tcPr>
          <w:p>
            <w:pPr>
              <w:pStyle w:val="yTable"/>
              <w:tabs>
                <w:tab w:val="right" w:pos="1735"/>
              </w:tabs>
              <w:spacing w:before="40" w:after="40"/>
              <w:ind w:left="-11" w:firstLine="11"/>
            </w:pPr>
            <w:r>
              <w:t>61387</w:t>
            </w:r>
          </w:p>
        </w:tc>
        <w:tc>
          <w:tcPr>
            <w:tcW w:w="1276" w:type="dxa"/>
          </w:tcPr>
          <w:p>
            <w:pPr>
              <w:pStyle w:val="yTable"/>
              <w:tabs>
                <w:tab w:val="decimal" w:pos="425"/>
                <w:tab w:val="right" w:pos="1418"/>
              </w:tabs>
              <w:spacing w:before="40" w:after="40"/>
              <w:ind w:left="34" w:right="295"/>
              <w:jc w:val="right"/>
            </w:pPr>
            <w:r>
              <w:t>463.00</w:t>
            </w:r>
          </w:p>
        </w:tc>
      </w:tr>
      <w:tr>
        <w:tblPrEx>
          <w:tblCellMar>
            <w:left w:w="108" w:type="dxa"/>
            <w:right w:w="108" w:type="dxa"/>
          </w:tblCellMar>
        </w:tblPrEx>
        <w:tc>
          <w:tcPr>
            <w:tcW w:w="4820" w:type="dxa"/>
          </w:tcPr>
          <w:p>
            <w:pPr>
              <w:pStyle w:val="yTable"/>
              <w:tabs>
                <w:tab w:val="right" w:pos="1735"/>
              </w:tabs>
              <w:spacing w:before="40" w:after="40"/>
              <w:ind w:left="-11" w:firstLine="11"/>
            </w:pPr>
            <w:r>
              <w:t>61389</w:t>
            </w:r>
          </w:p>
        </w:tc>
        <w:tc>
          <w:tcPr>
            <w:tcW w:w="1276" w:type="dxa"/>
          </w:tcPr>
          <w:p>
            <w:pPr>
              <w:pStyle w:val="yTable"/>
              <w:tabs>
                <w:tab w:val="decimal" w:pos="425"/>
                <w:tab w:val="right" w:pos="1418"/>
              </w:tabs>
              <w:spacing w:before="40" w:after="40"/>
              <w:ind w:left="34" w:right="295"/>
              <w:jc w:val="right"/>
            </w:pPr>
            <w:r>
              <w:t>398.30</w:t>
            </w:r>
          </w:p>
        </w:tc>
      </w:tr>
      <w:tr>
        <w:tblPrEx>
          <w:tblCellMar>
            <w:left w:w="108" w:type="dxa"/>
            <w:right w:w="108" w:type="dxa"/>
          </w:tblCellMar>
        </w:tblPrEx>
        <w:tc>
          <w:tcPr>
            <w:tcW w:w="4820" w:type="dxa"/>
          </w:tcPr>
          <w:p>
            <w:pPr>
              <w:pStyle w:val="yTable"/>
              <w:tabs>
                <w:tab w:val="right" w:pos="1735"/>
              </w:tabs>
              <w:spacing w:before="40" w:after="40"/>
              <w:ind w:left="-11" w:firstLine="11"/>
            </w:pPr>
            <w:r>
              <w:t>61390</w:t>
            </w:r>
          </w:p>
        </w:tc>
        <w:tc>
          <w:tcPr>
            <w:tcW w:w="1276" w:type="dxa"/>
          </w:tcPr>
          <w:p>
            <w:pPr>
              <w:pStyle w:val="yTable"/>
              <w:tabs>
                <w:tab w:val="decimal" w:pos="425"/>
                <w:tab w:val="right" w:pos="1418"/>
              </w:tabs>
              <w:spacing w:before="40" w:after="40"/>
              <w:ind w:left="34" w:right="295"/>
              <w:jc w:val="right"/>
            </w:pPr>
            <w:r>
              <w:t>440.65</w:t>
            </w:r>
          </w:p>
        </w:tc>
      </w:tr>
      <w:tr>
        <w:tblPrEx>
          <w:tblCellMar>
            <w:left w:w="108" w:type="dxa"/>
            <w:right w:w="108" w:type="dxa"/>
          </w:tblCellMar>
        </w:tblPrEx>
        <w:tc>
          <w:tcPr>
            <w:tcW w:w="4820" w:type="dxa"/>
          </w:tcPr>
          <w:p>
            <w:pPr>
              <w:pStyle w:val="yTable"/>
              <w:tabs>
                <w:tab w:val="right" w:pos="1735"/>
              </w:tabs>
              <w:spacing w:before="40" w:after="40"/>
              <w:ind w:left="-11" w:firstLine="11"/>
            </w:pPr>
            <w:r>
              <w:t>61393</w:t>
            </w:r>
          </w:p>
        </w:tc>
        <w:tc>
          <w:tcPr>
            <w:tcW w:w="1276" w:type="dxa"/>
          </w:tcPr>
          <w:p>
            <w:pPr>
              <w:pStyle w:val="yTable"/>
              <w:tabs>
                <w:tab w:val="decimal" w:pos="425"/>
                <w:tab w:val="right" w:pos="1418"/>
              </w:tabs>
              <w:spacing w:before="40" w:after="40"/>
              <w:ind w:left="34" w:right="295"/>
              <w:jc w:val="right"/>
            </w:pPr>
            <w:r>
              <w:t>650.85</w:t>
            </w:r>
          </w:p>
        </w:tc>
      </w:tr>
      <w:tr>
        <w:tblPrEx>
          <w:tblCellMar>
            <w:left w:w="108" w:type="dxa"/>
            <w:right w:w="108" w:type="dxa"/>
          </w:tblCellMar>
        </w:tblPrEx>
        <w:tc>
          <w:tcPr>
            <w:tcW w:w="4820" w:type="dxa"/>
          </w:tcPr>
          <w:p>
            <w:pPr>
              <w:pStyle w:val="yTable"/>
              <w:tabs>
                <w:tab w:val="right" w:pos="1735"/>
              </w:tabs>
              <w:spacing w:before="40" w:after="40"/>
              <w:ind w:left="-11" w:firstLine="11"/>
            </w:pPr>
            <w:r>
              <w:t>61397</w:t>
            </w:r>
          </w:p>
        </w:tc>
        <w:tc>
          <w:tcPr>
            <w:tcW w:w="1276" w:type="dxa"/>
          </w:tcPr>
          <w:p>
            <w:pPr>
              <w:pStyle w:val="yTable"/>
              <w:tabs>
                <w:tab w:val="decimal" w:pos="425"/>
                <w:tab w:val="right" w:pos="1418"/>
              </w:tabs>
              <w:spacing w:before="40" w:after="40"/>
              <w:ind w:left="34" w:right="295"/>
              <w:jc w:val="right"/>
            </w:pPr>
            <w:r>
              <w:t>265.35</w:t>
            </w:r>
          </w:p>
        </w:tc>
      </w:tr>
      <w:tr>
        <w:tblPrEx>
          <w:tblCellMar>
            <w:left w:w="108" w:type="dxa"/>
            <w:right w:w="108" w:type="dxa"/>
          </w:tblCellMar>
        </w:tblPrEx>
        <w:tc>
          <w:tcPr>
            <w:tcW w:w="4820" w:type="dxa"/>
          </w:tcPr>
          <w:p>
            <w:pPr>
              <w:pStyle w:val="yTable"/>
              <w:tabs>
                <w:tab w:val="right" w:pos="1735"/>
              </w:tabs>
              <w:spacing w:before="40" w:after="40"/>
              <w:ind w:left="-11" w:firstLine="11"/>
            </w:pPr>
            <w:r>
              <w:t>61401</w:t>
            </w:r>
          </w:p>
        </w:tc>
        <w:tc>
          <w:tcPr>
            <w:tcW w:w="1276" w:type="dxa"/>
          </w:tcPr>
          <w:p>
            <w:pPr>
              <w:pStyle w:val="yTable"/>
              <w:tabs>
                <w:tab w:val="decimal" w:pos="425"/>
                <w:tab w:val="right" w:pos="1418"/>
              </w:tabs>
              <w:spacing w:before="40" w:after="40"/>
              <w:ind w:left="34" w:right="295"/>
              <w:jc w:val="right"/>
            </w:pPr>
            <w:r>
              <w:t>174.45</w:t>
            </w:r>
          </w:p>
        </w:tc>
      </w:tr>
      <w:tr>
        <w:tblPrEx>
          <w:tblCellMar>
            <w:left w:w="108" w:type="dxa"/>
            <w:right w:w="108" w:type="dxa"/>
          </w:tblCellMar>
        </w:tblPrEx>
        <w:tc>
          <w:tcPr>
            <w:tcW w:w="4820" w:type="dxa"/>
          </w:tcPr>
          <w:p>
            <w:pPr>
              <w:pStyle w:val="yTable"/>
              <w:tabs>
                <w:tab w:val="right" w:pos="1735"/>
              </w:tabs>
              <w:spacing w:before="40" w:after="40"/>
              <w:ind w:left="-11" w:firstLine="11"/>
            </w:pPr>
            <w:r>
              <w:t>61402</w:t>
            </w:r>
          </w:p>
        </w:tc>
        <w:tc>
          <w:tcPr>
            <w:tcW w:w="1276" w:type="dxa"/>
          </w:tcPr>
          <w:p>
            <w:pPr>
              <w:pStyle w:val="yTable"/>
              <w:tabs>
                <w:tab w:val="decimal" w:pos="425"/>
                <w:tab w:val="right" w:pos="1418"/>
              </w:tabs>
              <w:spacing w:before="40" w:after="40"/>
              <w:ind w:left="34" w:right="295"/>
              <w:jc w:val="right"/>
            </w:pPr>
            <w:r>
              <w:t>650.40</w:t>
            </w:r>
          </w:p>
        </w:tc>
      </w:tr>
      <w:tr>
        <w:tblPrEx>
          <w:tblCellMar>
            <w:left w:w="108" w:type="dxa"/>
            <w:right w:w="108" w:type="dxa"/>
          </w:tblCellMar>
        </w:tblPrEx>
        <w:tc>
          <w:tcPr>
            <w:tcW w:w="4820" w:type="dxa"/>
          </w:tcPr>
          <w:p>
            <w:pPr>
              <w:pStyle w:val="yTable"/>
              <w:tabs>
                <w:tab w:val="right" w:pos="1735"/>
              </w:tabs>
              <w:spacing w:before="40" w:after="40"/>
              <w:ind w:left="-11" w:firstLine="11"/>
            </w:pPr>
            <w:r>
              <w:t>61405</w:t>
            </w:r>
          </w:p>
        </w:tc>
        <w:tc>
          <w:tcPr>
            <w:tcW w:w="1276" w:type="dxa"/>
          </w:tcPr>
          <w:p>
            <w:pPr>
              <w:pStyle w:val="yTable"/>
              <w:tabs>
                <w:tab w:val="decimal" w:pos="425"/>
                <w:tab w:val="right" w:pos="1418"/>
              </w:tabs>
              <w:spacing w:before="40" w:after="40"/>
              <w:ind w:left="34" w:right="295"/>
              <w:jc w:val="right"/>
            </w:pPr>
            <w:r>
              <w:t>371.90</w:t>
            </w:r>
          </w:p>
        </w:tc>
      </w:tr>
      <w:tr>
        <w:tblPrEx>
          <w:tblCellMar>
            <w:left w:w="108" w:type="dxa"/>
            <w:right w:w="108" w:type="dxa"/>
          </w:tblCellMar>
        </w:tblPrEx>
        <w:tc>
          <w:tcPr>
            <w:tcW w:w="4820" w:type="dxa"/>
          </w:tcPr>
          <w:p>
            <w:pPr>
              <w:pStyle w:val="yTable"/>
              <w:tabs>
                <w:tab w:val="right" w:pos="1735"/>
              </w:tabs>
              <w:spacing w:before="40" w:after="40"/>
              <w:ind w:left="-11" w:firstLine="11"/>
            </w:pPr>
            <w:r>
              <w:t>61409</w:t>
            </w:r>
          </w:p>
        </w:tc>
        <w:tc>
          <w:tcPr>
            <w:tcW w:w="1276" w:type="dxa"/>
          </w:tcPr>
          <w:p>
            <w:pPr>
              <w:pStyle w:val="yTable"/>
              <w:tabs>
                <w:tab w:val="decimal" w:pos="425"/>
                <w:tab w:val="right" w:pos="1418"/>
              </w:tabs>
              <w:spacing w:before="40" w:after="40"/>
              <w:ind w:left="34" w:right="295"/>
              <w:jc w:val="right"/>
            </w:pPr>
            <w:r>
              <w:t>938.90</w:t>
            </w:r>
          </w:p>
        </w:tc>
      </w:tr>
      <w:tr>
        <w:tblPrEx>
          <w:tblCellMar>
            <w:left w:w="108" w:type="dxa"/>
            <w:right w:w="108" w:type="dxa"/>
          </w:tblCellMar>
        </w:tblPrEx>
        <w:tc>
          <w:tcPr>
            <w:tcW w:w="4820" w:type="dxa"/>
          </w:tcPr>
          <w:p>
            <w:pPr>
              <w:pStyle w:val="yTable"/>
              <w:tabs>
                <w:tab w:val="right" w:pos="1735"/>
              </w:tabs>
              <w:spacing w:before="40" w:after="40"/>
              <w:ind w:left="-11" w:firstLine="11"/>
            </w:pPr>
            <w:r>
              <w:t>61413</w:t>
            </w:r>
          </w:p>
        </w:tc>
        <w:tc>
          <w:tcPr>
            <w:tcW w:w="1276" w:type="dxa"/>
          </w:tcPr>
          <w:p>
            <w:pPr>
              <w:pStyle w:val="yTable"/>
              <w:tabs>
                <w:tab w:val="decimal" w:pos="425"/>
                <w:tab w:val="right" w:pos="1418"/>
              </w:tabs>
              <w:spacing w:before="40" w:after="40"/>
              <w:ind w:left="34" w:right="295"/>
              <w:jc w:val="right"/>
            </w:pPr>
            <w:r>
              <w:t>242.85</w:t>
            </w:r>
          </w:p>
        </w:tc>
      </w:tr>
      <w:tr>
        <w:tblPrEx>
          <w:tblCellMar>
            <w:left w:w="108" w:type="dxa"/>
            <w:right w:w="108" w:type="dxa"/>
          </w:tblCellMar>
        </w:tblPrEx>
        <w:tc>
          <w:tcPr>
            <w:tcW w:w="4820" w:type="dxa"/>
          </w:tcPr>
          <w:p>
            <w:pPr>
              <w:pStyle w:val="yTable"/>
              <w:tabs>
                <w:tab w:val="right" w:pos="1735"/>
              </w:tabs>
              <w:spacing w:before="40" w:after="40"/>
              <w:ind w:left="-11" w:firstLine="11"/>
            </w:pPr>
            <w:r>
              <w:t>61417</w:t>
            </w:r>
          </w:p>
        </w:tc>
        <w:tc>
          <w:tcPr>
            <w:tcW w:w="1276" w:type="dxa"/>
          </w:tcPr>
          <w:p>
            <w:pPr>
              <w:pStyle w:val="yTable"/>
              <w:tabs>
                <w:tab w:val="decimal" w:pos="425"/>
                <w:tab w:val="right" w:pos="1418"/>
              </w:tabs>
              <w:spacing w:before="40" w:after="40"/>
              <w:ind w:left="34" w:right="295"/>
              <w:jc w:val="right"/>
            </w:pPr>
            <w:r>
              <w:t>127.75</w:t>
            </w:r>
          </w:p>
        </w:tc>
      </w:tr>
      <w:tr>
        <w:tblPrEx>
          <w:tblCellMar>
            <w:left w:w="108" w:type="dxa"/>
            <w:right w:w="108" w:type="dxa"/>
          </w:tblCellMar>
        </w:tblPrEx>
        <w:tc>
          <w:tcPr>
            <w:tcW w:w="4820" w:type="dxa"/>
          </w:tcPr>
          <w:p>
            <w:pPr>
              <w:pStyle w:val="yTable"/>
              <w:tabs>
                <w:tab w:val="right" w:pos="1735"/>
              </w:tabs>
              <w:spacing w:before="40" w:after="40"/>
              <w:ind w:left="-11" w:firstLine="11"/>
            </w:pPr>
            <w:r>
              <w:t>61421</w:t>
            </w:r>
          </w:p>
        </w:tc>
        <w:tc>
          <w:tcPr>
            <w:tcW w:w="1276" w:type="dxa"/>
          </w:tcPr>
          <w:p>
            <w:pPr>
              <w:pStyle w:val="yTable"/>
              <w:tabs>
                <w:tab w:val="decimal" w:pos="425"/>
                <w:tab w:val="right" w:pos="1418"/>
              </w:tabs>
              <w:spacing w:before="40" w:after="40"/>
              <w:ind w:left="34" w:right="295"/>
              <w:jc w:val="right"/>
            </w:pPr>
            <w:r>
              <w:t>515.75</w:t>
            </w:r>
          </w:p>
        </w:tc>
      </w:tr>
      <w:tr>
        <w:tblPrEx>
          <w:tblCellMar>
            <w:left w:w="108" w:type="dxa"/>
            <w:right w:w="108" w:type="dxa"/>
          </w:tblCellMar>
        </w:tblPrEx>
        <w:tc>
          <w:tcPr>
            <w:tcW w:w="4820" w:type="dxa"/>
          </w:tcPr>
          <w:p>
            <w:pPr>
              <w:pStyle w:val="yTable"/>
              <w:tabs>
                <w:tab w:val="right" w:pos="1735"/>
              </w:tabs>
              <w:spacing w:before="40" w:after="40"/>
              <w:ind w:left="-11" w:firstLine="11"/>
            </w:pPr>
            <w:r>
              <w:t>61425</w:t>
            </w:r>
          </w:p>
        </w:tc>
        <w:tc>
          <w:tcPr>
            <w:tcW w:w="1276" w:type="dxa"/>
          </w:tcPr>
          <w:p>
            <w:pPr>
              <w:pStyle w:val="yTable"/>
              <w:tabs>
                <w:tab w:val="decimal" w:pos="425"/>
                <w:tab w:val="right" w:pos="1418"/>
              </w:tabs>
              <w:spacing w:before="40" w:after="40"/>
              <w:ind w:left="34" w:right="295"/>
              <w:jc w:val="right"/>
            </w:pPr>
            <w:r>
              <w:t>645.70</w:t>
            </w:r>
          </w:p>
        </w:tc>
      </w:tr>
      <w:tr>
        <w:tblPrEx>
          <w:tblCellMar>
            <w:left w:w="108" w:type="dxa"/>
            <w:right w:w="108" w:type="dxa"/>
          </w:tblCellMar>
        </w:tblPrEx>
        <w:tc>
          <w:tcPr>
            <w:tcW w:w="4820" w:type="dxa"/>
          </w:tcPr>
          <w:p>
            <w:pPr>
              <w:pStyle w:val="yTable"/>
              <w:tabs>
                <w:tab w:val="right" w:pos="1735"/>
              </w:tabs>
              <w:spacing w:before="40" w:after="40"/>
              <w:ind w:left="-11" w:firstLine="11"/>
            </w:pPr>
            <w:r>
              <w:t>61426</w:t>
            </w:r>
          </w:p>
        </w:tc>
        <w:tc>
          <w:tcPr>
            <w:tcW w:w="1276" w:type="dxa"/>
          </w:tcPr>
          <w:p>
            <w:pPr>
              <w:pStyle w:val="yTable"/>
              <w:tabs>
                <w:tab w:val="decimal" w:pos="425"/>
                <w:tab w:val="right" w:pos="1418"/>
              </w:tabs>
              <w:spacing w:before="40" w:after="40"/>
              <w:ind w:left="34" w:right="295"/>
              <w:jc w:val="right"/>
            </w:pPr>
            <w:r>
              <w:t>596.35</w:t>
            </w:r>
          </w:p>
        </w:tc>
      </w:tr>
      <w:tr>
        <w:tblPrEx>
          <w:tblCellMar>
            <w:left w:w="108" w:type="dxa"/>
            <w:right w:w="108" w:type="dxa"/>
          </w:tblCellMar>
        </w:tblPrEx>
        <w:tc>
          <w:tcPr>
            <w:tcW w:w="4820" w:type="dxa"/>
          </w:tcPr>
          <w:p>
            <w:pPr>
              <w:pStyle w:val="yTable"/>
              <w:tabs>
                <w:tab w:val="right" w:pos="1735"/>
              </w:tabs>
              <w:spacing w:before="40" w:after="40"/>
              <w:ind w:left="-11" w:firstLine="11"/>
            </w:pPr>
            <w:r>
              <w:t>61429</w:t>
            </w:r>
          </w:p>
        </w:tc>
        <w:tc>
          <w:tcPr>
            <w:tcW w:w="1276" w:type="dxa"/>
          </w:tcPr>
          <w:p>
            <w:pPr>
              <w:pStyle w:val="yTable"/>
              <w:tabs>
                <w:tab w:val="decimal" w:pos="425"/>
                <w:tab w:val="right" w:pos="1418"/>
              </w:tabs>
              <w:spacing w:before="40" w:after="40"/>
              <w:ind w:left="34" w:right="295"/>
              <w:jc w:val="right"/>
            </w:pPr>
            <w:r>
              <w:t>583.65</w:t>
            </w:r>
          </w:p>
        </w:tc>
      </w:tr>
      <w:tr>
        <w:tblPrEx>
          <w:tblCellMar>
            <w:left w:w="108" w:type="dxa"/>
            <w:right w:w="108" w:type="dxa"/>
          </w:tblCellMar>
        </w:tblPrEx>
        <w:tc>
          <w:tcPr>
            <w:tcW w:w="4820" w:type="dxa"/>
          </w:tcPr>
          <w:p>
            <w:pPr>
              <w:pStyle w:val="yTable"/>
              <w:tabs>
                <w:tab w:val="right" w:pos="1735"/>
              </w:tabs>
              <w:spacing w:before="40" w:after="40"/>
              <w:ind w:left="-11" w:firstLine="11"/>
            </w:pPr>
            <w:r>
              <w:t>61430</w:t>
            </w:r>
          </w:p>
        </w:tc>
        <w:tc>
          <w:tcPr>
            <w:tcW w:w="1276" w:type="dxa"/>
          </w:tcPr>
          <w:p>
            <w:pPr>
              <w:pStyle w:val="yTable"/>
              <w:tabs>
                <w:tab w:val="decimal" w:pos="425"/>
                <w:tab w:val="right" w:pos="1418"/>
              </w:tabs>
              <w:spacing w:before="40" w:after="40"/>
              <w:ind w:left="34" w:right="295"/>
              <w:jc w:val="right"/>
            </w:pPr>
            <w:r>
              <w:t>708.80</w:t>
            </w:r>
          </w:p>
        </w:tc>
      </w:tr>
      <w:tr>
        <w:tblPrEx>
          <w:tblCellMar>
            <w:left w:w="108" w:type="dxa"/>
            <w:right w:w="108" w:type="dxa"/>
          </w:tblCellMar>
        </w:tblPrEx>
        <w:tc>
          <w:tcPr>
            <w:tcW w:w="4820" w:type="dxa"/>
          </w:tcPr>
          <w:p>
            <w:pPr>
              <w:pStyle w:val="yTable"/>
              <w:tabs>
                <w:tab w:val="right" w:pos="1735"/>
              </w:tabs>
              <w:spacing w:before="40" w:after="40"/>
              <w:ind w:left="-11" w:firstLine="11"/>
            </w:pPr>
            <w:r>
              <w:t>61433</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61434</w:t>
            </w:r>
          </w:p>
        </w:tc>
        <w:tc>
          <w:tcPr>
            <w:tcW w:w="1276" w:type="dxa"/>
          </w:tcPr>
          <w:p>
            <w:pPr>
              <w:pStyle w:val="yTable"/>
              <w:tabs>
                <w:tab w:val="decimal" w:pos="425"/>
                <w:tab w:val="right" w:pos="1418"/>
              </w:tabs>
              <w:spacing w:before="40" w:after="40"/>
              <w:ind w:left="34" w:right="295"/>
              <w:jc w:val="right"/>
            </w:pPr>
            <w:r>
              <w:t>661.50</w:t>
            </w:r>
          </w:p>
        </w:tc>
      </w:tr>
      <w:tr>
        <w:tblPrEx>
          <w:tblCellMar>
            <w:left w:w="108" w:type="dxa"/>
            <w:right w:w="108" w:type="dxa"/>
          </w:tblCellMar>
        </w:tblPrEx>
        <w:tc>
          <w:tcPr>
            <w:tcW w:w="4820" w:type="dxa"/>
          </w:tcPr>
          <w:p>
            <w:pPr>
              <w:pStyle w:val="yTable"/>
              <w:tabs>
                <w:tab w:val="right" w:pos="1735"/>
              </w:tabs>
              <w:spacing w:before="40" w:after="40"/>
              <w:ind w:left="-11" w:firstLine="11"/>
            </w:pPr>
            <w:r>
              <w:t>61437</w:t>
            </w:r>
          </w:p>
        </w:tc>
        <w:tc>
          <w:tcPr>
            <w:tcW w:w="1276" w:type="dxa"/>
          </w:tcPr>
          <w:p>
            <w:pPr>
              <w:pStyle w:val="yTable"/>
              <w:tabs>
                <w:tab w:val="decimal" w:pos="425"/>
                <w:tab w:val="right" w:pos="1418"/>
              </w:tabs>
              <w:spacing w:before="40" w:after="40"/>
              <w:ind w:left="34" w:right="295"/>
              <w:jc w:val="right"/>
            </w:pPr>
            <w:r>
              <w:t>583.45</w:t>
            </w:r>
          </w:p>
        </w:tc>
      </w:tr>
      <w:tr>
        <w:tblPrEx>
          <w:tblCellMar>
            <w:left w:w="108" w:type="dxa"/>
            <w:right w:w="108" w:type="dxa"/>
          </w:tblCellMar>
        </w:tblPrEx>
        <w:tc>
          <w:tcPr>
            <w:tcW w:w="4820" w:type="dxa"/>
          </w:tcPr>
          <w:p>
            <w:pPr>
              <w:pStyle w:val="yTable"/>
              <w:tabs>
                <w:tab w:val="right" w:pos="1735"/>
              </w:tabs>
              <w:spacing w:before="40" w:after="40"/>
              <w:ind w:left="-11" w:firstLine="11"/>
            </w:pPr>
            <w:r>
              <w:t>61438</w:t>
            </w:r>
          </w:p>
        </w:tc>
        <w:tc>
          <w:tcPr>
            <w:tcW w:w="1276" w:type="dxa"/>
          </w:tcPr>
          <w:p>
            <w:pPr>
              <w:pStyle w:val="yTable"/>
              <w:tabs>
                <w:tab w:val="decimal" w:pos="425"/>
                <w:tab w:val="right" w:pos="1418"/>
              </w:tabs>
              <w:spacing w:before="40" w:after="40"/>
              <w:ind w:left="34" w:right="295"/>
              <w:jc w:val="right"/>
            </w:pPr>
            <w:r>
              <w:t>723.40</w:t>
            </w:r>
          </w:p>
        </w:tc>
      </w:tr>
      <w:tr>
        <w:tblPrEx>
          <w:tblCellMar>
            <w:left w:w="108" w:type="dxa"/>
            <w:right w:w="108" w:type="dxa"/>
          </w:tblCellMar>
        </w:tblPrEx>
        <w:tc>
          <w:tcPr>
            <w:tcW w:w="4820" w:type="dxa"/>
          </w:tcPr>
          <w:p>
            <w:pPr>
              <w:pStyle w:val="yTable"/>
              <w:tabs>
                <w:tab w:val="right" w:pos="1735"/>
              </w:tabs>
              <w:spacing w:before="40" w:after="40"/>
              <w:ind w:left="-11" w:firstLine="11"/>
            </w:pPr>
            <w:r>
              <w:t>61441</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61442</w:t>
            </w:r>
          </w:p>
        </w:tc>
        <w:tc>
          <w:tcPr>
            <w:tcW w:w="1276" w:type="dxa"/>
          </w:tcPr>
          <w:p>
            <w:pPr>
              <w:pStyle w:val="yTable"/>
              <w:tabs>
                <w:tab w:val="decimal" w:pos="425"/>
                <w:tab w:val="right" w:pos="1418"/>
              </w:tabs>
              <w:spacing w:before="40" w:after="40"/>
              <w:ind w:left="34" w:right="295"/>
              <w:jc w:val="right"/>
            </w:pPr>
            <w:r>
              <w:t>808.70</w:t>
            </w:r>
          </w:p>
        </w:tc>
      </w:tr>
      <w:tr>
        <w:tblPrEx>
          <w:tblCellMar>
            <w:left w:w="108" w:type="dxa"/>
            <w:right w:w="108" w:type="dxa"/>
          </w:tblCellMar>
        </w:tblPrEx>
        <w:tc>
          <w:tcPr>
            <w:tcW w:w="4820" w:type="dxa"/>
          </w:tcPr>
          <w:p>
            <w:pPr>
              <w:pStyle w:val="yTable"/>
              <w:tabs>
                <w:tab w:val="right" w:pos="1735"/>
              </w:tabs>
              <w:spacing w:before="40" w:after="40"/>
              <w:ind w:left="-11" w:firstLine="11"/>
            </w:pPr>
            <w:r>
              <w:t>61445</w:t>
            </w:r>
          </w:p>
        </w:tc>
        <w:tc>
          <w:tcPr>
            <w:tcW w:w="1276" w:type="dxa"/>
          </w:tcPr>
          <w:p>
            <w:pPr>
              <w:pStyle w:val="yTable"/>
              <w:tabs>
                <w:tab w:val="decimal" w:pos="425"/>
                <w:tab w:val="right" w:pos="1418"/>
              </w:tabs>
              <w:spacing w:before="40" w:after="40"/>
              <w:ind w:left="34" w:right="295"/>
              <w:jc w:val="right"/>
            </w:pPr>
            <w:r>
              <w:t>308.25</w:t>
            </w:r>
          </w:p>
        </w:tc>
      </w:tr>
      <w:tr>
        <w:tblPrEx>
          <w:tblCellMar>
            <w:left w:w="108" w:type="dxa"/>
            <w:right w:w="108" w:type="dxa"/>
          </w:tblCellMar>
        </w:tblPrEx>
        <w:tc>
          <w:tcPr>
            <w:tcW w:w="4820" w:type="dxa"/>
          </w:tcPr>
          <w:p>
            <w:pPr>
              <w:pStyle w:val="yTable"/>
              <w:tabs>
                <w:tab w:val="right" w:pos="1735"/>
              </w:tabs>
              <w:spacing w:before="40" w:after="40"/>
              <w:ind w:left="-11" w:firstLine="11"/>
            </w:pPr>
            <w:r>
              <w:t>61446</w:t>
            </w:r>
          </w:p>
        </w:tc>
        <w:tc>
          <w:tcPr>
            <w:tcW w:w="1276" w:type="dxa"/>
          </w:tcPr>
          <w:p>
            <w:pPr>
              <w:pStyle w:val="yTable"/>
              <w:tabs>
                <w:tab w:val="decimal" w:pos="425"/>
                <w:tab w:val="right" w:pos="1418"/>
              </w:tabs>
              <w:spacing w:before="40" w:after="40"/>
              <w:ind w:left="34" w:right="295"/>
              <w:jc w:val="right"/>
            </w:pPr>
            <w:r>
              <w:t>358.55</w:t>
            </w:r>
          </w:p>
        </w:tc>
      </w:tr>
      <w:tr>
        <w:tblPrEx>
          <w:tblCellMar>
            <w:left w:w="108" w:type="dxa"/>
            <w:right w:w="108" w:type="dxa"/>
          </w:tblCellMar>
        </w:tblPrEx>
        <w:tc>
          <w:tcPr>
            <w:tcW w:w="4820" w:type="dxa"/>
          </w:tcPr>
          <w:p>
            <w:pPr>
              <w:pStyle w:val="yTable"/>
              <w:tabs>
                <w:tab w:val="right" w:pos="1735"/>
              </w:tabs>
              <w:spacing w:before="40" w:after="40"/>
              <w:ind w:left="-11" w:firstLine="11"/>
            </w:pPr>
            <w:r>
              <w:t>61449</w:t>
            </w:r>
          </w:p>
        </w:tc>
        <w:tc>
          <w:tcPr>
            <w:tcW w:w="1276" w:type="dxa"/>
          </w:tcPr>
          <w:p>
            <w:pPr>
              <w:pStyle w:val="yTable"/>
              <w:tabs>
                <w:tab w:val="decimal" w:pos="425"/>
                <w:tab w:val="right" w:pos="1418"/>
              </w:tabs>
              <w:spacing w:before="40" w:after="40"/>
              <w:ind w:left="34" w:right="295"/>
              <w:jc w:val="right"/>
            </w:pPr>
            <w:r>
              <w:t>490.35</w:t>
            </w:r>
          </w:p>
        </w:tc>
      </w:tr>
      <w:tr>
        <w:tblPrEx>
          <w:tblCellMar>
            <w:left w:w="108" w:type="dxa"/>
            <w:right w:w="108" w:type="dxa"/>
          </w:tblCellMar>
        </w:tblPrEx>
        <w:tc>
          <w:tcPr>
            <w:tcW w:w="4820" w:type="dxa"/>
          </w:tcPr>
          <w:p>
            <w:pPr>
              <w:pStyle w:val="yTable"/>
              <w:tabs>
                <w:tab w:val="right" w:pos="1735"/>
              </w:tabs>
              <w:spacing w:before="40" w:after="40"/>
              <w:ind w:left="-11" w:firstLine="11"/>
            </w:pPr>
            <w:r>
              <w:t>61450</w:t>
            </w:r>
          </w:p>
        </w:tc>
        <w:tc>
          <w:tcPr>
            <w:tcW w:w="1276" w:type="dxa"/>
          </w:tcPr>
          <w:p>
            <w:pPr>
              <w:pStyle w:val="yTable"/>
              <w:tabs>
                <w:tab w:val="decimal" w:pos="425"/>
                <w:tab w:val="right" w:pos="1418"/>
              </w:tabs>
              <w:spacing w:before="40" w:after="40"/>
              <w:ind w:left="34" w:right="295"/>
              <w:jc w:val="right"/>
            </w:pPr>
            <w:r>
              <w:t>427.30</w:t>
            </w:r>
          </w:p>
        </w:tc>
      </w:tr>
      <w:tr>
        <w:tblPrEx>
          <w:tblCellMar>
            <w:left w:w="108" w:type="dxa"/>
            <w:right w:w="108" w:type="dxa"/>
          </w:tblCellMar>
        </w:tblPrEx>
        <w:tc>
          <w:tcPr>
            <w:tcW w:w="4820" w:type="dxa"/>
          </w:tcPr>
          <w:p>
            <w:pPr>
              <w:pStyle w:val="yTable"/>
              <w:tabs>
                <w:tab w:val="right" w:pos="1735"/>
              </w:tabs>
              <w:spacing w:before="40" w:after="40"/>
              <w:ind w:left="-11" w:firstLine="11"/>
            </w:pPr>
            <w:r>
              <w:t>61453</w:t>
            </w:r>
          </w:p>
        </w:tc>
        <w:tc>
          <w:tcPr>
            <w:tcW w:w="1276" w:type="dxa"/>
          </w:tcPr>
          <w:p>
            <w:pPr>
              <w:pStyle w:val="yTable"/>
              <w:tabs>
                <w:tab w:val="decimal" w:pos="425"/>
                <w:tab w:val="right" w:pos="1418"/>
              </w:tabs>
              <w:spacing w:before="40" w:after="40"/>
              <w:ind w:left="34" w:right="295"/>
              <w:jc w:val="right"/>
            </w:pPr>
            <w:r>
              <w:t>553.25</w:t>
            </w:r>
          </w:p>
        </w:tc>
      </w:tr>
      <w:tr>
        <w:tblPrEx>
          <w:tblCellMar>
            <w:left w:w="108" w:type="dxa"/>
            <w:right w:w="108" w:type="dxa"/>
          </w:tblCellMar>
        </w:tblPrEx>
        <w:tc>
          <w:tcPr>
            <w:tcW w:w="4820" w:type="dxa"/>
          </w:tcPr>
          <w:p>
            <w:pPr>
              <w:pStyle w:val="yTable"/>
              <w:tabs>
                <w:tab w:val="right" w:pos="1735"/>
              </w:tabs>
              <w:spacing w:before="40" w:after="40"/>
              <w:ind w:left="-11" w:firstLine="11"/>
            </w:pPr>
            <w:r>
              <w:t>61454</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61457</w:t>
            </w:r>
          </w:p>
        </w:tc>
        <w:tc>
          <w:tcPr>
            <w:tcW w:w="1276" w:type="dxa"/>
          </w:tcPr>
          <w:p>
            <w:pPr>
              <w:pStyle w:val="yTable"/>
              <w:tabs>
                <w:tab w:val="decimal" w:pos="425"/>
                <w:tab w:val="right" w:pos="1418"/>
              </w:tabs>
              <w:spacing w:before="40" w:after="40"/>
              <w:ind w:left="34" w:right="295"/>
              <w:jc w:val="right"/>
            </w:pPr>
            <w:r>
              <w:t>505.65</w:t>
            </w:r>
          </w:p>
        </w:tc>
      </w:tr>
      <w:tr>
        <w:tblPrEx>
          <w:tblCellMar>
            <w:left w:w="108" w:type="dxa"/>
            <w:right w:w="108" w:type="dxa"/>
          </w:tblCellMar>
        </w:tblPrEx>
        <w:tc>
          <w:tcPr>
            <w:tcW w:w="4820" w:type="dxa"/>
          </w:tcPr>
          <w:p>
            <w:pPr>
              <w:pStyle w:val="yTable"/>
              <w:tabs>
                <w:tab w:val="right" w:pos="1735"/>
              </w:tabs>
              <w:spacing w:before="40" w:after="40"/>
              <w:ind w:left="-11" w:firstLine="11"/>
            </w:pPr>
            <w:r>
              <w:t>61458</w:t>
            </w:r>
          </w:p>
        </w:tc>
        <w:tc>
          <w:tcPr>
            <w:tcW w:w="1276" w:type="dxa"/>
          </w:tcPr>
          <w:p>
            <w:pPr>
              <w:pStyle w:val="yTable"/>
              <w:tabs>
                <w:tab w:val="decimal" w:pos="425"/>
                <w:tab w:val="right" w:pos="1418"/>
              </w:tabs>
              <w:spacing w:before="40" w:after="40"/>
              <w:ind w:left="34" w:right="295"/>
              <w:jc w:val="right"/>
            </w:pPr>
            <w:r>
              <w:t>426.65</w:t>
            </w:r>
          </w:p>
        </w:tc>
      </w:tr>
      <w:tr>
        <w:tblPrEx>
          <w:tblCellMar>
            <w:left w:w="108" w:type="dxa"/>
            <w:right w:w="108" w:type="dxa"/>
          </w:tblCellMar>
        </w:tblPrEx>
        <w:tc>
          <w:tcPr>
            <w:tcW w:w="4820" w:type="dxa"/>
          </w:tcPr>
          <w:p>
            <w:pPr>
              <w:pStyle w:val="yTable"/>
              <w:tabs>
                <w:tab w:val="right" w:pos="1735"/>
              </w:tabs>
              <w:spacing w:before="40" w:after="40"/>
              <w:ind w:left="-11" w:firstLine="11"/>
            </w:pPr>
            <w:r>
              <w:t>61461</w:t>
            </w:r>
          </w:p>
        </w:tc>
        <w:tc>
          <w:tcPr>
            <w:tcW w:w="1276" w:type="dxa"/>
          </w:tcPr>
          <w:p>
            <w:pPr>
              <w:pStyle w:val="yTable"/>
              <w:tabs>
                <w:tab w:val="decimal" w:pos="425"/>
                <w:tab w:val="right" w:pos="1418"/>
              </w:tabs>
              <w:spacing w:before="40" w:after="40"/>
              <w:ind w:left="34" w:right="295"/>
              <w:jc w:val="right"/>
            </w:pPr>
            <w:r>
              <w:t>567.35</w:t>
            </w:r>
          </w:p>
        </w:tc>
      </w:tr>
      <w:tr>
        <w:tblPrEx>
          <w:tblCellMar>
            <w:left w:w="108" w:type="dxa"/>
            <w:right w:w="108" w:type="dxa"/>
          </w:tblCellMar>
        </w:tblPrEx>
        <w:tc>
          <w:tcPr>
            <w:tcW w:w="4820" w:type="dxa"/>
          </w:tcPr>
          <w:p>
            <w:pPr>
              <w:pStyle w:val="yTable"/>
              <w:tabs>
                <w:tab w:val="right" w:pos="1735"/>
              </w:tabs>
              <w:spacing w:before="40" w:after="40"/>
              <w:ind w:left="-11" w:firstLine="11"/>
            </w:pPr>
            <w:r>
              <w:t>61462</w:t>
            </w:r>
          </w:p>
        </w:tc>
        <w:tc>
          <w:tcPr>
            <w:tcW w:w="1276" w:type="dxa"/>
          </w:tcPr>
          <w:p>
            <w:pPr>
              <w:pStyle w:val="yTable"/>
              <w:tabs>
                <w:tab w:val="decimal" w:pos="425"/>
                <w:tab w:val="right" w:pos="1418"/>
              </w:tabs>
              <w:spacing w:before="40" w:after="40"/>
              <w:ind w:left="34" w:right="295"/>
              <w:jc w:val="right"/>
            </w:pPr>
            <w:r>
              <w:t>140.05</w:t>
            </w:r>
          </w:p>
        </w:tc>
      </w:tr>
      <w:tr>
        <w:tblPrEx>
          <w:tblCellMar>
            <w:left w:w="108" w:type="dxa"/>
            <w:right w:w="108" w:type="dxa"/>
          </w:tblCellMar>
        </w:tblPrEx>
        <w:tc>
          <w:tcPr>
            <w:tcW w:w="4820" w:type="dxa"/>
          </w:tcPr>
          <w:p>
            <w:pPr>
              <w:pStyle w:val="yTable"/>
              <w:tabs>
                <w:tab w:val="right" w:pos="1735"/>
              </w:tabs>
              <w:spacing w:before="40" w:after="40"/>
              <w:ind w:left="-11" w:firstLine="11"/>
            </w:pPr>
            <w:r>
              <w:t>61465</w:t>
            </w:r>
          </w:p>
        </w:tc>
        <w:tc>
          <w:tcPr>
            <w:tcW w:w="1276" w:type="dxa"/>
          </w:tcPr>
          <w:p>
            <w:pPr>
              <w:pStyle w:val="yTable"/>
              <w:tabs>
                <w:tab w:val="decimal" w:pos="425"/>
                <w:tab w:val="right" w:pos="1418"/>
              </w:tabs>
              <w:spacing w:before="40" w:after="40"/>
              <w:ind w:left="34" w:right="295"/>
              <w:jc w:val="right"/>
            </w:pPr>
            <w:r>
              <w:t>285.35</w:t>
            </w:r>
          </w:p>
        </w:tc>
      </w:tr>
      <w:tr>
        <w:tblPrEx>
          <w:tblCellMar>
            <w:left w:w="108" w:type="dxa"/>
            <w:right w:w="108" w:type="dxa"/>
          </w:tblCellMar>
        </w:tblPrEx>
        <w:tc>
          <w:tcPr>
            <w:tcW w:w="4820" w:type="dxa"/>
          </w:tcPr>
          <w:p>
            <w:pPr>
              <w:pStyle w:val="yTable"/>
              <w:tabs>
                <w:tab w:val="right" w:pos="1735"/>
              </w:tabs>
              <w:spacing w:before="40" w:after="40"/>
              <w:ind w:left="-11" w:firstLine="11"/>
            </w:pPr>
            <w:r>
              <w:t>61469</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61473</w:t>
            </w:r>
          </w:p>
        </w:tc>
        <w:tc>
          <w:tcPr>
            <w:tcW w:w="1276" w:type="dxa"/>
          </w:tcPr>
          <w:p>
            <w:pPr>
              <w:pStyle w:val="yTable"/>
              <w:tabs>
                <w:tab w:val="decimal" w:pos="425"/>
                <w:tab w:val="right" w:pos="1418"/>
              </w:tabs>
              <w:spacing w:before="40" w:after="40"/>
              <w:ind w:left="34" w:right="295"/>
              <w:jc w:val="right"/>
            </w:pPr>
            <w:r>
              <w:t>188.50</w:t>
            </w:r>
          </w:p>
        </w:tc>
      </w:tr>
      <w:tr>
        <w:tblPrEx>
          <w:tblCellMar>
            <w:left w:w="108" w:type="dxa"/>
            <w:right w:w="108" w:type="dxa"/>
          </w:tblCellMar>
        </w:tblPrEx>
        <w:tc>
          <w:tcPr>
            <w:tcW w:w="4820" w:type="dxa"/>
          </w:tcPr>
          <w:p>
            <w:pPr>
              <w:pStyle w:val="yTable"/>
              <w:tabs>
                <w:tab w:val="right" w:pos="1735"/>
              </w:tabs>
              <w:spacing w:before="40" w:after="40"/>
              <w:ind w:left="-11" w:firstLine="11"/>
            </w:pPr>
            <w:r>
              <w:t>61480</w:t>
            </w:r>
          </w:p>
        </w:tc>
        <w:tc>
          <w:tcPr>
            <w:tcW w:w="1276" w:type="dxa"/>
          </w:tcPr>
          <w:p>
            <w:pPr>
              <w:pStyle w:val="yTable"/>
              <w:tabs>
                <w:tab w:val="decimal" w:pos="425"/>
                <w:tab w:val="right" w:pos="1418"/>
              </w:tabs>
              <w:spacing w:before="40" w:after="40"/>
              <w:ind w:left="34" w:right="295"/>
              <w:jc w:val="right"/>
            </w:pPr>
            <w:r>
              <w:t>415.80</w:t>
            </w:r>
          </w:p>
        </w:tc>
      </w:tr>
      <w:tr>
        <w:tblPrEx>
          <w:tblCellMar>
            <w:left w:w="108" w:type="dxa"/>
            <w:right w:w="108" w:type="dxa"/>
          </w:tblCellMar>
        </w:tblPrEx>
        <w:tc>
          <w:tcPr>
            <w:tcW w:w="4820" w:type="dxa"/>
          </w:tcPr>
          <w:p>
            <w:pPr>
              <w:pStyle w:val="yTable"/>
              <w:tabs>
                <w:tab w:val="right" w:pos="1735"/>
              </w:tabs>
              <w:spacing w:before="40" w:after="40"/>
              <w:ind w:left="-11" w:firstLine="11"/>
            </w:pPr>
            <w:r>
              <w:t>61484</w:t>
            </w:r>
          </w:p>
        </w:tc>
        <w:tc>
          <w:tcPr>
            <w:tcW w:w="1276" w:type="dxa"/>
          </w:tcPr>
          <w:p>
            <w:pPr>
              <w:pStyle w:val="yTable"/>
              <w:tabs>
                <w:tab w:val="decimal" w:pos="425"/>
                <w:tab w:val="right" w:pos="1418"/>
              </w:tabs>
              <w:spacing w:before="40" w:after="40"/>
              <w:ind w:left="34" w:right="295"/>
              <w:jc w:val="right"/>
            </w:pPr>
            <w:r>
              <w:t>946.85</w:t>
            </w:r>
          </w:p>
        </w:tc>
      </w:tr>
      <w:tr>
        <w:tblPrEx>
          <w:tblCellMar>
            <w:left w:w="108" w:type="dxa"/>
            <w:right w:w="108" w:type="dxa"/>
          </w:tblCellMar>
        </w:tblPrEx>
        <w:tc>
          <w:tcPr>
            <w:tcW w:w="4820" w:type="dxa"/>
          </w:tcPr>
          <w:p>
            <w:pPr>
              <w:pStyle w:val="yTable"/>
              <w:tabs>
                <w:tab w:val="right" w:pos="1735"/>
              </w:tabs>
              <w:spacing w:before="40" w:after="40"/>
              <w:ind w:left="-11" w:firstLine="11"/>
            </w:pPr>
            <w:r>
              <w:t>61485</w:t>
            </w:r>
          </w:p>
        </w:tc>
        <w:tc>
          <w:tcPr>
            <w:tcW w:w="1276" w:type="dxa"/>
          </w:tcPr>
          <w:p>
            <w:pPr>
              <w:pStyle w:val="yTable"/>
              <w:tabs>
                <w:tab w:val="decimal" w:pos="425"/>
                <w:tab w:val="right" w:pos="1418"/>
              </w:tabs>
              <w:spacing w:before="40" w:after="40"/>
              <w:ind w:left="34" w:right="295" w:hanging="142"/>
              <w:jc w:val="right"/>
            </w:pPr>
            <w:r>
              <w:t>1 074.00</w:t>
            </w:r>
          </w:p>
        </w:tc>
      </w:tr>
      <w:tr>
        <w:tblPrEx>
          <w:tblCellMar>
            <w:left w:w="108" w:type="dxa"/>
            <w:right w:w="108" w:type="dxa"/>
          </w:tblCellMar>
        </w:tblPrEx>
        <w:tc>
          <w:tcPr>
            <w:tcW w:w="4820" w:type="dxa"/>
          </w:tcPr>
          <w:p>
            <w:pPr>
              <w:pStyle w:val="yTable"/>
              <w:tabs>
                <w:tab w:val="right" w:pos="1735"/>
              </w:tabs>
              <w:spacing w:before="40" w:after="40"/>
              <w:ind w:left="-11" w:firstLine="11"/>
            </w:pPr>
            <w:r>
              <w:t>61495</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61499</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61650</w:t>
            </w:r>
          </w:p>
        </w:tc>
        <w:tc>
          <w:tcPr>
            <w:tcW w:w="1276" w:type="dxa"/>
            <w:tcBorders>
              <w:bottom w:val="single" w:sz="4" w:space="0" w:color="auto"/>
            </w:tcBorders>
          </w:tcPr>
          <w:p>
            <w:pPr>
              <w:pStyle w:val="yTable"/>
              <w:tabs>
                <w:tab w:val="decimal" w:pos="425"/>
                <w:tab w:val="right" w:pos="1418"/>
              </w:tabs>
              <w:spacing w:before="40" w:after="40"/>
              <w:ind w:left="34" w:right="295"/>
              <w:jc w:val="right"/>
            </w:pPr>
            <w:r>
              <w:t>944.50</w:t>
            </w:r>
          </w:p>
        </w:tc>
      </w:tr>
    </w:tbl>
    <w:p>
      <w:pPr>
        <w:pStyle w:val="yMiscellaneousBody"/>
        <w:keepNext/>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tcBorders>
          </w:tcPr>
          <w:p>
            <w:pPr>
              <w:pStyle w:val="yTable"/>
              <w:rPr>
                <w:b/>
              </w:rPr>
            </w:pPr>
            <w:r>
              <w:rPr>
                <w:b/>
              </w:rPr>
              <w:t>MBS item number</w:t>
            </w:r>
          </w:p>
          <w:p>
            <w:pPr>
              <w:pStyle w:val="yTable"/>
              <w:spacing w:before="0"/>
            </w:pPr>
            <w:r>
              <w:rPr>
                <w:i/>
              </w:rPr>
              <w:t>(1 November 2003)</w:t>
            </w:r>
          </w:p>
        </w:tc>
        <w:tc>
          <w:tcPr>
            <w:tcW w:w="1276" w:type="dxa"/>
            <w:tcBorders>
              <w:top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820" w:type="dxa"/>
            <w:tcBorders>
              <w:top w:val="single" w:sz="4" w:space="0" w:color="auto"/>
              <w:bottom w:val="single" w:sz="4" w:space="0" w:color="auto"/>
            </w:tcBorders>
          </w:tcPr>
          <w:p>
            <w:pPr>
              <w:pStyle w:val="yTable"/>
              <w:tabs>
                <w:tab w:val="right" w:pos="1735"/>
              </w:tabs>
              <w:ind w:left="-11" w:firstLine="11"/>
            </w:pPr>
            <w:r>
              <w:t>63000 — 63497</w:t>
            </w:r>
          </w:p>
        </w:tc>
        <w:tc>
          <w:tcPr>
            <w:tcW w:w="1276" w:type="dxa"/>
            <w:tcBorders>
              <w:top w:val="single" w:sz="4" w:space="0" w:color="auto"/>
              <w:bottom w:val="single" w:sz="4" w:space="0" w:color="auto"/>
            </w:tcBorders>
          </w:tcPr>
          <w:p>
            <w:pPr>
              <w:pStyle w:val="yTable"/>
              <w:tabs>
                <w:tab w:val="decimal" w:pos="425"/>
                <w:tab w:val="right" w:pos="1418"/>
              </w:tabs>
              <w:ind w:left="34" w:right="295"/>
              <w:jc w:val="right"/>
            </w:pPr>
            <w:r>
              <w:t>526.75</w:t>
            </w:r>
          </w:p>
        </w:tc>
      </w:tr>
    </w:tbl>
    <w:p>
      <w:pPr>
        <w:pStyle w:val="yEdnotedivision"/>
      </w:pPr>
      <w:r>
        <w:tab/>
        <w:t>[Part 3 inserted in Gazette 10 Jan 2006 p. 56</w:t>
      </w:r>
      <w:r>
        <w:noBreakHyphen/>
        <w:t>67.]</w:t>
      </w:r>
    </w:p>
    <w:p>
      <w:pPr>
        <w:pStyle w:val="yScheduleHeading"/>
      </w:pPr>
      <w:bookmarkStart w:id="120" w:name="_Toc124579585"/>
      <w:bookmarkStart w:id="121" w:name="_Toc125442034"/>
      <w:bookmarkStart w:id="122" w:name="_Toc126569071"/>
      <w:bookmarkStart w:id="123" w:name="_Toc127601211"/>
      <w:bookmarkStart w:id="124" w:name="_Toc127668234"/>
      <w:bookmarkStart w:id="125" w:name="_Toc128452293"/>
      <w:bookmarkStart w:id="126" w:name="_Toc128796277"/>
      <w:bookmarkStart w:id="127" w:name="_Toc128796601"/>
      <w:bookmarkStart w:id="128" w:name="_Toc128807365"/>
      <w:bookmarkStart w:id="129" w:name="_Toc128807556"/>
      <w:bookmarkStart w:id="130" w:name="_Toc130871688"/>
      <w:bookmarkStart w:id="131" w:name="_Toc119464658"/>
      <w:bookmarkStart w:id="132" w:name="_Toc119464802"/>
      <w:bookmarkStart w:id="133" w:name="_Toc119466407"/>
      <w:r>
        <w:rPr>
          <w:rStyle w:val="CharSchNo"/>
        </w:rPr>
        <w:t>Schedule 2</w:t>
      </w:r>
      <w:r>
        <w:t> — </w:t>
      </w:r>
      <w:r>
        <w:rPr>
          <w:rStyle w:val="CharSchText"/>
        </w:rPr>
        <w:t>Scale of fees — physiotherapists</w:t>
      </w:r>
      <w:bookmarkEnd w:id="120"/>
      <w:bookmarkEnd w:id="121"/>
      <w:bookmarkEnd w:id="122"/>
      <w:bookmarkEnd w:id="123"/>
      <w:bookmarkEnd w:id="124"/>
      <w:bookmarkEnd w:id="125"/>
      <w:bookmarkEnd w:id="126"/>
      <w:bookmarkEnd w:id="127"/>
      <w:bookmarkEnd w:id="128"/>
      <w:bookmarkEnd w:id="129"/>
      <w:bookmarkEnd w:id="130"/>
    </w:p>
    <w:p>
      <w:pPr>
        <w:pStyle w:val="yShoulderClause"/>
      </w:pPr>
      <w:r>
        <w:t>[r. 3]</w:t>
      </w:r>
    </w:p>
    <w:p>
      <w:pPr>
        <w:pStyle w:val="yFootnoteheading"/>
      </w:pPr>
      <w:r>
        <w:tab/>
        <w:t>[Heading inserted in Gazette 10 Jan 2006 p. 67.]</w:t>
      </w:r>
    </w:p>
    <w:p>
      <w:pPr>
        <w:pStyle w:val="yHeading3"/>
        <w:keepNext w:val="0"/>
        <w:spacing w:after="120"/>
        <w:outlineLvl w:val="9"/>
      </w:pPr>
      <w:bookmarkStart w:id="134" w:name="_Toc124579586"/>
      <w:bookmarkStart w:id="135" w:name="_Toc125442035"/>
      <w:bookmarkStart w:id="136" w:name="_Toc126569072"/>
      <w:bookmarkStart w:id="137" w:name="_Toc127601212"/>
      <w:bookmarkStart w:id="138" w:name="_Toc127668235"/>
      <w:bookmarkStart w:id="139" w:name="_Toc128452294"/>
      <w:bookmarkStart w:id="140" w:name="_Toc128796278"/>
      <w:bookmarkStart w:id="141" w:name="_Toc128796602"/>
      <w:bookmarkStart w:id="142" w:name="_Toc128807366"/>
      <w:bookmarkStart w:id="143" w:name="_Toc128807557"/>
      <w:bookmarkStart w:id="144" w:name="_Toc130871689"/>
      <w:r>
        <w:rPr>
          <w:rStyle w:val="CharSDivNo"/>
          <w:snapToGrid w:val="0"/>
          <w:sz w:val="28"/>
        </w:rPr>
        <w:t>Part 1</w:t>
      </w:r>
      <w:r>
        <w:rPr>
          <w:b w:val="0"/>
        </w:rPr>
        <w:t> — </w:t>
      </w:r>
      <w:r>
        <w:rPr>
          <w:rStyle w:val="CharSDivText"/>
          <w:sz w:val="28"/>
        </w:rPr>
        <w:t>General</w:t>
      </w:r>
      <w:bookmarkEnd w:id="134"/>
      <w:bookmarkEnd w:id="135"/>
      <w:bookmarkEnd w:id="136"/>
      <w:bookmarkEnd w:id="137"/>
      <w:bookmarkEnd w:id="138"/>
      <w:bookmarkEnd w:id="139"/>
      <w:bookmarkEnd w:id="140"/>
      <w:bookmarkEnd w:id="141"/>
      <w:bookmarkEnd w:id="142"/>
      <w:bookmarkEnd w:id="143"/>
      <w:bookmarkEnd w:id="144"/>
    </w:p>
    <w:p>
      <w:pPr>
        <w:pStyle w:val="yFootnoteheading"/>
        <w:spacing w:after="80"/>
      </w:pPr>
      <w:r>
        <w:tab/>
        <w:t>[Heading inserted in Gazette 10 Jan 2006 p. 69.]</w:t>
      </w:r>
    </w:p>
    <w:tbl>
      <w:tblPr>
        <w:tblW w:w="0" w:type="auto"/>
        <w:tblInd w:w="108" w:type="dxa"/>
        <w:tblLayout w:type="fixed"/>
        <w:tblLook w:val="0000" w:firstRow="0" w:lastRow="0" w:firstColumn="0" w:lastColumn="0" w:noHBand="0" w:noVBand="0"/>
      </w:tblPr>
      <w:tblGrid>
        <w:gridCol w:w="567"/>
        <w:gridCol w:w="5529"/>
        <w:gridCol w:w="850"/>
      </w:tblGrid>
      <w:tr>
        <w:trPr>
          <w:cantSplit/>
          <w:tblHeader/>
        </w:trPr>
        <w:tc>
          <w:tcPr>
            <w:tcW w:w="567" w:type="dxa"/>
            <w:tcBorders>
              <w:top w:val="single" w:sz="4" w:space="0" w:color="auto"/>
              <w:bottom w:val="single" w:sz="4" w:space="0" w:color="auto"/>
            </w:tcBorders>
          </w:tcPr>
          <w:p>
            <w:pPr>
              <w:pStyle w:val="yTable"/>
              <w:keepNext/>
              <w:keepLines/>
              <w:rPr>
                <w:b/>
              </w:rPr>
            </w:pPr>
          </w:p>
        </w:tc>
        <w:tc>
          <w:tcPr>
            <w:tcW w:w="5529" w:type="dxa"/>
            <w:tcBorders>
              <w:top w:val="single" w:sz="4" w:space="0" w:color="auto"/>
              <w:bottom w:val="single" w:sz="4" w:space="0" w:color="auto"/>
            </w:tcBorders>
          </w:tcPr>
          <w:p>
            <w:pPr>
              <w:pStyle w:val="yTable"/>
              <w:keepLines/>
              <w:spacing w:before="160"/>
              <w:rPr>
                <w:b/>
              </w:rPr>
            </w:pPr>
            <w:r>
              <w:rPr>
                <w:b/>
              </w:rPr>
              <w:t>Type of service</w:t>
            </w:r>
          </w:p>
        </w:tc>
        <w:tc>
          <w:tcPr>
            <w:tcW w:w="850" w:type="dxa"/>
            <w:tcBorders>
              <w:top w:val="single" w:sz="4" w:space="0" w:color="auto"/>
              <w:bottom w:val="single" w:sz="4" w:space="0" w:color="auto"/>
            </w:tcBorders>
          </w:tcPr>
          <w:p>
            <w:pPr>
              <w:pStyle w:val="yTable"/>
              <w:spacing w:before="160"/>
              <w:jc w:val="center"/>
              <w:rPr>
                <w:b/>
              </w:rPr>
            </w:pPr>
            <w:r>
              <w:rPr>
                <w:b/>
              </w:rPr>
              <w:t>Fee</w:t>
            </w:r>
            <w:r>
              <w:rPr>
                <w:b/>
              </w:rPr>
              <w:br/>
              <w:t>$</w:t>
            </w:r>
          </w:p>
        </w:tc>
      </w:tr>
      <w:tr>
        <w:trPr>
          <w:cantSplit/>
        </w:trPr>
        <w:tc>
          <w:tcPr>
            <w:tcW w:w="567" w:type="dxa"/>
            <w:tcBorders>
              <w:top w:val="single" w:sz="4" w:space="0" w:color="auto"/>
            </w:tcBorders>
          </w:tcPr>
          <w:p>
            <w:pPr>
              <w:pStyle w:val="yTable"/>
              <w:keepNext/>
              <w:keepLines/>
              <w:spacing w:before="120"/>
            </w:pPr>
            <w:r>
              <w:t>1.</w:t>
            </w:r>
          </w:p>
        </w:tc>
        <w:tc>
          <w:tcPr>
            <w:tcW w:w="5529" w:type="dxa"/>
            <w:tcBorders>
              <w:top w:val="single" w:sz="4" w:space="0" w:color="auto"/>
            </w:tcBorders>
          </w:tcPr>
          <w:p>
            <w:pPr>
              <w:pStyle w:val="yTable"/>
              <w:keepLines/>
              <w:spacing w:before="120"/>
            </w:pPr>
            <w:r>
              <w:t>Initial consultation</w:t>
            </w:r>
          </w:p>
          <w:p>
            <w:pPr>
              <w:pStyle w:val="yTable"/>
              <w:keepLines/>
            </w:pPr>
            <w:r>
              <w:t>(Includes individual initial services provided in rooms, home or hospital; hydrotherapy treatment; specialist consultations; extended treatments; and services provided outside normal business hours)</w:t>
            </w:r>
          </w:p>
        </w:tc>
        <w:tc>
          <w:tcPr>
            <w:tcW w:w="850" w:type="dxa"/>
            <w:tcBorders>
              <w:top w:val="single" w:sz="4" w:space="0" w:color="auto"/>
            </w:tcBorders>
          </w:tcPr>
          <w:p>
            <w:pPr>
              <w:pStyle w:val="yTable"/>
              <w:tabs>
                <w:tab w:val="decimal" w:pos="317"/>
              </w:tabs>
              <w:spacing w:before="120"/>
            </w:pPr>
            <w:r>
              <w:t>57.25</w:t>
            </w:r>
          </w:p>
        </w:tc>
      </w:tr>
      <w:tr>
        <w:trPr>
          <w:cantSplit/>
        </w:trPr>
        <w:tc>
          <w:tcPr>
            <w:tcW w:w="567" w:type="dxa"/>
          </w:tcPr>
          <w:p>
            <w:pPr>
              <w:pStyle w:val="yTable"/>
              <w:spacing w:before="120"/>
            </w:pPr>
            <w:r>
              <w:t>2.</w:t>
            </w:r>
          </w:p>
        </w:tc>
        <w:tc>
          <w:tcPr>
            <w:tcW w:w="5529" w:type="dxa"/>
          </w:tcPr>
          <w:p>
            <w:pPr>
              <w:pStyle w:val="yTable"/>
              <w:spacing w:before="120"/>
            </w:pPr>
            <w:r>
              <w:t>Standard consultation</w:t>
            </w:r>
          </w:p>
          <w:p>
            <w:pPr>
              <w:pStyle w:val="yTable"/>
            </w:pPr>
            <w:r>
              <w:t>(Includes individual subsequent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r>
              <w:t>45.95</w:t>
            </w:r>
          </w:p>
        </w:tc>
      </w:tr>
      <w:tr>
        <w:trPr>
          <w:cantSplit/>
        </w:trPr>
        <w:tc>
          <w:tcPr>
            <w:tcW w:w="567" w:type="dxa"/>
          </w:tcPr>
          <w:p>
            <w:pPr>
              <w:pStyle w:val="yTable"/>
              <w:spacing w:before="120"/>
            </w:pPr>
            <w:r>
              <w:t>3.</w:t>
            </w:r>
          </w:p>
        </w:tc>
        <w:tc>
          <w:tcPr>
            <w:tcW w:w="5529" w:type="dxa"/>
          </w:tcPr>
          <w:p>
            <w:pPr>
              <w:pStyle w:val="yTable"/>
              <w:spacing w:before="120"/>
            </w:pPr>
            <w:r>
              <w:t>Two distinct areas of treatment per visit</w:t>
            </w:r>
          </w:p>
          <w:p>
            <w:pPr>
              <w:pStyle w:val="yTable"/>
              <w:spacing w:before="120"/>
            </w:pPr>
            <w:r>
              <w:t>(Includes individual initial or subsequent services provided in rooms, home or hospital; hydrotherapy treatment; specialist consultations; and services provided outside normal business hours)</w:t>
            </w:r>
          </w:p>
        </w:tc>
        <w:tc>
          <w:tcPr>
            <w:tcW w:w="850" w:type="dxa"/>
          </w:tcPr>
          <w:p>
            <w:pPr>
              <w:pStyle w:val="yTable"/>
              <w:tabs>
                <w:tab w:val="decimal" w:pos="317"/>
              </w:tabs>
              <w:spacing w:before="120"/>
            </w:pPr>
            <w:r>
              <w:t>58.10</w:t>
            </w:r>
          </w:p>
        </w:tc>
      </w:tr>
      <w:tr>
        <w:trPr>
          <w:cantSplit/>
        </w:trPr>
        <w:tc>
          <w:tcPr>
            <w:tcW w:w="567" w:type="dxa"/>
          </w:tcPr>
          <w:p>
            <w:pPr>
              <w:pStyle w:val="yTable"/>
              <w:spacing w:before="120"/>
            </w:pPr>
            <w:r>
              <w:t>4.</w:t>
            </w:r>
          </w:p>
        </w:tc>
        <w:tc>
          <w:tcPr>
            <w:tcW w:w="5529" w:type="dxa"/>
          </w:tcPr>
          <w:p>
            <w:pPr>
              <w:pStyle w:val="yTable"/>
              <w:spacing w:before="120"/>
            </w:pPr>
            <w:r>
              <w:t>Three or more distinct areas of treatment per visit</w:t>
            </w:r>
          </w:p>
          <w:p>
            <w:pPr>
              <w:pStyle w:val="yTable"/>
              <w:spacing w:before="120"/>
            </w:pPr>
            <w:r>
              <w:t>(Includes individual initial or subsequent services provided in rooms, home or hospital; hydrotherapy treatment; complex treatment; specialist consultations; and services provided outside normal business hours)</w:t>
            </w:r>
          </w:p>
        </w:tc>
        <w:tc>
          <w:tcPr>
            <w:tcW w:w="850" w:type="dxa"/>
          </w:tcPr>
          <w:p>
            <w:pPr>
              <w:pStyle w:val="yTable"/>
              <w:tabs>
                <w:tab w:val="decimal" w:pos="317"/>
              </w:tabs>
              <w:spacing w:before="120"/>
            </w:pPr>
            <w:r>
              <w:t>77.35</w:t>
            </w:r>
          </w:p>
        </w:tc>
      </w:tr>
      <w:tr>
        <w:trPr>
          <w:cantSplit/>
        </w:trPr>
        <w:tc>
          <w:tcPr>
            <w:tcW w:w="567" w:type="dxa"/>
          </w:tcPr>
          <w:p>
            <w:pPr>
              <w:pStyle w:val="yTable"/>
              <w:spacing w:before="120"/>
            </w:pPr>
            <w:r>
              <w:t>5.</w:t>
            </w:r>
          </w:p>
        </w:tc>
        <w:tc>
          <w:tcPr>
            <w:tcW w:w="5529" w:type="dxa"/>
          </w:tcPr>
          <w:p>
            <w:pPr>
              <w:pStyle w:val="yTable"/>
              <w:spacing w:before="120"/>
            </w:pPr>
            <w:r>
              <w:t>Group consultation – per person</w:t>
            </w:r>
          </w:p>
          <w:p>
            <w:pPr>
              <w:pStyle w:val="yTable"/>
            </w:pPr>
            <w:r>
              <w:t>(Includes services provided to more than one individual in rooms, home or hospital; hydrotherapy treatment; complex treatment; specialist consultations; extended treatments; and services provided outside normal business hours)</w:t>
            </w:r>
          </w:p>
        </w:tc>
        <w:tc>
          <w:tcPr>
            <w:tcW w:w="850" w:type="dxa"/>
          </w:tcPr>
          <w:p>
            <w:pPr>
              <w:pStyle w:val="yTable"/>
              <w:tabs>
                <w:tab w:val="decimal" w:pos="317"/>
              </w:tabs>
              <w:spacing w:before="120"/>
            </w:pPr>
            <w:r>
              <w:t>14.15</w:t>
            </w:r>
          </w:p>
        </w:tc>
      </w:tr>
      <w:tr>
        <w:trPr>
          <w:cantSplit/>
        </w:trPr>
        <w:tc>
          <w:tcPr>
            <w:tcW w:w="567" w:type="dxa"/>
          </w:tcPr>
          <w:p>
            <w:pPr>
              <w:pStyle w:val="yTable"/>
              <w:spacing w:before="120"/>
            </w:pPr>
            <w:r>
              <w:t>6.</w:t>
            </w:r>
          </w:p>
        </w:tc>
        <w:tc>
          <w:tcPr>
            <w:tcW w:w="5529" w:type="dxa"/>
          </w:tcPr>
          <w:p>
            <w:pPr>
              <w:pStyle w:val="yTable"/>
              <w:spacing w:before="120"/>
            </w:pPr>
            <w:r>
              <w:t>Worksite visit (per hour)</w:t>
            </w:r>
          </w:p>
        </w:tc>
        <w:tc>
          <w:tcPr>
            <w:tcW w:w="850" w:type="dxa"/>
          </w:tcPr>
          <w:p>
            <w:pPr>
              <w:pStyle w:val="yTable"/>
              <w:tabs>
                <w:tab w:val="decimal" w:pos="317"/>
              </w:tabs>
              <w:spacing w:before="120"/>
            </w:pPr>
            <w:r>
              <w:t>130.10</w:t>
            </w:r>
          </w:p>
        </w:tc>
      </w:tr>
      <w:tr>
        <w:trPr>
          <w:cantSplit/>
        </w:trPr>
        <w:tc>
          <w:tcPr>
            <w:tcW w:w="567" w:type="dxa"/>
          </w:tcPr>
          <w:p>
            <w:pPr>
              <w:pStyle w:val="yTable"/>
              <w:spacing w:before="120"/>
            </w:pPr>
            <w:r>
              <w:t>7.</w:t>
            </w:r>
          </w:p>
        </w:tc>
        <w:tc>
          <w:tcPr>
            <w:tcW w:w="5529" w:type="dxa"/>
          </w:tcPr>
          <w:p>
            <w:pPr>
              <w:pStyle w:val="yTable"/>
              <w:keepNext/>
              <w:keepLines/>
              <w:spacing w:before="120"/>
            </w:pPr>
            <w:r>
              <w:t>Solicitors reports</w:t>
            </w:r>
          </w:p>
        </w:tc>
        <w:tc>
          <w:tcPr>
            <w:tcW w:w="850" w:type="dxa"/>
          </w:tcPr>
          <w:p>
            <w:pPr>
              <w:pStyle w:val="yTable"/>
              <w:tabs>
                <w:tab w:val="decimal" w:pos="317"/>
              </w:tabs>
              <w:spacing w:before="120"/>
            </w:pPr>
            <w:r>
              <w:t>57.25</w:t>
            </w:r>
          </w:p>
        </w:tc>
      </w:tr>
      <w:tr>
        <w:trPr>
          <w:cantSplit/>
        </w:trPr>
        <w:tc>
          <w:tcPr>
            <w:tcW w:w="567" w:type="dxa"/>
            <w:tcBorders>
              <w:bottom w:val="single" w:sz="4" w:space="0" w:color="auto"/>
            </w:tcBorders>
          </w:tcPr>
          <w:p>
            <w:pPr>
              <w:pStyle w:val="yTable"/>
              <w:spacing w:before="120"/>
            </w:pPr>
            <w:r>
              <w:t>8.</w:t>
            </w:r>
          </w:p>
        </w:tc>
        <w:tc>
          <w:tcPr>
            <w:tcW w:w="5529" w:type="dxa"/>
            <w:tcBorders>
              <w:bottom w:val="single" w:sz="4" w:space="0" w:color="auto"/>
            </w:tcBorders>
          </w:tcPr>
          <w:p>
            <w:pPr>
              <w:pStyle w:val="yTable"/>
              <w:keepNext/>
              <w:keepLines/>
              <w:spacing w:before="120"/>
            </w:pPr>
            <w:r>
              <w:t>Travel (per kilometre)</w:t>
            </w:r>
          </w:p>
        </w:tc>
        <w:tc>
          <w:tcPr>
            <w:tcW w:w="850" w:type="dxa"/>
            <w:tcBorders>
              <w:bottom w:val="single" w:sz="4" w:space="0" w:color="auto"/>
            </w:tcBorders>
          </w:tcPr>
          <w:p>
            <w:pPr>
              <w:pStyle w:val="yTable"/>
              <w:tabs>
                <w:tab w:val="decimal" w:pos="317"/>
              </w:tabs>
              <w:spacing w:before="120"/>
            </w:pPr>
            <w:r>
              <w:t>0.66</w:t>
            </w:r>
          </w:p>
        </w:tc>
      </w:tr>
    </w:tbl>
    <w:p>
      <w:pPr>
        <w:pStyle w:val="yFootnoteheading"/>
      </w:pPr>
      <w:r>
        <w:tab/>
        <w:t>[Part 1 inserted in Gazette 10 Jan 2006 p. 67</w:t>
      </w:r>
      <w:r>
        <w:noBreakHyphen/>
        <w:t>8.]</w:t>
      </w:r>
    </w:p>
    <w:p>
      <w:pPr>
        <w:pStyle w:val="yHeading3"/>
        <w:spacing w:after="120"/>
        <w:outlineLvl w:val="9"/>
      </w:pPr>
      <w:bookmarkStart w:id="145" w:name="_Toc124579587"/>
      <w:bookmarkStart w:id="146" w:name="_Toc125442036"/>
      <w:bookmarkStart w:id="147" w:name="_Toc126569073"/>
      <w:bookmarkStart w:id="148" w:name="_Toc127601213"/>
      <w:bookmarkStart w:id="149" w:name="_Toc127668236"/>
      <w:bookmarkStart w:id="150" w:name="_Toc128452295"/>
      <w:bookmarkStart w:id="151" w:name="_Toc128796279"/>
      <w:bookmarkStart w:id="152" w:name="_Toc128796603"/>
      <w:bookmarkStart w:id="153" w:name="_Toc128807367"/>
      <w:bookmarkStart w:id="154" w:name="_Toc128807558"/>
      <w:bookmarkStart w:id="155" w:name="_Toc130871690"/>
      <w:r>
        <w:rPr>
          <w:rStyle w:val="CharSDivNo"/>
          <w:snapToGrid w:val="0"/>
          <w:sz w:val="28"/>
        </w:rPr>
        <w:t>Part 2</w:t>
      </w:r>
      <w:r>
        <w:t xml:space="preserve"> — </w:t>
      </w:r>
      <w:r>
        <w:rPr>
          <w:rStyle w:val="CharSDivText"/>
          <w:sz w:val="28"/>
        </w:rPr>
        <w:t>Exercise</w:t>
      </w:r>
      <w:r>
        <w:rPr>
          <w:rStyle w:val="CharSDivText"/>
          <w:sz w:val="28"/>
        </w:rPr>
        <w:noBreakHyphen/>
        <w:t>based programs</w:t>
      </w:r>
      <w:bookmarkEnd w:id="145"/>
      <w:bookmarkEnd w:id="146"/>
      <w:bookmarkEnd w:id="147"/>
      <w:bookmarkEnd w:id="148"/>
      <w:bookmarkEnd w:id="149"/>
      <w:bookmarkEnd w:id="150"/>
      <w:bookmarkEnd w:id="151"/>
      <w:bookmarkEnd w:id="152"/>
      <w:bookmarkEnd w:id="153"/>
      <w:bookmarkEnd w:id="154"/>
      <w:bookmarkEnd w:id="155"/>
    </w:p>
    <w:p>
      <w:pPr>
        <w:pStyle w:val="yFootnoteheading"/>
        <w:spacing w:after="60"/>
      </w:pPr>
      <w:r>
        <w:tab/>
        <w:t>[Heading inserted in Gazette 10 Jan 2006 p. 67.]</w:t>
      </w:r>
    </w:p>
    <w:tbl>
      <w:tblPr>
        <w:tblW w:w="0" w:type="auto"/>
        <w:tblInd w:w="108" w:type="dxa"/>
        <w:tblLayout w:type="fixed"/>
        <w:tblLook w:val="0000" w:firstRow="0" w:lastRow="0" w:firstColumn="0" w:lastColumn="0" w:noHBand="0" w:noVBand="0"/>
      </w:tblPr>
      <w:tblGrid>
        <w:gridCol w:w="567"/>
        <w:gridCol w:w="4395"/>
        <w:gridCol w:w="2026"/>
      </w:tblGrid>
      <w:tr>
        <w:trPr>
          <w:cantSplit/>
          <w:tblHeader/>
        </w:trPr>
        <w:tc>
          <w:tcPr>
            <w:tcW w:w="567" w:type="dxa"/>
            <w:tcBorders>
              <w:top w:val="single" w:sz="4" w:space="0" w:color="auto"/>
            </w:tcBorders>
          </w:tcPr>
          <w:p>
            <w:pPr>
              <w:pStyle w:val="zytable"/>
              <w:spacing w:after="60"/>
              <w:ind w:left="0" w:right="0"/>
              <w:rPr>
                <w:b/>
                <w:sz w:val="18"/>
              </w:rPr>
            </w:pPr>
          </w:p>
        </w:tc>
        <w:tc>
          <w:tcPr>
            <w:tcW w:w="4395" w:type="dxa"/>
            <w:tcBorders>
              <w:top w:val="single" w:sz="4" w:space="0" w:color="auto"/>
            </w:tcBorders>
          </w:tcPr>
          <w:p>
            <w:pPr>
              <w:pStyle w:val="zytable"/>
              <w:spacing w:before="40" w:after="40"/>
              <w:ind w:left="0" w:right="0"/>
              <w:jc w:val="center"/>
              <w:rPr>
                <w:b/>
              </w:rPr>
            </w:pPr>
            <w:r>
              <w:rPr>
                <w:b/>
              </w:rPr>
              <w:t>Type of service</w:t>
            </w:r>
          </w:p>
        </w:tc>
        <w:tc>
          <w:tcPr>
            <w:tcW w:w="2026" w:type="dxa"/>
            <w:tcBorders>
              <w:top w:val="single" w:sz="4" w:space="0" w:color="auto"/>
            </w:tcBorders>
          </w:tcPr>
          <w:p>
            <w:pPr>
              <w:pStyle w:val="zytable"/>
              <w:spacing w:before="40" w:after="40"/>
              <w:ind w:left="0" w:right="0"/>
              <w:jc w:val="center"/>
              <w:rPr>
                <w:b/>
              </w:rPr>
            </w:pPr>
            <w:r>
              <w:rPr>
                <w:b/>
              </w:rPr>
              <w:t xml:space="preserve">Fee </w:t>
            </w:r>
            <w:r>
              <w:rPr>
                <w:b/>
              </w:rPr>
              <w:br/>
              <w:t>$</w:t>
            </w:r>
          </w:p>
        </w:tc>
      </w:tr>
      <w:tr>
        <w:trPr>
          <w:cantSplit/>
        </w:trPr>
        <w:tc>
          <w:tcPr>
            <w:tcW w:w="567" w:type="dxa"/>
            <w:tcBorders>
              <w:top w:val="single" w:sz="4" w:space="0" w:color="auto"/>
            </w:tcBorders>
          </w:tcPr>
          <w:p>
            <w:pPr>
              <w:pStyle w:val="yDefsubpara"/>
            </w:pPr>
            <w:r>
              <w:t>9.</w:t>
            </w:r>
          </w:p>
        </w:tc>
        <w:tc>
          <w:tcPr>
            <w:tcW w:w="4395" w:type="dxa"/>
            <w:tcBorders>
              <w:top w:val="single" w:sz="4" w:space="0" w:color="auto"/>
            </w:tcBorders>
          </w:tcPr>
          <w:p>
            <w:pPr>
              <w:pStyle w:val="yTable"/>
              <w:spacing w:before="40" w:after="40"/>
            </w:pPr>
            <w:r>
              <w:t>Exercise consultation/assessment</w:t>
            </w:r>
          </w:p>
          <w:p>
            <w:pPr>
              <w:pStyle w:val="yTable"/>
              <w:spacing w:before="40" w:after="40"/>
            </w:pPr>
            <w:r>
              <w:t xml:space="preserve">The following services are included in the initial/subsequent consultation fee — </w:t>
            </w:r>
          </w:p>
          <w:p>
            <w:pPr>
              <w:pStyle w:val="yTable"/>
              <w:spacing w:before="40" w:after="40"/>
              <w:ind w:firstLine="459"/>
            </w:pPr>
            <w:r>
              <w:t>Assessment of the worker;</w:t>
            </w:r>
          </w:p>
          <w:p>
            <w:pPr>
              <w:pStyle w:val="yTable"/>
              <w:spacing w:before="40" w:after="40"/>
              <w:ind w:firstLine="459"/>
            </w:pPr>
            <w:r>
              <w:t>Provision/prescription of exercises;</w:t>
            </w:r>
          </w:p>
          <w:p>
            <w:pPr>
              <w:pStyle w:val="yTable"/>
              <w:spacing w:before="40" w:after="40"/>
              <w:ind w:firstLine="459"/>
            </w:pPr>
            <w:r>
              <w:t>Program development, coordination;</w:t>
            </w:r>
          </w:p>
          <w:p>
            <w:pPr>
              <w:pStyle w:val="yTable"/>
              <w:spacing w:before="40" w:after="40"/>
              <w:ind w:firstLine="459"/>
            </w:pPr>
            <w:r>
              <w:t>Physiological testing;</w:t>
            </w:r>
          </w:p>
          <w:p>
            <w:pPr>
              <w:pStyle w:val="yTable"/>
              <w:spacing w:before="40" w:after="40"/>
              <w:ind w:left="459"/>
              <w:rPr>
                <w:sz w:val="20"/>
              </w:rPr>
            </w:pPr>
            <w:r>
              <w:t>Communication with relevant persons (other than reports).</w:t>
            </w:r>
          </w:p>
        </w:tc>
        <w:tc>
          <w:tcPr>
            <w:tcW w:w="2026" w:type="dxa"/>
            <w:tcBorders>
              <w:top w:val="single" w:sz="4" w:space="0" w:color="auto"/>
            </w:tcBorders>
          </w:tcPr>
          <w:p>
            <w:pPr>
              <w:pStyle w:val="yTable"/>
              <w:spacing w:before="40" w:after="40"/>
              <w:rPr>
                <w:sz w:val="16"/>
              </w:rPr>
            </w:pPr>
            <w:r>
              <w:t xml:space="preserve">$130.50 per </w:t>
            </w:r>
            <w:r>
              <w:br/>
              <w:t xml:space="preserve">hour, total fee </w:t>
            </w:r>
            <w:r>
              <w:br/>
              <w:t>not to exceed</w:t>
            </w:r>
            <w:r>
              <w:br/>
              <w:t>$261.00</w:t>
            </w:r>
            <w:r>
              <w:b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spacing w:before="40" w:after="40"/>
            </w:pPr>
            <w:r>
              <w:t>Physiotherapist to patient ratio must be 1:1 for the duration of the consultation.</w:t>
            </w:r>
          </w:p>
        </w:tc>
        <w:tc>
          <w:tcPr>
            <w:tcW w:w="2026" w:type="dxa"/>
          </w:tcPr>
          <w:p>
            <w:pPr>
              <w:pStyle w:val="yTable"/>
              <w:spacing w:before="40" w:after="40"/>
            </w:pPr>
          </w:p>
        </w:tc>
      </w:tr>
      <w:tr>
        <w:trPr>
          <w:cantSplit/>
        </w:trPr>
        <w:tc>
          <w:tcPr>
            <w:tcW w:w="567" w:type="dxa"/>
          </w:tcPr>
          <w:p>
            <w:pPr>
              <w:pStyle w:val="yTable"/>
              <w:spacing w:before="120"/>
            </w:pPr>
            <w:r>
              <w:t>10.</w:t>
            </w:r>
          </w:p>
        </w:tc>
        <w:tc>
          <w:tcPr>
            <w:tcW w:w="4395" w:type="dxa"/>
          </w:tcPr>
          <w:p>
            <w:pPr>
              <w:pStyle w:val="yTable"/>
              <w:spacing w:before="40" w:after="40"/>
            </w:pPr>
            <w:r>
              <w:t>Initial report</w:t>
            </w:r>
          </w:p>
        </w:tc>
        <w:tc>
          <w:tcPr>
            <w:tcW w:w="2026" w:type="dxa"/>
          </w:tcPr>
          <w:p>
            <w:pPr>
              <w:pStyle w:val="yTable"/>
              <w:spacing w:before="40" w:after="40"/>
            </w:pPr>
            <w:r>
              <w:t>57.45</w:t>
            </w:r>
          </w:p>
        </w:tc>
      </w:tr>
      <w:tr>
        <w:trPr>
          <w:cantSplit/>
        </w:trPr>
        <w:tc>
          <w:tcPr>
            <w:tcW w:w="567" w:type="dxa"/>
          </w:tcPr>
          <w:p>
            <w:pPr>
              <w:pStyle w:val="yTable"/>
              <w:spacing w:before="120"/>
            </w:pPr>
            <w:r>
              <w:t>11.</w:t>
            </w:r>
          </w:p>
        </w:tc>
        <w:tc>
          <w:tcPr>
            <w:tcW w:w="4395" w:type="dxa"/>
          </w:tcPr>
          <w:p>
            <w:pPr>
              <w:pStyle w:val="yTable"/>
              <w:spacing w:before="40" w:after="40"/>
            </w:pPr>
            <w:r>
              <w:t>Subsequent reports</w:t>
            </w:r>
          </w:p>
        </w:tc>
        <w:tc>
          <w:tcPr>
            <w:tcW w:w="2026" w:type="dxa"/>
          </w:tcPr>
          <w:p>
            <w:pPr>
              <w:pStyle w:val="yTable"/>
              <w:spacing w:before="40" w:after="40"/>
            </w:pPr>
            <w:r>
              <w:t>46.15 per report</w:t>
            </w:r>
          </w:p>
        </w:tc>
      </w:tr>
      <w:tr>
        <w:trPr>
          <w:cantSplit/>
        </w:trPr>
        <w:tc>
          <w:tcPr>
            <w:tcW w:w="567" w:type="dxa"/>
          </w:tcPr>
          <w:p>
            <w:pPr>
              <w:pStyle w:val="yTable"/>
              <w:spacing w:before="120"/>
            </w:pPr>
            <w:r>
              <w:t>12.</w:t>
            </w:r>
          </w:p>
        </w:tc>
        <w:tc>
          <w:tcPr>
            <w:tcW w:w="4395" w:type="dxa"/>
          </w:tcPr>
          <w:p>
            <w:pPr>
              <w:pStyle w:val="yTable"/>
              <w:spacing w:before="40" w:after="40"/>
            </w:pPr>
            <w:r>
              <w:t>Final report</w:t>
            </w:r>
          </w:p>
        </w:tc>
        <w:tc>
          <w:tcPr>
            <w:tcW w:w="2026" w:type="dxa"/>
          </w:tcPr>
          <w:p>
            <w:pPr>
              <w:pStyle w:val="yTable"/>
              <w:spacing w:before="40" w:after="40"/>
            </w:pPr>
            <w:r>
              <w:t>46.15</w:t>
            </w:r>
          </w:p>
        </w:tc>
      </w:tr>
      <w:tr>
        <w:trPr>
          <w:cantSplit/>
        </w:trPr>
        <w:tc>
          <w:tcPr>
            <w:tcW w:w="567" w:type="dxa"/>
            <w:tcBorders>
              <w:bottom w:val="single" w:sz="4" w:space="0" w:color="auto"/>
            </w:tcBorders>
          </w:tcPr>
          <w:p>
            <w:pPr>
              <w:pStyle w:val="yTable"/>
              <w:spacing w:before="120"/>
            </w:pPr>
            <w:r>
              <w:t>13.</w:t>
            </w:r>
          </w:p>
        </w:tc>
        <w:tc>
          <w:tcPr>
            <w:tcW w:w="4395" w:type="dxa"/>
            <w:tcBorders>
              <w:bottom w:val="single" w:sz="4" w:space="0" w:color="auto"/>
            </w:tcBorders>
          </w:tcPr>
          <w:p>
            <w:pPr>
              <w:pStyle w:val="yTable"/>
              <w:spacing w:before="40" w:after="40"/>
            </w:pPr>
            <w:r>
              <w:t>Gym membership/Entry fees</w:t>
            </w:r>
            <w:r>
              <w:br/>
              <w:t>(Prior approval from insurer/self</w:t>
            </w:r>
            <w:r>
              <w:noBreakHyphen/>
              <w:t>insurer is required)</w:t>
            </w:r>
          </w:p>
        </w:tc>
        <w:tc>
          <w:tcPr>
            <w:tcW w:w="2026" w:type="dxa"/>
            <w:tcBorders>
              <w:bottom w:val="single" w:sz="4" w:space="0" w:color="auto"/>
            </w:tcBorders>
          </w:tcPr>
          <w:p>
            <w:pPr>
              <w:pStyle w:val="yTable"/>
              <w:spacing w:before="40" w:after="40"/>
            </w:pPr>
            <w:r>
              <w:t>Market rates</w:t>
            </w:r>
          </w:p>
        </w:tc>
      </w:tr>
      <w:tr>
        <w:trPr>
          <w:cantSplit/>
        </w:trPr>
        <w:tc>
          <w:tcPr>
            <w:tcW w:w="567" w:type="dxa"/>
            <w:tcBorders>
              <w:top w:val="single" w:sz="4" w:space="0" w:color="auto"/>
              <w:bottom w:val="single" w:sz="4" w:space="0" w:color="auto"/>
            </w:tcBorders>
          </w:tcPr>
          <w:p>
            <w:pPr>
              <w:pStyle w:val="yTable"/>
            </w:pPr>
            <w:r>
              <w:t>14.</w:t>
            </w:r>
          </w:p>
        </w:tc>
        <w:tc>
          <w:tcPr>
            <w:tcW w:w="4395" w:type="dxa"/>
            <w:tcBorders>
              <w:top w:val="single" w:sz="4" w:space="0" w:color="auto"/>
              <w:bottom w:val="single" w:sz="4" w:space="0" w:color="auto"/>
            </w:tcBorders>
          </w:tcPr>
          <w:p>
            <w:pPr>
              <w:pStyle w:val="yTable"/>
            </w:pPr>
            <w:r>
              <w:t>Travel, within metropolitan area</w:t>
            </w:r>
          </w:p>
        </w:tc>
        <w:tc>
          <w:tcPr>
            <w:tcW w:w="2026" w:type="dxa"/>
            <w:tcBorders>
              <w:top w:val="single" w:sz="4" w:space="0" w:color="auto"/>
              <w:bottom w:val="single" w:sz="4" w:space="0" w:color="auto"/>
            </w:tcBorders>
          </w:tcPr>
          <w:p>
            <w:pPr>
              <w:pStyle w:val="yTable"/>
            </w:pPr>
            <w:r>
              <w:t xml:space="preserve">32.53 per journey to a venue </w:t>
            </w:r>
          </w:p>
          <w:p>
            <w:pPr>
              <w:pStyle w:val="yTable"/>
            </w:pPr>
            <w:r>
              <w:t>(If a physiotherapist consults with more than one worker before leaving a venue, the fee for the journey to the venue is to be apportioned equally between the workers.)</w:t>
            </w:r>
          </w:p>
        </w:tc>
      </w:tr>
    </w:tbl>
    <w:p>
      <w:pPr>
        <w:pStyle w:val="yFootnoteheading"/>
      </w:pPr>
      <w:r>
        <w:tab/>
        <w:t>[Part 2 inserted in Gazette 10 Jan 2006 p. 69</w:t>
      </w:r>
      <w:r>
        <w:noBreakHyphen/>
        <w:t>70.]</w:t>
      </w:r>
    </w:p>
    <w:p>
      <w:pPr>
        <w:pStyle w:val="yScheduleHeading"/>
      </w:pPr>
      <w:bookmarkStart w:id="156" w:name="_Toc124579588"/>
      <w:bookmarkStart w:id="157" w:name="_Toc125442037"/>
      <w:bookmarkStart w:id="158" w:name="_Toc126569074"/>
      <w:bookmarkStart w:id="159" w:name="_Toc127601214"/>
      <w:bookmarkStart w:id="160" w:name="_Toc127668237"/>
      <w:bookmarkStart w:id="161" w:name="_Toc128452296"/>
      <w:bookmarkStart w:id="162" w:name="_Toc128796280"/>
      <w:bookmarkStart w:id="163" w:name="_Toc128796604"/>
      <w:bookmarkStart w:id="164" w:name="_Toc128807368"/>
      <w:bookmarkStart w:id="165" w:name="_Toc128807559"/>
      <w:bookmarkStart w:id="166" w:name="_Toc130871691"/>
      <w:r>
        <w:rPr>
          <w:rStyle w:val="CharSchNo"/>
        </w:rPr>
        <w:t>Schedule 3</w:t>
      </w:r>
      <w:r>
        <w:rPr>
          <w:rStyle w:val="CharSDivNo"/>
        </w:rPr>
        <w:t> </w:t>
      </w:r>
      <w:r>
        <w:t>—</w:t>
      </w:r>
      <w:r>
        <w:rPr>
          <w:rStyle w:val="CharSDivText"/>
        </w:rPr>
        <w:t> </w:t>
      </w:r>
      <w:r>
        <w:rPr>
          <w:rStyle w:val="CharSchText"/>
        </w:rPr>
        <w:t>Scale of fees — chiropractors</w:t>
      </w:r>
      <w:bookmarkEnd w:id="156"/>
      <w:bookmarkEnd w:id="157"/>
      <w:bookmarkEnd w:id="158"/>
      <w:bookmarkEnd w:id="159"/>
      <w:bookmarkEnd w:id="160"/>
      <w:bookmarkEnd w:id="161"/>
      <w:bookmarkEnd w:id="162"/>
      <w:bookmarkEnd w:id="163"/>
      <w:bookmarkEnd w:id="164"/>
      <w:bookmarkEnd w:id="165"/>
      <w:bookmarkEnd w:id="166"/>
    </w:p>
    <w:p>
      <w:pPr>
        <w:pStyle w:val="yShoulderClause"/>
        <w:spacing w:after="120"/>
      </w:pPr>
      <w:r>
        <w:t>[r. 4]</w:t>
      </w:r>
    </w:p>
    <w:p>
      <w:pPr>
        <w:pStyle w:val="yFootnoteheading"/>
        <w:spacing w:after="4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rPr>
          <w:tblHeader/>
        </w:trPr>
        <w:tc>
          <w:tcPr>
            <w:tcW w:w="567" w:type="dxa"/>
            <w:tcBorders>
              <w:top w:val="single" w:sz="4" w:space="0" w:color="auto"/>
              <w:bottom w:val="single" w:sz="4" w:space="0" w:color="auto"/>
            </w:tcBorders>
          </w:tcPr>
          <w:p>
            <w:pPr>
              <w:pStyle w:val="yTable"/>
              <w:spacing w:before="40" w:after="40"/>
              <w:jc w:val="right"/>
              <w:rPr>
                <w:b/>
              </w:rPr>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Pr>
          <w:p>
            <w:pPr>
              <w:pStyle w:val="yTable"/>
              <w:spacing w:before="120" w:after="40"/>
              <w:jc w:val="center"/>
            </w:pPr>
            <w:r>
              <w:t>1.</w:t>
            </w:r>
          </w:p>
        </w:tc>
        <w:tc>
          <w:tcPr>
            <w:tcW w:w="4819" w:type="dxa"/>
          </w:tcPr>
          <w:p>
            <w:pPr>
              <w:pStyle w:val="yTable"/>
              <w:spacing w:before="120" w:after="40"/>
            </w:pPr>
            <w:r>
              <w:t>Initial consultation and examination</w:t>
            </w:r>
          </w:p>
        </w:tc>
        <w:tc>
          <w:tcPr>
            <w:tcW w:w="1276" w:type="dxa"/>
          </w:tcPr>
          <w:p>
            <w:pPr>
              <w:pStyle w:val="yTable"/>
              <w:tabs>
                <w:tab w:val="decimal" w:pos="601"/>
              </w:tabs>
              <w:spacing w:before="120" w:after="40"/>
              <w:ind w:left="317" w:hanging="284"/>
            </w:pPr>
            <w:r>
              <w:t>45.25</w:t>
            </w:r>
          </w:p>
        </w:tc>
      </w:tr>
      <w:tr>
        <w:tc>
          <w:tcPr>
            <w:tcW w:w="567" w:type="dxa"/>
          </w:tcPr>
          <w:p>
            <w:pPr>
              <w:pStyle w:val="yTable"/>
              <w:spacing w:before="120" w:after="40"/>
              <w:jc w:val="center"/>
            </w:pPr>
            <w:r>
              <w:t>2.</w:t>
            </w:r>
          </w:p>
        </w:tc>
        <w:tc>
          <w:tcPr>
            <w:tcW w:w="4819" w:type="dxa"/>
          </w:tcPr>
          <w:p>
            <w:pPr>
              <w:pStyle w:val="yTable"/>
              <w:spacing w:before="120" w:after="40"/>
            </w:pPr>
            <w:r>
              <w:t>Subsequent consultation</w:t>
            </w:r>
          </w:p>
        </w:tc>
        <w:tc>
          <w:tcPr>
            <w:tcW w:w="1276" w:type="dxa"/>
          </w:tcPr>
          <w:p>
            <w:pPr>
              <w:pStyle w:val="yTable"/>
              <w:tabs>
                <w:tab w:val="decimal" w:pos="600"/>
              </w:tabs>
              <w:spacing w:before="120" w:after="40"/>
              <w:ind w:left="317" w:hanging="284"/>
            </w:pPr>
            <w:r>
              <w:t>37.75</w:t>
            </w:r>
          </w:p>
        </w:tc>
      </w:tr>
      <w:tr>
        <w:tc>
          <w:tcPr>
            <w:tcW w:w="567" w:type="dxa"/>
          </w:tcPr>
          <w:p>
            <w:pPr>
              <w:pStyle w:val="yTable"/>
              <w:spacing w:before="120" w:after="40"/>
              <w:jc w:val="center"/>
            </w:pPr>
            <w:r>
              <w:t>3.</w:t>
            </w:r>
          </w:p>
        </w:tc>
        <w:tc>
          <w:tcPr>
            <w:tcW w:w="4819" w:type="dxa"/>
          </w:tcPr>
          <w:p>
            <w:pPr>
              <w:pStyle w:val="yTable"/>
              <w:spacing w:before="120" w:after="40"/>
            </w:pPr>
            <w:r>
              <w:t>Spinal x</w:t>
            </w:r>
            <w:r>
              <w:noBreakHyphen/>
              <w:t>ray, one region</w:t>
            </w:r>
          </w:p>
        </w:tc>
        <w:tc>
          <w:tcPr>
            <w:tcW w:w="1276" w:type="dxa"/>
          </w:tcPr>
          <w:p>
            <w:pPr>
              <w:pStyle w:val="yTable"/>
              <w:tabs>
                <w:tab w:val="decimal" w:pos="600"/>
              </w:tabs>
              <w:spacing w:before="120" w:after="40"/>
              <w:ind w:left="317" w:hanging="284"/>
            </w:pPr>
            <w:r>
              <w:t>89.90</w:t>
            </w:r>
          </w:p>
        </w:tc>
      </w:tr>
      <w:tr>
        <w:tc>
          <w:tcPr>
            <w:tcW w:w="567" w:type="dxa"/>
          </w:tcPr>
          <w:p>
            <w:pPr>
              <w:pStyle w:val="yTable"/>
              <w:spacing w:before="120" w:after="40"/>
              <w:jc w:val="center"/>
            </w:pPr>
            <w:r>
              <w:t>4.</w:t>
            </w:r>
          </w:p>
        </w:tc>
        <w:tc>
          <w:tcPr>
            <w:tcW w:w="4819" w:type="dxa"/>
          </w:tcPr>
          <w:p>
            <w:pPr>
              <w:pStyle w:val="yTable"/>
              <w:spacing w:before="120" w:after="40"/>
            </w:pPr>
            <w:r>
              <w:t>Spinal x</w:t>
            </w:r>
            <w:r>
              <w:noBreakHyphen/>
              <w:t>ray, 2 or more regions</w:t>
            </w:r>
          </w:p>
        </w:tc>
        <w:tc>
          <w:tcPr>
            <w:tcW w:w="1276" w:type="dxa"/>
          </w:tcPr>
          <w:p>
            <w:pPr>
              <w:pStyle w:val="yTable"/>
              <w:tabs>
                <w:tab w:val="decimal" w:pos="600"/>
              </w:tabs>
              <w:spacing w:before="120" w:after="40"/>
              <w:ind w:left="317" w:hanging="284"/>
            </w:pPr>
            <w:r>
              <w:t>134.95</w:t>
            </w:r>
          </w:p>
        </w:tc>
      </w:tr>
      <w:tr>
        <w:tc>
          <w:tcPr>
            <w:tcW w:w="567" w:type="dxa"/>
            <w:tcBorders>
              <w:bottom w:val="single" w:sz="4" w:space="0" w:color="auto"/>
            </w:tcBorders>
          </w:tcPr>
          <w:p>
            <w:pPr>
              <w:pStyle w:val="yTable"/>
              <w:spacing w:before="120" w:after="40"/>
              <w:jc w:val="center"/>
            </w:pPr>
            <w:r>
              <w:t>5.</w:t>
            </w:r>
          </w:p>
        </w:tc>
        <w:tc>
          <w:tcPr>
            <w:tcW w:w="4819" w:type="dxa"/>
            <w:tcBorders>
              <w:bottom w:val="single" w:sz="4" w:space="0" w:color="auto"/>
            </w:tcBorders>
          </w:tcPr>
          <w:p>
            <w:pPr>
              <w:pStyle w:val="yTable"/>
              <w:spacing w:before="120" w:after="40"/>
            </w:pPr>
            <w:r>
              <w:t>Travel (per kilometre)</w:t>
            </w:r>
          </w:p>
        </w:tc>
        <w:tc>
          <w:tcPr>
            <w:tcW w:w="1276" w:type="dxa"/>
            <w:tcBorders>
              <w:bottom w:val="single" w:sz="4" w:space="0" w:color="auto"/>
            </w:tcBorders>
          </w:tcPr>
          <w:p>
            <w:pPr>
              <w:pStyle w:val="yTable"/>
              <w:tabs>
                <w:tab w:val="decimal" w:pos="600"/>
              </w:tabs>
              <w:spacing w:before="120" w:after="40"/>
              <w:ind w:left="317" w:hanging="284"/>
            </w:pPr>
            <w:r>
              <w:t>0.64</w:t>
            </w:r>
          </w:p>
        </w:tc>
      </w:tr>
    </w:tbl>
    <w:p>
      <w:pPr>
        <w:pStyle w:val="yFootnoteheading"/>
      </w:pPr>
      <w:r>
        <w:tab/>
        <w:t>[Schedule 3 inserted in Gazette 10 Jan 2006 p. 70.]</w:t>
      </w:r>
    </w:p>
    <w:p>
      <w:pPr>
        <w:pStyle w:val="yScheduleHeading"/>
      </w:pPr>
      <w:bookmarkStart w:id="167" w:name="_Toc124579589"/>
      <w:bookmarkStart w:id="168" w:name="_Toc125442038"/>
      <w:bookmarkStart w:id="169" w:name="_Toc126569075"/>
      <w:bookmarkStart w:id="170" w:name="_Toc127601215"/>
      <w:bookmarkStart w:id="171" w:name="_Toc127668238"/>
      <w:bookmarkStart w:id="172" w:name="_Toc128452297"/>
      <w:bookmarkStart w:id="173" w:name="_Toc128796281"/>
      <w:bookmarkStart w:id="174" w:name="_Toc128796605"/>
      <w:bookmarkStart w:id="175" w:name="_Toc128807369"/>
      <w:bookmarkStart w:id="176" w:name="_Toc128807560"/>
      <w:bookmarkStart w:id="177" w:name="_Toc130871692"/>
      <w:r>
        <w:rPr>
          <w:rStyle w:val="CharSchNo"/>
        </w:rPr>
        <w:t>Schedule 4</w:t>
      </w:r>
      <w:r>
        <w:t> — </w:t>
      </w:r>
      <w:r>
        <w:rPr>
          <w:rStyle w:val="CharSchText"/>
        </w:rPr>
        <w:t>Scale of fees — occupational therapists</w:t>
      </w:r>
      <w:bookmarkEnd w:id="167"/>
      <w:bookmarkEnd w:id="168"/>
      <w:bookmarkEnd w:id="169"/>
      <w:bookmarkEnd w:id="170"/>
      <w:bookmarkEnd w:id="171"/>
      <w:bookmarkEnd w:id="172"/>
      <w:bookmarkEnd w:id="173"/>
      <w:bookmarkEnd w:id="174"/>
      <w:bookmarkEnd w:id="175"/>
      <w:bookmarkEnd w:id="176"/>
      <w:bookmarkEnd w:id="177"/>
    </w:p>
    <w:p>
      <w:pPr>
        <w:pStyle w:val="yShoulderClause"/>
        <w:spacing w:after="120"/>
      </w:pPr>
      <w:r>
        <w:t>[r. 5]</w:t>
      </w:r>
    </w:p>
    <w:p>
      <w:pPr>
        <w:pStyle w:val="yFootnoteheading"/>
        <w:spacing w:after="6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Borders>
              <w:top w:val="single" w:sz="4" w:space="0" w:color="auto"/>
              <w:bottom w:val="single" w:sz="4" w:space="0" w:color="auto"/>
            </w:tcBorders>
          </w:tcPr>
          <w:p>
            <w:pPr>
              <w:pStyle w:val="yTable"/>
              <w:spacing w:before="40" w:after="40"/>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Borders>
              <w:top w:val="single" w:sz="4" w:space="0" w:color="auto"/>
            </w:tcBorders>
          </w:tcPr>
          <w:p>
            <w:pPr>
              <w:pStyle w:val="yTable"/>
              <w:spacing w:before="120" w:after="40"/>
            </w:pPr>
            <w:r>
              <w:t>1.</w:t>
            </w:r>
          </w:p>
        </w:tc>
        <w:tc>
          <w:tcPr>
            <w:tcW w:w="4819" w:type="dxa"/>
            <w:tcBorders>
              <w:top w:val="single" w:sz="4" w:space="0" w:color="auto"/>
            </w:tcBorders>
          </w:tcPr>
          <w:p>
            <w:pPr>
              <w:pStyle w:val="yTable"/>
              <w:spacing w:before="120" w:after="40"/>
            </w:pPr>
            <w:r>
              <w:t>Brief consultation (&lt; 15 minutes)</w:t>
            </w:r>
          </w:p>
        </w:tc>
        <w:tc>
          <w:tcPr>
            <w:tcW w:w="1276" w:type="dxa"/>
            <w:tcBorders>
              <w:top w:val="single" w:sz="4" w:space="0" w:color="auto"/>
            </w:tcBorders>
          </w:tcPr>
          <w:p>
            <w:pPr>
              <w:pStyle w:val="yTable"/>
              <w:tabs>
                <w:tab w:val="decimal" w:pos="317"/>
              </w:tabs>
              <w:spacing w:before="120" w:after="40"/>
            </w:pPr>
            <w:r>
              <w:t>19.55</w:t>
            </w:r>
          </w:p>
        </w:tc>
      </w:tr>
      <w:tr>
        <w:tc>
          <w:tcPr>
            <w:tcW w:w="567" w:type="dxa"/>
          </w:tcPr>
          <w:p>
            <w:pPr>
              <w:pStyle w:val="yTable"/>
              <w:spacing w:before="120" w:after="40"/>
            </w:pPr>
            <w:r>
              <w:t>2.</w:t>
            </w:r>
          </w:p>
        </w:tc>
        <w:tc>
          <w:tcPr>
            <w:tcW w:w="4819" w:type="dxa"/>
          </w:tcPr>
          <w:p>
            <w:pPr>
              <w:pStyle w:val="yTable"/>
              <w:spacing w:before="120" w:after="40"/>
            </w:pPr>
            <w:r>
              <w:t>Short consultation (15 minutes to &lt; 30 minutes)</w:t>
            </w:r>
          </w:p>
        </w:tc>
        <w:tc>
          <w:tcPr>
            <w:tcW w:w="1276" w:type="dxa"/>
          </w:tcPr>
          <w:p>
            <w:pPr>
              <w:pStyle w:val="yTable"/>
              <w:tabs>
                <w:tab w:val="decimal" w:pos="317"/>
              </w:tabs>
              <w:spacing w:before="120" w:after="40"/>
            </w:pPr>
            <w:r>
              <w:t>39.15</w:t>
            </w:r>
          </w:p>
        </w:tc>
      </w:tr>
      <w:tr>
        <w:tc>
          <w:tcPr>
            <w:tcW w:w="567" w:type="dxa"/>
          </w:tcPr>
          <w:p>
            <w:pPr>
              <w:pStyle w:val="yTable"/>
              <w:spacing w:before="120" w:after="40"/>
            </w:pPr>
            <w:r>
              <w:t>3.</w:t>
            </w:r>
          </w:p>
        </w:tc>
        <w:tc>
          <w:tcPr>
            <w:tcW w:w="4819" w:type="dxa"/>
          </w:tcPr>
          <w:p>
            <w:pPr>
              <w:pStyle w:val="yTable"/>
              <w:spacing w:before="120" w:after="40"/>
            </w:pPr>
            <w:r>
              <w:t>Standard consultation (30 minutes to &lt; 45 minutes)</w:t>
            </w:r>
          </w:p>
        </w:tc>
        <w:tc>
          <w:tcPr>
            <w:tcW w:w="1276" w:type="dxa"/>
          </w:tcPr>
          <w:p>
            <w:pPr>
              <w:pStyle w:val="yTable"/>
              <w:tabs>
                <w:tab w:val="decimal" w:pos="317"/>
              </w:tabs>
              <w:spacing w:before="120" w:after="40"/>
            </w:pPr>
            <w:r>
              <w:t>64.55</w:t>
            </w:r>
          </w:p>
        </w:tc>
      </w:tr>
      <w:tr>
        <w:tc>
          <w:tcPr>
            <w:tcW w:w="567" w:type="dxa"/>
          </w:tcPr>
          <w:p>
            <w:pPr>
              <w:pStyle w:val="yTable"/>
              <w:spacing w:before="120" w:after="40"/>
            </w:pPr>
            <w:r>
              <w:t>4.</w:t>
            </w:r>
          </w:p>
        </w:tc>
        <w:tc>
          <w:tcPr>
            <w:tcW w:w="4819" w:type="dxa"/>
          </w:tcPr>
          <w:p>
            <w:pPr>
              <w:pStyle w:val="yTable"/>
              <w:spacing w:before="120" w:after="40"/>
            </w:pPr>
            <w:r>
              <w:t>Extended consultation (45 minutes to &lt; one hour)</w:t>
            </w:r>
          </w:p>
        </w:tc>
        <w:tc>
          <w:tcPr>
            <w:tcW w:w="1276" w:type="dxa"/>
          </w:tcPr>
          <w:p>
            <w:pPr>
              <w:pStyle w:val="yTable"/>
              <w:tabs>
                <w:tab w:val="decimal" w:pos="317"/>
              </w:tabs>
              <w:spacing w:before="120" w:after="40"/>
            </w:pPr>
            <w:r>
              <w:t>96.80</w:t>
            </w:r>
          </w:p>
        </w:tc>
      </w:tr>
      <w:tr>
        <w:tc>
          <w:tcPr>
            <w:tcW w:w="567" w:type="dxa"/>
          </w:tcPr>
          <w:p>
            <w:pPr>
              <w:pStyle w:val="yTable"/>
              <w:spacing w:before="120" w:after="40"/>
            </w:pPr>
            <w:r>
              <w:t>5.</w:t>
            </w:r>
          </w:p>
        </w:tc>
        <w:tc>
          <w:tcPr>
            <w:tcW w:w="4819" w:type="dxa"/>
          </w:tcPr>
          <w:p>
            <w:pPr>
              <w:pStyle w:val="yTable"/>
              <w:spacing w:before="120" w:after="40"/>
            </w:pPr>
            <w:r>
              <w:t xml:space="preserve">Extended consultation ( </w:t>
            </w:r>
            <w:r>
              <w:rPr>
                <w:u w:val="single"/>
              </w:rPr>
              <w:t>&gt;</w:t>
            </w:r>
            <w:r>
              <w:t xml:space="preserve"> one hour)</w:t>
            </w:r>
          </w:p>
        </w:tc>
        <w:tc>
          <w:tcPr>
            <w:tcW w:w="1276" w:type="dxa"/>
          </w:tcPr>
          <w:p>
            <w:pPr>
              <w:pStyle w:val="yTable"/>
              <w:tabs>
                <w:tab w:val="decimal" w:pos="317"/>
              </w:tabs>
              <w:spacing w:before="120" w:after="40"/>
            </w:pPr>
            <w:r>
              <w:t>129.05</w:t>
            </w:r>
          </w:p>
        </w:tc>
      </w:tr>
      <w:tr>
        <w:tc>
          <w:tcPr>
            <w:tcW w:w="567" w:type="dxa"/>
          </w:tcPr>
          <w:p>
            <w:pPr>
              <w:pStyle w:val="yTable"/>
              <w:spacing w:before="120" w:after="40"/>
            </w:pPr>
            <w:r>
              <w:t>6.</w:t>
            </w:r>
          </w:p>
        </w:tc>
        <w:tc>
          <w:tcPr>
            <w:tcW w:w="4819" w:type="dxa"/>
          </w:tcPr>
          <w:p>
            <w:pPr>
              <w:pStyle w:val="yTable"/>
              <w:spacing w:before="120" w:after="40"/>
            </w:pPr>
            <w:r>
              <w:t>Standard group consultation (30 minutes) per person</w:t>
            </w:r>
          </w:p>
        </w:tc>
        <w:tc>
          <w:tcPr>
            <w:tcW w:w="1276" w:type="dxa"/>
          </w:tcPr>
          <w:p>
            <w:pPr>
              <w:pStyle w:val="yTable"/>
              <w:tabs>
                <w:tab w:val="decimal" w:pos="317"/>
              </w:tabs>
              <w:spacing w:before="120" w:after="40"/>
            </w:pPr>
            <w:r>
              <w:br/>
              <w:t>42.40</w:t>
            </w:r>
          </w:p>
        </w:tc>
      </w:tr>
      <w:tr>
        <w:trPr>
          <w:cantSplit/>
        </w:trPr>
        <w:tc>
          <w:tcPr>
            <w:tcW w:w="567" w:type="dxa"/>
            <w:tcBorders>
              <w:bottom w:val="single" w:sz="4" w:space="0" w:color="auto"/>
            </w:tcBorders>
          </w:tcPr>
          <w:p>
            <w:pPr>
              <w:pStyle w:val="yTable"/>
              <w:spacing w:before="120" w:after="40"/>
            </w:pPr>
            <w:r>
              <w:t>7.</w:t>
            </w:r>
          </w:p>
        </w:tc>
        <w:tc>
          <w:tcPr>
            <w:tcW w:w="6095" w:type="dxa"/>
            <w:gridSpan w:val="2"/>
            <w:tcBorders>
              <w:bottom w:val="single" w:sz="4" w:space="0" w:color="auto"/>
            </w:tcBorders>
          </w:tcPr>
          <w:p>
            <w:pPr>
              <w:pStyle w:val="yTable"/>
              <w:spacing w:before="120" w:after="40"/>
            </w:pPr>
            <w:r>
              <w:t>Travel costs are to be calculated at the hourly rate by the length of time spent travelling.</w:t>
            </w:r>
          </w:p>
        </w:tc>
      </w:tr>
    </w:tbl>
    <w:p>
      <w:pPr>
        <w:pStyle w:val="yFootnoteheading"/>
      </w:pPr>
      <w:r>
        <w:tab/>
        <w:t>[Schedule 4 inserted in Gazette 10 Jan 2006 p. 70.]</w:t>
      </w:r>
    </w:p>
    <w:p>
      <w:pPr>
        <w:pStyle w:val="yScheduleHeading"/>
      </w:pPr>
      <w:bookmarkStart w:id="178" w:name="_Toc124579590"/>
      <w:bookmarkStart w:id="179" w:name="_Toc125442039"/>
      <w:bookmarkStart w:id="180" w:name="_Toc126569076"/>
      <w:bookmarkStart w:id="181" w:name="_Toc127601216"/>
      <w:bookmarkStart w:id="182" w:name="_Toc127668239"/>
      <w:bookmarkStart w:id="183" w:name="_Toc128452298"/>
      <w:bookmarkStart w:id="184" w:name="_Toc128796282"/>
      <w:bookmarkStart w:id="185" w:name="_Toc128796606"/>
      <w:bookmarkStart w:id="186" w:name="_Toc128807370"/>
      <w:bookmarkStart w:id="187" w:name="_Toc128807561"/>
      <w:bookmarkStart w:id="188" w:name="_Toc130871693"/>
      <w:r>
        <w:rPr>
          <w:rStyle w:val="CharSchNo"/>
        </w:rPr>
        <w:t>Schedule 5</w:t>
      </w:r>
      <w:r>
        <w:t> — </w:t>
      </w:r>
      <w:r>
        <w:rPr>
          <w:rStyle w:val="CharSchText"/>
        </w:rPr>
        <w:t>Scale of fees — speech pathologists</w:t>
      </w:r>
      <w:bookmarkEnd w:id="178"/>
      <w:bookmarkEnd w:id="179"/>
      <w:bookmarkEnd w:id="180"/>
      <w:bookmarkEnd w:id="181"/>
      <w:bookmarkEnd w:id="182"/>
      <w:bookmarkEnd w:id="183"/>
      <w:bookmarkEnd w:id="184"/>
      <w:bookmarkEnd w:id="185"/>
      <w:bookmarkEnd w:id="186"/>
      <w:bookmarkEnd w:id="187"/>
      <w:bookmarkEnd w:id="188"/>
    </w:p>
    <w:p>
      <w:pPr>
        <w:pStyle w:val="yShoulderClause"/>
      </w:pPr>
      <w:r>
        <w:t>[r. 7]</w:t>
      </w:r>
    </w:p>
    <w:p>
      <w:pPr>
        <w:pStyle w:val="yFootnoteheading"/>
        <w:spacing w:after="60"/>
      </w:pPr>
      <w:r>
        <w:tab/>
        <w:t>[Heading inserted in Gazette 10 Jan 2006 p. 71.]</w:t>
      </w:r>
    </w:p>
    <w:tbl>
      <w:tblPr>
        <w:tblW w:w="0" w:type="auto"/>
        <w:tblInd w:w="392" w:type="dxa"/>
        <w:tblLayout w:type="fixed"/>
        <w:tblLook w:val="0000" w:firstRow="0" w:lastRow="0" w:firstColumn="0" w:lastColumn="0" w:noHBand="0" w:noVBand="0"/>
      </w:tblPr>
      <w:tblGrid>
        <w:gridCol w:w="567"/>
        <w:gridCol w:w="4819"/>
        <w:gridCol w:w="1134"/>
      </w:tblGrid>
      <w:tr>
        <w:tc>
          <w:tcPr>
            <w:tcW w:w="567" w:type="dxa"/>
            <w:tcBorders>
              <w:top w:val="single" w:sz="4" w:space="0" w:color="auto"/>
              <w:bottom w:val="single" w:sz="4" w:space="0" w:color="auto"/>
            </w:tcBorders>
          </w:tcPr>
          <w:p>
            <w:pPr>
              <w:pStyle w:val="yTable"/>
              <w:spacing w:before="120"/>
            </w:pPr>
          </w:p>
        </w:tc>
        <w:tc>
          <w:tcPr>
            <w:tcW w:w="4819" w:type="dxa"/>
            <w:tcBorders>
              <w:top w:val="single" w:sz="4" w:space="0" w:color="auto"/>
              <w:bottom w:val="single" w:sz="4" w:space="0" w:color="auto"/>
            </w:tcBorders>
          </w:tcPr>
          <w:p>
            <w:pPr>
              <w:pStyle w:val="yTable"/>
              <w:spacing w:before="120"/>
              <w:rPr>
                <w:b/>
              </w:rPr>
            </w:pPr>
            <w:r>
              <w:rPr>
                <w:b/>
              </w:rPr>
              <w:t>Type of service</w:t>
            </w:r>
          </w:p>
        </w:tc>
        <w:tc>
          <w:tcPr>
            <w:tcW w:w="1134" w:type="dxa"/>
            <w:tcBorders>
              <w:top w:val="single" w:sz="4" w:space="0" w:color="auto"/>
              <w:bottom w:val="single" w:sz="4" w:space="0" w:color="auto"/>
            </w:tcBorders>
          </w:tcPr>
          <w:p>
            <w:pPr>
              <w:pStyle w:val="yTable"/>
              <w:spacing w:before="120"/>
              <w:jc w:val="center"/>
              <w:rPr>
                <w:b/>
              </w:rPr>
            </w:pPr>
            <w:r>
              <w:rPr>
                <w:b/>
              </w:rPr>
              <w:t>Fee</w:t>
            </w:r>
          </w:p>
          <w:p>
            <w:pPr>
              <w:pStyle w:val="yTable"/>
              <w:spacing w:before="120"/>
              <w:jc w:val="center"/>
              <w:rPr>
                <w:b/>
              </w:rPr>
            </w:pPr>
            <w:r>
              <w:rPr>
                <w:b/>
              </w:rPr>
              <w:t>$</w:t>
            </w:r>
          </w:p>
        </w:tc>
      </w:tr>
      <w:tr>
        <w:tc>
          <w:tcPr>
            <w:tcW w:w="567" w:type="dxa"/>
            <w:tcBorders>
              <w:top w:val="single" w:sz="4" w:space="0" w:color="auto"/>
            </w:tcBorders>
          </w:tcPr>
          <w:p>
            <w:pPr>
              <w:pStyle w:val="yTable"/>
              <w:spacing w:before="120"/>
            </w:pPr>
            <w:r>
              <w:t>1.</w:t>
            </w:r>
          </w:p>
        </w:tc>
        <w:tc>
          <w:tcPr>
            <w:tcW w:w="4819" w:type="dxa"/>
            <w:tcBorders>
              <w:top w:val="single" w:sz="4" w:space="0" w:color="auto"/>
            </w:tcBorders>
          </w:tcPr>
          <w:p>
            <w:pPr>
              <w:pStyle w:val="yTable"/>
              <w:spacing w:before="120"/>
            </w:pPr>
            <w:r>
              <w:t>Initial consultation/assessment (up to and including 1 hour)</w:t>
            </w:r>
          </w:p>
        </w:tc>
        <w:tc>
          <w:tcPr>
            <w:tcW w:w="1134" w:type="dxa"/>
            <w:tcBorders>
              <w:top w:val="single" w:sz="4" w:space="0" w:color="auto"/>
            </w:tcBorders>
          </w:tcPr>
          <w:p>
            <w:pPr>
              <w:pStyle w:val="yTable"/>
              <w:spacing w:before="120"/>
              <w:ind w:right="175"/>
              <w:jc w:val="right"/>
            </w:pPr>
            <w:r>
              <w:br/>
              <w:t>$119.25</w:t>
            </w:r>
          </w:p>
        </w:tc>
      </w:tr>
      <w:tr>
        <w:tc>
          <w:tcPr>
            <w:tcW w:w="567" w:type="dxa"/>
          </w:tcPr>
          <w:p>
            <w:pPr>
              <w:pStyle w:val="yTable"/>
              <w:spacing w:before="120"/>
            </w:pPr>
            <w:r>
              <w:t>2.</w:t>
            </w:r>
          </w:p>
        </w:tc>
        <w:tc>
          <w:tcPr>
            <w:tcW w:w="4819" w:type="dxa"/>
          </w:tcPr>
          <w:p>
            <w:pPr>
              <w:pStyle w:val="yTable"/>
              <w:spacing w:before="120"/>
            </w:pPr>
            <w:r>
              <w:t>Initial consultation/assessment (exceeding 1 hour)</w:t>
            </w:r>
          </w:p>
        </w:tc>
        <w:tc>
          <w:tcPr>
            <w:tcW w:w="1134" w:type="dxa"/>
          </w:tcPr>
          <w:p>
            <w:pPr>
              <w:pStyle w:val="yTable"/>
              <w:spacing w:before="120"/>
              <w:ind w:right="176"/>
              <w:jc w:val="right"/>
            </w:pPr>
            <w:r>
              <w:t>$154.50</w:t>
            </w:r>
          </w:p>
        </w:tc>
      </w:tr>
      <w:tr>
        <w:tc>
          <w:tcPr>
            <w:tcW w:w="567" w:type="dxa"/>
          </w:tcPr>
          <w:p>
            <w:pPr>
              <w:pStyle w:val="yTable"/>
              <w:spacing w:before="120"/>
            </w:pPr>
            <w:r>
              <w:t>3.</w:t>
            </w:r>
          </w:p>
        </w:tc>
        <w:tc>
          <w:tcPr>
            <w:tcW w:w="4819" w:type="dxa"/>
          </w:tcPr>
          <w:p>
            <w:pPr>
              <w:pStyle w:val="yTable"/>
              <w:spacing w:before="120"/>
            </w:pPr>
            <w:r>
              <w:t>Subsequent consultation (&lt;½ hour)</w:t>
            </w:r>
          </w:p>
        </w:tc>
        <w:tc>
          <w:tcPr>
            <w:tcW w:w="1134" w:type="dxa"/>
          </w:tcPr>
          <w:p>
            <w:pPr>
              <w:pStyle w:val="yTable"/>
              <w:spacing w:before="120"/>
              <w:ind w:right="175"/>
              <w:jc w:val="right"/>
            </w:pPr>
            <w:r>
              <w:t>$52.10</w:t>
            </w:r>
          </w:p>
        </w:tc>
      </w:tr>
      <w:tr>
        <w:tc>
          <w:tcPr>
            <w:tcW w:w="567" w:type="dxa"/>
          </w:tcPr>
          <w:p>
            <w:pPr>
              <w:pStyle w:val="yTable"/>
              <w:spacing w:before="120"/>
            </w:pPr>
            <w:r>
              <w:t>4.</w:t>
            </w:r>
          </w:p>
        </w:tc>
        <w:tc>
          <w:tcPr>
            <w:tcW w:w="4819" w:type="dxa"/>
          </w:tcPr>
          <w:p>
            <w:pPr>
              <w:pStyle w:val="yTable"/>
              <w:spacing w:before="120"/>
            </w:pPr>
            <w:r>
              <w:t>Subsequent consultation (½ hour – 1 hour)</w:t>
            </w:r>
          </w:p>
        </w:tc>
        <w:tc>
          <w:tcPr>
            <w:tcW w:w="1134" w:type="dxa"/>
          </w:tcPr>
          <w:p>
            <w:pPr>
              <w:pStyle w:val="yTable"/>
              <w:spacing w:before="120"/>
              <w:ind w:right="175"/>
              <w:jc w:val="right"/>
            </w:pPr>
            <w:r>
              <w:t>$67.55</w:t>
            </w:r>
          </w:p>
        </w:tc>
      </w:tr>
      <w:tr>
        <w:tc>
          <w:tcPr>
            <w:tcW w:w="567" w:type="dxa"/>
            <w:tcBorders>
              <w:bottom w:val="single" w:sz="4" w:space="0" w:color="auto"/>
            </w:tcBorders>
          </w:tcPr>
          <w:p>
            <w:pPr>
              <w:pStyle w:val="yTable"/>
              <w:spacing w:before="120"/>
            </w:pPr>
            <w:r>
              <w:t>5.</w:t>
            </w:r>
          </w:p>
        </w:tc>
        <w:tc>
          <w:tcPr>
            <w:tcW w:w="4819" w:type="dxa"/>
            <w:tcBorders>
              <w:bottom w:val="single" w:sz="4" w:space="0" w:color="auto"/>
            </w:tcBorders>
          </w:tcPr>
          <w:p>
            <w:pPr>
              <w:pStyle w:val="yTable"/>
              <w:spacing w:before="120"/>
            </w:pPr>
            <w:r>
              <w:t>Subsequent consultation (&gt;1 hour)</w:t>
            </w:r>
          </w:p>
        </w:tc>
        <w:tc>
          <w:tcPr>
            <w:tcW w:w="1134" w:type="dxa"/>
            <w:tcBorders>
              <w:bottom w:val="single" w:sz="4" w:space="0" w:color="auto"/>
            </w:tcBorders>
          </w:tcPr>
          <w:p>
            <w:pPr>
              <w:pStyle w:val="yTable"/>
              <w:spacing w:before="120"/>
              <w:ind w:right="175"/>
              <w:jc w:val="right"/>
            </w:pPr>
            <w:r>
              <w:t>$91.20</w:t>
            </w:r>
          </w:p>
        </w:tc>
      </w:tr>
    </w:tbl>
    <w:p>
      <w:pPr>
        <w:pStyle w:val="yFootnoteheading"/>
        <w:spacing w:before="80"/>
      </w:pPr>
      <w:r>
        <w:tab/>
        <w:t>[Schedule 5 inserted in Gazette 10 Jan 2006 p. 71.]</w:t>
      </w:r>
    </w:p>
    <w:p>
      <w:pPr>
        <w:pStyle w:val="yScheduleHeading"/>
      </w:pPr>
      <w:bookmarkStart w:id="189" w:name="_Toc124579591"/>
      <w:bookmarkStart w:id="190" w:name="_Toc125442040"/>
      <w:bookmarkStart w:id="191" w:name="_Toc126569077"/>
      <w:bookmarkStart w:id="192" w:name="_Toc127601217"/>
      <w:bookmarkStart w:id="193" w:name="_Toc127668240"/>
      <w:bookmarkStart w:id="194" w:name="_Toc128452299"/>
      <w:bookmarkStart w:id="195" w:name="_Toc128796283"/>
      <w:bookmarkStart w:id="196" w:name="_Toc128796607"/>
      <w:bookmarkStart w:id="197" w:name="_Toc128807371"/>
      <w:bookmarkStart w:id="198" w:name="_Toc128807562"/>
      <w:bookmarkStart w:id="199" w:name="_Toc130871694"/>
      <w:r>
        <w:rPr>
          <w:rStyle w:val="CharSchNo"/>
        </w:rPr>
        <w:t>Schedule 6</w:t>
      </w:r>
      <w:r>
        <w:t> — </w:t>
      </w:r>
      <w:r>
        <w:rPr>
          <w:rStyle w:val="CharSchText"/>
        </w:rPr>
        <w:t>Scale of maximum fees — approved medical specialists</w:t>
      </w:r>
      <w:bookmarkEnd w:id="131"/>
      <w:bookmarkEnd w:id="132"/>
      <w:bookmarkEnd w:id="133"/>
      <w:bookmarkEnd w:id="189"/>
      <w:bookmarkEnd w:id="190"/>
      <w:bookmarkEnd w:id="191"/>
      <w:bookmarkEnd w:id="192"/>
      <w:bookmarkEnd w:id="193"/>
      <w:bookmarkEnd w:id="194"/>
      <w:bookmarkEnd w:id="195"/>
      <w:bookmarkEnd w:id="196"/>
      <w:bookmarkEnd w:id="197"/>
      <w:bookmarkEnd w:id="198"/>
      <w:bookmarkEnd w:id="199"/>
    </w:p>
    <w:p>
      <w:pPr>
        <w:pStyle w:val="yShoulderClause"/>
      </w:pPr>
      <w:r>
        <w:t>[r. 9]</w:t>
      </w:r>
    </w:p>
    <w:p>
      <w:pPr>
        <w:pStyle w:val="yFootnoteheading"/>
        <w:spacing w:before="0"/>
      </w:pPr>
      <w:r>
        <w:tab/>
        <w:t>[Heading inserted in Gazette 11 Nov 2005 p. 5568.]</w:t>
      </w:r>
    </w:p>
    <w:p>
      <w:pPr>
        <w:pStyle w:val="yHeading3"/>
      </w:pPr>
      <w:bookmarkStart w:id="200" w:name="_Toc119464659"/>
      <w:bookmarkStart w:id="201" w:name="_Toc119464803"/>
      <w:bookmarkStart w:id="202" w:name="_Toc119466408"/>
      <w:bookmarkStart w:id="203" w:name="_Toc124579592"/>
      <w:bookmarkStart w:id="204" w:name="_Toc125442041"/>
      <w:bookmarkStart w:id="205" w:name="_Toc126569078"/>
      <w:bookmarkStart w:id="206" w:name="_Toc127601218"/>
      <w:bookmarkStart w:id="207" w:name="_Toc127668241"/>
      <w:bookmarkStart w:id="208" w:name="_Toc128452300"/>
      <w:bookmarkStart w:id="209" w:name="_Toc128796284"/>
      <w:bookmarkStart w:id="210" w:name="_Toc128796608"/>
      <w:bookmarkStart w:id="211" w:name="_Toc128807372"/>
      <w:bookmarkStart w:id="212" w:name="_Toc128807563"/>
      <w:bookmarkStart w:id="213" w:name="_Toc130871695"/>
      <w:r>
        <w:rPr>
          <w:rStyle w:val="CharSDivNo"/>
          <w:snapToGrid w:val="0"/>
          <w:sz w:val="28"/>
        </w:rPr>
        <w:t>Part 1</w:t>
      </w:r>
      <w:r>
        <w:rPr>
          <w:b w:val="0"/>
        </w:rPr>
        <w:t xml:space="preserve"> — </w:t>
      </w:r>
      <w:r>
        <w:rPr>
          <w:rStyle w:val="CharSDivText"/>
          <w:sz w:val="28"/>
        </w:rPr>
        <w:t>Assessments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Footnoteheading"/>
        <w:spacing w:after="40"/>
      </w:pPr>
      <w:r>
        <w:tab/>
        <w:t>[Heading inserted in Gazette 11 Nov 2005 p. 5568.]</w:t>
      </w:r>
    </w:p>
    <w:tbl>
      <w:tblPr>
        <w:tblW w:w="0" w:type="auto"/>
        <w:tblInd w:w="108" w:type="dxa"/>
        <w:tblLayout w:type="fixed"/>
        <w:tblLook w:val="0000" w:firstRow="0" w:lastRow="0" w:firstColumn="0" w:lastColumn="0" w:noHBand="0" w:noVBand="0"/>
      </w:tblPr>
      <w:tblGrid>
        <w:gridCol w:w="840"/>
        <w:gridCol w:w="3696"/>
        <w:gridCol w:w="2552"/>
      </w:tblGrid>
      <w:tr>
        <w:trPr>
          <w:cantSplit/>
          <w:tblHeader/>
        </w:trPr>
        <w:tc>
          <w:tcPr>
            <w:tcW w:w="840" w:type="dxa"/>
            <w:tcBorders>
              <w:top w:val="single" w:sz="4" w:space="0" w:color="auto"/>
              <w:bottom w:val="single" w:sz="4" w:space="0" w:color="auto"/>
            </w:tcBorders>
          </w:tcPr>
          <w:p>
            <w:pPr>
              <w:pStyle w:val="zytable"/>
              <w:spacing w:before="20"/>
              <w:jc w:val="center"/>
              <w:rPr>
                <w:b/>
              </w:rPr>
            </w:pPr>
          </w:p>
        </w:tc>
        <w:tc>
          <w:tcPr>
            <w:tcW w:w="3696" w:type="dxa"/>
            <w:tcBorders>
              <w:top w:val="single" w:sz="4" w:space="0" w:color="auto"/>
              <w:bottom w:val="single" w:sz="4" w:space="0" w:color="auto"/>
            </w:tcBorders>
          </w:tcPr>
          <w:p>
            <w:pPr>
              <w:pStyle w:val="yTable"/>
              <w:spacing w:before="20"/>
              <w:jc w:val="center"/>
            </w:pPr>
            <w:r>
              <w:rPr>
                <w:b/>
              </w:rPr>
              <w:t>Description of assessment</w:t>
            </w:r>
          </w:p>
        </w:tc>
        <w:tc>
          <w:tcPr>
            <w:tcW w:w="2552" w:type="dxa"/>
            <w:tcBorders>
              <w:top w:val="single" w:sz="4" w:space="0" w:color="auto"/>
              <w:bottom w:val="single" w:sz="4" w:space="0" w:color="auto"/>
            </w:tcBorders>
          </w:tcPr>
          <w:p>
            <w:pPr>
              <w:pStyle w:val="yTable"/>
              <w:spacing w:before="20"/>
              <w:jc w:val="center"/>
            </w:pPr>
            <w:r>
              <w:rPr>
                <w:b/>
              </w:rPr>
              <w:t>Maximum fee</w:t>
            </w:r>
          </w:p>
        </w:tc>
      </w:tr>
      <w:tr>
        <w:tc>
          <w:tcPr>
            <w:tcW w:w="840" w:type="dxa"/>
          </w:tcPr>
          <w:p>
            <w:pPr>
              <w:pStyle w:val="yTable"/>
              <w:spacing w:before="20"/>
            </w:pPr>
            <w:r>
              <w:t>1.</w:t>
            </w:r>
          </w:p>
        </w:tc>
        <w:tc>
          <w:tcPr>
            <w:tcW w:w="3696" w:type="dxa"/>
          </w:tcPr>
          <w:p>
            <w:pPr>
              <w:pStyle w:val="yTable"/>
              <w:spacing w:before="20"/>
            </w:pPr>
            <w:r>
              <w:t>Examination and provision of report and certificate — straightforward assessment — other than a service mentioned in item 4, 5, 6 or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2.</w:t>
            </w:r>
          </w:p>
        </w:tc>
        <w:tc>
          <w:tcPr>
            <w:tcW w:w="3696" w:type="dxa"/>
          </w:tcPr>
          <w:p>
            <w:pPr>
              <w:pStyle w:val="yTable"/>
              <w:spacing w:before="20"/>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spacing w:before="20"/>
            </w:pPr>
            <w:r>
              <w:t>$1 100 (or, if an interpreter is present at the examination, $1 320 excluding any fee payable to the interpreter)</w:t>
            </w:r>
          </w:p>
        </w:tc>
      </w:tr>
      <w:tr>
        <w:tc>
          <w:tcPr>
            <w:tcW w:w="840" w:type="dxa"/>
          </w:tcPr>
          <w:p>
            <w:pPr>
              <w:pStyle w:val="yTable"/>
              <w:spacing w:before="20"/>
            </w:pPr>
            <w:r>
              <w:t>3.</w:t>
            </w:r>
          </w:p>
        </w:tc>
        <w:tc>
          <w:tcPr>
            <w:tcW w:w="3696" w:type="dxa"/>
          </w:tcPr>
          <w:p>
            <w:pPr>
              <w:pStyle w:val="yTable"/>
              <w:spacing w:before="20"/>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spacing w:before="20"/>
            </w:pPr>
            <w:r>
              <w:t>$1 320 (or, if an interpreter is present at the examination, $1 540 excluding any fee payable to the interpreter)</w:t>
            </w:r>
          </w:p>
        </w:tc>
      </w:tr>
      <w:tr>
        <w:tc>
          <w:tcPr>
            <w:tcW w:w="840" w:type="dxa"/>
          </w:tcPr>
          <w:p>
            <w:pPr>
              <w:pStyle w:val="yTable"/>
              <w:spacing w:before="20"/>
            </w:pPr>
            <w:r>
              <w:t>4.</w:t>
            </w:r>
          </w:p>
        </w:tc>
        <w:tc>
          <w:tcPr>
            <w:tcW w:w="3696" w:type="dxa"/>
          </w:tcPr>
          <w:p>
            <w:pPr>
              <w:pStyle w:val="yTable"/>
              <w:spacing w:before="20"/>
            </w:pPr>
            <w:r>
              <w:t>Examination of any of ear, nose and throat only, including audiometric testing, and provision of report and certificate — other than a service mentioned in item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5.</w:t>
            </w:r>
          </w:p>
        </w:tc>
        <w:tc>
          <w:tcPr>
            <w:tcW w:w="3696" w:type="dxa"/>
          </w:tcPr>
          <w:p>
            <w:pPr>
              <w:pStyle w:val="yTable"/>
              <w:spacing w:before="20"/>
            </w:pPr>
            <w:r>
              <w:t>Examination and provision of report and certificate — psychiatric — standard assessment — other than a service mentioned in item 8</w:t>
            </w:r>
          </w:p>
        </w:tc>
        <w:tc>
          <w:tcPr>
            <w:tcW w:w="2552" w:type="dxa"/>
          </w:tcPr>
          <w:p>
            <w:pPr>
              <w:pStyle w:val="yTable"/>
              <w:spacing w:before="20"/>
            </w:pPr>
            <w:r>
              <w:t>$1 320 (or, if an interpreter is present at the examination, $1 540 excluding any fee payable to the interpreter)</w:t>
            </w:r>
          </w:p>
        </w:tc>
      </w:tr>
      <w:tr>
        <w:trPr>
          <w:cantSplit/>
        </w:trPr>
        <w:tc>
          <w:tcPr>
            <w:tcW w:w="840" w:type="dxa"/>
          </w:tcPr>
          <w:p>
            <w:pPr>
              <w:pStyle w:val="yTable"/>
              <w:spacing w:before="20"/>
            </w:pPr>
            <w:r>
              <w:t>6.</w:t>
            </w:r>
          </w:p>
        </w:tc>
        <w:tc>
          <w:tcPr>
            <w:tcW w:w="3696" w:type="dxa"/>
          </w:tcPr>
          <w:p>
            <w:pPr>
              <w:pStyle w:val="yTable"/>
              <w:spacing w:before="20"/>
            </w:pPr>
            <w:r>
              <w:t>Examination and provision of report and certificate — psychiatric — complex assessment (eg. reviewing significant documented prior psychiatric history) — other than a service mentioned in item 8</w:t>
            </w:r>
          </w:p>
        </w:tc>
        <w:tc>
          <w:tcPr>
            <w:tcW w:w="2552" w:type="dxa"/>
          </w:tcPr>
          <w:p>
            <w:pPr>
              <w:pStyle w:val="yTable"/>
              <w:spacing w:before="20"/>
            </w:pPr>
            <w:r>
              <w:t>$2 200 (or, if an interpreter is present at the examination, $2 420 excluding any fee payable to the interpreter)</w:t>
            </w:r>
          </w:p>
        </w:tc>
      </w:tr>
      <w:tr>
        <w:tc>
          <w:tcPr>
            <w:tcW w:w="840" w:type="dxa"/>
          </w:tcPr>
          <w:p>
            <w:pPr>
              <w:pStyle w:val="yTable"/>
              <w:spacing w:before="20"/>
            </w:pPr>
            <w:r>
              <w:t>7.</w:t>
            </w:r>
          </w:p>
        </w:tc>
        <w:tc>
          <w:tcPr>
            <w:tcW w:w="3696" w:type="dxa"/>
          </w:tcPr>
          <w:p>
            <w:pPr>
              <w:pStyle w:val="yTable"/>
              <w:spacing w:before="20"/>
            </w:pPr>
            <w:r>
              <w:t>Consolidation of written assessments from multiple assessors</w:t>
            </w:r>
          </w:p>
        </w:tc>
        <w:tc>
          <w:tcPr>
            <w:tcW w:w="2552" w:type="dxa"/>
          </w:tcPr>
          <w:p>
            <w:pPr>
              <w:pStyle w:val="yTable"/>
              <w:spacing w:before="20"/>
            </w:pPr>
            <w:r>
              <w:t>$440</w:t>
            </w:r>
          </w:p>
        </w:tc>
      </w:tr>
      <w:tr>
        <w:tc>
          <w:tcPr>
            <w:tcW w:w="840" w:type="dxa"/>
          </w:tcPr>
          <w:p>
            <w:pPr>
              <w:pStyle w:val="yTable"/>
              <w:spacing w:before="20"/>
            </w:pPr>
            <w:r>
              <w:t>8.</w:t>
            </w:r>
          </w:p>
        </w:tc>
        <w:tc>
          <w:tcPr>
            <w:tcW w:w="3696" w:type="dxa"/>
          </w:tcPr>
          <w:p>
            <w:pPr>
              <w:pStyle w:val="yTable"/>
              <w:spacing w:before="20"/>
            </w:pPr>
            <w:r>
              <w:t>Re</w:t>
            </w:r>
            <w:r>
              <w:noBreakHyphen/>
              <w:t>examination and provision of report and certificate</w:t>
            </w:r>
          </w:p>
        </w:tc>
        <w:tc>
          <w:tcPr>
            <w:tcW w:w="2552" w:type="dxa"/>
          </w:tcPr>
          <w:p>
            <w:pPr>
              <w:pStyle w:val="yTable"/>
              <w:spacing w:before="20"/>
            </w:pPr>
            <w:r>
              <w:t>$660 (or, if an interpreter is present at the examination, $880 excluding any fee payable to the interpreter)</w:t>
            </w:r>
          </w:p>
        </w:tc>
      </w:tr>
      <w:tr>
        <w:tc>
          <w:tcPr>
            <w:tcW w:w="840" w:type="dxa"/>
            <w:tcBorders>
              <w:bottom w:val="single" w:sz="4" w:space="0" w:color="auto"/>
            </w:tcBorders>
          </w:tcPr>
          <w:p>
            <w:pPr>
              <w:pStyle w:val="yTable"/>
              <w:spacing w:before="20"/>
            </w:pPr>
            <w:r>
              <w:t>9.</w:t>
            </w:r>
          </w:p>
        </w:tc>
        <w:tc>
          <w:tcPr>
            <w:tcW w:w="3696" w:type="dxa"/>
            <w:tcBorders>
              <w:bottom w:val="single" w:sz="4" w:space="0" w:color="auto"/>
            </w:tcBorders>
          </w:tcPr>
          <w:p>
            <w:pPr>
              <w:pStyle w:val="yTable"/>
              <w:spacing w:before="20"/>
            </w:pPr>
            <w:r>
              <w:t>Provision of supplementary report and certificate</w:t>
            </w:r>
          </w:p>
        </w:tc>
        <w:tc>
          <w:tcPr>
            <w:tcW w:w="2552" w:type="dxa"/>
            <w:tcBorders>
              <w:bottom w:val="single" w:sz="4" w:space="0" w:color="auto"/>
            </w:tcBorders>
          </w:tcPr>
          <w:p>
            <w:pPr>
              <w:pStyle w:val="yTable"/>
              <w:spacing w:before="20"/>
            </w:pPr>
            <w:r>
              <w:t>$220</w:t>
            </w:r>
          </w:p>
        </w:tc>
      </w:tr>
    </w:tbl>
    <w:p>
      <w:pPr>
        <w:pStyle w:val="yFootnotesection"/>
      </w:pPr>
      <w:r>
        <w:tab/>
        <w:t>[Part 1 inserted in Gazette 11 Nov 2005 p. 5568</w:t>
      </w:r>
      <w:r>
        <w:noBreakHyphen/>
        <w:t>9.]</w:t>
      </w:r>
    </w:p>
    <w:p>
      <w:pPr>
        <w:pStyle w:val="yHeading3"/>
      </w:pPr>
      <w:bookmarkStart w:id="214" w:name="_Toc119464660"/>
      <w:bookmarkStart w:id="215" w:name="_Toc119464804"/>
      <w:bookmarkStart w:id="216" w:name="_Toc119466409"/>
      <w:bookmarkStart w:id="217" w:name="_Toc124579593"/>
      <w:bookmarkStart w:id="218" w:name="_Toc125442042"/>
      <w:bookmarkStart w:id="219" w:name="_Toc126569079"/>
      <w:bookmarkStart w:id="220" w:name="_Toc127601219"/>
      <w:bookmarkStart w:id="221" w:name="_Toc127668242"/>
      <w:bookmarkStart w:id="222" w:name="_Toc128452301"/>
      <w:bookmarkStart w:id="223" w:name="_Toc128796285"/>
      <w:bookmarkStart w:id="224" w:name="_Toc128796609"/>
      <w:bookmarkStart w:id="225" w:name="_Toc128807373"/>
      <w:bookmarkStart w:id="226" w:name="_Toc128807564"/>
      <w:bookmarkStart w:id="227" w:name="_Toc130871696"/>
      <w:r>
        <w:rPr>
          <w:rStyle w:val="CharSDivNo"/>
          <w:snapToGrid w:val="0"/>
          <w:sz w:val="28"/>
        </w:rPr>
        <w:t>Part 2</w:t>
      </w:r>
      <w:r>
        <w:rPr>
          <w:b w:val="0"/>
        </w:rPr>
        <w:t> — </w:t>
      </w:r>
      <w:r>
        <w:rPr>
          <w:rStyle w:val="CharSDivText"/>
          <w:sz w:val="28"/>
        </w:rPr>
        <w:t>Attempted assessments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Footnotesection"/>
        <w:keepLines w:val="0"/>
        <w:spacing w:after="60"/>
      </w:pPr>
      <w:r>
        <w:tab/>
        <w:t>[Heading inserted in Gazette 11 Nov 2005 p. 5569.]</w:t>
      </w:r>
    </w:p>
    <w:tbl>
      <w:tblPr>
        <w:tblW w:w="0" w:type="auto"/>
        <w:tblInd w:w="108" w:type="dxa"/>
        <w:tblLayout w:type="fixed"/>
        <w:tblLook w:val="0000" w:firstRow="0" w:lastRow="0" w:firstColumn="0" w:lastColumn="0" w:noHBand="0" w:noVBand="0"/>
      </w:tblPr>
      <w:tblGrid>
        <w:gridCol w:w="840"/>
        <w:gridCol w:w="3696"/>
        <w:gridCol w:w="2552"/>
      </w:tblGrid>
      <w:tr>
        <w:trPr>
          <w:tblHeader/>
        </w:trPr>
        <w:tc>
          <w:tcPr>
            <w:tcW w:w="840" w:type="dxa"/>
            <w:tcBorders>
              <w:top w:val="single" w:sz="4" w:space="0" w:color="auto"/>
              <w:bottom w:val="single" w:sz="4" w:space="0" w:color="auto"/>
            </w:tcBorders>
          </w:tcPr>
          <w:p>
            <w:pPr>
              <w:pStyle w:val="yTable"/>
            </w:pPr>
            <w:r>
              <w:tab/>
            </w:r>
          </w:p>
        </w:tc>
        <w:tc>
          <w:tcPr>
            <w:tcW w:w="3696" w:type="dxa"/>
            <w:tcBorders>
              <w:top w:val="single" w:sz="4" w:space="0" w:color="auto"/>
              <w:bottom w:val="single" w:sz="4" w:space="0" w:color="auto"/>
            </w:tcBorders>
          </w:tcPr>
          <w:p>
            <w:pPr>
              <w:pStyle w:val="yTable"/>
            </w:pPr>
            <w:r>
              <w:rPr>
                <w:b/>
              </w:rPr>
              <w:t>Description of circumstances</w:t>
            </w:r>
          </w:p>
        </w:tc>
        <w:tc>
          <w:tcPr>
            <w:tcW w:w="2552" w:type="dxa"/>
            <w:tcBorders>
              <w:top w:val="single" w:sz="4" w:space="0" w:color="auto"/>
              <w:bottom w:val="single" w:sz="4" w:space="0" w:color="auto"/>
            </w:tcBorders>
          </w:tcPr>
          <w:p>
            <w:pPr>
              <w:pStyle w:val="yTable"/>
            </w:pPr>
            <w:r>
              <w:rPr>
                <w:b/>
              </w:rPr>
              <w:t>Maximum fee</w:t>
            </w:r>
          </w:p>
        </w:tc>
      </w:tr>
      <w:tr>
        <w:tc>
          <w:tcPr>
            <w:tcW w:w="840" w:type="dxa"/>
            <w:tcBorders>
              <w:bottom w:val="single" w:sz="4" w:space="0" w:color="auto"/>
            </w:tcBorders>
          </w:tcPr>
          <w:p>
            <w:pPr>
              <w:pStyle w:val="yTable"/>
            </w:pPr>
            <w:r>
              <w:t>1.</w:t>
            </w:r>
          </w:p>
        </w:tc>
        <w:tc>
          <w:tcPr>
            <w:tcW w:w="3696" w:type="dxa"/>
            <w:tcBorders>
              <w:bottom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tabs>
                <w:tab w:val="left" w:pos="601"/>
              </w:tabs>
              <w:ind w:left="601" w:hanging="601"/>
            </w:pPr>
            <w:r>
              <w:t>(a)</w:t>
            </w:r>
            <w:r>
              <w:tab/>
              <w:t>no prior arrangements to cancel the examination are made; or</w:t>
            </w:r>
          </w:p>
          <w:p>
            <w:pPr>
              <w:pStyle w:val="yTable"/>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pPr>
            <w:r>
              <w:t>$440</w:t>
            </w:r>
          </w:p>
        </w:tc>
      </w:tr>
    </w:tbl>
    <w:p>
      <w:pPr>
        <w:pStyle w:val="yFootnotesection"/>
        <w:tabs>
          <w:tab w:val="decimal" w:pos="596"/>
        </w:tabs>
        <w:spacing w:before="60"/>
        <w:ind w:left="312"/>
      </w:pPr>
      <w:r>
        <w:tab/>
        <w:t>[Part 2 inserted in Gazette 11 Nov 2005 p. 5569.]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28" w:name="_Toc86727094"/>
      <w:bookmarkStart w:id="229" w:name="_Toc86727399"/>
      <w:bookmarkStart w:id="230" w:name="_Toc86734598"/>
      <w:bookmarkStart w:id="231" w:name="_Toc94073871"/>
      <w:bookmarkStart w:id="232" w:name="_Toc94408681"/>
      <w:bookmarkStart w:id="233" w:name="_Toc118519388"/>
      <w:bookmarkStart w:id="234" w:name="_Toc118616302"/>
      <w:bookmarkStart w:id="235" w:name="_Toc119464661"/>
      <w:bookmarkStart w:id="236" w:name="_Toc119464805"/>
      <w:bookmarkStart w:id="237" w:name="_Toc119466410"/>
      <w:bookmarkStart w:id="238" w:name="_Toc124579594"/>
      <w:bookmarkStart w:id="239" w:name="_Toc125442043"/>
      <w:bookmarkStart w:id="240" w:name="_Toc126569080"/>
      <w:bookmarkStart w:id="241" w:name="_Toc127601220"/>
      <w:bookmarkStart w:id="242" w:name="_Toc127668243"/>
      <w:bookmarkStart w:id="243" w:name="_Toc128452302"/>
    </w:p>
    <w:p>
      <w:pPr>
        <w:pStyle w:val="nHeading2"/>
      </w:pPr>
      <w:bookmarkStart w:id="244" w:name="_Toc128796286"/>
      <w:bookmarkStart w:id="245" w:name="_Toc128796610"/>
      <w:bookmarkStart w:id="246" w:name="_Toc128807374"/>
      <w:bookmarkStart w:id="247" w:name="_Toc128807565"/>
      <w:bookmarkStart w:id="248" w:name="_Toc130871697"/>
      <w:r>
        <w:t>Notes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reprint is a compilation as at 3 March 2006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49" w:name="_Toc130871698"/>
      <w:r>
        <w:t>Compilation table</w:t>
      </w:r>
      <w:bookmarkEnd w:id="2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bl>
    <w:p>
      <w:pPr>
        <w:pStyle w:val="nSubsection"/>
        <w:spacing w:before="120"/>
        <w:rPr>
          <w:vertAlign w:val="superscript"/>
        </w:rPr>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has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10790</Words>
  <Characters>58915</Characters>
  <Application>Microsoft Office Word</Application>
  <DocSecurity>0</DocSecurity>
  <Lines>4531</Lines>
  <Paragraphs>3168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66537</CharactersWithSpaces>
  <SharedDoc>false</SharedDoc>
  <HLinks>
    <vt:vector size="12" baseType="variant">
      <vt:variant>
        <vt:i4>3014716</vt:i4>
      </vt:variant>
      <vt:variant>
        <vt:i4>3087</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1998 - 02-a0-03</dc:title>
  <dc:subject/>
  <dc:creator/>
  <cp:keywords/>
  <dc:description/>
  <cp:lastModifiedBy>svcMRProcess</cp:lastModifiedBy>
  <cp:revision>4</cp:revision>
  <cp:lastPrinted>2006-03-03T01:07:00Z</cp:lastPrinted>
  <dcterms:created xsi:type="dcterms:W3CDTF">2018-09-17T00:48:00Z</dcterms:created>
  <dcterms:modified xsi:type="dcterms:W3CDTF">2018-09-17T00:48:00Z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20060303</vt:lpwstr>
  </property>
  <property fmtid="{D5CDD505-2E9C-101B-9397-08002B2CF9AE}" pid="4" name="DocumentType">
    <vt:lpwstr>Reg</vt:lpwstr>
  </property>
  <property fmtid="{D5CDD505-2E9C-101B-9397-08002B2CF9AE}" pid="5" name="OwlsUID">
    <vt:i4>101</vt:i4>
  </property>
  <property fmtid="{D5CDD505-2E9C-101B-9397-08002B2CF9AE}" pid="6" name="ReprintNo">
    <vt:lpwstr>2</vt:lpwstr>
  </property>
  <property fmtid="{D5CDD505-2E9C-101B-9397-08002B2CF9AE}" pid="7" name="AsAtDate">
    <vt:lpwstr>03 Mar 2006</vt:lpwstr>
  </property>
  <property fmtid="{D5CDD505-2E9C-101B-9397-08002B2CF9AE}" pid="8" name="Suffix">
    <vt:lpwstr>02-a0-03</vt:lpwstr>
  </property>
</Properties>
</file>