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ind w:left="284" w:right="293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112(2) Prohibition) Regulations 2006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84" w:right="42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112(2) Prohibition)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_Toc165390073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Regulations to operate as local laws</w:t>
      </w:r>
      <w:r>
        <w:tab/>
      </w:r>
      <w:r>
        <w:fldChar w:fldCharType="begin"/>
      </w:r>
      <w:r>
        <w:instrText xml:space="preserve"> PAGEREF _Toc165390074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Prohibition on private rubbish collection</w:t>
      </w:r>
      <w:r>
        <w:tab/>
      </w:r>
      <w:r>
        <w:fldChar w:fldCharType="begin"/>
      </w:r>
      <w:r>
        <w:instrText xml:space="preserve"> PAGEREF _Toc165390075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_Toc165390077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_Toc165390078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</w:pPr>
      <w:r>
        <w:t>Health (Section 112(2) Prohibition) Regulations 2006</w:t>
      </w:r>
    </w:p>
    <w:p>
      <w:pPr>
        <w:pStyle w:val="Heading5"/>
      </w:pPr>
      <w:bookmarkStart w:id="2" w:name="_Toc165390073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(Section 112(2) Prohibition) Regulations 2006</w:t>
      </w:r>
      <w:r>
        <w:t>.</w:t>
      </w:r>
    </w:p>
    <w:p>
      <w:pPr>
        <w:pStyle w:val="Heading5"/>
      </w:pPr>
      <w:bookmarkStart w:id="4" w:name="_Toc165390074"/>
      <w:r>
        <w:rPr>
          <w:rStyle w:val="CharSectno"/>
        </w:rPr>
        <w:t>2</w:t>
      </w:r>
      <w:r>
        <w:t>.</w:t>
      </w:r>
      <w:r>
        <w:tab/>
        <w:t>Regulations to operate as local laws</w:t>
      </w:r>
      <w:bookmarkEnd w:id="4"/>
    </w:p>
    <w:p>
      <w:pPr>
        <w:pStyle w:val="Subsection"/>
      </w:pPr>
      <w:r>
        <w:tab/>
      </w:r>
      <w:r>
        <w:tab/>
        <w:t>These regulations apply to all districts as if they were local laws made under the Act.</w:t>
      </w:r>
    </w:p>
    <w:p>
      <w:pPr>
        <w:pStyle w:val="Heading5"/>
      </w:pPr>
      <w:bookmarkStart w:id="5" w:name="_Toc165390075"/>
      <w:r>
        <w:rPr>
          <w:rStyle w:val="CharSectno"/>
        </w:rPr>
        <w:t>3</w:t>
      </w:r>
      <w:r>
        <w:t>.</w:t>
      </w:r>
      <w:r>
        <w:tab/>
        <w:t>Prohibition on private rubbish collection</w:t>
      </w:r>
      <w:bookmarkEnd w:id="5"/>
    </w:p>
    <w:p>
      <w:pPr>
        <w:pStyle w:val="Subsection"/>
      </w:pPr>
      <w:r>
        <w:tab/>
        <w:t>(1)</w:t>
      </w:r>
      <w:r>
        <w:tab/>
        <w:t>A person must not undertake the execution of the regular removal of house and trade refuse or other rubbish from premises in a district except to the extent to which the local government or a contractor of the local government does not execute that removal and is not prepared and willing to execute or continue the execution of that removal.</w:t>
      </w:r>
    </w:p>
    <w:p>
      <w:pPr>
        <w:pStyle w:val="Penstart"/>
      </w:pPr>
      <w:r>
        <w:tab/>
        <w:t>Penalty:</w:t>
      </w:r>
    </w:p>
    <w:p>
      <w:pPr>
        <w:pStyle w:val="Penpar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a first offence — a fine of not more than $1 000 and not less than $100; and</w:t>
      </w:r>
    </w:p>
    <w:p>
      <w:pPr>
        <w:pStyle w:val="Penpara"/>
      </w:pPr>
      <w:r>
        <w:tab/>
        <w:t>(b)</w:t>
      </w:r>
      <w:r>
        <w:tab/>
      </w:r>
      <w:r>
        <w:rPr>
          <w:snapToGrid w:val="0"/>
        </w:rPr>
        <w:t>for a second offence — a fine of not more than $1 000 and not less than $200; and</w:t>
      </w:r>
    </w:p>
    <w:p>
      <w:pPr>
        <w:pStyle w:val="Penpara"/>
      </w:pPr>
      <w:r>
        <w:tab/>
        <w:t>(c)</w:t>
      </w:r>
      <w:r>
        <w:tab/>
      </w:r>
      <w:r>
        <w:rPr>
          <w:snapToGrid w:val="0"/>
        </w:rPr>
        <w:t>for a third or subsequent offence — a fine of not more than $1 000 and not less than $500; and</w:t>
      </w:r>
    </w:p>
    <w:p>
      <w:pPr>
        <w:pStyle w:val="Penpara"/>
        <w:rPr>
          <w:snapToGrid w:val="0"/>
        </w:rPr>
      </w:pPr>
      <w:r>
        <w:rPr>
          <w:snapToGrid w:val="0"/>
        </w:rPr>
        <w:lastRenderedPageBreak/>
        <w:tab/>
        <w:t>(d)</w:t>
      </w:r>
      <w:r>
        <w:rPr>
          <w:snapToGrid w:val="0"/>
        </w:rPr>
        <w:tab/>
        <w:t>if that offence is a continuing offence — a fine of not more than $100 and not less than $50 for each day or part of a day during which the offence continues.</w:t>
      </w:r>
    </w:p>
    <w:p>
      <w:pPr>
        <w:pStyle w:val="Subsection"/>
      </w:pPr>
      <w:r>
        <w:tab/>
        <w:t>(2)</w:t>
      </w:r>
      <w:r>
        <w:tab/>
        <w:t>This regulation does not apply to the local government or a contractor of the local government.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165390076"/>
      <w:r>
        <w:lastRenderedPageBreak/>
        <w:t>Notes</w:t>
      </w:r>
      <w:bookmarkEnd w:id="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Health (Section 112(2) Prohibition) Regulations 2006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7" w:name="_Toc165390077"/>
      <w:r>
        <w:t>Compilation table</w:t>
      </w:r>
      <w:bookmarkEnd w:id="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(Section 112(2) Prohibition)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Dec 2006 p. 5491-2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Dec 2006</w:t>
            </w:r>
          </w:p>
        </w:tc>
      </w:tr>
    </w:tbl>
    <w:p>
      <w:pPr>
        <w:pStyle w:val="nHeading3"/>
      </w:pPr>
      <w:bookmarkStart w:id="8" w:name="_Toc165390078"/>
      <w:r>
        <w:t>Uncommenced provisions table</w:t>
      </w:r>
      <w:bookmarkEnd w:id="8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Regulations Repeal Regulations (No. 2) 2024</w:t>
            </w:r>
            <w:r>
              <w:rPr>
                <w:iCs/>
              </w:rPr>
              <w:t xml:space="preserve"> r. 3(c)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2024/66 1 May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Jun 2024 (see r. 2(b))</w:t>
            </w:r>
          </w:p>
        </w:tc>
      </w:tr>
    </w:tbl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430095944"/>
    <w:docVar w:name="WAFER_20140129090232" w:val="RemoveTocBookmarks,RemoveUnusedBookmarks,RemoveLanguageTags,UsedStyles,ResetPageSize,UpdateArrangement"/>
    <w:docVar w:name="WAFER_20140129090232_GUID" w:val="db1689e3-8b90-4a8a-8ba9-af54d93873b5"/>
    <w:docVar w:name="WAFER_20140129090310" w:val="RemoveTocBookmarks,RunningHeaders"/>
    <w:docVar w:name="WAFER_20140129090310_GUID" w:val="29b3e142-2163-4db8-b7f8-41800b6e3717"/>
    <w:docVar w:name="WAFER_20150515103838" w:val="ResetPageSize,UpdateArrangement,UpdateNTable"/>
    <w:docVar w:name="WAFER_20150515103838_GUID" w:val="0385cd5b-cff5-48ff-a41e-6fcd9c634278"/>
    <w:docVar w:name="WAFER_20151105145610" w:val="UpdateStyles,UsedStyles"/>
    <w:docVar w:name="WAFER_20151105145610_GUID" w:val="b45b83f6-345c-4008-adc2-5b4385de9655"/>
    <w:docVar w:name="WAFER_202404300959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430095944_GUID" w:val="1c9b5d16-45c2-4faa-b64f-7bfbb7ffdd9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D049B32-55D3-49A6-A366-3B20CAEC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2412</Characters>
  <Application>Microsoft Office Word</Application>
  <DocSecurity>0</DocSecurity>
  <Lines>92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(Section 112(2) Prohibition) Regulations 2006 - 00-b0-01</dc:title>
  <dc:subject/>
  <dc:creator/>
  <cp:keywords/>
  <dc:description/>
  <cp:lastModifiedBy>Master Repository Process</cp:lastModifiedBy>
  <cp:revision>4</cp:revision>
  <cp:lastPrinted>2006-11-02T08:21:00Z</cp:lastPrinted>
  <dcterms:created xsi:type="dcterms:W3CDTF">2024-05-09T03:33:00Z</dcterms:created>
  <dcterms:modified xsi:type="dcterms:W3CDTF">2024-05-09T03:33:00Z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Dec 2006 p 5491-2</vt:lpwstr>
  </property>
  <property fmtid="{D5CDD505-2E9C-101B-9397-08002B2CF9AE}" pid="3" name="DocumentType">
    <vt:lpwstr>Reg</vt:lpwstr>
  </property>
  <property fmtid="{D5CDD505-2E9C-101B-9397-08002B2CF9AE}" pid="4" name="OwlsUID">
    <vt:i4>39249</vt:i4>
  </property>
  <property fmtid="{D5CDD505-2E9C-101B-9397-08002B2CF9AE}" pid="5" name="CommencementDate">
    <vt:lpwstr>20240501</vt:lpwstr>
  </property>
  <property fmtid="{D5CDD505-2E9C-101B-9397-08002B2CF9AE}" pid="6" name="CommencementAsAt">
    <vt:filetime>2024-04-30T16:00:00Z</vt:filetime>
  </property>
  <property fmtid="{D5CDD505-2E9C-101B-9397-08002B2CF9AE}" pid="7" name="CommencementYear">
    <vt:lpwstr>2024</vt:lpwstr>
  </property>
  <property fmtid="{D5CDD505-2E9C-101B-9397-08002B2CF9AE}" pid="8" name="AsAtDate">
    <vt:lpwstr>01 May 2024</vt:lpwstr>
  </property>
  <property fmtid="{D5CDD505-2E9C-101B-9397-08002B2CF9AE}" pid="9" name="Suffix">
    <vt:lpwstr>00-b0-01</vt:lpwstr>
  </property>
  <property fmtid="{D5CDD505-2E9C-101B-9397-08002B2CF9AE}" pid="10" name="Official">
    <vt:lpwstr/>
  </property>
</Properties>
</file>