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_Toc165443866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_Toc165443867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_Toc165443868 \h </w:instrText>
      </w:r>
      <w:r>
        <w:fldChar w:fldCharType="separate"/>
      </w:r>
      <w:r>
        <w:t>1</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_Toc165443869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_Toc165443870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_Toc165443871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_Toc165443872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_Toc165443873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_Toc165443874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_Toc165443875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_Toc165443876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_Toc165443880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_Toc165443881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2" w:name="_Toc165443866"/>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3" w:name="_Toc165443867"/>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lastRenderedPageBreak/>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4" w:name="_Toc165443868"/>
      <w:r>
        <w:rPr>
          <w:rStyle w:val="CharSectno"/>
        </w:rPr>
        <w:t>3</w:t>
      </w:r>
      <w:r>
        <w:rPr>
          <w:snapToGrid w:val="0"/>
        </w:rPr>
        <w:t>.</w:t>
      </w:r>
      <w:r>
        <w:rPr>
          <w:snapToGrid w:val="0"/>
        </w:rPr>
        <w:tab/>
        <w:t>Parking vehicles on departmental land</w:t>
      </w:r>
      <w:bookmarkEnd w:id="4"/>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lastRenderedPageBreak/>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5" w:name="_Toc165443869"/>
      <w:r>
        <w:rPr>
          <w:rStyle w:val="CharSectno"/>
        </w:rPr>
        <w:t>3A</w:t>
      </w:r>
      <w:r>
        <w:t>.</w:t>
      </w:r>
      <w:r>
        <w:tab/>
        <w:t>Parking charges for boat trailers: Hillarys Boat Harbour</w:t>
      </w:r>
      <w:bookmarkEnd w:id="5"/>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$9.80;</w:t>
      </w:r>
    </w:p>
    <w:p>
      <w:pPr>
        <w:pStyle w:val="Indenta"/>
      </w:pPr>
      <w:r>
        <w:tab/>
        <w:t>(b)</w:t>
      </w:r>
      <w:r>
        <w:tab/>
        <w:t>an annual charge of $155.35.</w:t>
      </w:r>
    </w:p>
    <w:p>
      <w:pPr>
        <w:pStyle w:val="Footnotesection"/>
      </w:pPr>
      <w:r>
        <w:tab/>
        <w:t>[Regulation 3A inserted: Gazette 23 Jun 2017 p. 3258; amended: Gazette 22 Jun 2018 p. 2184; 31 May 2019 p. 1722; SL 2020/60 r. 4; SL 2021/68 r. 10; SL 2022/56 r. 4; SL 2023/45 r. 4.]</w:t>
      </w:r>
    </w:p>
    <w:p>
      <w:pPr>
        <w:pStyle w:val="Heading5"/>
        <w:rPr>
          <w:snapToGrid w:val="0"/>
        </w:rPr>
      </w:pPr>
      <w:bookmarkStart w:id="6" w:name="_Toc165443870"/>
      <w:r>
        <w:rPr>
          <w:rStyle w:val="CharSectno"/>
        </w:rPr>
        <w:t>4</w:t>
      </w:r>
      <w:r>
        <w:rPr>
          <w:snapToGrid w:val="0"/>
        </w:rPr>
        <w:t>.</w:t>
      </w:r>
      <w:r>
        <w:rPr>
          <w:snapToGrid w:val="0"/>
        </w:rPr>
        <w:tab/>
        <w:t>Driving and riding vehicles on departmental land</w:t>
      </w:r>
      <w:bookmarkEnd w:id="6"/>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lastRenderedPageBreak/>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7" w:name="_Toc165443871"/>
      <w:r>
        <w:rPr>
          <w:rStyle w:val="CharSectno"/>
        </w:rPr>
        <w:t>5</w:t>
      </w:r>
      <w:r>
        <w:rPr>
          <w:snapToGrid w:val="0"/>
        </w:rPr>
        <w:t>.</w:t>
      </w:r>
      <w:r>
        <w:rPr>
          <w:snapToGrid w:val="0"/>
        </w:rPr>
        <w:tab/>
        <w:t>Departmental land leased to local governments</w:t>
      </w:r>
      <w:bookmarkEnd w:id="7"/>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8" w:name="_Toc165443872"/>
      <w:r>
        <w:rPr>
          <w:rStyle w:val="CharSectno"/>
        </w:rPr>
        <w:t>6</w:t>
      </w:r>
      <w:r>
        <w:rPr>
          <w:snapToGrid w:val="0"/>
        </w:rPr>
        <w:t>.</w:t>
      </w:r>
      <w:r>
        <w:rPr>
          <w:snapToGrid w:val="0"/>
        </w:rPr>
        <w:tab/>
        <w:t>Using waters in departmental areas</w:t>
      </w:r>
      <w:bookmarkEnd w:id="8"/>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 xml:space="preserve">A person must not, without the written permission of the chief executive officer, swim in or dive into any waters in a </w:t>
      </w:r>
      <w:r>
        <w:rPr>
          <w:snapToGrid w:val="0"/>
        </w:rPr>
        <w:lastRenderedPageBreak/>
        <w:t>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9" w:name="_Toc165443873"/>
      <w:r>
        <w:rPr>
          <w:rStyle w:val="CharSectno"/>
        </w:rPr>
        <w:t>7</w:t>
      </w:r>
      <w:r>
        <w:rPr>
          <w:snapToGrid w:val="0"/>
        </w:rPr>
        <w:t>.</w:t>
      </w:r>
      <w:r>
        <w:rPr>
          <w:snapToGrid w:val="0"/>
        </w:rPr>
        <w:tab/>
        <w:t>Permitting animals on jetties in departmental areas</w:t>
      </w:r>
      <w:bookmarkEnd w:id="9"/>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0" w:name="_Toc165443874"/>
      <w:r>
        <w:rPr>
          <w:rStyle w:val="CharSectno"/>
        </w:rPr>
        <w:t>8</w:t>
      </w:r>
      <w:r>
        <w:rPr>
          <w:snapToGrid w:val="0"/>
        </w:rPr>
        <w:t>.</w:t>
      </w:r>
      <w:r>
        <w:rPr>
          <w:snapToGrid w:val="0"/>
        </w:rPr>
        <w:tab/>
        <w:t>Giving false or misleading information</w:t>
      </w:r>
      <w:bookmarkEnd w:id="10"/>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11" w:name="_Toc165443875"/>
      <w:r>
        <w:rPr>
          <w:rStyle w:val="CharSectno"/>
        </w:rPr>
        <w:t>9</w:t>
      </w:r>
      <w:r>
        <w:rPr>
          <w:snapToGrid w:val="0"/>
        </w:rPr>
        <w:t>.</w:t>
      </w:r>
      <w:r>
        <w:rPr>
          <w:snapToGrid w:val="0"/>
        </w:rPr>
        <w:tab/>
        <w:t>Infringement notices and modified penalties</w:t>
      </w:r>
      <w:bookmarkEnd w:id="11"/>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lastRenderedPageBreak/>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12" w:name="_Toc165443876"/>
      <w:r>
        <w:rPr>
          <w:rStyle w:val="CharSectno"/>
        </w:rPr>
        <w:t>10</w:t>
      </w:r>
      <w:r>
        <w:rPr>
          <w:snapToGrid w:val="0"/>
        </w:rPr>
        <w:t>.</w:t>
      </w:r>
      <w:r>
        <w:rPr>
          <w:snapToGrid w:val="0"/>
        </w:rPr>
        <w:tab/>
        <w:t>Offences that place onus on vehicle owner</w:t>
      </w:r>
      <w:bookmarkEnd w:id="12"/>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3" w:name="_Toc165386735"/>
      <w:bookmarkStart w:id="14" w:name="_Toc165387066"/>
      <w:bookmarkStart w:id="15" w:name="_Toc165443877"/>
      <w:r>
        <w:rPr>
          <w:rStyle w:val="CharSchNo"/>
        </w:rPr>
        <w:lastRenderedPageBreak/>
        <w:t>Schedule 1</w:t>
      </w:r>
      <w:r>
        <w:t> — </w:t>
      </w:r>
      <w:r>
        <w:rPr>
          <w:rStyle w:val="CharSchText"/>
        </w:rPr>
        <w:t>Infringement notice offences and modified penalties</w:t>
      </w:r>
      <w:bookmarkEnd w:id="13"/>
      <w:bookmarkEnd w:id="14"/>
      <w:bookmarkEnd w:id="15"/>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16" w:name="_Toc165386736"/>
      <w:bookmarkStart w:id="17" w:name="_Toc165387067"/>
      <w:bookmarkStart w:id="18" w:name="_Toc165443878"/>
      <w:r>
        <w:rPr>
          <w:rStyle w:val="CharSchNo"/>
        </w:rPr>
        <w:lastRenderedPageBreak/>
        <w:t>Schedule 2</w:t>
      </w:r>
      <w:r>
        <w:t> — </w:t>
      </w:r>
      <w:r>
        <w:rPr>
          <w:rStyle w:val="CharSchText"/>
        </w:rPr>
        <w:t>Forms</w:t>
      </w:r>
      <w:bookmarkEnd w:id="16"/>
      <w:bookmarkEnd w:id="17"/>
      <w:bookmarkEnd w:id="18"/>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lastRenderedPageBreak/>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lastRenderedPageBreak/>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20" w:name="_Toc165386737"/>
      <w:bookmarkStart w:id="21" w:name="_Toc165387068"/>
      <w:bookmarkStart w:id="22" w:name="_Toc165443879"/>
      <w:r>
        <w:lastRenderedPageBreak/>
        <w:t>Notes</w:t>
      </w:r>
      <w:bookmarkEnd w:id="20"/>
      <w:bookmarkEnd w:id="21"/>
      <w:bookmarkEnd w:id="22"/>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 </w:t>
      </w:r>
      <w:bookmarkStart w:id="23" w:name="_Hlk165387387"/>
      <w:r>
        <w:t>For provisions that have not yet come into operation see the uncommenced provisions table.</w:t>
      </w:r>
      <w:bookmarkEnd w:id="23"/>
    </w:p>
    <w:p>
      <w:pPr>
        <w:pStyle w:val="nHeading3"/>
      </w:pPr>
      <w:bookmarkStart w:id="24" w:name="_Toc165443880"/>
      <w:r>
        <w:t>Compilation table</w:t>
      </w:r>
      <w:bookmarkEnd w:id="24"/>
    </w:p>
    <w:tbl>
      <w:tblPr>
        <w:tblW w:w="7115"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pPr>
              <w:pStyle w:val="nTable"/>
              <w:spacing w:after="40"/>
            </w:pPr>
            <w:r>
              <w:t>SL 2020/60 22 May 2020</w:t>
            </w:r>
          </w:p>
        </w:tc>
        <w:tc>
          <w:tcPr>
            <w:tcW w:w="2693"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2021</w:t>
            </w:r>
            <w:r>
              <w:t xml:space="preserve"> Pt. 3</w:t>
            </w:r>
          </w:p>
        </w:tc>
        <w:tc>
          <w:tcPr>
            <w:tcW w:w="1276" w:type="dxa"/>
            <w:gridSpan w:val="2"/>
            <w:tcBorders>
              <w:top w:val="nil"/>
              <w:bottom w:val="nil"/>
            </w:tcBorders>
          </w:tcPr>
          <w:p>
            <w:pPr>
              <w:pStyle w:val="nTable"/>
              <w:spacing w:after="40"/>
            </w:pPr>
            <w:r>
              <w:t>SL 2021/68 4 Jun 2021</w:t>
            </w:r>
          </w:p>
        </w:tc>
        <w:tc>
          <w:tcPr>
            <w:tcW w:w="2693" w:type="dxa"/>
            <w:gridSpan w:val="2"/>
            <w:tcBorders>
              <w:top w:val="nil"/>
              <w:bottom w:val="nil"/>
            </w:tcBorders>
          </w:tcPr>
          <w:p>
            <w:pPr>
              <w:pStyle w:val="nTable"/>
              <w:spacing w:after="40"/>
            </w:pPr>
            <w:r>
              <w:t>1 Jul 2021 (see r. 2(b), SL 2021/51 r. 2(b) and SL 2021/50 cl. 2)</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2022</w:t>
            </w:r>
            <w:r>
              <w:t xml:space="preserve"> Pt. 2</w:t>
            </w:r>
          </w:p>
        </w:tc>
        <w:tc>
          <w:tcPr>
            <w:tcW w:w="1276" w:type="dxa"/>
            <w:gridSpan w:val="2"/>
            <w:tcBorders>
              <w:top w:val="nil"/>
              <w:bottom w:val="nil"/>
            </w:tcBorders>
          </w:tcPr>
          <w:p>
            <w:pPr>
              <w:pStyle w:val="nTable"/>
              <w:spacing w:after="40"/>
            </w:pPr>
            <w:r>
              <w:t>SL 2022/56 20 May 2022</w:t>
            </w:r>
          </w:p>
        </w:tc>
        <w:tc>
          <w:tcPr>
            <w:tcW w:w="2693" w:type="dxa"/>
            <w:gridSpan w:val="2"/>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2023</w:t>
            </w:r>
            <w:r>
              <w:t xml:space="preserve"> Pt. 2</w:t>
            </w:r>
          </w:p>
        </w:tc>
        <w:tc>
          <w:tcPr>
            <w:tcW w:w="1276" w:type="dxa"/>
            <w:gridSpan w:val="2"/>
            <w:tcBorders>
              <w:top w:val="nil"/>
              <w:bottom w:val="single" w:sz="4" w:space="0" w:color="auto"/>
            </w:tcBorders>
          </w:tcPr>
          <w:p>
            <w:pPr>
              <w:pStyle w:val="nTable"/>
              <w:spacing w:after="40"/>
            </w:pPr>
            <w:r>
              <w:t>SL 2023/45 19 May 2023</w:t>
            </w:r>
          </w:p>
        </w:tc>
        <w:tc>
          <w:tcPr>
            <w:tcW w:w="2693" w:type="dxa"/>
            <w:gridSpan w:val="2"/>
            <w:tcBorders>
              <w:top w:val="nil"/>
              <w:bottom w:val="single" w:sz="4" w:space="0" w:color="auto"/>
            </w:tcBorders>
          </w:tcPr>
          <w:p>
            <w:pPr>
              <w:pStyle w:val="nTable"/>
              <w:spacing w:after="40"/>
            </w:pPr>
            <w:r>
              <w:t>1 Jul 2023 (see r. 2(c))</w:t>
            </w:r>
          </w:p>
        </w:tc>
      </w:tr>
    </w:tbl>
    <w:p>
      <w:pPr>
        <w:pStyle w:val="nHeading3"/>
      </w:pPr>
      <w:bookmarkStart w:id="25" w:name="_Toc165443881"/>
      <w:bookmarkStart w:id="26" w:name="_Hlk165387228"/>
      <w:r>
        <w:lastRenderedPageBreak/>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(Fees and Charges) Regulations (No. 2) 2024 </w:t>
            </w:r>
            <w:r>
              <w:rPr>
                <w:iCs/>
              </w:rPr>
              <w:t>Pt. 2</w:t>
            </w:r>
          </w:p>
        </w:tc>
        <w:tc>
          <w:tcPr>
            <w:tcW w:w="1276" w:type="dxa"/>
          </w:tcPr>
          <w:p>
            <w:pPr>
              <w:pStyle w:val="nTable"/>
              <w:spacing w:after="40"/>
            </w:pPr>
            <w:r>
              <w:t>SL 2024/57</w:t>
            </w:r>
            <w:r>
              <w:br/>
              <w:t>1 May 2024</w:t>
            </w:r>
          </w:p>
        </w:tc>
        <w:tc>
          <w:tcPr>
            <w:tcW w:w="2693" w:type="dxa"/>
          </w:tcPr>
          <w:p>
            <w:pPr>
              <w:pStyle w:val="nTable"/>
              <w:spacing w:after="40"/>
            </w:pPr>
            <w:r>
              <w:t>1 Jul 2024 (see r. 2(b))</w:t>
            </w:r>
          </w:p>
        </w:tc>
      </w:tr>
      <w:bookmarkEnd w:id="26"/>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8" w:name="_Toc165386739"/>
      <w:bookmarkStart w:id="29" w:name="_Toc165387071"/>
      <w:bookmarkStart w:id="30" w:name="_Toc165443882"/>
      <w:r>
        <w:rPr>
          <w:sz w:val="28"/>
        </w:rPr>
        <w:lastRenderedPageBreak/>
        <w:t>Defined terms</w:t>
      </w:r>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01-p0-00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01-p0-00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01-p0-00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01-p0-00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01-p0-00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01-p0-00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30155947"/>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 w:name="WAFER_202205171237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43_GUID" w:val="27ad2cfc-3dc5-4af0-ada7-45bb658ae0f3"/>
    <w:docVar w:name="WAFER_202206231120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03_GUID" w:val="dc212746-c0a7-47e3-8742-02e6cfc3b95a"/>
    <w:docVar w:name="WAFER_202305161412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07_GUID" w:val="9ee6d423-ed4c-4027-a795-4dc8db4a5f21"/>
    <w:docVar w:name="WAFER_202306291119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1904_GUID" w:val="fc12b892-9cca-4c32-81ee-785fa2d7dd1e"/>
    <w:docVar w:name="WAFER_202312290959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5930_GUID" w:val="2813c186-8a81-4b17-a7a6-52c41454776c"/>
    <w:docVar w:name="WAFER_202404301559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30155947_GUID" w:val="63451d62-2c9d-4d39-b7c7-ccceb88c74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2423</Words>
  <Characters>14152</Characters>
  <Application>Microsoft Office Word</Application>
  <DocSecurity>0</DocSecurity>
  <Lines>471</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16257</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1998 - 01-p0-00</dc:title>
  <dc:subject/>
  <dc:creator/>
  <cp:keywords/>
  <dc:description/>
  <cp:lastModifiedBy>Master Repository Process</cp:lastModifiedBy>
  <cp:revision>4</cp:revision>
  <cp:lastPrinted>2004-04-21T03:47:00Z</cp:lastPrinted>
  <dcterms:created xsi:type="dcterms:W3CDTF">2024-05-01T02:41:00Z</dcterms:created>
  <dcterms:modified xsi:type="dcterms:W3CDTF">2024-05-01T02:41:00Z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01 May 2024</vt:lpwstr>
  </property>
  <property fmtid="{D5CDD505-2E9C-101B-9397-08002B2CF9AE}" pid="6" name="Suffix">
    <vt:lpwstr>01-p0-00</vt:lpwstr>
  </property>
  <property fmtid="{D5CDD505-2E9C-101B-9397-08002B2CF9AE}" pid="7" name="Official">
    <vt:lpwstr/>
  </property>
  <property fmtid="{D5CDD505-2E9C-101B-9397-08002B2CF9AE}" pid="8" name="CommencementDate">
    <vt:lpwstr>20240501</vt:lpwstr>
  </property>
  <property fmtid="{D5CDD505-2E9C-101B-9397-08002B2CF9AE}" pid="9" name="CommencementAsAt">
    <vt:filetime>2024-04-30T16:00:00Z</vt:filetime>
  </property>
  <property fmtid="{D5CDD505-2E9C-101B-9397-08002B2CF9AE}" pid="10" name="CommencementYear">
    <vt:lpwstr>2024</vt:lpwstr>
  </property>
</Properties>
</file>