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Taxation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_Toc390071195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_Toc390071196 \h </w:instrText>
      </w:r>
      <w:r>
        <w:fldChar w:fldCharType="separate"/>
      </w:r>
      <w:r>
        <w:t>2</w:t>
      </w:r>
      <w:r>
        <w:fldChar w:fldCharType="end"/>
      </w:r>
    </w:p>
    <w:p>
      <w:pPr>
        <w:pStyle w:val="TOC8"/>
        <w:rPr>
          <w:rFonts w:asciiTheme="minorHAnsi" w:eastAsiaTheme="minorEastAsia" w:hAnsiTheme="minorHAnsi" w:cstheme="minorBidi"/>
          <w:szCs w:val="22"/>
        </w:rPr>
      </w:pPr>
      <w:r>
        <w:t>3.</w:t>
      </w:r>
      <w:r>
        <w:tab/>
        <w:t>The taxation Acts</w:t>
      </w:r>
      <w:r>
        <w:tab/>
      </w:r>
      <w:r>
        <w:fldChar w:fldCharType="begin"/>
      </w:r>
      <w:r>
        <w:instrText xml:space="preserve"> PAGEREF _Toc390071197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Meaning of terms used in this Act</w:t>
      </w:r>
      <w:r>
        <w:tab/>
      </w:r>
      <w:r>
        <w:fldChar w:fldCharType="begin"/>
      </w:r>
      <w:r>
        <w:instrText xml:space="preserve"> PAGEREF _Toc390071198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_Toc390071199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_Toc390071201 \h </w:instrText>
      </w:r>
      <w:r>
        <w:fldChar w:fldCharType="separate"/>
      </w:r>
      <w:r>
        <w:t>4</w:t>
      </w:r>
      <w:r>
        <w:fldChar w:fldCharType="end"/>
      </w:r>
    </w:p>
    <w:p>
      <w:pPr>
        <w:pStyle w:val="TOC8"/>
        <w:rPr>
          <w:rFonts w:asciiTheme="minorHAnsi" w:eastAsiaTheme="minorEastAsia" w:hAnsiTheme="minorHAnsi" w:cstheme="minorBidi"/>
          <w:szCs w:val="22"/>
        </w:rPr>
      </w:pPr>
      <w:r>
        <w:t>7.</w:t>
      </w:r>
      <w:r>
        <w:tab/>
        <w:t>Administration of taxation Acts</w:t>
      </w:r>
      <w:r>
        <w:tab/>
      </w:r>
      <w:r>
        <w:fldChar w:fldCharType="begin"/>
      </w:r>
      <w:r>
        <w:instrText xml:space="preserve"> PAGEREF _Toc390071202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Commissioner’s functions</w:t>
      </w:r>
      <w:r>
        <w:tab/>
      </w:r>
      <w:r>
        <w:fldChar w:fldCharType="begin"/>
      </w:r>
      <w:r>
        <w:instrText xml:space="preserve"> PAGEREF _Toc390071203 \h </w:instrText>
      </w:r>
      <w:r>
        <w:fldChar w:fldCharType="separate"/>
      </w:r>
      <w:r>
        <w:t>4</w:t>
      </w:r>
      <w:r>
        <w:fldChar w:fldCharType="end"/>
      </w:r>
    </w:p>
    <w:p>
      <w:pPr>
        <w:pStyle w:val="TOC8"/>
        <w:rPr>
          <w:rFonts w:asciiTheme="minorHAnsi" w:eastAsiaTheme="minorEastAsia" w:hAnsiTheme="minorHAnsi" w:cstheme="minorBidi"/>
          <w:szCs w:val="22"/>
        </w:rPr>
      </w:pPr>
      <w:r>
        <w:t>9.</w:t>
      </w:r>
      <w:r>
        <w:tab/>
        <w:t>Judicial notice of appointment and signature</w:t>
      </w:r>
      <w:r>
        <w:tab/>
      </w:r>
      <w:r>
        <w:fldChar w:fldCharType="begin"/>
      </w:r>
      <w:r>
        <w:instrText xml:space="preserve"> PAGEREF _Toc390071204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w:t>
      </w:r>
      <w:r>
        <w:tab/>
      </w:r>
      <w:r>
        <w:fldChar w:fldCharType="begin"/>
      </w:r>
      <w:r>
        <w:instrText xml:space="preserve"> PAGEREF _Toc390071205 \h </w:instrText>
      </w:r>
      <w:r>
        <w:fldChar w:fldCharType="separate"/>
      </w:r>
      <w:r>
        <w:t>4</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_Toc390071206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_Toc390071207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Assessments of tax</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_Toc390071210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_Toc390071211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_Toc390071212 \h </w:instrText>
      </w:r>
      <w:r>
        <w:fldChar w:fldCharType="separate"/>
      </w:r>
      <w:r>
        <w:t>7</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_Toc390071213 \h </w:instrText>
      </w:r>
      <w:r>
        <w:fldChar w:fldCharType="separate"/>
      </w:r>
      <w:r>
        <w:t>8</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_Toc390071214 \h </w:instrText>
      </w:r>
      <w:r>
        <w:fldChar w:fldCharType="separate"/>
      </w:r>
      <w:r>
        <w:t>9</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_Toc390071215 \h </w:instrText>
      </w:r>
      <w:r>
        <w:fldChar w:fldCharType="separate"/>
      </w:r>
      <w:r>
        <w:t>9</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w:t>
      </w:r>
      <w:r>
        <w:tab/>
      </w:r>
      <w:r>
        <w:fldChar w:fldCharType="begin"/>
      </w:r>
      <w:r>
        <w:instrText xml:space="preserve"> PAGEREF _Toc390071216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_Toc390071217 \h </w:instrText>
      </w:r>
      <w:r>
        <w:fldChar w:fldCharType="separate"/>
      </w:r>
      <w:r>
        <w:t>10</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_Toc390071218 \h </w:instrText>
      </w:r>
      <w:r>
        <w:fldChar w:fldCharType="separate"/>
      </w:r>
      <w:r>
        <w:t>11</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_Toc390071219 \h </w:instrText>
      </w:r>
      <w:r>
        <w:fldChar w:fldCharType="separate"/>
      </w:r>
      <w:r>
        <w:t>12</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_Toc390071220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_Toc390071222 \h </w:instrText>
      </w:r>
      <w:r>
        <w:fldChar w:fldCharType="separate"/>
      </w:r>
      <w:r>
        <w:t>13</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_Toc390071223 \h </w:instrText>
      </w:r>
      <w:r>
        <w:fldChar w:fldCharType="separate"/>
      </w:r>
      <w:r>
        <w:t>14</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_Toc390071224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_Toc390071226 \h </w:instrText>
      </w:r>
      <w:r>
        <w:fldChar w:fldCharType="separate"/>
      </w:r>
      <w:r>
        <w:t>15</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_Toc390071227 \h </w:instrText>
      </w:r>
      <w:r>
        <w:fldChar w:fldCharType="separate"/>
      </w:r>
      <w:r>
        <w:t>16</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_Toc390071228 \h </w:instrText>
      </w:r>
      <w:r>
        <w:fldChar w:fldCharType="separate"/>
      </w:r>
      <w:r>
        <w:t>17</w:t>
      </w:r>
      <w:r>
        <w:fldChar w:fldCharType="end"/>
      </w:r>
    </w:p>
    <w:p>
      <w:pPr>
        <w:pStyle w:val="TOC8"/>
        <w:rPr>
          <w:rFonts w:asciiTheme="minorHAnsi" w:eastAsiaTheme="minorEastAsia" w:hAnsiTheme="minorHAnsi" w:cstheme="minorBidi"/>
          <w:szCs w:val="22"/>
        </w:rPr>
      </w:pPr>
      <w:r>
        <w:t>29.</w:t>
      </w:r>
      <w:r>
        <w:tab/>
        <w:t>Remission of penalty tax</w:t>
      </w:r>
      <w:r>
        <w:tab/>
      </w:r>
      <w:r>
        <w:fldChar w:fldCharType="begin"/>
      </w:r>
      <w:r>
        <w:instrText xml:space="preserve"> PAGEREF _Toc390071229 \h </w:instrText>
      </w:r>
      <w:r>
        <w:fldChar w:fldCharType="separate"/>
      </w:r>
      <w:r>
        <w:t>17</w:t>
      </w:r>
      <w:r>
        <w:fldChar w:fldCharType="end"/>
      </w:r>
    </w:p>
    <w:p>
      <w:pPr>
        <w:pStyle w:val="TOC8"/>
        <w:rPr>
          <w:rFonts w:asciiTheme="minorHAnsi" w:eastAsiaTheme="minorEastAsia" w:hAnsiTheme="minorHAnsi" w:cstheme="minorBidi"/>
          <w:szCs w:val="22"/>
        </w:rPr>
      </w:pPr>
      <w:r>
        <w:t>30.</w:t>
      </w:r>
      <w:r>
        <w:tab/>
        <w:t>Guidelines for imposing penalty tax</w:t>
      </w:r>
      <w:r>
        <w:tab/>
      </w:r>
      <w:r>
        <w:fldChar w:fldCharType="begin"/>
      </w:r>
      <w:r>
        <w:instrText xml:space="preserve"> PAGEREF _Toc390071230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4 — Objections and review proceedings</w:t>
      </w:r>
    </w:p>
    <w:p>
      <w:pPr>
        <w:pStyle w:val="TOC4"/>
        <w:tabs>
          <w:tab w:val="right" w:leader="dot" w:pos="7086"/>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_Toc390071233 \h </w:instrText>
      </w:r>
      <w:r>
        <w:fldChar w:fldCharType="separate"/>
      </w:r>
      <w:r>
        <w:t>18</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_Toc390071234 \h </w:instrText>
      </w:r>
      <w:r>
        <w:fldChar w:fldCharType="separate"/>
      </w:r>
      <w:r>
        <w:t>18</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_Toc390071235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_Toc390071237 \h </w:instrText>
      </w:r>
      <w:r>
        <w:fldChar w:fldCharType="separate"/>
      </w:r>
      <w:r>
        <w:t>19</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_Toc390071238 \h </w:instrText>
      </w:r>
      <w:r>
        <w:fldChar w:fldCharType="separate"/>
      </w:r>
      <w:r>
        <w:t>19</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_Toc390071239 \h </w:instrText>
      </w:r>
      <w:r>
        <w:fldChar w:fldCharType="separate"/>
      </w:r>
      <w:r>
        <w:t>19</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_Toc390071240 \h </w:instrText>
      </w:r>
      <w:r>
        <w:fldChar w:fldCharType="separate"/>
      </w:r>
      <w:r>
        <w:t>20</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_Toc390071241 \h </w:instrText>
      </w:r>
      <w:r>
        <w:fldChar w:fldCharType="separate"/>
      </w:r>
      <w:r>
        <w:t>21</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_Toc390071242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w:t>
      </w:r>
      <w:r>
        <w:tab/>
      </w:r>
      <w:r>
        <w:fldChar w:fldCharType="begin"/>
      </w:r>
      <w:r>
        <w:instrText xml:space="preserve"> PAGEREF _Toc390071244 \h </w:instrText>
      </w:r>
      <w:r>
        <w:fldChar w:fldCharType="separate"/>
      </w:r>
      <w:r>
        <w:t>23</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_Toc390071245 \h </w:instrText>
      </w:r>
      <w:r>
        <w:fldChar w:fldCharType="separate"/>
      </w:r>
      <w:r>
        <w:t>23</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_Toc390071246 \h </w:instrText>
      </w:r>
      <w:r>
        <w:fldChar w:fldCharType="separate"/>
      </w:r>
      <w:r>
        <w:t>23</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_Toc390071247 \h </w:instrText>
      </w:r>
      <w:r>
        <w:fldChar w:fldCharType="separate"/>
      </w:r>
      <w:r>
        <w:t>26</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_Toc390071248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5 — Payment and refund of tax</w:t>
      </w:r>
    </w:p>
    <w:p>
      <w:pPr>
        <w:pStyle w:val="TOC4"/>
        <w:tabs>
          <w:tab w:val="right" w:leader="dot" w:pos="7086"/>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_Toc390071251 \h </w:instrText>
      </w:r>
      <w:r>
        <w:fldChar w:fldCharType="separate"/>
      </w:r>
      <w:r>
        <w:t>27</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_Toc390071252 \h </w:instrText>
      </w:r>
      <w:r>
        <w:fldChar w:fldCharType="separate"/>
      </w:r>
      <w:r>
        <w:t>27</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_Toc390071253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_Toc390071255 \h </w:instrText>
      </w:r>
      <w:r>
        <w:fldChar w:fldCharType="separate"/>
      </w:r>
      <w:r>
        <w:t>29</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_Toc390071256 \h </w:instrText>
      </w:r>
      <w:r>
        <w:fldChar w:fldCharType="separate"/>
      </w:r>
      <w:r>
        <w:t>29</w:t>
      </w:r>
      <w:r>
        <w:fldChar w:fldCharType="end"/>
      </w:r>
    </w:p>
    <w:p>
      <w:pPr>
        <w:pStyle w:val="TOC8"/>
        <w:rPr>
          <w:rFonts w:asciiTheme="minorHAnsi" w:eastAsiaTheme="minorEastAsia" w:hAnsiTheme="minorHAnsi" w:cstheme="minorBidi"/>
          <w:szCs w:val="22"/>
        </w:rPr>
      </w:pPr>
      <w:r>
        <w:t>51.</w:t>
      </w:r>
      <w:r>
        <w:tab/>
        <w:t>Instruments stamped or endorsed under a special tax return arrangement</w:t>
      </w:r>
      <w:r>
        <w:tab/>
      </w:r>
      <w:r>
        <w:fldChar w:fldCharType="begin"/>
      </w:r>
      <w:r>
        <w:instrText xml:space="preserve"> PAGEREF _Toc390071257 \h </w:instrText>
      </w:r>
      <w:r>
        <w:fldChar w:fldCharType="separate"/>
      </w:r>
      <w:r>
        <w:t>30</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_Toc390071258 \h </w:instrText>
      </w:r>
      <w:r>
        <w:fldChar w:fldCharType="separate"/>
      </w:r>
      <w:r>
        <w:t>31</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_Toc390071259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Power to make refund</w:t>
      </w:r>
      <w:r>
        <w:tab/>
      </w:r>
      <w:r>
        <w:fldChar w:fldCharType="begin"/>
      </w:r>
      <w:r>
        <w:instrText xml:space="preserve"> PAGEREF _Toc390071261 \h </w:instrText>
      </w:r>
      <w:r>
        <w:fldChar w:fldCharType="separate"/>
      </w:r>
      <w:r>
        <w:t>32</w:t>
      </w:r>
      <w:r>
        <w:fldChar w:fldCharType="end"/>
      </w:r>
    </w:p>
    <w:p>
      <w:pPr>
        <w:pStyle w:val="TOC8"/>
        <w:rPr>
          <w:rFonts w:asciiTheme="minorHAnsi" w:eastAsiaTheme="minorEastAsia" w:hAnsiTheme="minorHAnsi" w:cstheme="minorBidi"/>
          <w:szCs w:val="22"/>
        </w:rPr>
      </w:pPr>
      <w:r>
        <w:t>55.</w:t>
      </w:r>
      <w:r>
        <w:tab/>
        <w:t>Refund to be passed on in certain cases</w:t>
      </w:r>
      <w:r>
        <w:tab/>
      </w:r>
      <w:r>
        <w:fldChar w:fldCharType="begin"/>
      </w:r>
      <w:r>
        <w:instrText xml:space="preserve"> PAGEREF _Toc390071262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Waiver of tax</w:t>
      </w:r>
      <w:r>
        <w:tab/>
      </w:r>
      <w:r>
        <w:fldChar w:fldCharType="begin"/>
      </w:r>
      <w:r>
        <w:instrText xml:space="preserve"> PAGEREF _Toc390071264 \h </w:instrText>
      </w:r>
      <w:r>
        <w:fldChar w:fldCharType="separate"/>
      </w:r>
      <w:r>
        <w:t>34</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_Toc390071265 \h </w:instrText>
      </w:r>
      <w:r>
        <w:fldChar w:fldCharType="separate"/>
      </w:r>
      <w:r>
        <w:t>34</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_Toc390071266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6 — Recovery of tax</w:t>
      </w:r>
    </w:p>
    <w:p>
      <w:pPr>
        <w:pStyle w:val="TOC4"/>
        <w:tabs>
          <w:tab w:val="right" w:leader="dot" w:pos="7086"/>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_Toc390071269 \h </w:instrText>
      </w:r>
      <w:r>
        <w:fldChar w:fldCharType="separate"/>
      </w:r>
      <w:r>
        <w:t>36</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_Toc390071270 \h </w:instrText>
      </w:r>
      <w:r>
        <w:fldChar w:fldCharType="separate"/>
      </w:r>
      <w:r>
        <w:t>36</w:t>
      </w:r>
      <w:r>
        <w:fldChar w:fldCharType="end"/>
      </w:r>
    </w:p>
    <w:p>
      <w:pPr>
        <w:pStyle w:val="TOC8"/>
        <w:rPr>
          <w:rFonts w:asciiTheme="minorHAnsi" w:eastAsiaTheme="minorEastAsia" w:hAnsiTheme="minorHAnsi" w:cstheme="minorBidi"/>
          <w:szCs w:val="22"/>
        </w:rPr>
      </w:pPr>
      <w:r>
        <w:t>62.</w:t>
      </w:r>
      <w:r>
        <w:tab/>
        <w:t>Recovery of costs and interest</w:t>
      </w:r>
      <w:r>
        <w:tab/>
      </w:r>
      <w:r>
        <w:fldChar w:fldCharType="begin"/>
      </w:r>
      <w:r>
        <w:instrText xml:space="preserve"> PAGEREF _Toc390071271 \h </w:instrText>
      </w:r>
      <w:r>
        <w:fldChar w:fldCharType="separate"/>
      </w:r>
      <w:r>
        <w:t>36</w:t>
      </w:r>
      <w:r>
        <w:fldChar w:fldCharType="end"/>
      </w:r>
    </w:p>
    <w:p>
      <w:pPr>
        <w:pStyle w:val="TOC8"/>
        <w:rPr>
          <w:rFonts w:asciiTheme="minorHAnsi" w:eastAsiaTheme="minorEastAsia" w:hAnsiTheme="minorHAnsi" w:cstheme="minorBidi"/>
          <w:szCs w:val="22"/>
        </w:rPr>
      </w:pPr>
      <w:r>
        <w:t>63.</w:t>
      </w:r>
      <w:r>
        <w:tab/>
        <w:t>Recovery of tax in cases of joint liability</w:t>
      </w:r>
      <w:r>
        <w:tab/>
      </w:r>
      <w:r>
        <w:fldChar w:fldCharType="begin"/>
      </w:r>
      <w:r>
        <w:instrText xml:space="preserve"> PAGEREF _Toc390071272 \h </w:instrText>
      </w:r>
      <w:r>
        <w:fldChar w:fldCharType="separate"/>
      </w:r>
      <w:r>
        <w:t>36</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_Toc390071273 \h </w:instrText>
      </w:r>
      <w:r>
        <w:fldChar w:fldCharType="separate"/>
      </w:r>
      <w:r>
        <w:t>37</w:t>
      </w:r>
      <w:r>
        <w:fldChar w:fldCharType="end"/>
      </w:r>
    </w:p>
    <w:p>
      <w:pPr>
        <w:pStyle w:val="TOC8"/>
        <w:rPr>
          <w:rFonts w:asciiTheme="minorHAnsi" w:eastAsiaTheme="minorEastAsia" w:hAnsiTheme="minorHAnsi" w:cstheme="minorBidi"/>
          <w:szCs w:val="22"/>
        </w:rPr>
      </w:pPr>
      <w:r>
        <w:t>65.</w:t>
      </w:r>
      <w:r>
        <w:tab/>
        <w:t>Power to garnishee</w:t>
      </w:r>
      <w:r>
        <w:tab/>
      </w:r>
      <w:r>
        <w:fldChar w:fldCharType="begin"/>
      </w:r>
      <w:r>
        <w:instrText xml:space="preserve"> PAGEREF _Toc390071274 \h </w:instrText>
      </w:r>
      <w:r>
        <w:fldChar w:fldCharType="separate"/>
      </w:r>
      <w:r>
        <w:t>37</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_Toc390071275 \h </w:instrText>
      </w:r>
      <w:r>
        <w:fldChar w:fldCharType="separate"/>
      </w:r>
      <w:r>
        <w:t>39</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_Toc390071276 \h </w:instrText>
      </w:r>
      <w:r>
        <w:fldChar w:fldCharType="separate"/>
      </w:r>
      <w:r>
        <w:t>39</w:t>
      </w:r>
      <w:r>
        <w:fldChar w:fldCharType="end"/>
      </w:r>
    </w:p>
    <w:p>
      <w:pPr>
        <w:pStyle w:val="TOC8"/>
        <w:rPr>
          <w:rFonts w:asciiTheme="minorHAnsi" w:eastAsiaTheme="minorEastAsia" w:hAnsiTheme="minorHAnsi" w:cstheme="minorBidi"/>
          <w:szCs w:val="22"/>
        </w:rPr>
      </w:pPr>
      <w:r>
        <w:t>68.</w:t>
      </w:r>
      <w:r>
        <w:tab/>
        <w:t>Director of body corporate may apply</w:t>
      </w:r>
      <w:r>
        <w:tab/>
      </w:r>
      <w:r>
        <w:fldChar w:fldCharType="begin"/>
      </w:r>
      <w:r>
        <w:instrText xml:space="preserve"> PAGEREF _Toc390071277 \h </w:instrText>
      </w:r>
      <w:r>
        <w:fldChar w:fldCharType="separate"/>
      </w:r>
      <w:r>
        <w:t>41</w:t>
      </w:r>
      <w:r>
        <w:fldChar w:fldCharType="end"/>
      </w:r>
    </w:p>
    <w:p>
      <w:pPr>
        <w:pStyle w:val="TOC8"/>
        <w:rPr>
          <w:rFonts w:asciiTheme="minorHAnsi" w:eastAsiaTheme="minorEastAsia" w:hAnsiTheme="minorHAnsi" w:cstheme="minorBidi"/>
          <w:szCs w:val="22"/>
        </w:rPr>
      </w:pPr>
      <w:r>
        <w:t>69.</w:t>
      </w:r>
      <w:r>
        <w:tab/>
        <w:t>Determination of application where there is a dispute</w:t>
      </w:r>
      <w:r>
        <w:tab/>
      </w:r>
      <w:r>
        <w:fldChar w:fldCharType="begin"/>
      </w:r>
      <w:r>
        <w:instrText xml:space="preserve"> PAGEREF _Toc390071278 \h </w:instrText>
      </w:r>
      <w:r>
        <w:fldChar w:fldCharType="separate"/>
      </w:r>
      <w:r>
        <w:t>41</w:t>
      </w:r>
      <w:r>
        <w:fldChar w:fldCharType="end"/>
      </w:r>
    </w:p>
    <w:p>
      <w:pPr>
        <w:pStyle w:val="TOC8"/>
        <w:rPr>
          <w:rFonts w:asciiTheme="minorHAnsi" w:eastAsiaTheme="minorEastAsia" w:hAnsiTheme="minorHAnsi" w:cstheme="minorBidi"/>
          <w:szCs w:val="22"/>
        </w:rPr>
      </w:pPr>
      <w:r>
        <w:t>70.</w:t>
      </w:r>
      <w:r>
        <w:tab/>
        <w:t>Setting aside demand on other grounds</w:t>
      </w:r>
      <w:r>
        <w:tab/>
      </w:r>
      <w:r>
        <w:fldChar w:fldCharType="begin"/>
      </w:r>
      <w:r>
        <w:instrText xml:space="preserve"> PAGEREF _Toc390071279 \h </w:instrText>
      </w:r>
      <w:r>
        <w:fldChar w:fldCharType="separate"/>
      </w:r>
      <w:r>
        <w:t>42</w:t>
      </w:r>
      <w:r>
        <w:fldChar w:fldCharType="end"/>
      </w:r>
    </w:p>
    <w:p>
      <w:pPr>
        <w:pStyle w:val="TOC8"/>
        <w:rPr>
          <w:rFonts w:asciiTheme="minorHAnsi" w:eastAsiaTheme="minorEastAsia" w:hAnsiTheme="minorHAnsi" w:cstheme="minorBidi"/>
          <w:szCs w:val="22"/>
        </w:rPr>
      </w:pPr>
      <w:r>
        <w:t>71.</w:t>
      </w:r>
      <w:r>
        <w:tab/>
        <w:t>Effect of order setting aside notice</w:t>
      </w:r>
      <w:r>
        <w:tab/>
      </w:r>
      <w:r>
        <w:fldChar w:fldCharType="begin"/>
      </w:r>
      <w:r>
        <w:instrText xml:space="preserve"> PAGEREF _Toc390071280 \h </w:instrText>
      </w:r>
      <w:r>
        <w:fldChar w:fldCharType="separate"/>
      </w:r>
      <w:r>
        <w:t>42</w:t>
      </w:r>
      <w:r>
        <w:fldChar w:fldCharType="end"/>
      </w:r>
    </w:p>
    <w:p>
      <w:pPr>
        <w:pStyle w:val="TOC8"/>
        <w:rPr>
          <w:rFonts w:asciiTheme="minorHAnsi" w:eastAsiaTheme="minorEastAsia" w:hAnsiTheme="minorHAnsi" w:cstheme="minorBidi"/>
          <w:szCs w:val="22"/>
        </w:rPr>
      </w:pPr>
      <w:r>
        <w:t>72.</w:t>
      </w:r>
      <w:r>
        <w:tab/>
        <w:t>Dismissal of application</w:t>
      </w:r>
      <w:r>
        <w:tab/>
      </w:r>
      <w:r>
        <w:fldChar w:fldCharType="begin"/>
      </w:r>
      <w:r>
        <w:instrText xml:space="preserve"> PAGEREF _Toc390071281 \h </w:instrText>
      </w:r>
      <w:r>
        <w:fldChar w:fldCharType="separate"/>
      </w:r>
      <w:r>
        <w:t>42</w:t>
      </w:r>
      <w:r>
        <w:fldChar w:fldCharType="end"/>
      </w:r>
    </w:p>
    <w:p>
      <w:pPr>
        <w:pStyle w:val="TOC8"/>
        <w:rPr>
          <w:rFonts w:asciiTheme="minorHAnsi" w:eastAsiaTheme="minorEastAsia" w:hAnsiTheme="minorHAnsi" w:cstheme="minorBidi"/>
          <w:szCs w:val="22"/>
        </w:rPr>
      </w:pPr>
      <w:r>
        <w:t>73.</w:t>
      </w:r>
      <w:r>
        <w:tab/>
        <w:t>Order subject to conditions</w:t>
      </w:r>
      <w:r>
        <w:tab/>
      </w:r>
      <w:r>
        <w:fldChar w:fldCharType="begin"/>
      </w:r>
      <w:r>
        <w:instrText xml:space="preserve"> PAGEREF _Toc390071282 \h </w:instrText>
      </w:r>
      <w:r>
        <w:fldChar w:fldCharType="separate"/>
      </w:r>
      <w:r>
        <w:t>42</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_Toc390071283 \h </w:instrText>
      </w:r>
      <w:r>
        <w:fldChar w:fldCharType="separate"/>
      </w:r>
      <w:r>
        <w:t>43</w:t>
      </w:r>
      <w:r>
        <w:fldChar w:fldCharType="end"/>
      </w:r>
    </w:p>
    <w:p>
      <w:pPr>
        <w:pStyle w:val="TOC8"/>
        <w:rPr>
          <w:rFonts w:asciiTheme="minorHAnsi" w:eastAsiaTheme="minorEastAsia" w:hAnsiTheme="minorHAnsi" w:cstheme="minorBidi"/>
          <w:szCs w:val="22"/>
        </w:rPr>
      </w:pPr>
      <w:r>
        <w:t>75.</w:t>
      </w:r>
      <w:r>
        <w:tab/>
        <w:t>Period of remedying default</w:t>
      </w:r>
      <w:r>
        <w:tab/>
      </w:r>
      <w:r>
        <w:fldChar w:fldCharType="begin"/>
      </w:r>
      <w:r>
        <w:instrText xml:space="preserve"> PAGEREF _Toc390071284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_Toc390071286 \h </w:instrText>
      </w:r>
      <w:r>
        <w:fldChar w:fldCharType="separate"/>
      </w:r>
      <w:r>
        <w:t>43</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_Toc390071287 \h </w:instrText>
      </w:r>
      <w:r>
        <w:fldChar w:fldCharType="separate"/>
      </w:r>
      <w:r>
        <w:t>44</w:t>
      </w:r>
      <w:r>
        <w:fldChar w:fldCharType="end"/>
      </w:r>
    </w:p>
    <w:p>
      <w:pPr>
        <w:pStyle w:val="TOC8"/>
        <w:rPr>
          <w:rFonts w:asciiTheme="minorHAnsi" w:eastAsiaTheme="minorEastAsia" w:hAnsiTheme="minorHAnsi" w:cstheme="minorBidi"/>
          <w:szCs w:val="22"/>
        </w:rPr>
      </w:pPr>
      <w:r>
        <w:t>78.</w:t>
      </w:r>
      <w:r>
        <w:tab/>
        <w:t>Prohibition on dealing with certain charged land</w:t>
      </w:r>
      <w:r>
        <w:tab/>
      </w:r>
      <w:r>
        <w:fldChar w:fldCharType="begin"/>
      </w:r>
      <w:r>
        <w:instrText xml:space="preserve"> PAGEREF _Toc390071288 \h </w:instrText>
      </w:r>
      <w:r>
        <w:fldChar w:fldCharType="separate"/>
      </w:r>
      <w:r>
        <w:t>46</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_Toc390071289 \h </w:instrText>
      </w:r>
      <w:r>
        <w:fldChar w:fldCharType="separate"/>
      </w:r>
      <w:r>
        <w:t>46</w:t>
      </w:r>
      <w:r>
        <w:fldChar w:fldCharType="end"/>
      </w:r>
    </w:p>
    <w:p>
      <w:pPr>
        <w:pStyle w:val="TOC8"/>
        <w:rPr>
          <w:rFonts w:asciiTheme="minorHAnsi" w:eastAsiaTheme="minorEastAsia" w:hAnsiTheme="minorHAnsi" w:cstheme="minorBidi"/>
          <w:szCs w:val="22"/>
        </w:rPr>
      </w:pPr>
      <w:r>
        <w:t>80.</w:t>
      </w:r>
      <w:r>
        <w:tab/>
        <w:t>Certificate of land tax secured by charge</w:t>
      </w:r>
      <w:r>
        <w:tab/>
      </w:r>
      <w:r>
        <w:fldChar w:fldCharType="begin"/>
      </w:r>
      <w:r>
        <w:instrText xml:space="preserve"> PAGEREF _Toc390071290 \h </w:instrText>
      </w:r>
      <w:r>
        <w:fldChar w:fldCharType="separate"/>
      </w:r>
      <w:r>
        <w:t>46</w:t>
      </w:r>
      <w:r>
        <w:fldChar w:fldCharType="end"/>
      </w:r>
    </w:p>
    <w:p>
      <w:pPr>
        <w:pStyle w:val="TOC8"/>
        <w:rPr>
          <w:rFonts w:asciiTheme="minorHAnsi" w:eastAsiaTheme="minorEastAsia" w:hAnsiTheme="minorHAnsi" w:cstheme="minorBidi"/>
          <w:szCs w:val="22"/>
        </w:rPr>
      </w:pPr>
      <w:r>
        <w:t>81.</w:t>
      </w:r>
      <w:r>
        <w:tab/>
        <w:t>Release of land from charge</w:t>
      </w:r>
      <w:r>
        <w:tab/>
      </w:r>
      <w:r>
        <w:fldChar w:fldCharType="begin"/>
      </w:r>
      <w:r>
        <w:instrText xml:space="preserve"> PAGEREF _Toc390071291 \h </w:instrText>
      </w:r>
      <w:r>
        <w:fldChar w:fldCharType="separate"/>
      </w:r>
      <w:r>
        <w:t>47</w:t>
      </w:r>
      <w:r>
        <w:fldChar w:fldCharType="end"/>
      </w:r>
    </w:p>
    <w:p>
      <w:pPr>
        <w:pStyle w:val="TOC8"/>
        <w:rPr>
          <w:rFonts w:asciiTheme="minorHAnsi" w:eastAsiaTheme="minorEastAsia" w:hAnsiTheme="minorHAnsi" w:cstheme="minorBidi"/>
          <w:szCs w:val="22"/>
        </w:rPr>
      </w:pPr>
      <w:r>
        <w:t>82.</w:t>
      </w:r>
      <w:r>
        <w:tab/>
        <w:t>Form of memorial</w:t>
      </w:r>
      <w:r>
        <w:tab/>
      </w:r>
      <w:r>
        <w:fldChar w:fldCharType="begin"/>
      </w:r>
      <w:r>
        <w:instrText xml:space="preserve"> PAGEREF _Toc390071292 \h </w:instrText>
      </w:r>
      <w:r>
        <w:fldChar w:fldCharType="separate"/>
      </w:r>
      <w:r>
        <w:t>47</w:t>
      </w:r>
      <w:r>
        <w:fldChar w:fldCharType="end"/>
      </w:r>
    </w:p>
    <w:p>
      <w:pPr>
        <w:pStyle w:val="TOC8"/>
        <w:rPr>
          <w:rFonts w:asciiTheme="minorHAnsi" w:eastAsiaTheme="minorEastAsia" w:hAnsiTheme="minorHAnsi" w:cstheme="minorBidi"/>
          <w:szCs w:val="22"/>
        </w:rPr>
      </w:pPr>
      <w:r>
        <w:t>83.</w:t>
      </w:r>
      <w:r>
        <w:tab/>
        <w:t>Registration of memorials and releases</w:t>
      </w:r>
      <w:r>
        <w:tab/>
      </w:r>
      <w:r>
        <w:fldChar w:fldCharType="begin"/>
      </w:r>
      <w:r>
        <w:instrText xml:space="preserve"> PAGEREF _Toc390071293 \h </w:instrText>
      </w:r>
      <w:r>
        <w:fldChar w:fldCharType="separate"/>
      </w:r>
      <w:r>
        <w:t>48</w:t>
      </w:r>
      <w:r>
        <w:fldChar w:fldCharType="end"/>
      </w:r>
    </w:p>
    <w:p>
      <w:pPr>
        <w:pStyle w:val="TOC8"/>
        <w:rPr>
          <w:rFonts w:asciiTheme="minorHAnsi" w:eastAsiaTheme="minorEastAsia" w:hAnsiTheme="minorHAnsi" w:cstheme="minorBidi"/>
          <w:szCs w:val="22"/>
        </w:rPr>
      </w:pPr>
      <w:r>
        <w:t>84.</w:t>
      </w:r>
      <w:r>
        <w:tab/>
        <w:t>Notification of mortgagees</w:t>
      </w:r>
      <w:r>
        <w:tab/>
      </w:r>
      <w:r>
        <w:fldChar w:fldCharType="begin"/>
      </w:r>
      <w:r>
        <w:instrText xml:space="preserve"> PAGEREF _Toc390071294 \h </w:instrText>
      </w:r>
      <w:r>
        <w:fldChar w:fldCharType="separate"/>
      </w:r>
      <w:r>
        <w:t>48</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_Toc390071295 \h </w:instrText>
      </w:r>
      <w:r>
        <w:fldChar w:fldCharType="separate"/>
      </w:r>
      <w:r>
        <w:t>48</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_Toc390071296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_Toc390071298 \h </w:instrText>
      </w:r>
      <w:r>
        <w:fldChar w:fldCharType="separate"/>
      </w:r>
      <w:r>
        <w:t>51</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_Toc390071299 \h </w:instrText>
      </w:r>
      <w:r>
        <w:fldChar w:fldCharType="separate"/>
      </w:r>
      <w:r>
        <w:t>51</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_Toc390071300 \h </w:instrText>
      </w:r>
      <w:r>
        <w:fldChar w:fldCharType="separate"/>
      </w:r>
      <w:r>
        <w:t>52</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_Toc390071301 \h </w:instrText>
      </w:r>
      <w:r>
        <w:fldChar w:fldCharType="separate"/>
      </w:r>
      <w:r>
        <w:t>52</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_Toc390071302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8 — Investigations</w:t>
      </w:r>
    </w:p>
    <w:p>
      <w:pPr>
        <w:pStyle w:val="TOC4"/>
        <w:tabs>
          <w:tab w:val="right" w:leader="dot" w:pos="7086"/>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w:t>
      </w:r>
      <w:r>
        <w:tab/>
      </w:r>
      <w:r>
        <w:fldChar w:fldCharType="begin"/>
      </w:r>
      <w:r>
        <w:instrText xml:space="preserve"> PAGEREF _Toc390071305 \h </w:instrText>
      </w:r>
      <w:r>
        <w:fldChar w:fldCharType="separate"/>
      </w:r>
      <w:r>
        <w:t>54</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_Toc390071306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Requirements to provide information and tax records</w:t>
      </w:r>
      <w:r>
        <w:tab/>
      </w:r>
      <w:r>
        <w:fldChar w:fldCharType="begin"/>
      </w:r>
      <w:r>
        <w:instrText xml:space="preserve"> PAGEREF _Toc390071308 \h </w:instrText>
      </w:r>
      <w:r>
        <w:fldChar w:fldCharType="separate"/>
      </w:r>
      <w:r>
        <w:t>55</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_Toc390071309 \h </w:instrText>
      </w:r>
      <w:r>
        <w:fldChar w:fldCharType="separate"/>
      </w:r>
      <w:r>
        <w:t>56</w:t>
      </w:r>
      <w:r>
        <w:fldChar w:fldCharType="end"/>
      </w:r>
    </w:p>
    <w:p>
      <w:pPr>
        <w:pStyle w:val="TOC8"/>
        <w:rPr>
          <w:rFonts w:asciiTheme="minorHAnsi" w:eastAsiaTheme="minorEastAsia" w:hAnsiTheme="minorHAnsi" w:cstheme="minorBidi"/>
          <w:szCs w:val="22"/>
        </w:rPr>
      </w:pPr>
      <w:r>
        <w:t>96.</w:t>
      </w:r>
      <w:r>
        <w:tab/>
        <w:t>Power to retain documents</w:t>
      </w:r>
      <w:r>
        <w:tab/>
      </w:r>
      <w:r>
        <w:fldChar w:fldCharType="begin"/>
      </w:r>
      <w:r>
        <w:instrText xml:space="preserve"> PAGEREF _Toc390071310 \h </w:instrText>
      </w:r>
      <w:r>
        <w:fldChar w:fldCharType="separate"/>
      </w:r>
      <w:r>
        <w:t>57</w:t>
      </w:r>
      <w:r>
        <w:fldChar w:fldCharType="end"/>
      </w:r>
    </w:p>
    <w:p>
      <w:pPr>
        <w:pStyle w:val="TOC8"/>
        <w:rPr>
          <w:rFonts w:asciiTheme="minorHAnsi" w:eastAsiaTheme="minorEastAsia" w:hAnsiTheme="minorHAnsi" w:cstheme="minorBidi"/>
          <w:szCs w:val="22"/>
        </w:rPr>
      </w:pPr>
      <w:r>
        <w:t>97.</w:t>
      </w:r>
      <w:r>
        <w:tab/>
        <w:t>Recording examination proceedings</w:t>
      </w:r>
      <w:r>
        <w:tab/>
      </w:r>
      <w:r>
        <w:fldChar w:fldCharType="begin"/>
      </w:r>
      <w:r>
        <w:instrText xml:space="preserve"> PAGEREF _Toc390071311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Entry of premises</w:t>
      </w:r>
      <w:r>
        <w:tab/>
      </w:r>
      <w:r>
        <w:fldChar w:fldCharType="begin"/>
      </w:r>
      <w:r>
        <w:instrText xml:space="preserve"> PAGEREF _Toc390071313 \h </w:instrText>
      </w:r>
      <w:r>
        <w:fldChar w:fldCharType="separate"/>
      </w:r>
      <w:r>
        <w:t>58</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_Toc390071314 \h </w:instrText>
      </w:r>
      <w:r>
        <w:fldChar w:fldCharType="separate"/>
      </w:r>
      <w:r>
        <w:t>59</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_Toc390071315 \h </w:instrText>
      </w:r>
      <w:r>
        <w:fldChar w:fldCharType="separate"/>
      </w:r>
      <w:r>
        <w:t>62</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_Toc390071316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information requirements</w:t>
      </w:r>
      <w:r>
        <w:tab/>
      </w:r>
      <w:r>
        <w:fldChar w:fldCharType="begin"/>
      </w:r>
      <w:r>
        <w:instrText xml:space="preserve"> PAGEREF _Toc390071318 \h </w:instrText>
      </w:r>
      <w:r>
        <w:fldChar w:fldCharType="separate"/>
      </w:r>
      <w:r>
        <w:t>63</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_Toc390071319 \h </w:instrText>
      </w:r>
      <w:r>
        <w:fldChar w:fldCharType="separate"/>
      </w:r>
      <w:r>
        <w:t>63</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_Toc390071320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_Toc390071322 \h </w:instrText>
      </w:r>
      <w:r>
        <w:fldChar w:fldCharType="separate"/>
      </w:r>
      <w:r>
        <w:t>67</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_Toc390071323 \h </w:instrText>
      </w:r>
      <w:r>
        <w:fldChar w:fldCharType="separate"/>
      </w:r>
      <w:r>
        <w:t>67</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_Toc390071324 \h </w:instrText>
      </w:r>
      <w:r>
        <w:fldChar w:fldCharType="separate"/>
      </w:r>
      <w:r>
        <w:t>67</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_Toc390071325 \h </w:instrText>
      </w:r>
      <w:r>
        <w:fldChar w:fldCharType="separate"/>
      </w:r>
      <w:r>
        <w:t>68</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_Toc390071326 \h </w:instrText>
      </w:r>
      <w:r>
        <w:fldChar w:fldCharType="separate"/>
      </w:r>
      <w:r>
        <w:t>68</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_Toc390071327 \h </w:instrText>
      </w:r>
      <w:r>
        <w:fldChar w:fldCharType="separate"/>
      </w:r>
      <w:r>
        <w:t>69</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_Toc390071328 \h </w:instrText>
      </w:r>
      <w:r>
        <w:fldChar w:fldCharType="separate"/>
      </w:r>
      <w:r>
        <w:t>69</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_Toc390071329 \h </w:instrText>
      </w:r>
      <w:r>
        <w:fldChar w:fldCharType="separate"/>
      </w:r>
      <w:r>
        <w:t>69</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_Toc390071330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Confidentiality</w:t>
      </w:r>
      <w:r>
        <w:tab/>
      </w:r>
      <w:r>
        <w:fldChar w:fldCharType="begin"/>
      </w:r>
      <w:r>
        <w:instrText xml:space="preserve"> PAGEREF _Toc390071333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_Toc390071335 \h </w:instrText>
      </w:r>
      <w:r>
        <w:fldChar w:fldCharType="separate"/>
      </w:r>
      <w:r>
        <w:t>72</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_Toc390071336 \h </w:instrText>
      </w:r>
      <w:r>
        <w:fldChar w:fldCharType="separate"/>
      </w:r>
      <w:r>
        <w:t>72</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_Toc390071337 \h </w:instrText>
      </w:r>
      <w:r>
        <w:fldChar w:fldCharType="separate"/>
      </w:r>
      <w:r>
        <w:t>73</w:t>
      </w:r>
      <w:r>
        <w:fldChar w:fldCharType="end"/>
      </w:r>
    </w:p>
    <w:p>
      <w:pPr>
        <w:pStyle w:val="TOC8"/>
        <w:rPr>
          <w:rFonts w:asciiTheme="minorHAnsi" w:eastAsiaTheme="minorEastAsia" w:hAnsiTheme="minorHAnsi" w:cstheme="minorBidi"/>
          <w:szCs w:val="22"/>
        </w:rPr>
      </w:pPr>
      <w:r>
        <w:t>118.</w:t>
      </w:r>
      <w:r>
        <w:tab/>
        <w:t>Non</w:t>
      </w:r>
      <w:r>
        <w:noBreakHyphen/>
        <w:t>exclusivity of this Division</w:t>
      </w:r>
      <w:r>
        <w:tab/>
      </w:r>
      <w:r>
        <w:fldChar w:fldCharType="begin"/>
      </w:r>
      <w:r>
        <w:instrText xml:space="preserve"> PAGEREF _Toc390071338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_Toc390071340 \h </w:instrText>
      </w:r>
      <w:r>
        <w:fldChar w:fldCharType="separate"/>
      </w:r>
      <w:r>
        <w:t>74</w:t>
      </w:r>
      <w:r>
        <w:fldChar w:fldCharType="end"/>
      </w:r>
    </w:p>
    <w:p>
      <w:pPr>
        <w:pStyle w:val="TOC8"/>
        <w:rPr>
          <w:rFonts w:asciiTheme="minorHAnsi" w:eastAsiaTheme="minorEastAsia" w:hAnsiTheme="minorHAnsi" w:cstheme="minorBidi"/>
          <w:szCs w:val="22"/>
        </w:rPr>
      </w:pPr>
      <w:r>
        <w:t>120.</w:t>
      </w:r>
      <w:r>
        <w:tab/>
        <w:t>Evidentiary status of copies and reproductions of documents</w:t>
      </w:r>
      <w:r>
        <w:tab/>
      </w:r>
      <w:r>
        <w:fldChar w:fldCharType="begin"/>
      </w:r>
      <w:r>
        <w:instrText xml:space="preserve"> PAGEREF _Toc390071341 \h </w:instrText>
      </w:r>
      <w:r>
        <w:fldChar w:fldCharType="separate"/>
      </w:r>
      <w:r>
        <w:t>75</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_Toc390071342 \h </w:instrText>
      </w:r>
      <w:r>
        <w:fldChar w:fldCharType="separate"/>
      </w:r>
      <w:r>
        <w:t>75</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_Toc390071343 \h </w:instrText>
      </w:r>
      <w:r>
        <w:fldChar w:fldCharType="separate"/>
      </w:r>
      <w:r>
        <w:t>76</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_Toc390071344 \h </w:instrText>
      </w:r>
      <w:r>
        <w:fldChar w:fldCharType="separate"/>
      </w:r>
      <w:r>
        <w:t>76</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_Toc390071345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_Toc390071347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_Toc390071349 \h </w:instrText>
      </w:r>
      <w:r>
        <w:fldChar w:fldCharType="separate"/>
      </w:r>
      <w:r>
        <w:t>77</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_Toc390071350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_Toc390071353 \h </w:instrText>
      </w:r>
      <w:r>
        <w:fldChar w:fldCharType="separate"/>
      </w:r>
      <w:r>
        <w:t>83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_Toc390071354 \h </w:instrText>
      </w:r>
      <w:r>
        <w:fldChar w:fldCharType="separate"/>
      </w:r>
      <w:r>
        <w:t>84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390071194"/>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1195"/>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1196"/>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1197"/>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w:t>
      </w:r>
    </w:p>
    <w:p>
      <w:pPr>
        <w:pStyle w:val="Heading5"/>
      </w:pPr>
      <w:bookmarkStart w:id="5" w:name="_Toc390071198"/>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1199"/>
      <w:r>
        <w:rPr>
          <w:rStyle w:val="CharSectno"/>
        </w:rPr>
        <w:t>5</w:t>
      </w:r>
      <w:r>
        <w:t>.</w:t>
      </w:r>
      <w:r>
        <w:tab/>
        <w:t>Crown bound</w:t>
      </w:r>
      <w:bookmarkEnd w:id="6"/>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7" w:name="_Toc390071200"/>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1201"/>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1202"/>
      <w:r>
        <w:rPr>
          <w:rStyle w:val="CharSectno"/>
        </w:rPr>
        <w:t>7</w:t>
      </w:r>
      <w:r>
        <w:t>.</w:t>
      </w:r>
      <w:r>
        <w:tab/>
        <w:t>Administration of taxation Acts</w:t>
      </w:r>
      <w:bookmarkEnd w:id="9"/>
    </w:p>
    <w:p>
      <w:pPr>
        <w:pStyle w:val="Subsection"/>
      </w:pPr>
      <w:r>
        <w:tab/>
        <w:t>(1)</w:t>
      </w:r>
      <w:r>
        <w:tab/>
        <w:t>The Commissioner is responsible to the Minister for applying and giving effect to the taxation Acts.</w:t>
      </w:r>
    </w:p>
    <w:p>
      <w:pPr>
        <w:pStyle w:val="Subsection"/>
      </w:pPr>
      <w:r>
        <w:tab/>
        <w:t>(2)</w:t>
      </w:r>
      <w:r>
        <w:tab/>
        <w:t>The Commissioner is not subject to Ministerial control or direction in relation to — </w:t>
      </w:r>
    </w:p>
    <w:p>
      <w:pPr>
        <w:pStyle w:val="Indenta"/>
      </w:pPr>
      <w:r>
        <w:tab/>
        <w:t>(a)</w:t>
      </w:r>
      <w:r>
        <w:tab/>
        <w:t>the interpretation of a taxation Act; or</w:t>
      </w:r>
    </w:p>
    <w:p>
      <w:pPr>
        <w:pStyle w:val="Indenta"/>
      </w:pPr>
      <w:r>
        <w:tab/>
        <w:t>(b)</w:t>
      </w:r>
      <w:r>
        <w:tab/>
        <w:t>the exercise of a power under a taxation Act.</w:t>
      </w:r>
    </w:p>
    <w:p>
      <w:pPr>
        <w:pStyle w:val="Heading5"/>
      </w:pPr>
      <w:bookmarkStart w:id="10" w:name="_Toc390071203"/>
      <w:r>
        <w:rPr>
          <w:rStyle w:val="CharSectno"/>
        </w:rPr>
        <w:t>8</w:t>
      </w:r>
      <w:r>
        <w:t>.</w:t>
      </w:r>
      <w:r>
        <w:tab/>
        <w:t>Commissioner’s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90071204"/>
      <w:r>
        <w:rPr>
          <w:rStyle w:val="CharSectno"/>
        </w:rPr>
        <w:t>9</w:t>
      </w:r>
      <w:r>
        <w:t>.</w:t>
      </w:r>
      <w:r>
        <w:tab/>
        <w:t>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90071205"/>
      <w:r>
        <w:rPr>
          <w:rStyle w:val="CharSectno"/>
        </w:rPr>
        <w:t>10</w:t>
      </w:r>
      <w:r>
        <w:t>.</w:t>
      </w:r>
      <w:r>
        <w:tab/>
        <w:t>Delegation</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spacing w:before="140"/>
      </w:pPr>
      <w:r>
        <w:tab/>
        <w:t>(2)</w:t>
      </w:r>
      <w:r>
        <w:tab/>
        <w:t>The delegation must be in writing signed by the Commissioner.</w:t>
      </w:r>
    </w:p>
    <w:p>
      <w:pPr>
        <w:pStyle w:val="Subsection"/>
        <w:spacing w:before="14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40"/>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90071206"/>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90071207"/>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90071208"/>
      <w:r>
        <w:rPr>
          <w:rStyle w:val="CharPartNo"/>
        </w:rPr>
        <w:t>Part 3</w:t>
      </w:r>
      <w:r>
        <w:t xml:space="preserve"> — </w:t>
      </w:r>
      <w:r>
        <w:rPr>
          <w:rStyle w:val="CharPartText"/>
        </w:rPr>
        <w:t>Assessments of tax</w:t>
      </w:r>
      <w:bookmarkEnd w:id="15"/>
    </w:p>
    <w:p>
      <w:pPr>
        <w:pStyle w:val="Heading3"/>
      </w:pPr>
      <w:bookmarkStart w:id="16" w:name="_Toc390071209"/>
      <w:r>
        <w:rPr>
          <w:rStyle w:val="CharDivNo"/>
        </w:rPr>
        <w:t>Division 1</w:t>
      </w:r>
      <w:r>
        <w:t xml:space="preserve"> — </w:t>
      </w:r>
      <w:r>
        <w:rPr>
          <w:rStyle w:val="CharDivText"/>
        </w:rPr>
        <w:t>Assessments</w:t>
      </w:r>
      <w:bookmarkEnd w:id="16"/>
    </w:p>
    <w:p>
      <w:pPr>
        <w:pStyle w:val="Heading5"/>
      </w:pPr>
      <w:bookmarkStart w:id="17" w:name="_Toc390071210"/>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18" w:name="_Toc390071211"/>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90071212"/>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20"/>
      </w:pPr>
      <w:r>
        <w:tab/>
        <w:t>(3)</w:t>
      </w:r>
      <w:r>
        <w:tab/>
        <w:t>The Commissioner may make an official assessment on his or her own initiative, and may do so even if the taxpayer is required to make, or has made, a self</w:t>
      </w:r>
      <w:r>
        <w:noBreakHyphen/>
        <w:t>assessment.</w:t>
      </w:r>
    </w:p>
    <w:p>
      <w:pPr>
        <w:pStyle w:val="Subsection"/>
        <w:spacing w:before="120"/>
      </w:pPr>
      <w:r>
        <w:tab/>
        <w:t>(4)</w:t>
      </w:r>
      <w:r>
        <w:tab/>
        <w:t>The Commissioner may make an official assessment in any other circumstances at the taxpayer’s request.</w:t>
      </w:r>
    </w:p>
    <w:p>
      <w:pPr>
        <w:pStyle w:val="Heading5"/>
        <w:spacing w:before="180"/>
      </w:pPr>
      <w:bookmarkStart w:id="20" w:name="_Toc390071213"/>
      <w:r>
        <w:rPr>
          <w:rStyle w:val="CharSectno"/>
        </w:rPr>
        <w:t>16</w:t>
      </w:r>
      <w:r>
        <w:t>.</w:t>
      </w:r>
      <w:r>
        <w:tab/>
        <w:t>Reassessments</w:t>
      </w:r>
      <w:bookmarkEnd w:id="20"/>
    </w:p>
    <w:p>
      <w:pPr>
        <w:pStyle w:val="Subsection"/>
        <w:spacing w:before="14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4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40"/>
      </w:pPr>
      <w:r>
        <w:tab/>
        <w:t>(3)</w:t>
      </w:r>
      <w:r>
        <w:tab/>
        <w:t xml:space="preserve">A reassessment may be made whether or not any amount of tax has been paid on the previous assessment. </w:t>
      </w:r>
    </w:p>
    <w:p>
      <w:pPr>
        <w:pStyle w:val="Subsection"/>
        <w:spacing w:before="120"/>
      </w:pPr>
      <w:r>
        <w:tab/>
        <w:t>(4)</w:t>
      </w:r>
      <w:r>
        <w:tab/>
        <w:t>A reassessment may consolidate 2 or more separate assessments into a single assessment.</w:t>
      </w:r>
    </w:p>
    <w:p>
      <w:pPr>
        <w:pStyle w:val="Subsection"/>
        <w:spacing w:before="120"/>
      </w:pPr>
      <w:r>
        <w:tab/>
        <w:t>(5)</w:t>
      </w:r>
      <w:r>
        <w:tab/>
        <w:t xml:space="preserve"> 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100"/>
        <w:ind w:left="890" w:hanging="890"/>
      </w:pPr>
      <w:r>
        <w:tab/>
        <w:t>[Section 16 amended by No. 55 of 2004 s. 1165.]</w:t>
      </w:r>
    </w:p>
    <w:p>
      <w:pPr>
        <w:pStyle w:val="Heading5"/>
      </w:pPr>
      <w:bookmarkStart w:id="21" w:name="_Toc390071214"/>
      <w:r>
        <w:rPr>
          <w:rStyle w:val="CharSectno"/>
        </w:rPr>
        <w:t>17</w:t>
      </w:r>
      <w:r>
        <w:t>.</w:t>
      </w:r>
      <w:r>
        <w:tab/>
        <w:t>Time limits on reassessments</w:t>
      </w:r>
      <w:bookmarkEnd w:id="2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2" w:name="_Toc390071215"/>
      <w:r>
        <w:rPr>
          <w:rStyle w:val="CharSectno"/>
        </w:rPr>
        <w:t>18</w:t>
      </w:r>
      <w:r>
        <w:t>.</w:t>
      </w:r>
      <w:r>
        <w:tab/>
        <w:t>Effect of reassessment</w:t>
      </w:r>
      <w:bookmarkEnd w:id="2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If tax payable on an instrument is reassessed, and the instrument or a duplicate or copy of it is produced to the Commissioner, the Commissioner may stamp it with a stamp denoting the amount of tax (if any) payable under the reassessment and the amount of tax paid (if any), (but the reassessment takes effect irrespective of restamping).</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Heading5"/>
      </w:pPr>
      <w:bookmarkStart w:id="23" w:name="_Toc390071216"/>
      <w:r>
        <w:rPr>
          <w:rStyle w:val="CharSectno"/>
        </w:rPr>
        <w:t>18A</w:t>
      </w:r>
      <w:r>
        <w:rPr>
          <w:color w:val="000000"/>
        </w:rPr>
        <w:t>.</w:t>
      </w:r>
      <w:r>
        <w:rPr>
          <w:color w:val="000000"/>
        </w:rPr>
        <w:tab/>
        <w:t>Withdrawal of assessment</w:t>
      </w:r>
      <w:bookmarkEnd w:id="2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4" w:name="_Toc390071217"/>
      <w:r>
        <w:rPr>
          <w:rStyle w:val="CharSectno"/>
        </w:rPr>
        <w:t>19</w:t>
      </w:r>
      <w:r>
        <w:t>.</w:t>
      </w:r>
      <w:r>
        <w:tab/>
        <w:t>Assessments based on estimated or suspected liability</w:t>
      </w:r>
      <w:bookmarkEnd w:id="2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 w:name="_Toc390071218"/>
      <w:r>
        <w:rPr>
          <w:rStyle w:val="CharSectno"/>
        </w:rPr>
        <w:t>20</w:t>
      </w:r>
      <w:r>
        <w:t>.</w:t>
      </w:r>
      <w:r>
        <w:tab/>
        <w:t>Assessments when instrument misleading or unavailable</w:t>
      </w:r>
      <w:bookmarkEnd w:id="25"/>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on an instrument required to be lodged under a taxation Act, but the instrument has not been lodged as required,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if a copy of the instrument is not available — create a memorandum of the instrument, and treat the memorandum as if it were the instrument.</w:t>
      </w:r>
    </w:p>
    <w:p>
      <w:pPr>
        <w:pStyle w:val="Subsection"/>
      </w:pPr>
      <w:r>
        <w:tab/>
        <w:t>(3)</w:t>
      </w:r>
      <w:r>
        <w:tab/>
        <w:t>If tax is or may be payable in relation to an event or transaction, but an instrument required to be lodged under a taxation Act in relation</w:t>
      </w:r>
      <w:r>
        <w:rPr>
          <w:b/>
        </w:rPr>
        <w:t xml:space="preserve"> </w:t>
      </w:r>
      <w:r>
        <w:t>to the event or transaction has not been lodged, then for the purposes of making an assessment the Commissioner may, subject to subsection (4), create a memorandum in substitution for the instrument and for the purposes of the taxation Act and this Act the memorandum is taken to be the instrument lodged by the person required to lodge it under the taxation Act.</w:t>
      </w:r>
    </w:p>
    <w:p>
      <w:pPr>
        <w:pStyle w:val="Subsection"/>
      </w:pPr>
      <w:r>
        <w:tab/>
        <w:t>(4)</w:t>
      </w:r>
      <w:r>
        <w:tab/>
        <w:t>The Commissioner can only create a memorandum of an instrument under subsection (1)(a), (2)(b) or (3) if the Commissioner has, so far as is practicable, made reasonable efforts to obtain sufficient information to make an accurate assessment.</w:t>
      </w:r>
    </w:p>
    <w:p>
      <w:pPr>
        <w:pStyle w:val="Subsection"/>
      </w:pPr>
      <w:r>
        <w:tab/>
        <w:t>(5)</w:t>
      </w:r>
      <w:r>
        <w:tab/>
        <w:t>The payment of tax on the instrument may be denoted on the copy or memorandum.</w:t>
      </w:r>
    </w:p>
    <w:p>
      <w:pPr>
        <w:pStyle w:val="Subsection"/>
      </w:pPr>
      <w:r>
        <w:tab/>
        <w:t>(6)</w:t>
      </w:r>
      <w:r>
        <w:tab/>
        <w:t>The validity of an assessment and the liability to pay tax on an instrument, event or transaction do not depend on the availability of the instrument or a copy of it, or on the creation of a memorandum of it.</w:t>
      </w:r>
    </w:p>
    <w:p>
      <w:pPr>
        <w:pStyle w:val="Subsection"/>
        <w:spacing w:before="140"/>
      </w:pPr>
      <w:r>
        <w:tab/>
        <w:t>(7)</w:t>
      </w:r>
      <w:r>
        <w:tab/>
        <w:t>This section does not limit the powers of the Commissioner under section 19.</w:t>
      </w:r>
    </w:p>
    <w:p>
      <w:pPr>
        <w:pStyle w:val="Footnotesection"/>
        <w:spacing w:before="80"/>
        <w:ind w:left="890" w:hanging="890"/>
      </w:pPr>
      <w:r>
        <w:tab/>
        <w:t>[Section 20 amended by No. 66 of 2003 s. 95(3).]</w:t>
      </w:r>
    </w:p>
    <w:p>
      <w:pPr>
        <w:pStyle w:val="Heading5"/>
        <w:spacing w:before="200"/>
      </w:pPr>
      <w:bookmarkStart w:id="26" w:name="_Toc390071219"/>
      <w:r>
        <w:rPr>
          <w:rStyle w:val="CharSectno"/>
        </w:rPr>
        <w:t>21</w:t>
      </w:r>
      <w:r>
        <w:t>.</w:t>
      </w:r>
      <w:r>
        <w:tab/>
        <w:t>Ascertaining value of property, consideration or benefit</w:t>
      </w:r>
      <w:bookmarkEnd w:id="26"/>
    </w:p>
    <w:p>
      <w:pPr>
        <w:pStyle w:val="Subsection"/>
        <w:spacing w:before="140"/>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spacing w:before="120"/>
      </w:pPr>
      <w:r>
        <w:tab/>
        <w:t>(2)</w:t>
      </w:r>
      <w:r>
        <w:tab/>
        <w:t>A requirement must specify the date on or before which the taxpayer is required to comply with it.</w:t>
      </w:r>
    </w:p>
    <w:p>
      <w:pPr>
        <w:pStyle w:val="Subsection"/>
        <w:spacing w:before="120"/>
      </w:pPr>
      <w:r>
        <w:tab/>
        <w:t>(3)</w:t>
      </w:r>
      <w:r>
        <w:tab/>
        <w:t>A person who does not comply with a requirement commits an offence.</w:t>
      </w:r>
    </w:p>
    <w:p>
      <w:pPr>
        <w:pStyle w:val="Penstart"/>
      </w:pPr>
      <w:r>
        <w:tab/>
        <w:t>Penalty: $20 000.</w:t>
      </w:r>
    </w:p>
    <w:p>
      <w:pPr>
        <w:pStyle w:val="Heading5"/>
        <w:spacing w:before="180"/>
      </w:pPr>
      <w:bookmarkStart w:id="27" w:name="_Toc390071220"/>
      <w:r>
        <w:rPr>
          <w:rStyle w:val="CharSectno"/>
        </w:rPr>
        <w:t>22</w:t>
      </w:r>
      <w:r>
        <w:t>.</w:t>
      </w:r>
      <w:r>
        <w:tab/>
        <w:t>Commissioner’s power to have valuation made</w:t>
      </w:r>
      <w:bookmarkEnd w:id="27"/>
    </w:p>
    <w:p>
      <w:pPr>
        <w:pStyle w:val="Subsection"/>
        <w:spacing w:before="120"/>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8" w:name="_Toc390071221"/>
      <w:r>
        <w:rPr>
          <w:rStyle w:val="CharDivNo"/>
        </w:rPr>
        <w:t>Division 2</w:t>
      </w:r>
      <w:r>
        <w:t xml:space="preserve"> — </w:t>
      </w:r>
      <w:r>
        <w:rPr>
          <w:rStyle w:val="CharDivText"/>
        </w:rPr>
        <w:t>Assessment notices and returns</w:t>
      </w:r>
      <w:bookmarkEnd w:id="28"/>
    </w:p>
    <w:p>
      <w:pPr>
        <w:pStyle w:val="Heading5"/>
      </w:pPr>
      <w:bookmarkStart w:id="29" w:name="_Toc390071222"/>
      <w:r>
        <w:rPr>
          <w:rStyle w:val="CharSectno"/>
        </w:rPr>
        <w:t>23</w:t>
      </w:r>
      <w:r>
        <w:t>.</w:t>
      </w:r>
      <w:r>
        <w:tab/>
        <w:t>Assessment notices</w:t>
      </w:r>
      <w:bookmarkEnd w:id="29"/>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if the Commissioner</w:t>
      </w:r>
      <w:r>
        <w:t xml:space="preserve"> assesses the amount of stamp duty payable on an instrument and then stamps the instrument immediately;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pPr>
      <w:r>
        <w:tab/>
        <w:t>[Section 23 amended by No. 66 of 2003 s. 108(2); No. 82 of 2004 s. 19; No. 13 of 2007 s. 14.]</w:t>
      </w:r>
    </w:p>
    <w:p>
      <w:pPr>
        <w:pStyle w:val="Heading5"/>
      </w:pPr>
      <w:bookmarkStart w:id="30" w:name="_Toc390071223"/>
      <w:r>
        <w:rPr>
          <w:rStyle w:val="CharSectno"/>
        </w:rPr>
        <w:t>24</w:t>
      </w:r>
      <w:r>
        <w:t>.</w:t>
      </w:r>
      <w:r>
        <w:tab/>
        <w:t>Form of assessment notice</w:t>
      </w:r>
      <w:bookmarkEnd w:id="3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w:t>
      </w:r>
    </w:p>
    <w:p>
      <w:pPr>
        <w:pStyle w:val="Heading5"/>
      </w:pPr>
      <w:bookmarkStart w:id="31" w:name="_Toc390071224"/>
      <w:r>
        <w:rPr>
          <w:rStyle w:val="CharSectno"/>
        </w:rPr>
        <w:t>25</w:t>
      </w:r>
      <w:r>
        <w:t>.</w:t>
      </w:r>
      <w:r>
        <w:tab/>
        <w:t>Statement of grounds of assessment</w:t>
      </w:r>
      <w:bookmarkEnd w:id="3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2" w:name="_Toc390071225"/>
      <w:r>
        <w:rPr>
          <w:rStyle w:val="CharDivNo"/>
        </w:rPr>
        <w:t>Division 3</w:t>
      </w:r>
      <w:r>
        <w:t xml:space="preserve"> — </w:t>
      </w:r>
      <w:r>
        <w:rPr>
          <w:rStyle w:val="CharDivText"/>
        </w:rPr>
        <w:t>Penalty tax</w:t>
      </w:r>
      <w:bookmarkEnd w:id="32"/>
    </w:p>
    <w:p>
      <w:pPr>
        <w:pStyle w:val="Heading5"/>
      </w:pPr>
      <w:bookmarkStart w:id="33" w:name="_Toc390071226"/>
      <w:r>
        <w:rPr>
          <w:rStyle w:val="CharSectno"/>
        </w:rPr>
        <w:t>26</w:t>
      </w:r>
      <w:r>
        <w:t>.</w:t>
      </w:r>
      <w:r>
        <w:tab/>
        <w:t>Penalty tax for contravention of taxation Act</w:t>
      </w:r>
      <w:bookmarkEnd w:id="33"/>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4" w:name="_Toc390071227"/>
      <w:r>
        <w:rPr>
          <w:rStyle w:val="CharSectno"/>
        </w:rPr>
        <w:t>27</w:t>
      </w:r>
      <w:r>
        <w:t>.</w:t>
      </w:r>
      <w:r>
        <w:tab/>
        <w:t>Penalty tax for late payment</w:t>
      </w:r>
      <w:bookmarkEnd w:id="34"/>
    </w:p>
    <w:p>
      <w:pPr>
        <w:pStyle w:val="Subsection"/>
      </w:pPr>
      <w:r>
        <w:tab/>
        <w:t>(1)</w:t>
      </w:r>
      <w:r>
        <w:tab/>
        <w:t>If tax is not paid by the due date, the taxpayer is liable to pay an amount of penalty tax for late payment equal to 20% of the amount outstanding on the due date.</w:t>
      </w:r>
    </w:p>
    <w:p>
      <w:pPr>
        <w:pStyle w:val="Subsection"/>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5" w:name="_Toc390071228"/>
      <w:r>
        <w:rPr>
          <w:rStyle w:val="CharSectno"/>
        </w:rPr>
        <w:t>28</w:t>
      </w:r>
      <w:r>
        <w:t>.</w:t>
      </w:r>
      <w:r>
        <w:tab/>
        <w:t>Limitation on amount of penalty tax</w:t>
      </w:r>
      <w:bookmarkEnd w:id="35"/>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6" w:name="_Toc390071229"/>
      <w:r>
        <w:rPr>
          <w:rStyle w:val="CharSectno"/>
        </w:rPr>
        <w:t>29</w:t>
      </w:r>
      <w:r>
        <w:t>.</w:t>
      </w:r>
      <w:r>
        <w:tab/>
        <w:t>Remission of penalty tax</w:t>
      </w:r>
      <w:bookmarkEnd w:id="36"/>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7" w:name="_Toc390071230"/>
      <w:r>
        <w:rPr>
          <w:rStyle w:val="CharSectno"/>
        </w:rPr>
        <w:t>30</w:t>
      </w:r>
      <w:r>
        <w:t>.</w:t>
      </w:r>
      <w:r>
        <w:tab/>
        <w:t>Guidelines for imposing penalty tax</w:t>
      </w:r>
      <w:bookmarkEnd w:id="37"/>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8" w:name="_Toc390071231"/>
      <w:r>
        <w:rPr>
          <w:rStyle w:val="CharPartNo"/>
        </w:rPr>
        <w:t>Part 4</w:t>
      </w:r>
      <w:r>
        <w:t xml:space="preserve"> — </w:t>
      </w:r>
      <w:r>
        <w:rPr>
          <w:rStyle w:val="CharPartText"/>
        </w:rPr>
        <w:t>Objections and review proceedings</w:t>
      </w:r>
      <w:bookmarkEnd w:id="38"/>
    </w:p>
    <w:p>
      <w:pPr>
        <w:pStyle w:val="Footnoteheading"/>
        <w:tabs>
          <w:tab w:val="left" w:pos="851"/>
        </w:tabs>
      </w:pPr>
      <w:r>
        <w:tab/>
        <w:t>[Heading amended by No. 55 of 2004 s. 1167.]</w:t>
      </w:r>
    </w:p>
    <w:p>
      <w:pPr>
        <w:pStyle w:val="Heading3"/>
      </w:pPr>
      <w:bookmarkStart w:id="39" w:name="_Toc390071232"/>
      <w:r>
        <w:rPr>
          <w:rStyle w:val="CharDivNo"/>
        </w:rPr>
        <w:t>Division 1</w:t>
      </w:r>
      <w:r>
        <w:t xml:space="preserve"> — </w:t>
      </w:r>
      <w:r>
        <w:rPr>
          <w:rStyle w:val="CharDivText"/>
        </w:rPr>
        <w:t>Procedures and restrictions</w:t>
      </w:r>
      <w:bookmarkEnd w:id="39"/>
    </w:p>
    <w:p>
      <w:pPr>
        <w:pStyle w:val="Heading5"/>
      </w:pPr>
      <w:bookmarkStart w:id="40" w:name="_Toc390071233"/>
      <w:r>
        <w:rPr>
          <w:rStyle w:val="CharSectno"/>
        </w:rPr>
        <w:t>31</w:t>
      </w:r>
      <w:r>
        <w:t>.</w:t>
      </w:r>
      <w:r>
        <w:tab/>
        <w:t>Procedure for challenging assessments</w:t>
      </w:r>
      <w:bookmarkEnd w:id="4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1" w:name="_Toc390071234"/>
      <w:r>
        <w:rPr>
          <w:rStyle w:val="CharSectno"/>
        </w:rPr>
        <w:t>32</w:t>
      </w:r>
      <w:r>
        <w:t>.</w:t>
      </w:r>
      <w:r>
        <w:tab/>
        <w:t>Objections to land valuations</w:t>
      </w:r>
      <w:bookmarkEnd w:id="41"/>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2" w:name="_Toc390071235"/>
      <w:r>
        <w:t>33.</w:t>
      </w:r>
      <w:r>
        <w:tab/>
        <w:t>Continuing obligation to pay assessed tax</w:t>
      </w:r>
      <w:bookmarkEnd w:id="4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3" w:name="_Toc390071236"/>
      <w:r>
        <w:rPr>
          <w:rStyle w:val="CharDivNo"/>
        </w:rPr>
        <w:t>Division 2</w:t>
      </w:r>
      <w:r>
        <w:t xml:space="preserve"> — </w:t>
      </w:r>
      <w:r>
        <w:rPr>
          <w:rStyle w:val="CharDivText"/>
        </w:rPr>
        <w:t>Objections</w:t>
      </w:r>
      <w:bookmarkEnd w:id="43"/>
    </w:p>
    <w:p>
      <w:pPr>
        <w:pStyle w:val="Heading5"/>
        <w:spacing w:before="200"/>
      </w:pPr>
      <w:bookmarkStart w:id="44" w:name="_Toc390071237"/>
      <w:r>
        <w:rPr>
          <w:rStyle w:val="CharSectno"/>
        </w:rPr>
        <w:t>34</w:t>
      </w:r>
      <w:r>
        <w:t>.</w:t>
      </w:r>
      <w:r>
        <w:tab/>
        <w:t>Right to object</w:t>
      </w:r>
      <w:bookmarkEnd w:id="44"/>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spacing w:before="60"/>
      </w:pPr>
      <w:r>
        <w:tab/>
        <w:t>(b)</w:t>
      </w:r>
      <w:r>
        <w:tab/>
        <w:t xml:space="preserve">an assessment of an amount of stamp duty and penalty tax that is assessed under Part IIIC of the </w:t>
      </w:r>
      <w:r>
        <w:rPr>
          <w:i/>
        </w:rPr>
        <w:t>Stamp Act 1921</w:t>
      </w:r>
      <w:r>
        <w:t xml:space="preserve"> and specified in a traffic infringement notice issued under section 102 of the </w:t>
      </w:r>
      <w:r>
        <w:rPr>
          <w:i/>
        </w:rPr>
        <w:t>Road Traffic Act 1974</w:t>
      </w:r>
      <w:r>
        <w:t>,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2</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2</w:t>
      </w:r>
      <w:r>
        <w:rPr>
          <w:i w:val="0"/>
        </w:rPr>
        <w:t>.</w:t>
      </w:r>
      <w:r>
        <w:t>]</w:t>
      </w:r>
    </w:p>
    <w:p>
      <w:pPr>
        <w:pStyle w:val="Heading5"/>
      </w:pPr>
      <w:bookmarkStart w:id="45" w:name="_Toc390071238"/>
      <w:r>
        <w:rPr>
          <w:rStyle w:val="CharSectno"/>
        </w:rPr>
        <w:t>35</w:t>
      </w:r>
      <w:r>
        <w:t>.</w:t>
      </w:r>
      <w:r>
        <w:tab/>
        <w:t>Form of objection</w:t>
      </w:r>
      <w:bookmarkEnd w:id="45"/>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6" w:name="_Toc390071239"/>
      <w:r>
        <w:rPr>
          <w:rStyle w:val="CharSectno"/>
        </w:rPr>
        <w:t>36</w:t>
      </w:r>
      <w:r>
        <w:t>.</w:t>
      </w:r>
      <w:r>
        <w:tab/>
        <w:t>Time for lodging objection</w:t>
      </w:r>
      <w:bookmarkEnd w:id="46"/>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denoted by stamping in accordance with section 23(2)(b) — the date on which the document was stamped;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Heading5"/>
      </w:pPr>
      <w:bookmarkStart w:id="47" w:name="_Toc390071240"/>
      <w:r>
        <w:rPr>
          <w:rStyle w:val="CharSectno"/>
        </w:rPr>
        <w:t>37</w:t>
      </w:r>
      <w:r>
        <w:t>.</w:t>
      </w:r>
      <w:r>
        <w:tab/>
        <w:t>Consideration of objections</w:t>
      </w:r>
      <w:bookmarkEnd w:id="47"/>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8" w:name="_Toc390071241"/>
      <w:r>
        <w:rPr>
          <w:rStyle w:val="CharSectno"/>
        </w:rPr>
        <w:t>38</w:t>
      </w:r>
      <w:r>
        <w:t>.</w:t>
      </w:r>
      <w:r>
        <w:tab/>
        <w:t>Time limit for determining objections</w:t>
      </w:r>
      <w:bookmarkEnd w:id="48"/>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49" w:name="_Toc390071242"/>
      <w:r>
        <w:rPr>
          <w:rStyle w:val="CharSectno"/>
        </w:rPr>
        <w:t>39</w:t>
      </w:r>
      <w:r>
        <w:t>.</w:t>
      </w:r>
      <w:r>
        <w:tab/>
        <w:t>Reassessment on determination of objection</w:t>
      </w:r>
      <w:bookmarkEnd w:id="49"/>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50" w:name="_Toc390071243"/>
      <w:r>
        <w:rPr>
          <w:rStyle w:val="CharDivNo"/>
        </w:rPr>
        <w:t>Division 3</w:t>
      </w:r>
      <w:r>
        <w:t> — </w:t>
      </w:r>
      <w:r>
        <w:rPr>
          <w:rStyle w:val="CharDivText"/>
        </w:rPr>
        <w:t>Reviews and stated cases</w:t>
      </w:r>
      <w:bookmarkEnd w:id="50"/>
    </w:p>
    <w:p>
      <w:pPr>
        <w:pStyle w:val="Footnoteheading"/>
        <w:tabs>
          <w:tab w:val="left" w:pos="851"/>
        </w:tabs>
      </w:pPr>
      <w:r>
        <w:rPr>
          <w:i w:val="0"/>
        </w:rPr>
        <w:tab/>
      </w:r>
      <w:r>
        <w:t>[Heading amended by No. 55 of 2004 s. 1173.]</w:t>
      </w:r>
    </w:p>
    <w:p>
      <w:pPr>
        <w:pStyle w:val="Heading5"/>
      </w:pPr>
      <w:bookmarkStart w:id="51" w:name="_Toc390071244"/>
      <w:r>
        <w:rPr>
          <w:rStyle w:val="CharSectno"/>
        </w:rPr>
        <w:t>40</w:t>
      </w:r>
      <w:r>
        <w:t>.</w:t>
      </w:r>
      <w:r>
        <w:tab/>
        <w:t>Right of review</w:t>
      </w:r>
      <w:bookmarkEnd w:id="51"/>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52" w:name="_Toc390071245"/>
      <w:r>
        <w:rPr>
          <w:rStyle w:val="CharSectno"/>
        </w:rPr>
        <w:t>42</w:t>
      </w:r>
      <w:r>
        <w:t>.</w:t>
      </w:r>
      <w:r>
        <w:tab/>
        <w:t>Time for review</w:t>
      </w:r>
      <w:bookmarkEnd w:id="5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53" w:name="_Toc390071246"/>
      <w:r>
        <w:rPr>
          <w:rStyle w:val="CharSectno"/>
        </w:rPr>
        <w:t>43</w:t>
      </w:r>
      <w:r>
        <w:t>.</w:t>
      </w:r>
      <w:r>
        <w:tab/>
        <w:t>Proceedings before State Administrative Tribunal</w:t>
      </w:r>
      <w:bookmarkEnd w:id="53"/>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p>
    <w:p>
      <w:pPr>
        <w:pStyle w:val="Heading5"/>
      </w:pPr>
      <w:bookmarkStart w:id="54" w:name="_Toc390071247"/>
      <w:r>
        <w:rPr>
          <w:rStyle w:val="CharSectno"/>
        </w:rPr>
        <w:t>43A</w:t>
      </w:r>
      <w:r>
        <w:t>.</w:t>
      </w:r>
      <w:r>
        <w:tab/>
        <w:t>Appeal from decision of State Administrative Tribunal</w:t>
      </w:r>
      <w:bookmarkEnd w:id="54"/>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5" w:name="_Toc390071248"/>
      <w:r>
        <w:rPr>
          <w:rStyle w:val="CharSectno"/>
        </w:rPr>
        <w:t>44</w:t>
      </w:r>
      <w:r>
        <w:t>.</w:t>
      </w:r>
      <w:r>
        <w:tab/>
        <w:t>Cases stated by Commissioner</w:t>
      </w:r>
      <w:bookmarkEnd w:id="55"/>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6" w:name="_Toc390071249"/>
      <w:r>
        <w:rPr>
          <w:rStyle w:val="CharPartNo"/>
        </w:rPr>
        <w:t>Part 5</w:t>
      </w:r>
      <w:r>
        <w:t xml:space="preserve"> — </w:t>
      </w:r>
      <w:r>
        <w:rPr>
          <w:rStyle w:val="CharPartText"/>
        </w:rPr>
        <w:t>Payment and refund of tax</w:t>
      </w:r>
      <w:bookmarkEnd w:id="56"/>
    </w:p>
    <w:p>
      <w:pPr>
        <w:pStyle w:val="Heading3"/>
      </w:pPr>
      <w:bookmarkStart w:id="57" w:name="_Toc390071250"/>
      <w:r>
        <w:rPr>
          <w:rStyle w:val="CharDivNo"/>
        </w:rPr>
        <w:t>Division 1</w:t>
      </w:r>
      <w:r>
        <w:t xml:space="preserve"> — </w:t>
      </w:r>
      <w:r>
        <w:rPr>
          <w:rStyle w:val="CharDivText"/>
        </w:rPr>
        <w:t>Payment</w:t>
      </w:r>
      <w:bookmarkEnd w:id="57"/>
    </w:p>
    <w:p>
      <w:pPr>
        <w:pStyle w:val="Heading5"/>
      </w:pPr>
      <w:bookmarkStart w:id="58" w:name="_Toc390071251"/>
      <w:r>
        <w:rPr>
          <w:rStyle w:val="CharSectno"/>
        </w:rPr>
        <w:t>45</w:t>
      </w:r>
      <w:r>
        <w:t>.</w:t>
      </w:r>
      <w:r>
        <w:tab/>
        <w:t>When tax is due for payment</w:t>
      </w:r>
      <w:bookmarkEnd w:id="5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59" w:name="_Toc390071252"/>
      <w:r>
        <w:rPr>
          <w:rStyle w:val="CharSectno"/>
        </w:rPr>
        <w:t>46</w:t>
      </w:r>
      <w:r>
        <w:t>.</w:t>
      </w:r>
      <w:r>
        <w:tab/>
        <w:t>Allocation of payment</w:t>
      </w:r>
      <w:bookmarkEnd w:id="5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0" w:name="_Toc390071253"/>
      <w:r>
        <w:rPr>
          <w:rStyle w:val="CharSectno"/>
        </w:rPr>
        <w:t>47</w:t>
      </w:r>
      <w:r>
        <w:t>.</w:t>
      </w:r>
      <w:r>
        <w:tab/>
        <w:t>Arrangements for instalments and extensions of time</w:t>
      </w:r>
      <w:bookmarkEnd w:id="6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2</w:t>
      </w:r>
      <w:r>
        <w:t>.]</w:t>
      </w:r>
    </w:p>
    <w:p>
      <w:pPr>
        <w:pStyle w:val="Ednotesection"/>
      </w:pPr>
      <w:r>
        <w:t>[</w:t>
      </w:r>
      <w:r>
        <w:rPr>
          <w:b/>
        </w:rPr>
        <w:t>48.</w:t>
      </w:r>
      <w:r>
        <w:tab/>
        <w:t>has not come into operation</w:t>
      </w:r>
      <w:r>
        <w:rPr>
          <w:i w:val="0"/>
        </w:rPr>
        <w:t> </w:t>
      </w:r>
      <w:r>
        <w:rPr>
          <w:i w:val="0"/>
          <w:vertAlign w:val="superscript"/>
        </w:rPr>
        <w:t>2</w:t>
      </w:r>
      <w:r>
        <w:t>.]</w:t>
      </w:r>
    </w:p>
    <w:p>
      <w:pPr>
        <w:pStyle w:val="Heading3"/>
      </w:pPr>
      <w:bookmarkStart w:id="61" w:name="_Toc390071254"/>
      <w:r>
        <w:rPr>
          <w:rStyle w:val="CharDivNo"/>
        </w:rPr>
        <w:t>Division 2</w:t>
      </w:r>
      <w:r>
        <w:t xml:space="preserve"> — </w:t>
      </w:r>
      <w:r>
        <w:rPr>
          <w:rStyle w:val="CharDivText"/>
        </w:rPr>
        <w:t>Special tax return arrangements</w:t>
      </w:r>
      <w:bookmarkEnd w:id="61"/>
    </w:p>
    <w:p>
      <w:pPr>
        <w:pStyle w:val="Heading5"/>
      </w:pPr>
      <w:bookmarkStart w:id="62" w:name="_Toc390071255"/>
      <w:r>
        <w:rPr>
          <w:rStyle w:val="CharSectno"/>
        </w:rPr>
        <w:t>49</w:t>
      </w:r>
      <w:r>
        <w:t>.</w:t>
      </w:r>
      <w:r>
        <w:tab/>
        <w:t>Approval of special tax return arrangements</w:t>
      </w:r>
      <w:bookmarkEnd w:id="62"/>
    </w:p>
    <w:p>
      <w:pPr>
        <w:pStyle w:val="Subsection"/>
        <w:spacing w:before="140"/>
      </w:pPr>
      <w:r>
        <w:tab/>
        <w:t>(1)</w:t>
      </w:r>
      <w:r>
        <w:tab/>
        <w:t>The Commissioner may make a special tax return arrangement with a taxpayer or another person in relation to a taxpayer’s obligations under a taxation Act.</w:t>
      </w:r>
    </w:p>
    <w:p>
      <w:pPr>
        <w:pStyle w:val="Subsection"/>
        <w:spacing w:before="140"/>
      </w:pPr>
      <w:r>
        <w:tab/>
        <w:t>(2)</w:t>
      </w:r>
      <w:r>
        <w:tab/>
        <w:t>Without limiting subsection (1), a special tax return arrangement may be made with — </w:t>
      </w:r>
    </w:p>
    <w:p>
      <w:pPr>
        <w:pStyle w:val="Indenta"/>
        <w:spacing w:before="60"/>
      </w:pPr>
      <w:r>
        <w:tab/>
        <w:t>(a)</w:t>
      </w:r>
      <w:r>
        <w:tab/>
        <w:t>a particular taxpayer in relation to the taxpayer’s obligations under a taxation Act;</w:t>
      </w:r>
    </w:p>
    <w:p>
      <w:pPr>
        <w:pStyle w:val="Indenta"/>
        <w:spacing w:before="60"/>
      </w:pPr>
      <w:r>
        <w:tab/>
        <w:t>(b)</w:t>
      </w:r>
      <w:r>
        <w:tab/>
        <w:t>a particular taxpayer in relation to obligations the taxpayer has jointly with other taxpayers under a taxation Act; or</w:t>
      </w:r>
    </w:p>
    <w:p>
      <w:pPr>
        <w:pStyle w:val="Indenta"/>
        <w:spacing w:before="60"/>
      </w:pPr>
      <w:r>
        <w:tab/>
        <w:t>(c)</w:t>
      </w:r>
      <w:r>
        <w:tab/>
        <w:t>an agent in relation to obligations of taxpayers for whom the agent is authorised to act.</w:t>
      </w:r>
    </w:p>
    <w:p>
      <w:pPr>
        <w:pStyle w:val="Subsection"/>
        <w:spacing w:before="140"/>
      </w:pPr>
      <w:r>
        <w:tab/>
        <w:t>(3)</w:t>
      </w:r>
      <w:r>
        <w:tab/>
        <w:t>A special tax return arrangement is to be made — </w:t>
      </w:r>
    </w:p>
    <w:p>
      <w:pPr>
        <w:pStyle w:val="Indenta"/>
        <w:spacing w:before="60"/>
      </w:pPr>
      <w:r>
        <w:tab/>
        <w:t>(a)</w:t>
      </w:r>
      <w:r>
        <w:tab/>
        <w:t>in writing; and</w:t>
      </w:r>
    </w:p>
    <w:p>
      <w:pPr>
        <w:pStyle w:val="Indenta"/>
        <w:spacing w:before="60"/>
      </w:pPr>
      <w:r>
        <w:tab/>
        <w:t>(b)</w:t>
      </w:r>
      <w:r>
        <w:tab/>
        <w:t>on terms agreed between the Commissioner and the responsible party.</w:t>
      </w:r>
    </w:p>
    <w:p>
      <w:pPr>
        <w:pStyle w:val="Heading5"/>
      </w:pPr>
      <w:bookmarkStart w:id="63" w:name="_Toc390071256"/>
      <w:r>
        <w:rPr>
          <w:rStyle w:val="CharSectno"/>
        </w:rPr>
        <w:t>50</w:t>
      </w:r>
      <w:r>
        <w:t>.</w:t>
      </w:r>
      <w:r>
        <w:tab/>
        <w:t>Content of special tax return arrangement</w:t>
      </w:r>
      <w:bookmarkEnd w:id="63"/>
    </w:p>
    <w:p>
      <w:pPr>
        <w:pStyle w:val="Subsection"/>
        <w:spacing w:before="140"/>
      </w:pPr>
      <w:r>
        <w:tab/>
        <w:t>(1)</w:t>
      </w:r>
      <w:r>
        <w:tab/>
        <w:t>A special tax return arrangement — </w:t>
      </w:r>
    </w:p>
    <w:p>
      <w:pPr>
        <w:pStyle w:val="Indenta"/>
        <w:spacing w:before="60"/>
      </w:pPr>
      <w:r>
        <w:tab/>
        <w:t>(a)</w:t>
      </w:r>
      <w:r>
        <w:tab/>
        <w:t>may require the lodging of returns, and the self</w:t>
      </w:r>
      <w:r>
        <w:noBreakHyphen/>
        <w:t>assessment and payment of tax, in accordance with the arrangement;</w:t>
      </w:r>
    </w:p>
    <w:p>
      <w:pPr>
        <w:pStyle w:val="Indenta"/>
        <w:spacing w:before="60"/>
      </w:pPr>
      <w:r>
        <w:tab/>
        <w:t>(b)</w:t>
      </w:r>
      <w:r>
        <w:tab/>
        <w:t>may require compliance with any other obligations imposed under the conditions of the arrangement;</w:t>
      </w:r>
    </w:p>
    <w:p>
      <w:pPr>
        <w:pStyle w:val="Indenta"/>
        <w:spacing w:before="60"/>
      </w:pPr>
      <w:r>
        <w:tab/>
        <w:t>(c)</w:t>
      </w:r>
      <w:r>
        <w:tab/>
        <w:t>may exempt the taxpayer or taxpayers covered by the arrangement from compliance with specified administrative requirements of a taxation Act;</w:t>
      </w:r>
    </w:p>
    <w:p>
      <w:pPr>
        <w:pStyle w:val="Indenta"/>
        <w:spacing w:before="60"/>
      </w:pPr>
      <w:r>
        <w:tab/>
        <w:t>(d)</w:t>
      </w:r>
      <w:r>
        <w:tab/>
        <w:t>may provide for the stamping or endorsement of instruments with the amount of tax paid or payable under the special arrangement, or to denote that tax is not payable in respect of the instrument;</w:t>
      </w:r>
    </w:p>
    <w:p>
      <w:pPr>
        <w:pStyle w:val="Indenta"/>
      </w:pPr>
      <w:r>
        <w:tab/>
        <w:t>(e)</w:t>
      </w:r>
      <w:r>
        <w:tab/>
        <w:t>may require the responsible party to keep specified records;</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cancel a stamp duty certificate issued by the party under the arrangement and issue a replacement certificate to give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w:t>
      </w:r>
    </w:p>
    <w:p>
      <w:pPr>
        <w:pStyle w:val="Heading5"/>
      </w:pPr>
      <w:bookmarkStart w:id="64" w:name="_Toc390071257"/>
      <w:r>
        <w:rPr>
          <w:rStyle w:val="CharSectno"/>
        </w:rPr>
        <w:t>51</w:t>
      </w:r>
      <w:r>
        <w:t>.</w:t>
      </w:r>
      <w:r>
        <w:tab/>
        <w:t>Instruments stamped or endorsed under a special tax return arrangement</w:t>
      </w:r>
      <w:bookmarkEnd w:id="64"/>
    </w:p>
    <w:p>
      <w:pPr>
        <w:pStyle w:val="Subsection"/>
      </w:pPr>
      <w:r>
        <w:tab/>
        <w:t>(1)</w:t>
      </w:r>
      <w:r>
        <w:tab/>
        <w:t>An instrument stamped or endorsed in accordance with a special tax return arrangement is taken to have been stamped.</w:t>
      </w:r>
    </w:p>
    <w:p>
      <w:pPr>
        <w:pStyle w:val="Subsection"/>
      </w:pPr>
      <w:r>
        <w:tab/>
        <w:t>(2)</w:t>
      </w:r>
      <w:r>
        <w:tab/>
        <w:t>A person who stamps or endorses an instrument so as to suggest or imply that the instrument has been properly stamped or endorsed under a special tax return arrangement commits an offence unless the instrument is properly stamped or endorsed in accordance with the conditions of the special arrangement.</w:t>
      </w:r>
    </w:p>
    <w:p>
      <w:pPr>
        <w:pStyle w:val="Penstart"/>
      </w:pPr>
      <w:r>
        <w:tab/>
        <w:t>Penalty: $20 000.</w:t>
      </w:r>
    </w:p>
    <w:p>
      <w:pPr>
        <w:pStyle w:val="Heading5"/>
      </w:pPr>
      <w:bookmarkStart w:id="65" w:name="_Toc390071258"/>
      <w:r>
        <w:rPr>
          <w:rStyle w:val="CharSectno"/>
        </w:rPr>
        <w:t>52</w:t>
      </w:r>
      <w:r>
        <w:t>.</w:t>
      </w:r>
      <w:r>
        <w:tab/>
        <w:t>Lodging returns under special tax return arrangement</w:t>
      </w:r>
      <w:bookmarkEnd w:id="65"/>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6" w:name="_Toc390071259"/>
      <w:r>
        <w:rPr>
          <w:rStyle w:val="CharSectno"/>
        </w:rPr>
        <w:t>53</w:t>
      </w:r>
      <w:r>
        <w:t>.</w:t>
      </w:r>
      <w:r>
        <w:tab/>
        <w:t>Amendment or cancellation of arrangement</w:t>
      </w:r>
      <w:bookmarkEnd w:id="6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7" w:name="_Toc390071260"/>
      <w:r>
        <w:rPr>
          <w:rStyle w:val="CharDivNo"/>
        </w:rPr>
        <w:t>Division 3</w:t>
      </w:r>
      <w:r>
        <w:t xml:space="preserve"> — </w:t>
      </w:r>
      <w:r>
        <w:rPr>
          <w:rStyle w:val="CharDivText"/>
        </w:rPr>
        <w:t>Refunds of tax</w:t>
      </w:r>
      <w:bookmarkEnd w:id="67"/>
    </w:p>
    <w:p>
      <w:pPr>
        <w:pStyle w:val="Heading5"/>
      </w:pPr>
      <w:bookmarkStart w:id="68" w:name="_Toc390071261"/>
      <w:r>
        <w:rPr>
          <w:rStyle w:val="CharSectno"/>
        </w:rPr>
        <w:t>54</w:t>
      </w:r>
      <w:r>
        <w:t>.</w:t>
      </w:r>
      <w:r>
        <w:tab/>
        <w:t>Power to make refund</w:t>
      </w:r>
      <w:bookmarkEnd w:id="68"/>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spacing w:before="60"/>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spacing w:before="60"/>
      </w:pPr>
      <w:r>
        <w:tab/>
        <w:t>(a)</w:t>
      </w:r>
      <w:r>
        <w:tab/>
        <w:t>on a ground on which refunds are authorised or required by a taxation Act; or</w:t>
      </w:r>
    </w:p>
    <w:p>
      <w:pPr>
        <w:pStyle w:val="Indenta"/>
        <w:spacing w:before="60"/>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spacing w:before="60"/>
      </w:pPr>
      <w:r>
        <w:tab/>
        <w:t>(a)</w:t>
      </w:r>
      <w:r>
        <w:tab/>
        <w:t>within a period fixed by a taxation Act for making the application; or</w:t>
      </w:r>
    </w:p>
    <w:p>
      <w:pPr>
        <w:pStyle w:val="Indenta"/>
        <w:spacing w:before="60"/>
      </w:pPr>
      <w:r>
        <w:tab/>
        <w:t>(b)</w:t>
      </w:r>
      <w:r>
        <w:tab/>
        <w:t>if no period is fixed by a taxation Act — within 5 years of the date when the overpayment was made.</w:t>
      </w:r>
    </w:p>
    <w:p>
      <w:pPr>
        <w:pStyle w:val="Heading5"/>
      </w:pPr>
      <w:bookmarkStart w:id="69" w:name="_Toc390071262"/>
      <w:r>
        <w:rPr>
          <w:rStyle w:val="CharSectno"/>
        </w:rPr>
        <w:t>55</w:t>
      </w:r>
      <w:r>
        <w:t>.</w:t>
      </w:r>
      <w:r>
        <w:tab/>
        <w:t>Refund to be passed on in certain cases</w:t>
      </w:r>
      <w:bookmarkEnd w:id="69"/>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spacing w:before="60"/>
      </w:pPr>
      <w:r>
        <w:tab/>
        <w:t>(c)</w:t>
      </w:r>
      <w:r>
        <w:tab/>
        <w:t>debits tax.</w:t>
      </w:r>
    </w:p>
    <w:p>
      <w:pPr>
        <w:pStyle w:val="Subsection"/>
      </w:pPr>
      <w:r>
        <w:tab/>
        <w:t>(2)</w:t>
      </w:r>
      <w:r>
        <w:tab/>
        <w:t>If —</w:t>
      </w:r>
    </w:p>
    <w:p>
      <w:pPr>
        <w:pStyle w:val="Indenta"/>
        <w:spacing w:before="60"/>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Heading3"/>
      </w:pPr>
      <w:bookmarkStart w:id="70" w:name="_Toc390071263"/>
      <w:r>
        <w:rPr>
          <w:rStyle w:val="CharDivNo"/>
        </w:rPr>
        <w:t>Division 4</w:t>
      </w:r>
      <w:r>
        <w:t xml:space="preserve"> — </w:t>
      </w:r>
      <w:r>
        <w:rPr>
          <w:rStyle w:val="CharDivText"/>
        </w:rPr>
        <w:t>Power to waive or write off liability</w:t>
      </w:r>
      <w:bookmarkEnd w:id="70"/>
    </w:p>
    <w:p>
      <w:pPr>
        <w:pStyle w:val="Heading5"/>
      </w:pPr>
      <w:bookmarkStart w:id="71" w:name="_Toc390071264"/>
      <w:r>
        <w:rPr>
          <w:rStyle w:val="CharSectno"/>
        </w:rPr>
        <w:t>56</w:t>
      </w:r>
      <w:r>
        <w:t>.</w:t>
      </w:r>
      <w:r>
        <w:tab/>
        <w:t>Waiver of tax</w:t>
      </w:r>
      <w:bookmarkEnd w:id="71"/>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72" w:name="_Toc390071265"/>
      <w:r>
        <w:rPr>
          <w:rStyle w:val="CharSectno"/>
        </w:rPr>
        <w:t>57</w:t>
      </w:r>
      <w:r>
        <w:t>.</w:t>
      </w:r>
      <w:r>
        <w:tab/>
        <w:t>Writing off tax liability</w:t>
      </w:r>
      <w:bookmarkEnd w:id="72"/>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73" w:name="_Toc390071266"/>
      <w:r>
        <w:rPr>
          <w:rStyle w:val="CharSectno"/>
        </w:rPr>
        <w:t>58</w:t>
      </w:r>
      <w:r>
        <w:t>.</w:t>
      </w:r>
      <w:r>
        <w:tab/>
        <w:t>Powers subject to</w:t>
      </w:r>
      <w:r>
        <w:rPr>
          <w:i/>
        </w:rPr>
        <w:t xml:space="preserve"> Financial Management Act 2006</w:t>
      </w:r>
      <w:bookmarkEnd w:id="73"/>
    </w:p>
    <w:p>
      <w:pPr>
        <w:pStyle w:val="Subsection"/>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Ednotesection"/>
      </w:pPr>
      <w:r>
        <w:t>[</w:t>
      </w:r>
      <w:r>
        <w:rPr>
          <w:b/>
        </w:rPr>
        <w:t>59.</w:t>
      </w:r>
      <w:r>
        <w:tab/>
        <w:t>has not come into operation</w:t>
      </w:r>
      <w:r>
        <w:rPr>
          <w:i w:val="0"/>
        </w:rPr>
        <w:t> </w:t>
      </w:r>
      <w:r>
        <w:rPr>
          <w:i w:val="0"/>
          <w:vertAlign w:val="superscript"/>
        </w:rPr>
        <w:t>2</w:t>
      </w:r>
      <w:r>
        <w:t>.]</w:t>
      </w:r>
    </w:p>
    <w:p>
      <w:pPr>
        <w:pStyle w:val="Heading2"/>
      </w:pPr>
      <w:bookmarkStart w:id="74" w:name="_Toc390071267"/>
      <w:r>
        <w:rPr>
          <w:rStyle w:val="CharPartNo"/>
        </w:rPr>
        <w:t>Part 6</w:t>
      </w:r>
      <w:r>
        <w:t xml:space="preserve"> — </w:t>
      </w:r>
      <w:r>
        <w:rPr>
          <w:rStyle w:val="CharPartText"/>
        </w:rPr>
        <w:t>Recovery of tax</w:t>
      </w:r>
      <w:bookmarkEnd w:id="74"/>
    </w:p>
    <w:p>
      <w:pPr>
        <w:pStyle w:val="Heading3"/>
      </w:pPr>
      <w:bookmarkStart w:id="75" w:name="_Toc390071268"/>
      <w:r>
        <w:rPr>
          <w:rStyle w:val="CharDivNo"/>
        </w:rPr>
        <w:t>Division 1</w:t>
      </w:r>
      <w:r>
        <w:t xml:space="preserve"> — </w:t>
      </w:r>
      <w:r>
        <w:rPr>
          <w:rStyle w:val="CharDivText"/>
        </w:rPr>
        <w:t>Recovery generally</w:t>
      </w:r>
      <w:bookmarkEnd w:id="75"/>
    </w:p>
    <w:p>
      <w:pPr>
        <w:pStyle w:val="Heading5"/>
      </w:pPr>
      <w:bookmarkStart w:id="76" w:name="_Toc390071269"/>
      <w:r>
        <w:rPr>
          <w:rStyle w:val="CharSectno"/>
        </w:rPr>
        <w:t>60</w:t>
      </w:r>
      <w:r>
        <w:t>.</w:t>
      </w:r>
      <w:r>
        <w:tab/>
        <w:t>Recovery of unpaid tax</w:t>
      </w:r>
      <w:bookmarkEnd w:id="76"/>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77" w:name="_Toc390071270"/>
      <w:r>
        <w:rPr>
          <w:rStyle w:val="CharSectno"/>
        </w:rPr>
        <w:t>61</w:t>
      </w:r>
      <w:r>
        <w:t>.</w:t>
      </w:r>
      <w:r>
        <w:tab/>
        <w:t>Power of court to order payment of tax</w:t>
      </w:r>
      <w:bookmarkEnd w:id="77"/>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78" w:name="_Toc390071271"/>
      <w:r>
        <w:rPr>
          <w:rStyle w:val="CharSectno"/>
        </w:rPr>
        <w:t>62</w:t>
      </w:r>
      <w:r>
        <w:t>.</w:t>
      </w:r>
      <w:r>
        <w:tab/>
        <w:t>Recovery of costs and interest</w:t>
      </w:r>
      <w:bookmarkEnd w:id="78"/>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79" w:name="_Toc390071272"/>
      <w:r>
        <w:rPr>
          <w:rStyle w:val="CharSectno"/>
        </w:rPr>
        <w:t>63</w:t>
      </w:r>
      <w:r>
        <w:t>.</w:t>
      </w:r>
      <w:r>
        <w:tab/>
        <w:t>Recovery of tax in cases of joint liability</w:t>
      </w:r>
      <w:bookmarkEnd w:id="79"/>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0" w:name="_Toc390071273"/>
      <w:r>
        <w:rPr>
          <w:rStyle w:val="CharSectno"/>
        </w:rPr>
        <w:t>64</w:t>
      </w:r>
      <w:r>
        <w:t>.</w:t>
      </w:r>
      <w:r>
        <w:tab/>
        <w:t>Notice of administrator’s appointment</w:t>
      </w:r>
      <w:bookmarkEnd w:id="8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1" w:name="_Toc390071274"/>
      <w:r>
        <w:rPr>
          <w:rStyle w:val="CharSectno"/>
        </w:rPr>
        <w:t>65</w:t>
      </w:r>
      <w:r>
        <w:t>.</w:t>
      </w:r>
      <w:r>
        <w:tab/>
        <w:t>Power to garnishee</w:t>
      </w:r>
      <w:bookmarkEnd w:id="81"/>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2" w:name="_Toc390071275"/>
      <w:r>
        <w:rPr>
          <w:rStyle w:val="CharSectno"/>
        </w:rPr>
        <w:t>66</w:t>
      </w:r>
      <w:r>
        <w:t>.</w:t>
      </w:r>
      <w:r>
        <w:tab/>
        <w:t>Recovery from partnerships</w:t>
      </w:r>
      <w:bookmarkEnd w:id="82"/>
    </w:p>
    <w:p>
      <w:pPr>
        <w:pStyle w:val="Subsection"/>
      </w:pPr>
      <w:r>
        <w:tab/>
      </w:r>
      <w:r>
        <w:tab/>
        <w:t>If a tax liability is incurred by or on behalf of a partnership, the tax is recoverable jointly and severally from any one or more of the partners.</w:t>
      </w:r>
    </w:p>
    <w:p>
      <w:pPr>
        <w:pStyle w:val="Heading5"/>
      </w:pPr>
      <w:bookmarkStart w:id="83" w:name="_Toc390071276"/>
      <w:r>
        <w:rPr>
          <w:rStyle w:val="CharSectno"/>
        </w:rPr>
        <w:t>67</w:t>
      </w:r>
      <w:r>
        <w:t>.</w:t>
      </w:r>
      <w:r>
        <w:tab/>
        <w:t>Recovery from directors of body corporate</w:t>
      </w:r>
      <w:bookmarkEnd w:id="83"/>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4" w:name="_Toc390071277"/>
      <w:r>
        <w:rPr>
          <w:rStyle w:val="CharSectno"/>
        </w:rPr>
        <w:t>68</w:t>
      </w:r>
      <w:r>
        <w:t>.</w:t>
      </w:r>
      <w:r>
        <w:tab/>
        <w:t>Director of body corporate may apply</w:t>
      </w:r>
      <w:bookmarkEnd w:id="84"/>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5" w:name="_Toc390071278"/>
      <w:r>
        <w:rPr>
          <w:rStyle w:val="CharSectno"/>
        </w:rPr>
        <w:t>69</w:t>
      </w:r>
      <w:r>
        <w:t>.</w:t>
      </w:r>
      <w:r>
        <w:tab/>
        <w:t>Determination of application where there is a dispute</w:t>
      </w:r>
      <w:bookmarkEnd w:id="85"/>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86" w:name="_Toc390071279"/>
      <w:r>
        <w:rPr>
          <w:rStyle w:val="CharSectno"/>
        </w:rPr>
        <w:t>70</w:t>
      </w:r>
      <w:r>
        <w:t>.</w:t>
      </w:r>
      <w:r>
        <w:tab/>
        <w:t>Setting aside demand on other grounds</w:t>
      </w:r>
      <w:bookmarkEnd w:id="86"/>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87" w:name="_Toc390071280"/>
      <w:r>
        <w:rPr>
          <w:rStyle w:val="CharSectno"/>
        </w:rPr>
        <w:t>71</w:t>
      </w:r>
      <w:r>
        <w:t>.</w:t>
      </w:r>
      <w:r>
        <w:tab/>
        <w:t>Effect of order setting aside notice</w:t>
      </w:r>
      <w:bookmarkEnd w:id="87"/>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88" w:name="_Toc390071281"/>
      <w:r>
        <w:rPr>
          <w:rStyle w:val="CharSectno"/>
        </w:rPr>
        <w:t>72</w:t>
      </w:r>
      <w:r>
        <w:t>.</w:t>
      </w:r>
      <w:r>
        <w:tab/>
        <w:t>Dismissal of application</w:t>
      </w:r>
      <w:bookmarkEnd w:id="88"/>
    </w:p>
    <w:p>
      <w:pPr>
        <w:pStyle w:val="Subsection"/>
      </w:pPr>
      <w:r>
        <w:tab/>
      </w:r>
      <w:r>
        <w:tab/>
        <w:t>Unless the court makes, on an application under section 68, an order under section 69 or 70, the court is to dismiss the application.</w:t>
      </w:r>
    </w:p>
    <w:p>
      <w:pPr>
        <w:pStyle w:val="Heading5"/>
      </w:pPr>
      <w:bookmarkStart w:id="89" w:name="_Toc390071282"/>
      <w:r>
        <w:rPr>
          <w:rStyle w:val="CharSectno"/>
        </w:rPr>
        <w:t>73</w:t>
      </w:r>
      <w:r>
        <w:t>.</w:t>
      </w:r>
      <w:r>
        <w:tab/>
        <w:t>Order subject to conditions</w:t>
      </w:r>
      <w:bookmarkEnd w:id="89"/>
    </w:p>
    <w:p>
      <w:pPr>
        <w:pStyle w:val="Subsection"/>
      </w:pPr>
      <w:r>
        <w:tab/>
      </w:r>
      <w:r>
        <w:tab/>
        <w:t>An order under section 69 or 70 may be made subject to conditions.</w:t>
      </w:r>
    </w:p>
    <w:p>
      <w:pPr>
        <w:pStyle w:val="Heading5"/>
      </w:pPr>
      <w:bookmarkStart w:id="90" w:name="_Toc390071283"/>
      <w:r>
        <w:rPr>
          <w:rStyle w:val="CharSectno"/>
        </w:rPr>
        <w:t>74</w:t>
      </w:r>
      <w:r>
        <w:t>.</w:t>
      </w:r>
      <w:r>
        <w:tab/>
        <w:t>Costs where applicant successful</w:t>
      </w:r>
      <w:bookmarkEnd w:id="9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1" w:name="_Toc390071284"/>
      <w:r>
        <w:rPr>
          <w:rStyle w:val="CharSectno"/>
        </w:rPr>
        <w:t>75</w:t>
      </w:r>
      <w:r>
        <w:t>.</w:t>
      </w:r>
      <w:r>
        <w:tab/>
        <w:t>Period of remedying default</w:t>
      </w:r>
      <w:bookmarkEnd w:id="91"/>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2" w:name="_Toc390071285"/>
      <w:r>
        <w:rPr>
          <w:rStyle w:val="CharDivNo"/>
        </w:rPr>
        <w:t>Division 2</w:t>
      </w:r>
      <w:r>
        <w:t xml:space="preserve"> — </w:t>
      </w:r>
      <w:r>
        <w:rPr>
          <w:rStyle w:val="CharDivText"/>
        </w:rPr>
        <w:t>Charges on land</w:t>
      </w:r>
      <w:bookmarkEnd w:id="92"/>
    </w:p>
    <w:p>
      <w:pPr>
        <w:pStyle w:val="Heading5"/>
      </w:pPr>
      <w:bookmarkStart w:id="93" w:name="_Toc390071286"/>
      <w:r>
        <w:rPr>
          <w:rStyle w:val="CharSectno"/>
        </w:rPr>
        <w:t>76</w:t>
      </w:r>
      <w:r>
        <w:t>.</w:t>
      </w:r>
      <w:r>
        <w:tab/>
        <w:t>Charge on land to secure land tax</w:t>
      </w:r>
      <w:bookmarkEnd w:id="93"/>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 under section 83.</w:t>
      </w:r>
    </w:p>
    <w:p>
      <w:pPr>
        <w:pStyle w:val="Subsection"/>
      </w:pPr>
      <w:r>
        <w:tab/>
        <w:t>(2)</w:t>
      </w:r>
      <w:r>
        <w:tab/>
        <w:t>If the land tax is not paid by the due date, the Commissioner may lodge a memorial of the charge with the Registrar of Titles.</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liable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Heading5"/>
      </w:pPr>
      <w:bookmarkStart w:id="94" w:name="_Toc390071287"/>
      <w:r>
        <w:rPr>
          <w:rStyle w:val="CharSectno"/>
        </w:rPr>
        <w:t>77</w:t>
      </w:r>
      <w:r>
        <w:t>.</w:t>
      </w:r>
      <w:r>
        <w:tab/>
        <w:t>Charge on land to secure stamp duty</w:t>
      </w:r>
      <w:bookmarkEnd w:id="94"/>
    </w:p>
    <w:p>
      <w:pPr>
        <w:pStyle w:val="Subsection"/>
      </w:pPr>
      <w:r>
        <w:tab/>
        <w:t>(1)</w:t>
      </w:r>
      <w:r>
        <w:tab/>
        <w:t xml:space="preserve">If stamp duty payable under item 4, 10, 14A, 15, 17 or 19 of the Second Schedule to the </w:t>
      </w:r>
      <w:r>
        <w:rPr>
          <w:i/>
        </w:rPr>
        <w:t>Stamp Act 1921</w:t>
      </w:r>
      <w:r>
        <w:t xml:space="preserve"> on an instrument in relation to land as defined in section 76 of that Act</w:t>
      </w:r>
      <w:r>
        <w:rPr>
          <w:i/>
        </w:rPr>
        <w:t xml:space="preserve"> </w:t>
      </w:r>
      <w:r>
        <w:t>is not paid by the due date because it is taken not to be paid under subsection (5), the Commissioner may lodge a memorial with the Registrar of Titles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with the Registrar of Titles to create a charge on the land for the unpaid stamp duty.</w:t>
      </w:r>
    </w:p>
    <w:p>
      <w:pPr>
        <w:pStyle w:val="Subsection"/>
      </w:pPr>
      <w:r>
        <w:tab/>
        <w:t>(2)</w:t>
      </w:r>
      <w:r>
        <w:tab/>
        <w:t xml:space="preserve">If stamp duty payable under Part IIIBA of the </w:t>
      </w:r>
      <w:r>
        <w:rPr>
          <w:i/>
        </w:rPr>
        <w:t>Stamp Act 1921</w:t>
      </w:r>
      <w:r>
        <w:t xml:space="preserve"> in relation to land as defined in section 76 of that Act is not paid by the due date,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(3)</w:t>
      </w:r>
      <w:r>
        <w:tab/>
        <w:t xml:space="preserve">However, if stamp duty is assessed under section 76AA of the </w:t>
      </w:r>
      <w:r>
        <w:rPr>
          <w:i/>
        </w:rPr>
        <w:t>Stamp Act 1921</w:t>
      </w:r>
      <w:r>
        <w:t xml:space="preserve"> in relation to land as defined in section 76 of that Act, then, at any time after the assessment is made,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(4)</w:t>
      </w:r>
      <w:r>
        <w:tab/>
        <w:t xml:space="preserve">The charge arises on the land referred to in subsection (1), (2) or (3) when the memorial is registered under section 83.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and (2).</w:t>
      </w:r>
    </w:p>
    <w:p>
      <w:pPr>
        <w:pStyle w:val="Subsection"/>
      </w:pPr>
      <w:r>
        <w:tab/>
        <w:t>(6)</w:t>
      </w:r>
      <w:r>
        <w:tab/>
        <w:t>A memorial under subsection (1) creating a charge on land for stamp duty payable in relation to a transaction cannot be lodged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60"/>
      </w:pPr>
      <w:r>
        <w:tab/>
        <w:t>(a)</w:t>
      </w:r>
      <w:r>
        <w:tab/>
        <w:t xml:space="preserve">both the person and the taxpayer are bodies corporate and one is a subsidiary of the other within the meaning of section 76AI(4) of the </w:t>
      </w:r>
      <w:r>
        <w:rPr>
          <w:i/>
        </w:rPr>
        <w:t>Stamp Act 1921</w:t>
      </w:r>
      <w:r>
        <w:t>; or</w:t>
      </w:r>
    </w:p>
    <w:p>
      <w:pPr>
        <w:pStyle w:val="Indenta"/>
        <w:spacing w:before="60"/>
      </w:pPr>
      <w:r>
        <w:tab/>
        <w:t>(b)</w:t>
      </w:r>
      <w:r>
        <w:tab/>
        <w:t>the person is a body corporate and a beneficiary under a trust, or a potential beneficiary under a discretionary trust, of which the taxpayer is a trustee.</w:t>
      </w:r>
    </w:p>
    <w:p>
      <w:pPr>
        <w:pStyle w:val="Footnotesection"/>
      </w:pPr>
      <w:r>
        <w:tab/>
        <w:t>[Section 77 amended by No. 12 of 2004 s. 11.]</w:t>
      </w:r>
    </w:p>
    <w:p>
      <w:pPr>
        <w:pStyle w:val="Heading5"/>
      </w:pPr>
      <w:bookmarkStart w:id="95" w:name="_Toc390071288"/>
      <w:r>
        <w:rPr>
          <w:rStyle w:val="CharSectno"/>
        </w:rPr>
        <w:t>78</w:t>
      </w:r>
      <w:r>
        <w:t>.</w:t>
      </w:r>
      <w:r>
        <w:tab/>
        <w:t>Prohibition on dealing with certain charged land</w:t>
      </w:r>
      <w:bookmarkEnd w:id="95"/>
    </w:p>
    <w:p>
      <w:pPr>
        <w:pStyle w:val="Subsection"/>
        <w:spacing w:before="130"/>
      </w:pPr>
      <w:r>
        <w:tab/>
        <w:t>(1)</w:t>
      </w:r>
      <w:r>
        <w:tab/>
        <w:t>A memorial lodged under section 76 or 77 may provide that, after it is registered, the Registrar of Titles is not to register any dealing with the land without the consent of the Commissioner unless the Commissioner has lodged a memorial releasing the land from the charge, and the memorial of the release has been registered.</w:t>
      </w:r>
    </w:p>
    <w:p>
      <w:pPr>
        <w:pStyle w:val="Subsection"/>
        <w:spacing w:before="130"/>
      </w:pPr>
      <w:r>
        <w:tab/>
        <w:t>(2)</w:t>
      </w:r>
      <w:r>
        <w:tab/>
        <w:t xml:space="preserve">The registration of a memorial that prohibits dealing with land does not — </w:t>
      </w:r>
    </w:p>
    <w:p>
      <w:pPr>
        <w:pStyle w:val="Indenta"/>
        <w:spacing w:before="60"/>
      </w:pPr>
      <w:r>
        <w:tab/>
        <w:t>(a)</w:t>
      </w:r>
      <w:r>
        <w:tab/>
        <w:t>prevent a person from lodging with the Registrar of Titles an instrument relating to a dealing with the land; or</w:t>
      </w:r>
    </w:p>
    <w:p>
      <w:pPr>
        <w:pStyle w:val="Indenta"/>
        <w:spacing w:before="60"/>
      </w:pPr>
      <w:r>
        <w:tab/>
        <w:t>(b)</w:t>
      </w:r>
      <w:r>
        <w:tab/>
        <w:t>prevent the Registrar of Titles from accepting an instrument relating to a dealing with the land.</w:t>
      </w:r>
    </w:p>
    <w:p>
      <w:pPr>
        <w:pStyle w:val="Subsection"/>
        <w:spacing w:before="120"/>
      </w:pPr>
      <w:r>
        <w:tab/>
        <w:t>(3)</w:t>
      </w:r>
      <w:r>
        <w:tab/>
        <w:t>If a memorial of a charge prohibits dealing with land then, on the registration of a memorial releasing the land from the charge, an instrument lodged previously with the Registrar of Titles has effect as if the memorial of the charge had not been registered.</w:t>
      </w:r>
    </w:p>
    <w:p>
      <w:pPr>
        <w:pStyle w:val="Heading5"/>
        <w:spacing w:before="180"/>
      </w:pPr>
      <w:bookmarkStart w:id="96" w:name="_Toc390071289"/>
      <w:r>
        <w:rPr>
          <w:rStyle w:val="CharSectno"/>
        </w:rPr>
        <w:t>79</w:t>
      </w:r>
      <w:r>
        <w:t>.</w:t>
      </w:r>
      <w:r>
        <w:tab/>
        <w:t>Priority of charge</w:t>
      </w:r>
      <w:bookmarkEnd w:id="96"/>
    </w:p>
    <w:p>
      <w:pPr>
        <w:pStyle w:val="Subsection"/>
        <w:spacing w:before="120"/>
      </w:pPr>
      <w:r>
        <w:tab/>
        <w:t>(1)</w:t>
      </w:r>
      <w:r>
        <w:tab/>
        <w:t>When a memorial of a charge on land is registered under this Act, the charge is the first charge on the land and has priority over all other mortgages, charges and encumbrances over the land.</w:t>
      </w:r>
    </w:p>
    <w:p>
      <w:pPr>
        <w:pStyle w:val="Subsection"/>
        <w:spacing w:before="120"/>
      </w:pPr>
      <w:r>
        <w:tab/>
        <w:t>(2)</w:t>
      </w:r>
      <w:r>
        <w:tab/>
        <w:t>However, if there is another statutory charge on the same land that ranks as a first charge under another Act, the relative priority of the charges is to be determined according to the order of registration.</w:t>
      </w:r>
    </w:p>
    <w:p>
      <w:pPr>
        <w:pStyle w:val="Heading5"/>
        <w:spacing w:before="180"/>
      </w:pPr>
      <w:bookmarkStart w:id="97" w:name="_Toc390071290"/>
      <w:r>
        <w:rPr>
          <w:rStyle w:val="CharSectno"/>
        </w:rPr>
        <w:t>80</w:t>
      </w:r>
      <w:r>
        <w:t>.</w:t>
      </w:r>
      <w:r>
        <w:tab/>
        <w:t>Certificate of land tax secured by charge</w:t>
      </w:r>
      <w:bookmarkEnd w:id="97"/>
    </w:p>
    <w:p>
      <w:pPr>
        <w:pStyle w:val="Subsection"/>
        <w:spacing w:before="130"/>
      </w:pPr>
      <w:r>
        <w:tab/>
        <w:t>(1)</w:t>
      </w:r>
      <w:r>
        <w:tab/>
        <w:t>The Commissioner must, on application by the owner or a purchaser of land, issue a certificate — </w:t>
      </w:r>
    </w:p>
    <w:p>
      <w:pPr>
        <w:pStyle w:val="Indenta"/>
        <w:spacing w:before="60"/>
      </w:pPr>
      <w:r>
        <w:tab/>
        <w:t>(a)</w:t>
      </w:r>
      <w:r>
        <w:tab/>
        <w:t>stating whether there is a charge on the land under section 76 or 77; and</w:t>
      </w:r>
    </w:p>
    <w:p>
      <w:pPr>
        <w:pStyle w:val="Indenta"/>
      </w:pPr>
      <w:r>
        <w:tab/>
        <w:t>(b)</w:t>
      </w:r>
      <w:r>
        <w:tab/>
        <w:t>if there is — </w:t>
      </w:r>
    </w:p>
    <w:p>
      <w:pPr>
        <w:pStyle w:val="Indenti"/>
        <w:spacing w:before="60"/>
      </w:pPr>
      <w:r>
        <w:tab/>
        <w:t>(i)</w:t>
      </w:r>
      <w:r>
        <w:tab/>
        <w:t>stating the amount of unpaid land tax or unpaid stamp duty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Heading5"/>
      </w:pPr>
      <w:bookmarkStart w:id="98" w:name="_Toc390071291"/>
      <w:r>
        <w:rPr>
          <w:rStyle w:val="CharSectno"/>
        </w:rPr>
        <w:t>81</w:t>
      </w:r>
      <w:r>
        <w:t>.</w:t>
      </w:r>
      <w:r>
        <w:tab/>
        <w:t>Release of land from charge</w:t>
      </w:r>
      <w:bookmarkEnd w:id="98"/>
    </w:p>
    <w:p>
      <w:pPr>
        <w:pStyle w:val="Subsection"/>
      </w:pPr>
      <w:r>
        <w:tab/>
        <w:t>(1)</w:t>
      </w:r>
      <w:r>
        <w:tab/>
        <w:t>If a memorial of a charge on land is registered, then, on payment of the amount secured by the charge, the Commissioner must serve on the taxpayer an instrument releasing the land from the charge.</w:t>
      </w:r>
    </w:p>
    <w:p>
      <w:pPr>
        <w:pStyle w:val="Subsection"/>
      </w:pPr>
      <w:r>
        <w:tab/>
        <w:t>(2)</w:t>
      </w:r>
      <w:r>
        <w:tab/>
        <w:t>However, if land tax is assessed in relation to land comprising a number of separate lots or parcels, the Commissioner is not obliged to release any lot or parcel from the charge unless the whole of the land tax is paid.</w:t>
      </w:r>
    </w:p>
    <w:p>
      <w:pPr>
        <w:pStyle w:val="Heading5"/>
      </w:pPr>
      <w:bookmarkStart w:id="99" w:name="_Toc390071292"/>
      <w:r>
        <w:rPr>
          <w:rStyle w:val="CharSectno"/>
        </w:rPr>
        <w:t>82</w:t>
      </w:r>
      <w:r>
        <w:t>.</w:t>
      </w:r>
      <w:r>
        <w:tab/>
        <w:t>Form of memorial</w:t>
      </w:r>
      <w:bookmarkEnd w:id="99"/>
    </w:p>
    <w:p>
      <w:pPr>
        <w:pStyle w:val="Subsection"/>
      </w:pPr>
      <w:r>
        <w:tab/>
        <w:t>(1)</w:t>
      </w:r>
      <w:r>
        <w:tab/>
        <w:t>The Registrar of Titles may approve the form of memorials lodged under this Act.</w:t>
      </w:r>
    </w:p>
    <w:p>
      <w:pPr>
        <w:pStyle w:val="Subsection"/>
      </w:pPr>
      <w:r>
        <w:tab/>
        <w:t>(2)</w:t>
      </w:r>
      <w:r>
        <w:tab/>
        <w:t>A memorial must be in a form approved by the Registrar of Titles.</w:t>
      </w:r>
    </w:p>
    <w:p>
      <w:pPr>
        <w:pStyle w:val="Heading5"/>
      </w:pPr>
      <w:bookmarkStart w:id="100" w:name="_Toc390071293"/>
      <w:r>
        <w:rPr>
          <w:rStyle w:val="CharSectno"/>
        </w:rPr>
        <w:t>83</w:t>
      </w:r>
      <w:r>
        <w:t>.</w:t>
      </w:r>
      <w:r>
        <w:tab/>
        <w:t>Registration of memorials and releases</w:t>
      </w:r>
      <w:bookmarkEnd w:id="100"/>
    </w:p>
    <w:p>
      <w:pPr>
        <w:pStyle w:val="Subsection"/>
      </w:pPr>
      <w:r>
        <w:tab/>
        <w:t>(1)</w:t>
      </w:r>
      <w:r>
        <w:tab/>
        <w:t>When a memorial is lodged under this Act, the Registrar of Titles must register it.</w:t>
      </w:r>
    </w:p>
    <w:p>
      <w:pPr>
        <w:pStyle w:val="Subsection"/>
      </w:pPr>
      <w:r>
        <w:tab/>
        <w:t>(2)</w:t>
      </w:r>
      <w:r>
        <w:tab/>
        <w:t>On the application of the owner of the land accompanied by an instrument of release issued under section 81(1), the Registrar of Titles must register the release of the land from the charge.</w:t>
      </w:r>
    </w:p>
    <w:p>
      <w:pPr>
        <w:pStyle w:val="Heading5"/>
      </w:pPr>
      <w:bookmarkStart w:id="101" w:name="_Toc390071294"/>
      <w:r>
        <w:rPr>
          <w:rStyle w:val="CharSectno"/>
        </w:rPr>
        <w:t>84</w:t>
      </w:r>
      <w:r>
        <w:t>.</w:t>
      </w:r>
      <w:r>
        <w:tab/>
        <w:t>Notification of mortgagees</w:t>
      </w:r>
      <w:bookmarkEnd w:id="101"/>
    </w:p>
    <w:p>
      <w:pPr>
        <w:pStyle w:val="Subsection"/>
      </w:pPr>
      <w:r>
        <w:tab/>
      </w:r>
      <w:r>
        <w:tab/>
        <w:t>When a memorial in relation to land is registered, the Commissioner must notify all mortgagees who hold registered mortgages over the land of the registration of the memorial (but failure to do so does not invalidate the registration of the memorial).</w:t>
      </w:r>
    </w:p>
    <w:p>
      <w:pPr>
        <w:pStyle w:val="Heading5"/>
      </w:pPr>
      <w:bookmarkStart w:id="102" w:name="_Toc390071295"/>
      <w:r>
        <w:rPr>
          <w:rStyle w:val="CharSectno"/>
        </w:rPr>
        <w:t>85</w:t>
      </w:r>
      <w:r>
        <w:t>.</w:t>
      </w:r>
      <w:r>
        <w:tab/>
        <w:t>Orders for sale of land</w:t>
      </w:r>
      <w:bookmarkEnd w:id="102"/>
    </w:p>
    <w:p>
      <w:pPr>
        <w:pStyle w:val="Subsection"/>
      </w:pPr>
      <w:r>
        <w:tab/>
        <w:t>(1)</w:t>
      </w:r>
      <w:r>
        <w:tab/>
        <w:t>If tax on land or property remains unpaid for 18 months or more after the registration of the charge on the land or property, the Commissioner may apply to the Supreme Court for an order for the sale of the land (or part of the land) so that the proceeds of sale may be applied towards satisfaction of the outstanding tax liability.</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land;</w:t>
      </w:r>
    </w:p>
    <w:p>
      <w:pPr>
        <w:pStyle w:val="Indenta"/>
      </w:pPr>
      <w:r>
        <w:tab/>
        <w:t>(c)</w:t>
      </w:r>
      <w:r>
        <w:tab/>
        <w:t>authorising the Registrar of Titles to register a transfer to a purchaser without requiring the duplicate (if any) of the certificate of title or of any other document;</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pPr>
      <w:r>
        <w:tab/>
        <w:t>(6)</w:t>
      </w:r>
      <w:r>
        <w:tab/>
        <w:t>The proceeds of the sale are to be applied as follows — </w:t>
      </w:r>
    </w:p>
    <w:p>
      <w:pPr>
        <w:pStyle w:val="Indenta"/>
      </w:pPr>
      <w:r>
        <w:tab/>
        <w:t>(a)</w:t>
      </w:r>
      <w:r>
        <w:tab/>
        <w:t>firstly, in payment of the costs of the sale;</w:t>
      </w:r>
    </w:p>
    <w:p>
      <w:pPr>
        <w:pStyle w:val="Indenta"/>
      </w:pPr>
      <w:r>
        <w:tab/>
        <w:t>(b)</w:t>
      </w:r>
      <w:r>
        <w:tab/>
        <w:t>secondly, in payment of costs of proceedings so far as those costs are, by order of the court, to be paid out of the proceeds of sale;</w:t>
      </w:r>
    </w:p>
    <w:p>
      <w:pPr>
        <w:pStyle w:val="Indenta"/>
      </w:pPr>
      <w:r>
        <w:tab/>
        <w:t>(c)</w:t>
      </w:r>
      <w:r>
        <w:tab/>
        <w:t>thirdly, in discharge of the outstanding tax liability secured by the charge;</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Heading5"/>
      </w:pPr>
      <w:bookmarkStart w:id="103" w:name="_Toc390071296"/>
      <w:r>
        <w:rPr>
          <w:rStyle w:val="CharSectno"/>
        </w:rPr>
        <w:t>86</w:t>
      </w:r>
      <w:r>
        <w:t>.</w:t>
      </w:r>
      <w:r>
        <w:tab/>
        <w:t>Means of enforcement not limited to charge</w:t>
      </w:r>
      <w:bookmarkEnd w:id="103"/>
    </w:p>
    <w:p>
      <w:pPr>
        <w:pStyle w:val="Subsection"/>
      </w:pPr>
      <w:r>
        <w:rPr>
          <w:b/>
        </w:rPr>
        <w:tab/>
      </w:r>
      <w:r>
        <w:rPr>
          <w:b/>
        </w:rPr>
        <w:tab/>
      </w:r>
      <w:r>
        <w:t>The existence or registration of a charge under this Division does not affect the Commissioner’s discretion to proceed for recovery of the outstanding tax in proceedings unrelated to the charge.</w:t>
      </w:r>
    </w:p>
    <w:p>
      <w:pPr>
        <w:pStyle w:val="Heading2"/>
      </w:pPr>
      <w:bookmarkStart w:id="104" w:name="_Toc390071297"/>
      <w:r>
        <w:rPr>
          <w:rStyle w:val="CharPartNo"/>
        </w:rPr>
        <w:t>Part 7</w:t>
      </w:r>
      <w:r>
        <w:rPr>
          <w:rStyle w:val="CharDivNo"/>
        </w:rPr>
        <w:t xml:space="preserve"> </w:t>
      </w:r>
      <w:r>
        <w:t>—</w:t>
      </w:r>
      <w:r>
        <w:rPr>
          <w:rStyle w:val="CharDivText"/>
        </w:rPr>
        <w:t xml:space="preserve"> </w:t>
      </w:r>
      <w:r>
        <w:rPr>
          <w:rStyle w:val="CharPartText"/>
        </w:rPr>
        <w:t>Tax records</w:t>
      </w:r>
      <w:bookmarkEnd w:id="104"/>
    </w:p>
    <w:p>
      <w:pPr>
        <w:pStyle w:val="Heading5"/>
      </w:pPr>
      <w:bookmarkStart w:id="105" w:name="_Toc390071298"/>
      <w:r>
        <w:rPr>
          <w:rStyle w:val="CharSectno"/>
        </w:rPr>
        <w:t>87</w:t>
      </w:r>
      <w:r>
        <w:t>.</w:t>
      </w:r>
      <w:r>
        <w:tab/>
        <w:t>How long tax records are to be kept</w:t>
      </w:r>
      <w:bookmarkEnd w:id="105"/>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06" w:name="_Toc390071299"/>
      <w:r>
        <w:rPr>
          <w:rStyle w:val="CharSectno"/>
        </w:rPr>
        <w:t>88</w:t>
      </w:r>
      <w:r>
        <w:t>.</w:t>
      </w:r>
      <w:r>
        <w:tab/>
        <w:t>Form of tax records</w:t>
      </w:r>
      <w:bookmarkEnd w:id="106"/>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07" w:name="_Toc390071300"/>
      <w:r>
        <w:rPr>
          <w:rStyle w:val="CharSectno"/>
        </w:rPr>
        <w:t>89</w:t>
      </w:r>
      <w:r>
        <w:t>.</w:t>
      </w:r>
      <w:r>
        <w:tab/>
        <w:t>Where tax records are to be kept</w:t>
      </w:r>
      <w:bookmarkEnd w:id="107"/>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08" w:name="_Toc390071301"/>
      <w:r>
        <w:rPr>
          <w:rStyle w:val="CharSectno"/>
        </w:rPr>
        <w:t>90</w:t>
      </w:r>
      <w:r>
        <w:t>.</w:t>
      </w:r>
      <w:r>
        <w:tab/>
        <w:t>Failure to keep proper tax records</w:t>
      </w:r>
      <w:bookmarkEnd w:id="108"/>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09" w:name="_Toc390071302"/>
      <w:r>
        <w:rPr>
          <w:rStyle w:val="CharSectno"/>
        </w:rPr>
        <w:t>91</w:t>
      </w:r>
      <w:r>
        <w:t>.</w:t>
      </w:r>
      <w:r>
        <w:tab/>
        <w:t>General and specific exemptions</w:t>
      </w:r>
      <w:bookmarkEnd w:id="109"/>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0" w:name="_Toc390071303"/>
      <w:r>
        <w:rPr>
          <w:rStyle w:val="CharPartNo"/>
        </w:rPr>
        <w:t>Part 8</w:t>
      </w:r>
      <w:r>
        <w:t xml:space="preserve"> — </w:t>
      </w:r>
      <w:r>
        <w:rPr>
          <w:rStyle w:val="CharPartText"/>
        </w:rPr>
        <w:t>Investigations</w:t>
      </w:r>
      <w:bookmarkEnd w:id="110"/>
    </w:p>
    <w:p>
      <w:pPr>
        <w:pStyle w:val="Heading3"/>
      </w:pPr>
      <w:bookmarkStart w:id="111" w:name="_Toc390071304"/>
      <w:r>
        <w:rPr>
          <w:rStyle w:val="CharDivNo"/>
        </w:rPr>
        <w:t>Division 1</w:t>
      </w:r>
      <w:r>
        <w:t xml:space="preserve"> — </w:t>
      </w:r>
      <w:r>
        <w:rPr>
          <w:rStyle w:val="CharDivText"/>
        </w:rPr>
        <w:t>Investigations</w:t>
      </w:r>
      <w:bookmarkEnd w:id="111"/>
    </w:p>
    <w:p>
      <w:pPr>
        <w:pStyle w:val="Heading5"/>
      </w:pPr>
      <w:bookmarkStart w:id="112" w:name="_Toc390071305"/>
      <w:r>
        <w:rPr>
          <w:rStyle w:val="CharSectno"/>
        </w:rPr>
        <w:t>92</w:t>
      </w:r>
      <w:r>
        <w:t>.</w:t>
      </w:r>
      <w:r>
        <w:tab/>
        <w:t>Investigations</w:t>
      </w:r>
      <w:bookmarkEnd w:id="112"/>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3" w:name="_Toc390071306"/>
      <w:r>
        <w:rPr>
          <w:rStyle w:val="CharSectno"/>
        </w:rPr>
        <w:t>93</w:t>
      </w:r>
      <w:r>
        <w:t>.</w:t>
      </w:r>
      <w:r>
        <w:tab/>
        <w:t>Investigations for the purposes of recognised revenue laws</w:t>
      </w:r>
      <w:bookmarkEnd w:id="113"/>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14" w:name="_Toc390071307"/>
      <w:r>
        <w:rPr>
          <w:rStyle w:val="CharDivNo"/>
        </w:rPr>
        <w:t>Division 2</w:t>
      </w:r>
      <w:r>
        <w:t xml:space="preserve"> — </w:t>
      </w:r>
      <w:r>
        <w:rPr>
          <w:rStyle w:val="CharDivText"/>
        </w:rPr>
        <w:t>Obtaining tax records and other information</w:t>
      </w:r>
      <w:bookmarkEnd w:id="114"/>
    </w:p>
    <w:p>
      <w:pPr>
        <w:pStyle w:val="Heading5"/>
      </w:pPr>
      <w:bookmarkStart w:id="115" w:name="_Toc390071308"/>
      <w:r>
        <w:rPr>
          <w:rStyle w:val="CharSectno"/>
        </w:rPr>
        <w:t>94</w:t>
      </w:r>
      <w:r>
        <w:t>.</w:t>
      </w:r>
      <w:r>
        <w:tab/>
        <w:t>Requirements to provide information and tax records</w:t>
      </w:r>
      <w:bookmarkEnd w:id="115"/>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16" w:name="_Toc390071309"/>
      <w:r>
        <w:rPr>
          <w:rStyle w:val="CharSectno"/>
        </w:rPr>
        <w:t>95</w:t>
      </w:r>
      <w:r>
        <w:t>.</w:t>
      </w:r>
      <w:r>
        <w:tab/>
        <w:t>Power to require person to attend for examination</w:t>
      </w:r>
      <w:bookmarkEnd w:id="116"/>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17" w:name="_Toc390071310"/>
      <w:r>
        <w:rPr>
          <w:rStyle w:val="CharSectno"/>
        </w:rPr>
        <w:t>96</w:t>
      </w:r>
      <w:r>
        <w:t>.</w:t>
      </w:r>
      <w:r>
        <w:tab/>
        <w:t>Power to retain documents</w:t>
      </w:r>
      <w:bookmarkEnd w:id="117"/>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within the meaning of the </w:t>
      </w:r>
      <w:r>
        <w:rPr>
          <w:i/>
        </w:rPr>
        <w:t>Stamp Act 1921</w:t>
      </w:r>
      <w:r>
        <w:t xml:space="preserve"> — a party to the transaction to which the instrument relates; or</w:t>
      </w:r>
    </w:p>
    <w:p>
      <w:pPr>
        <w:pStyle w:val="Indenta"/>
      </w:pPr>
      <w:r>
        <w:tab/>
        <w:t>(b)</w:t>
      </w:r>
      <w:r>
        <w:tab/>
        <w:t>in any other case — the person who lodged the instrument or document with the Commissioner.</w:t>
      </w:r>
    </w:p>
    <w:p>
      <w:pPr>
        <w:pStyle w:val="Heading5"/>
      </w:pPr>
      <w:bookmarkStart w:id="118" w:name="_Toc390071311"/>
      <w:r>
        <w:rPr>
          <w:rStyle w:val="CharSectno"/>
        </w:rPr>
        <w:t>97</w:t>
      </w:r>
      <w:r>
        <w:t>.</w:t>
      </w:r>
      <w:r>
        <w:tab/>
        <w:t>Recording examination proceedings</w:t>
      </w:r>
      <w:bookmarkEnd w:id="118"/>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19" w:name="_Toc390071312"/>
      <w:r>
        <w:rPr>
          <w:rStyle w:val="CharDivNo"/>
        </w:rPr>
        <w:t>Division 3</w:t>
      </w:r>
      <w:r>
        <w:t xml:space="preserve"> — </w:t>
      </w:r>
      <w:r>
        <w:rPr>
          <w:rStyle w:val="CharDivText"/>
        </w:rPr>
        <w:t>Access to premises</w:t>
      </w:r>
      <w:bookmarkEnd w:id="119"/>
    </w:p>
    <w:p>
      <w:pPr>
        <w:pStyle w:val="Heading5"/>
      </w:pPr>
      <w:bookmarkStart w:id="120" w:name="_Toc390071313"/>
      <w:r>
        <w:rPr>
          <w:rStyle w:val="CharSectno"/>
        </w:rPr>
        <w:t>98</w:t>
      </w:r>
      <w:r>
        <w:t>.</w:t>
      </w:r>
      <w:r>
        <w:tab/>
        <w:t>Entry of premises</w:t>
      </w:r>
      <w:bookmarkEnd w:id="120"/>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1" w:name="_Toc390071314"/>
      <w:r>
        <w:rPr>
          <w:rStyle w:val="CharSectno"/>
        </w:rPr>
        <w:t>99</w:t>
      </w:r>
      <w:r>
        <w:t>.</w:t>
      </w:r>
      <w:r>
        <w:tab/>
        <w:t>Powers of investigator while on premises</w:t>
      </w:r>
      <w:bookmarkEnd w:id="121"/>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22" w:name="_Toc390071315"/>
      <w:r>
        <w:rPr>
          <w:rStyle w:val="CharSectno"/>
        </w:rPr>
        <w:t>100</w:t>
      </w:r>
      <w:r>
        <w:t>.</w:t>
      </w:r>
      <w:r>
        <w:tab/>
        <w:t>Warrants to enter premises</w:t>
      </w:r>
      <w:bookmarkEnd w:id="122"/>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23" w:name="_Toc390071316"/>
      <w:r>
        <w:rPr>
          <w:rStyle w:val="CharSectno"/>
        </w:rPr>
        <w:t>101</w:t>
      </w:r>
      <w:r>
        <w:t>.</w:t>
      </w:r>
      <w:r>
        <w:tab/>
        <w:t>Use of force</w:t>
      </w:r>
      <w:bookmarkEnd w:id="123"/>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24" w:name="_Toc390071317"/>
      <w:r>
        <w:rPr>
          <w:rStyle w:val="CharDivNo"/>
        </w:rPr>
        <w:t>Division 4</w:t>
      </w:r>
      <w:r>
        <w:t xml:space="preserve"> — </w:t>
      </w:r>
      <w:r>
        <w:rPr>
          <w:rStyle w:val="CharDivText"/>
        </w:rPr>
        <w:t>General provisions</w:t>
      </w:r>
      <w:bookmarkEnd w:id="124"/>
    </w:p>
    <w:p>
      <w:pPr>
        <w:pStyle w:val="Heading5"/>
      </w:pPr>
      <w:bookmarkStart w:id="125" w:name="_Toc390071318"/>
      <w:r>
        <w:rPr>
          <w:rStyle w:val="CharSectno"/>
        </w:rPr>
        <w:t>102</w:t>
      </w:r>
      <w:r>
        <w:t>.</w:t>
      </w:r>
      <w:r>
        <w:tab/>
        <w:t>Complying with information requirements</w:t>
      </w:r>
      <w:bookmarkEnd w:id="125"/>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26" w:name="_Toc390071319"/>
      <w:r>
        <w:rPr>
          <w:rStyle w:val="CharSectno"/>
        </w:rPr>
        <w:t>103</w:t>
      </w:r>
      <w:r>
        <w:t>.</w:t>
      </w:r>
      <w:r>
        <w:tab/>
        <w:t>Legal professional privilege</w:t>
      </w:r>
      <w:bookmarkEnd w:id="126"/>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27" w:name="_Toc390071320"/>
      <w:r>
        <w:rPr>
          <w:rStyle w:val="CharSectno"/>
        </w:rPr>
        <w:t>104</w:t>
      </w:r>
      <w:r>
        <w:t>.</w:t>
      </w:r>
      <w:r>
        <w:tab/>
        <w:t>Interaction with other Acts</w:t>
      </w:r>
      <w:bookmarkEnd w:id="127"/>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28" w:name="_Toc390071321"/>
      <w:r>
        <w:rPr>
          <w:rStyle w:val="CharPartNo"/>
        </w:rPr>
        <w:t>Part 9</w:t>
      </w:r>
      <w:r>
        <w:rPr>
          <w:rStyle w:val="CharDivNo"/>
        </w:rPr>
        <w:t xml:space="preserve"> </w:t>
      </w:r>
      <w:r>
        <w:t>—</w:t>
      </w:r>
      <w:r>
        <w:rPr>
          <w:rStyle w:val="CharDivText"/>
        </w:rPr>
        <w:t xml:space="preserve"> </w:t>
      </w:r>
      <w:r>
        <w:rPr>
          <w:rStyle w:val="CharPartText"/>
        </w:rPr>
        <w:t>Offences</w:t>
      </w:r>
      <w:bookmarkEnd w:id="128"/>
    </w:p>
    <w:p>
      <w:pPr>
        <w:pStyle w:val="Heading5"/>
      </w:pPr>
      <w:bookmarkStart w:id="129" w:name="_Toc390071322"/>
      <w:r>
        <w:rPr>
          <w:rStyle w:val="CharSectno"/>
        </w:rPr>
        <w:t>105</w:t>
      </w:r>
      <w:r>
        <w:t>.</w:t>
      </w:r>
      <w:r>
        <w:tab/>
        <w:t>General penalty provision</w:t>
      </w:r>
      <w:bookmarkEnd w:id="129"/>
    </w:p>
    <w:p>
      <w:pPr>
        <w:pStyle w:val="Subsection"/>
        <w:spacing w:before="140"/>
      </w:pPr>
      <w:r>
        <w:tab/>
        <w:t>(1)</w:t>
      </w:r>
      <w:r>
        <w:tab/>
        <w:t xml:space="preserve">A person who commits an offence against a taxation Act for which no penalty is specifically provided is liable on conviction to a penalty not exceeding $20 000. </w:t>
      </w:r>
    </w:p>
    <w:p>
      <w:pPr>
        <w:pStyle w:val="Subsection"/>
        <w:spacing w:before="14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pPr>
      <w:bookmarkStart w:id="130" w:name="_Toc390071323"/>
      <w:r>
        <w:rPr>
          <w:rStyle w:val="CharSectno"/>
        </w:rPr>
        <w:t>106</w:t>
      </w:r>
      <w:r>
        <w:t>.</w:t>
      </w:r>
      <w:r>
        <w:tab/>
        <w:t>Evasion of tax</w:t>
      </w:r>
      <w:bookmarkEnd w:id="130"/>
    </w:p>
    <w:p>
      <w:pPr>
        <w:pStyle w:val="Subsection"/>
        <w:spacing w:before="140"/>
      </w:pPr>
      <w:r>
        <w:tab/>
        <w:t>(1)</w:t>
      </w:r>
      <w:r>
        <w:tab/>
        <w:t>A person who, by an intentional act or omission, evades or attempts to evade paying tax that the person is liable to pay, commits an offence.</w:t>
      </w:r>
    </w:p>
    <w:p>
      <w:pPr>
        <w:pStyle w:val="Subsection"/>
        <w:spacing w:before="14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pPr>
      <w:bookmarkStart w:id="131" w:name="_Toc390071324"/>
      <w:r>
        <w:rPr>
          <w:rStyle w:val="CharSectno"/>
        </w:rPr>
        <w:t>107</w:t>
      </w:r>
      <w:r>
        <w:t>.</w:t>
      </w:r>
      <w:r>
        <w:tab/>
        <w:t>False or misleading information</w:t>
      </w:r>
      <w:bookmarkEnd w:id="131"/>
    </w:p>
    <w:p>
      <w:pPr>
        <w:pStyle w:val="Subsection"/>
      </w:pPr>
      <w:r>
        <w:tab/>
        <w:t>(1)</w:t>
      </w:r>
      <w:r>
        <w:tab/>
        <w:t>A person must not — </w:t>
      </w:r>
    </w:p>
    <w:p>
      <w:pPr>
        <w:pStyle w:val="Indenta"/>
        <w:spacing w:before="60"/>
      </w:pPr>
      <w:r>
        <w:tab/>
        <w:t>(a)</w:t>
      </w:r>
      <w:r>
        <w:tab/>
        <w:t>provide information to the Commissioner or an investigator knowing it to be false or misleading in a material particular; or</w:t>
      </w:r>
    </w:p>
    <w:p>
      <w:pPr>
        <w:pStyle w:val="Indenta"/>
        <w:spacing w:before="60"/>
      </w:pPr>
      <w:r>
        <w:tab/>
        <w:t>(b)</w:t>
      </w:r>
      <w:r>
        <w:tab/>
        <w:t>provide a tax record to the Commissioner or an investigator knowing it to be false or misleading in a material particular.</w:t>
      </w:r>
    </w:p>
    <w:p>
      <w:pPr>
        <w:pStyle w:val="Penstart"/>
      </w:pPr>
      <w:r>
        <w:rPr>
          <w:spacing w:val="-4"/>
        </w:rP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32" w:name="_Toc390071325"/>
      <w:r>
        <w:rPr>
          <w:rStyle w:val="CharSectno"/>
        </w:rPr>
        <w:t>108</w:t>
      </w:r>
      <w:r>
        <w:t>.</w:t>
      </w:r>
      <w:r>
        <w:tab/>
        <w:t>Obstructing or misleading an investigator</w:t>
      </w:r>
      <w:bookmarkEnd w:id="132"/>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33" w:name="_Toc390071326"/>
      <w:r>
        <w:rPr>
          <w:rStyle w:val="CharSectno"/>
        </w:rPr>
        <w:t>109</w:t>
      </w:r>
      <w:r>
        <w:t>.</w:t>
      </w:r>
      <w:r>
        <w:tab/>
        <w:t>Offence by body corporate</w:t>
      </w:r>
      <w:bookmarkEnd w:id="133"/>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34" w:name="_Toc390071327"/>
      <w:r>
        <w:rPr>
          <w:rStyle w:val="CharSectno"/>
        </w:rPr>
        <w:t>110</w:t>
      </w:r>
      <w:r>
        <w:t>.</w:t>
      </w:r>
      <w:r>
        <w:tab/>
        <w:t>Criminal penalties not to affect civil liabilities</w:t>
      </w:r>
      <w:bookmarkEnd w:id="134"/>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35" w:name="_Toc390071328"/>
      <w:r>
        <w:rPr>
          <w:rStyle w:val="CharSectno"/>
        </w:rPr>
        <w:t>111</w:t>
      </w:r>
      <w:r>
        <w:t>.</w:t>
      </w:r>
      <w:r>
        <w:tab/>
        <w:t>Time for commencing prosecutions</w:t>
      </w:r>
      <w:bookmarkEnd w:id="135"/>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36" w:name="_Toc390071329"/>
      <w:r>
        <w:rPr>
          <w:rStyle w:val="CharSectno"/>
        </w:rPr>
        <w:t>112</w:t>
      </w:r>
      <w:r>
        <w:t>.</w:t>
      </w:r>
      <w:r>
        <w:tab/>
        <w:t>Authority required for prosecution</w:t>
      </w:r>
      <w:bookmarkEnd w:id="136"/>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37" w:name="_Toc390071330"/>
      <w:r>
        <w:rPr>
          <w:rStyle w:val="CharSectno"/>
        </w:rPr>
        <w:t>113</w:t>
      </w:r>
      <w:r>
        <w:t>.</w:t>
      </w:r>
      <w:r>
        <w:tab/>
        <w:t>General defence</w:t>
      </w:r>
      <w:bookmarkEnd w:id="137"/>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38" w:name="_Toc390071331"/>
      <w:r>
        <w:rPr>
          <w:rStyle w:val="CharPartNo"/>
        </w:rPr>
        <w:t>Part 10</w:t>
      </w:r>
      <w:r>
        <w:t xml:space="preserve"> — </w:t>
      </w:r>
      <w:r>
        <w:rPr>
          <w:rStyle w:val="CharPartText"/>
        </w:rPr>
        <w:t>Miscellaneous</w:t>
      </w:r>
      <w:bookmarkEnd w:id="138"/>
    </w:p>
    <w:p>
      <w:pPr>
        <w:pStyle w:val="Heading3"/>
      </w:pPr>
      <w:bookmarkStart w:id="139" w:name="_Toc390071332"/>
      <w:r>
        <w:rPr>
          <w:rStyle w:val="CharDivNo"/>
        </w:rPr>
        <w:t>Division 1</w:t>
      </w:r>
      <w:r>
        <w:t xml:space="preserve"> — </w:t>
      </w:r>
      <w:r>
        <w:rPr>
          <w:rStyle w:val="CharDivText"/>
        </w:rPr>
        <w:t>Confidentiality</w:t>
      </w:r>
      <w:bookmarkEnd w:id="139"/>
    </w:p>
    <w:p>
      <w:pPr>
        <w:pStyle w:val="Heading5"/>
      </w:pPr>
      <w:bookmarkStart w:id="140" w:name="_Toc390071333"/>
      <w:r>
        <w:rPr>
          <w:rStyle w:val="CharSectno"/>
        </w:rPr>
        <w:t>114</w:t>
      </w:r>
      <w:r>
        <w:t>.</w:t>
      </w:r>
      <w:r>
        <w:tab/>
        <w:t>Confidentiality</w:t>
      </w:r>
      <w:bookmarkEnd w:id="140"/>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Ednotepara"/>
        <w:spacing w:before="70"/>
      </w:pPr>
      <w:r>
        <w:tab/>
        <w:t>[(f)</w:t>
      </w:r>
      <w:r>
        <w:tab/>
        <w:t>deleted]</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w:t>
      </w:r>
    </w:p>
    <w:p>
      <w:pPr>
        <w:pStyle w:val="Heading3"/>
      </w:pPr>
      <w:bookmarkStart w:id="141" w:name="_Toc390071334"/>
      <w:r>
        <w:rPr>
          <w:rStyle w:val="CharDivNo"/>
        </w:rPr>
        <w:t>Division 2</w:t>
      </w:r>
      <w:r>
        <w:t xml:space="preserve"> — </w:t>
      </w:r>
      <w:r>
        <w:rPr>
          <w:rStyle w:val="CharDivText"/>
        </w:rPr>
        <w:t>Service of documents</w:t>
      </w:r>
      <w:bookmarkEnd w:id="141"/>
    </w:p>
    <w:p>
      <w:pPr>
        <w:pStyle w:val="Heading5"/>
      </w:pPr>
      <w:bookmarkStart w:id="142" w:name="_Toc390071335"/>
      <w:r>
        <w:rPr>
          <w:rStyle w:val="CharSectno"/>
        </w:rPr>
        <w:t>115</w:t>
      </w:r>
      <w:r>
        <w:t>.</w:t>
      </w:r>
      <w:r>
        <w:tab/>
        <w:t>Service on the Commissioner</w:t>
      </w:r>
      <w:bookmarkEnd w:id="142"/>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43" w:name="_Toc390071336"/>
      <w:r>
        <w:rPr>
          <w:rStyle w:val="CharSectno"/>
        </w:rPr>
        <w:t>116</w:t>
      </w:r>
      <w:r>
        <w:t>.</w:t>
      </w:r>
      <w:r>
        <w:tab/>
        <w:t>Service on agent or representative of taxpayer</w:t>
      </w:r>
      <w:bookmarkEnd w:id="143"/>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144" w:name="_Toc390071337"/>
      <w:r>
        <w:rPr>
          <w:rStyle w:val="CharSectno"/>
        </w:rPr>
        <w:t>117</w:t>
      </w:r>
      <w:r>
        <w:t>.</w:t>
      </w:r>
      <w:r>
        <w:tab/>
        <w:t>Method of service by Commissioner</w:t>
      </w:r>
      <w:bookmarkEnd w:id="144"/>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45" w:name="_Toc390071338"/>
      <w:r>
        <w:rPr>
          <w:rStyle w:val="CharSectno"/>
        </w:rPr>
        <w:t>118</w:t>
      </w:r>
      <w:r>
        <w:t>.</w:t>
      </w:r>
      <w:r>
        <w:tab/>
        <w:t>Non</w:t>
      </w:r>
      <w:r>
        <w:noBreakHyphen/>
        <w:t>exclusivity of this Division</w:t>
      </w:r>
      <w:bookmarkEnd w:id="145"/>
    </w:p>
    <w:p>
      <w:pPr>
        <w:pStyle w:val="Subsection"/>
      </w:pPr>
      <w:r>
        <w:tab/>
      </w:r>
      <w:r>
        <w:tab/>
        <w:t>The provisions of this Division are in addition to, and do not derogate from, other provisions of an enactment for facilitating service.</w:t>
      </w:r>
    </w:p>
    <w:p>
      <w:pPr>
        <w:pStyle w:val="Heading3"/>
      </w:pPr>
      <w:bookmarkStart w:id="146" w:name="_Toc390071339"/>
      <w:r>
        <w:rPr>
          <w:rStyle w:val="CharDivNo"/>
        </w:rPr>
        <w:t>Division 3</w:t>
      </w:r>
      <w:r>
        <w:t xml:space="preserve"> — </w:t>
      </w:r>
      <w:r>
        <w:rPr>
          <w:rStyle w:val="CharDivText"/>
        </w:rPr>
        <w:t>Evidentiary provisions</w:t>
      </w:r>
      <w:bookmarkEnd w:id="146"/>
    </w:p>
    <w:p>
      <w:pPr>
        <w:pStyle w:val="Heading5"/>
      </w:pPr>
      <w:bookmarkStart w:id="147" w:name="_Toc390071340"/>
      <w:r>
        <w:rPr>
          <w:rStyle w:val="CharSectno"/>
        </w:rPr>
        <w:t>119</w:t>
      </w:r>
      <w:r>
        <w:t>.</w:t>
      </w:r>
      <w:r>
        <w:tab/>
        <w:t>Evidentiary value of assessment notice</w:t>
      </w:r>
      <w:bookmarkEnd w:id="147"/>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48" w:name="_Toc390071341"/>
      <w:r>
        <w:rPr>
          <w:rStyle w:val="CharSectno"/>
        </w:rPr>
        <w:t>120</w:t>
      </w:r>
      <w:r>
        <w:t>.</w:t>
      </w:r>
      <w:r>
        <w:tab/>
        <w:t>Evidentiary status of copies and reproductions of documents</w:t>
      </w:r>
      <w:bookmarkEnd w:id="148"/>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49" w:name="_Toc390071342"/>
      <w:r>
        <w:rPr>
          <w:rStyle w:val="CharSectno"/>
        </w:rPr>
        <w:t>121</w:t>
      </w:r>
      <w:r>
        <w:t>.</w:t>
      </w:r>
      <w:r>
        <w:tab/>
        <w:t>Evidentiary certificates</w:t>
      </w:r>
      <w:bookmarkEnd w:id="149"/>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0" w:name="_Toc390071343"/>
      <w:r>
        <w:rPr>
          <w:rStyle w:val="CharSectno"/>
        </w:rPr>
        <w:t>122</w:t>
      </w:r>
      <w:r>
        <w:t>.</w:t>
      </w:r>
      <w:r>
        <w:tab/>
        <w:t>Extracts from register of delegates</w:t>
      </w:r>
      <w:bookmarkEnd w:id="150"/>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51" w:name="_Toc390071344"/>
      <w:r>
        <w:rPr>
          <w:rStyle w:val="CharSectno"/>
        </w:rPr>
        <w:t>123</w:t>
      </w:r>
      <w:r>
        <w:t>.</w:t>
      </w:r>
      <w:r>
        <w:tab/>
        <w:t>Averments in charges</w:t>
      </w:r>
      <w:bookmarkEnd w:id="151"/>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52" w:name="_Toc390071345"/>
      <w:r>
        <w:rPr>
          <w:rStyle w:val="CharSectno"/>
        </w:rPr>
        <w:t>124</w:t>
      </w:r>
      <w:r>
        <w:t>.</w:t>
      </w:r>
      <w:r>
        <w:tab/>
        <w:t>Presumption of regularity</w:t>
      </w:r>
      <w:bookmarkEnd w:id="152"/>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153" w:name="_Toc390071346"/>
      <w:r>
        <w:rPr>
          <w:rStyle w:val="CharDivNo"/>
        </w:rPr>
        <w:t>Division 4</w:t>
      </w:r>
      <w:r>
        <w:t xml:space="preserve"> — </w:t>
      </w:r>
      <w:r>
        <w:rPr>
          <w:rStyle w:val="CharDivText"/>
        </w:rPr>
        <w:t>Exemption from personal liability</w:t>
      </w:r>
      <w:bookmarkEnd w:id="153"/>
    </w:p>
    <w:p>
      <w:pPr>
        <w:pStyle w:val="Heading5"/>
      </w:pPr>
      <w:bookmarkStart w:id="154" w:name="_Toc390071347"/>
      <w:r>
        <w:rPr>
          <w:rStyle w:val="CharSectno"/>
        </w:rPr>
        <w:t>125</w:t>
      </w:r>
      <w:r>
        <w:t>.</w:t>
      </w:r>
      <w:r>
        <w:tab/>
        <w:t>Exemption from personal liability</w:t>
      </w:r>
      <w:bookmarkEnd w:id="154"/>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55" w:name="_Toc390071348"/>
      <w:r>
        <w:rPr>
          <w:rStyle w:val="CharDivNo"/>
        </w:rPr>
        <w:t>Division 5</w:t>
      </w:r>
      <w:r>
        <w:t xml:space="preserve"> — </w:t>
      </w:r>
      <w:r>
        <w:rPr>
          <w:rStyle w:val="CharDivText"/>
        </w:rPr>
        <w:t>Regulations</w:t>
      </w:r>
      <w:bookmarkEnd w:id="155"/>
    </w:p>
    <w:p>
      <w:pPr>
        <w:pStyle w:val="Heading5"/>
      </w:pPr>
      <w:bookmarkStart w:id="156" w:name="_Toc390071349"/>
      <w:r>
        <w:rPr>
          <w:rStyle w:val="CharSectno"/>
        </w:rPr>
        <w:t>126</w:t>
      </w:r>
      <w:r>
        <w:t>.</w:t>
      </w:r>
      <w:r>
        <w:tab/>
        <w:t>Regulations</w:t>
      </w:r>
      <w:bookmarkEnd w:id="15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57" w:name="_Toc390071350"/>
      <w:r>
        <w:rPr>
          <w:rStyle w:val="CharSectno"/>
        </w:rPr>
        <w:t>127</w:t>
      </w:r>
      <w:r>
        <w:t>.</w:t>
      </w:r>
      <w:r>
        <w:tab/>
        <w:t>Practices</w:t>
      </w:r>
      <w:bookmarkEnd w:id="157"/>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8" w:name="_Toc390071351"/>
      <w:r>
        <w:rPr>
          <w:rStyle w:val="CharSchNo"/>
        </w:rPr>
        <w:t>Glossary</w:t>
      </w:r>
      <w:bookmarkEnd w:id="158"/>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pPr>
      <w:r>
        <w:tab/>
        <w:t>(a)</w:t>
      </w:r>
      <w:r>
        <w:tab/>
        <w:t xml:space="preserve">a statement, conveyance, transfer, lease, licence, </w:t>
      </w:r>
      <w:r>
        <w:rPr>
          <w:color w:val="000000"/>
        </w:rPr>
        <w:t>policy of insurance</w:t>
      </w:r>
      <w:r>
        <w:t xml:space="preserve"> or any other document of a kind referred to in the Second Schedule to the </w:t>
      </w:r>
      <w:r>
        <w:rPr>
          <w:i/>
        </w:rPr>
        <w:t>Stamp Act 1921</w:t>
      </w:r>
      <w:r>
        <w:t xml:space="preserve">; </w:t>
      </w:r>
    </w:p>
    <w:p>
      <w:pPr>
        <w:pStyle w:val="yDefpara"/>
      </w:pPr>
      <w:r>
        <w:tab/>
        <w:t>(b)</w:t>
      </w:r>
      <w:r>
        <w:tab/>
        <w:t>a statement or return that is required under a taxation Act for the assessment of tax;</w:t>
      </w:r>
    </w:p>
    <w:p>
      <w:pPr>
        <w:pStyle w:val="yDefpara"/>
      </w:pPr>
      <w:r>
        <w:tab/>
        <w:t>(c)</w:t>
      </w:r>
      <w:r>
        <w:tab/>
        <w:t xml:space="preserve">a memorandum created by the Commissioner under section 20; </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pPr>
      <w:r>
        <w:tab/>
        <w:t>(f)</w:t>
      </w:r>
      <w:r>
        <w:tab/>
        <w:t>a copy, duplicate or counterpart of an instrument or document referred to in another paragraph of this definition;</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stamped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 No. 60 of 2006 s. 184.]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59" w:name="_Toc390071352"/>
      <w:r>
        <w:t>Notes</w:t>
      </w:r>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w:t>
      </w:r>
      <w:r>
        <w:rPr>
          <w:snapToGrid w:val="0"/>
          <w:vertAlign w:val="superscript"/>
        </w:rPr>
        <w:t> 1a, 3, 8, 9</w:t>
      </w:r>
      <w:r>
        <w:rPr>
          <w:snapToGrid w:val="0"/>
        </w:rPr>
        <w:t>.  The table also contains information about any reprint.</w:t>
      </w:r>
    </w:p>
    <w:p>
      <w:pPr>
        <w:pStyle w:val="nHeading3"/>
      </w:pPr>
      <w:bookmarkStart w:id="160" w:name="_Toc390071353"/>
      <w:r>
        <w:t>Compilation table</w:t>
      </w:r>
      <w:bookmarkEnd w:id="1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Act other than s. 34(2)(c), (4) and (5)</w:t>
            </w:r>
            <w:r>
              <w:rPr>
                <w:sz w:val="19"/>
                <w:vertAlign w:val="superscript"/>
              </w:rPr>
              <w:t> 4</w:t>
            </w:r>
            <w:r>
              <w:rPr>
                <w:sz w:val="19"/>
              </w:rPr>
              <w:t>, 41(2) and (4), 47(8), 48, 56(3), 57(3), 59 and 127 and the definition of “non-reviewable” in the Glossary </w:t>
            </w:r>
            <w:r>
              <w:rPr>
                <w:sz w:val="19"/>
                <w:vertAlign w:val="superscript"/>
              </w:rPr>
              <w:t>2</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5</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7</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60"/>
              <w:rPr>
                <w:sz w:val="19"/>
              </w:rPr>
            </w:pPr>
            <w:r>
              <w:rPr>
                <w:snapToGrid w:val="0"/>
                <w:sz w:val="19"/>
              </w:rPr>
              <w:t>38 of 2005</w:t>
            </w:r>
          </w:p>
        </w:tc>
        <w:tc>
          <w:tcPr>
            <w:tcW w:w="1134" w:type="dxa"/>
          </w:tcPr>
          <w:p>
            <w:pPr>
              <w:pStyle w:val="nTable"/>
              <w:rPr>
                <w:sz w:val="19"/>
              </w:rPr>
            </w:pPr>
            <w:r>
              <w:rPr>
                <w:sz w:val="19"/>
              </w:rPr>
              <w:t>12 Dec 2005</w:t>
            </w:r>
          </w:p>
        </w:tc>
        <w:tc>
          <w:tcPr>
            <w:tcW w:w="2552" w:type="dxa"/>
          </w:tcPr>
          <w:p>
            <w:pPr>
              <w:pStyle w:val="nTable"/>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60"/>
              <w:rPr>
                <w:snapToGrid w:val="0"/>
                <w:sz w:val="19"/>
              </w:rPr>
            </w:pPr>
            <w:r>
              <w:rPr>
                <w:snapToGrid w:val="0"/>
                <w:sz w:val="19"/>
              </w:rPr>
              <w:t>60 of 2006</w:t>
            </w:r>
          </w:p>
        </w:tc>
        <w:tc>
          <w:tcPr>
            <w:tcW w:w="1134" w:type="dxa"/>
          </w:tcPr>
          <w:p>
            <w:pPr>
              <w:pStyle w:val="nTable"/>
              <w:rPr>
                <w:sz w:val="19"/>
              </w:rPr>
            </w:pPr>
            <w:r>
              <w:rPr>
                <w:snapToGrid w:val="0"/>
                <w:sz w:val="19"/>
              </w:rPr>
              <w:t>16 Nov 2006</w:t>
            </w:r>
          </w:p>
        </w:tc>
        <w:tc>
          <w:tcPr>
            <w:tcW w:w="2552" w:type="dxa"/>
          </w:tcPr>
          <w:p>
            <w:pPr>
              <w:pStyle w:val="nTable"/>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60"/>
              <w:rPr>
                <w:snapToGrid w:val="0"/>
                <w:sz w:val="19"/>
              </w:rPr>
            </w:pPr>
            <w:r>
              <w:rPr>
                <w:snapToGrid w:val="0"/>
                <w:sz w:val="19"/>
              </w:rPr>
              <w:t>77 of 2006</w:t>
            </w:r>
          </w:p>
        </w:tc>
        <w:tc>
          <w:tcPr>
            <w:tcW w:w="1134" w:type="dxa"/>
          </w:tcPr>
          <w:p>
            <w:pPr>
              <w:pStyle w:val="nTable"/>
              <w:rPr>
                <w:snapToGrid w:val="0"/>
                <w:sz w:val="19"/>
              </w:rPr>
            </w:pPr>
            <w:r>
              <w:rPr>
                <w:snapToGrid w:val="0"/>
                <w:sz w:val="19"/>
              </w:rPr>
              <w:t>21 Dec 2006</w:t>
            </w:r>
          </w:p>
        </w:tc>
        <w:tc>
          <w:tcPr>
            <w:tcW w:w="2552" w:type="dxa"/>
          </w:tcPr>
          <w:p>
            <w:pPr>
              <w:pStyle w:val="nTable"/>
              <w:rPr>
                <w:sz w:val="19"/>
              </w:rPr>
            </w:pPr>
            <w:r>
              <w:rPr>
                <w:sz w:val="19"/>
              </w:rPr>
              <w:t xml:space="preserve">1 Feb 2007 (see s. 2(1) and </w:t>
            </w:r>
            <w:r>
              <w:rPr>
                <w:i/>
                <w:sz w:val="19"/>
              </w:rPr>
              <w:t>Gazette</w:t>
            </w:r>
            <w:r>
              <w:rPr>
                <w:sz w:val="19"/>
              </w:rPr>
              <w:t xml:space="preserve"> 19 Jan 2007 p. 137)</w:t>
            </w:r>
          </w:p>
        </w:tc>
      </w:tr>
      <w:tr>
        <w:tc>
          <w:tcPr>
            <w:tcW w:w="2268" w:type="dxa"/>
            <w:tcBorders>
              <w:bottom w:val="single" w:sz="4" w:space="0" w:color="auto"/>
            </w:tcBorders>
          </w:tcPr>
          <w:p>
            <w:pPr>
              <w:pStyle w:val="nTable"/>
              <w:rPr>
                <w:iCs/>
                <w:snapToGrid w:val="0"/>
                <w:sz w:val="19"/>
              </w:rPr>
            </w:pPr>
            <w:r>
              <w:rPr>
                <w:i/>
                <w:snapToGrid w:val="0"/>
                <w:sz w:val="19"/>
              </w:rPr>
              <w:t>Revenue Laws Amendment (Assessment) Act 2007</w:t>
            </w:r>
            <w:r>
              <w:rPr>
                <w:iCs/>
                <w:snapToGrid w:val="0"/>
                <w:sz w:val="19"/>
              </w:rPr>
              <w:t xml:space="preserve"> Pt. 3</w:t>
            </w:r>
          </w:p>
        </w:tc>
        <w:tc>
          <w:tcPr>
            <w:tcW w:w="1134" w:type="dxa"/>
            <w:tcBorders>
              <w:bottom w:val="single" w:sz="4" w:space="0" w:color="auto"/>
            </w:tcBorders>
          </w:tcPr>
          <w:p>
            <w:pPr>
              <w:pStyle w:val="nTable"/>
              <w:spacing w:after="60"/>
              <w:rPr>
                <w:snapToGrid w:val="0"/>
                <w:sz w:val="19"/>
              </w:rPr>
            </w:pPr>
            <w:r>
              <w:rPr>
                <w:snapToGrid w:val="0"/>
                <w:sz w:val="19"/>
              </w:rPr>
              <w:t xml:space="preserve">13 of 2007 </w:t>
            </w:r>
          </w:p>
        </w:tc>
        <w:tc>
          <w:tcPr>
            <w:tcW w:w="1134" w:type="dxa"/>
            <w:tcBorders>
              <w:bottom w:val="single" w:sz="4" w:space="0" w:color="auto"/>
            </w:tcBorders>
          </w:tcPr>
          <w:p>
            <w:pPr>
              <w:pStyle w:val="nTable"/>
              <w:rPr>
                <w:snapToGrid w:val="0"/>
                <w:sz w:val="19"/>
              </w:rPr>
            </w:pPr>
            <w:r>
              <w:rPr>
                <w:snapToGrid w:val="0"/>
                <w:sz w:val="19"/>
              </w:rPr>
              <w:t>29 Jun 2007</w:t>
            </w:r>
          </w:p>
        </w:tc>
        <w:tc>
          <w:tcPr>
            <w:tcW w:w="2552" w:type="dxa"/>
            <w:tcBorders>
              <w:bottom w:val="single" w:sz="4" w:space="0" w:color="auto"/>
            </w:tcBorders>
          </w:tcPr>
          <w:p>
            <w:pPr>
              <w:pStyle w:val="nTable"/>
              <w:rPr>
                <w:sz w:val="19"/>
              </w:rPr>
            </w:pPr>
            <w:r>
              <w:rPr>
                <w:sz w:val="19"/>
              </w:rPr>
              <w:t>30 Jun 2007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161" w:name="_Toc390071354"/>
      <w:r>
        <w:t>Provisions that have not come into operation</w:t>
      </w:r>
      <w:bookmarkEnd w:id="1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1 of 2003 (as amended by No. 55 of 2004)</w:t>
            </w:r>
          </w:p>
        </w:tc>
        <w:tc>
          <w:tcPr>
            <w:tcW w:w="1134" w:type="dxa"/>
            <w:tcBorders>
              <w:top w:val="single" w:sz="4" w:space="0" w:color="auto"/>
              <w:bottom w:val="single" w:sz="4" w:space="0" w:color="auto"/>
            </w:tcBorders>
          </w:tcPr>
          <w:p>
            <w:pPr>
              <w:pStyle w:val="nTable"/>
              <w:spacing w:after="40"/>
              <w:rPr>
                <w:sz w:val="19"/>
              </w:rPr>
            </w:pPr>
            <w:r>
              <w:rPr>
                <w:sz w:val="19"/>
              </w:rPr>
              <w:t>20 Mar 2003</w:t>
            </w:r>
          </w:p>
        </w:tc>
        <w:tc>
          <w:tcPr>
            <w:tcW w:w="2552" w:type="dxa"/>
            <w:tcBorders>
              <w:top w:val="single" w:sz="4" w:space="0" w:color="auto"/>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in writing of the decision, apply to the State </w:t>
      </w:r>
      <w:r>
        <w:rPr>
          <w:snapToGrid w:val="0"/>
        </w:rPr>
        <w:t>Administrative Tribunal</w:t>
      </w:r>
      <w:r>
        <w:t xml:space="preserve"> for a review of the decision.</w:t>
      </w:r>
    </w:p>
    <w:p>
      <w:pPr>
        <w:pStyle w:val="nzMiscellaneousBody"/>
        <w:tabs>
          <w:tab w:val="left" w:pos="1418"/>
        </w:tabs>
        <w:rPr>
          <w:i/>
        </w:rPr>
      </w:pPr>
      <w:r>
        <w:tab/>
      </w:r>
      <w:r>
        <w:rPr>
          <w:i/>
        </w:rPr>
        <w:t>[Section 34 amended by No. 55 of 2004 s. 1171.]</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snapToGrid w:val="0"/>
          <w:vertAlign w:val="superscript"/>
        </w:rPr>
        <w:t>4</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vertAlign w:val="superscript"/>
        </w:rPr>
        <w:t>5</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7</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Modification of the 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MiscellaneousHeading"/>
        <w:tabs>
          <w:tab w:val="left" w:pos="1134"/>
          <w:tab w:val="left" w:pos="1701"/>
        </w:tabs>
        <w:ind w:left="1701" w:hanging="1134"/>
        <w:jc w:val="left"/>
        <w:rPr>
          <w:b/>
        </w:rPr>
      </w:pPr>
      <w:r>
        <w:rPr>
          <w:b/>
        </w:rPr>
        <w:tab/>
        <w:t>5A.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Taxation Administration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480"/>
        </w:tabs>
        <w:ind w:left="3480" w:hanging="2913"/>
      </w:pPr>
      <w:r>
        <w:tab/>
        <w:t>(i)</w:t>
      </w:r>
      <w:r>
        <w:tab/>
        <w:t xml:space="preserve">the </w:t>
      </w:r>
      <w:r>
        <w:rPr>
          <w:i/>
          <w:iCs/>
        </w:rPr>
        <w:t>Debits Tax Act 2002</w:t>
      </w:r>
      <w:r>
        <w:t>;</w:t>
      </w:r>
    </w:p>
    <w:p>
      <w:pPr>
        <w:pStyle w:val="nzMiscellaneousBody"/>
        <w:tabs>
          <w:tab w:val="left" w:pos="3000"/>
          <w:tab w:val="left" w:pos="3480"/>
        </w:tabs>
        <w:ind w:left="3480" w:hanging="2913"/>
      </w:pPr>
      <w:r>
        <w:tab/>
        <w:t>(ii)</w:t>
      </w:r>
      <w:r>
        <w:tab/>
        <w:t xml:space="preserve">the </w:t>
      </w:r>
      <w:r>
        <w:rPr>
          <w:i/>
        </w:rPr>
        <w:t>Debits Tax Assessment Act 2002</w:t>
      </w:r>
      <w:r>
        <w:t>;</w:t>
      </w:r>
    </w:p>
    <w:p>
      <w:pPr>
        <w:pStyle w:val="nzMiscellaneousBody"/>
        <w:tabs>
          <w:tab w:val="left" w:pos="3000"/>
          <w:tab w:val="left" w:pos="3480"/>
        </w:tabs>
        <w:ind w:left="3480" w:hanging="2913"/>
      </w:pPr>
      <w:r>
        <w:tab/>
        <w:t>(iii)</w:t>
      </w:r>
      <w:r>
        <w:tab/>
        <w:t xml:space="preserve">the </w:t>
      </w:r>
      <w:r>
        <w:rPr>
          <w:i/>
          <w:iCs/>
        </w:rPr>
        <w:t>Land Tax Act 2002</w:t>
      </w:r>
      <w:r>
        <w:t>;</w:t>
      </w:r>
    </w:p>
    <w:p>
      <w:pPr>
        <w:pStyle w:val="nzMiscellaneousBody"/>
        <w:tabs>
          <w:tab w:val="left" w:pos="3000"/>
          <w:tab w:val="left" w:pos="3480"/>
        </w:tabs>
        <w:ind w:left="3480" w:hanging="2913"/>
      </w:pPr>
      <w:r>
        <w:tab/>
        <w:t>(iv)</w:t>
      </w:r>
      <w:r>
        <w:tab/>
        <w:t xml:space="preserve">the </w:t>
      </w:r>
      <w:r>
        <w:rPr>
          <w:i/>
          <w:iCs/>
        </w:rPr>
        <w:t>Land Tax Assessment Act 2002</w:t>
      </w:r>
      <w:r>
        <w:t>;</w:t>
      </w:r>
    </w:p>
    <w:p>
      <w:pPr>
        <w:pStyle w:val="nzMiscellaneousBody"/>
        <w:tabs>
          <w:tab w:val="left" w:pos="3000"/>
          <w:tab w:val="left" w:pos="3480"/>
        </w:tabs>
        <w:ind w:left="3480" w:hanging="2913"/>
      </w:pPr>
      <w:r>
        <w:tab/>
        <w:t>(v)</w:t>
      </w:r>
      <w:r>
        <w:tab/>
        <w:t xml:space="preserve">the </w:t>
      </w:r>
      <w:r>
        <w:rPr>
          <w:i/>
        </w:rPr>
        <w:t>Metropolitan Region Improvement Tax Act 1959</w:t>
      </w:r>
      <w:r>
        <w:t>;</w:t>
      </w:r>
    </w:p>
    <w:p>
      <w:pPr>
        <w:pStyle w:val="nzMiscellaneousBody"/>
        <w:tabs>
          <w:tab w:val="left" w:pos="3000"/>
          <w:tab w:val="left" w:pos="3480"/>
        </w:tabs>
        <w:ind w:left="3480" w:hanging="2913"/>
      </w:pPr>
      <w:r>
        <w:tab/>
        <w:t>(vi)</w:t>
      </w:r>
      <w:r>
        <w:tab/>
        <w:t xml:space="preserve">the </w:t>
      </w:r>
      <w:r>
        <w:rPr>
          <w:i/>
        </w:rPr>
        <w:t>Metropolitan Region Town Planning Scheme Act 1959</w:t>
      </w:r>
      <w:r>
        <w:t>;</w:t>
      </w:r>
    </w:p>
    <w:p>
      <w:pPr>
        <w:pStyle w:val="nzMiscellaneousBody"/>
        <w:tabs>
          <w:tab w:val="left" w:pos="3000"/>
          <w:tab w:val="left" w:pos="3480"/>
        </w:tabs>
        <w:ind w:left="3480" w:hanging="2913"/>
      </w:pPr>
      <w:r>
        <w:tab/>
        <w:t>(vii)</w:t>
      </w:r>
      <w:r>
        <w:tab/>
        <w:t xml:space="preserve">the </w:t>
      </w:r>
      <w:r>
        <w:rPr>
          <w:i/>
          <w:iCs/>
        </w:rPr>
        <w:t>Pay</w:t>
      </w:r>
      <w:r>
        <w:rPr>
          <w:i/>
          <w:iCs/>
        </w:rPr>
        <w:noBreakHyphen/>
        <w:t>roll Tax Act 2002</w:t>
      </w:r>
      <w:r>
        <w:t>;</w:t>
      </w:r>
    </w:p>
    <w:p>
      <w:pPr>
        <w:pStyle w:val="nzMiscellaneousBody"/>
        <w:tabs>
          <w:tab w:val="left" w:pos="3000"/>
          <w:tab w:val="left" w:pos="3480"/>
        </w:tabs>
        <w:ind w:left="3480" w:hanging="2913"/>
      </w:pPr>
      <w:r>
        <w:tab/>
        <w:t>(viii)</w:t>
      </w:r>
      <w:r>
        <w:tab/>
        <w:t xml:space="preserve">the </w:t>
      </w:r>
      <w:r>
        <w:rPr>
          <w:i/>
          <w:iCs/>
        </w:rPr>
        <w:t>Pay</w:t>
      </w:r>
      <w:r>
        <w:rPr>
          <w:i/>
          <w:iCs/>
        </w:rPr>
        <w:noBreakHyphen/>
        <w:t>roll Tax Assessment Act 2002</w:t>
      </w:r>
      <w:r>
        <w:t>;</w:t>
      </w:r>
    </w:p>
    <w:p>
      <w:pPr>
        <w:pStyle w:val="nzMiscellaneousBody"/>
        <w:tabs>
          <w:tab w:val="left" w:pos="3000"/>
          <w:tab w:val="left" w:pos="3480"/>
        </w:tabs>
        <w:ind w:left="3480" w:hanging="2913"/>
      </w:pPr>
      <w:r>
        <w:tab/>
        <w:t>(ix)</w:t>
      </w:r>
      <w:r>
        <w:tab/>
        <w:t xml:space="preserve">the </w:t>
      </w:r>
      <w:r>
        <w:rPr>
          <w:i/>
          <w:iCs/>
        </w:rPr>
        <w:t>Planning and Development Act 2005</w:t>
      </w:r>
      <w:r>
        <w:t>;</w:t>
      </w:r>
    </w:p>
    <w:p>
      <w:pPr>
        <w:pStyle w:val="nzMiscellaneousBody"/>
        <w:tabs>
          <w:tab w:val="left" w:pos="3000"/>
          <w:tab w:val="left" w:pos="3480"/>
        </w:tabs>
        <w:ind w:left="3480" w:hanging="2913"/>
      </w:pPr>
      <w:r>
        <w:tab/>
        <w:t>(x)</w:t>
      </w:r>
      <w:r>
        <w:tab/>
        <w:t xml:space="preserve">the </w:t>
      </w:r>
      <w:r>
        <w:rPr>
          <w:i/>
        </w:rPr>
        <w:t>Stamp Act 1921</w:t>
      </w:r>
      <w:r>
        <w:t>.</w:t>
      </w:r>
    </w:p>
    <w:p>
      <w:pPr>
        <w:pStyle w:val="nzMiscellaneousBody"/>
        <w:tabs>
          <w:tab w:val="left" w:pos="1418"/>
          <w:tab w:val="left" w:pos="1985"/>
        </w:tabs>
        <w:ind w:left="1985" w:hanging="1418"/>
      </w:pPr>
      <w:r>
        <w:tab/>
        <w:t>(2)</w:t>
      </w:r>
      <w:r>
        <w:tab/>
        <w:t>This Act is to be read with the applied Taxation Administration Act as a single body of law.</w:t>
      </w:r>
    </w:p>
    <w:p>
      <w:pPr>
        <w:pStyle w:val="nzMiscellaneousHeading"/>
        <w:tabs>
          <w:tab w:val="left" w:pos="1134"/>
          <w:tab w:val="left" w:pos="1701"/>
        </w:tabs>
        <w:ind w:left="1701" w:hanging="1134"/>
        <w:jc w:val="left"/>
        <w:rPr>
          <w:b/>
        </w:rPr>
      </w:pPr>
      <w:r>
        <w:rPr>
          <w:b/>
        </w:rPr>
        <w:tab/>
        <w:t>5B.</w:t>
      </w:r>
      <w:r>
        <w:rPr>
          <w:b/>
        </w:rPr>
        <w:tab/>
        <w:t>Application of taxation Acts in non</w:t>
      </w:r>
      <w:r>
        <w:rPr>
          <w:b/>
        </w:rPr>
        <w:noBreakHyphen/>
        <w:t>Commonwealth places</w:t>
      </w:r>
    </w:p>
    <w:p>
      <w:pPr>
        <w:pStyle w:val="nzMiscellaneousBody"/>
        <w:tabs>
          <w:tab w:val="left" w:pos="1418"/>
          <w:tab w:val="left" w:pos="1985"/>
        </w:tabs>
        <w:ind w:left="1985" w:hanging="1418"/>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MiscellaneousBody"/>
        <w:tabs>
          <w:tab w:val="left" w:pos="1418"/>
          <w:tab w:val="left" w:pos="1985"/>
        </w:tabs>
        <w:ind w:left="1985" w:hanging="1418"/>
      </w:pP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1985"/>
        </w:tabs>
        <w:ind w:left="1985" w:hanging="1418"/>
      </w:pP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1985"/>
        </w:tabs>
        <w:ind w:left="1985" w:hanging="1418"/>
      </w:pPr>
      <w:r>
        <w:tab/>
      </w:r>
      <w:r>
        <w:tab/>
        <w:t xml:space="preserve">“    </w:t>
      </w:r>
      <w:r>
        <w:rPr>
          <w:kern w:val="24"/>
        </w:rPr>
        <w:t xml:space="preserve">or the </w:t>
      </w:r>
      <w:r>
        <w:t>applied</w:t>
      </w:r>
      <w:r>
        <w:rPr>
          <w:kern w:val="24"/>
        </w:rPr>
        <w:t xml:space="preserve"> Taxation Administration Act</w:t>
      </w:r>
      <w:r>
        <w:t xml:space="preserve">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t>“</w:t>
      </w:r>
      <w:r>
        <w:rPr>
          <w:rStyle w:val="CharDefText"/>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rStyle w:val="CharDefText"/>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rStyle w:val="CharDefText"/>
        </w:rPr>
        <w:t>Commonwealth Act</w:t>
      </w:r>
      <w:r>
        <w:rPr>
          <w:b/>
        </w:rPr>
        <w:t>”</w:t>
      </w:r>
      <w:r>
        <w:t xml:space="preserve"> means the </w:t>
      </w:r>
      <w:r>
        <w:rPr>
          <w:i/>
        </w:rPr>
        <w:t>Commonwealth Places (Mirror Taxes) Act 1998</w:t>
      </w:r>
      <w:r>
        <w:rPr>
          <w:iCs/>
        </w:rPr>
        <w:t xml:space="preserve"> </w:t>
      </w:r>
      <w:r>
        <w:t>of the Commonwealth;</w:t>
      </w:r>
    </w:p>
    <w:p>
      <w:pPr>
        <w:pStyle w:val="nzDefstart"/>
      </w:pPr>
      <w:r>
        <w:tab/>
      </w:r>
      <w:r>
        <w:rPr>
          <w:b/>
        </w:rPr>
        <w:t>“</w:t>
      </w:r>
      <w:r>
        <w:rPr>
          <w:rStyle w:val="CharDefText"/>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w:t>
      </w:r>
      <w:r>
        <w:rPr>
          <w:rStyle w:val="CharDefText"/>
        </w:rPr>
        <w:t>corresponding delegation</w:t>
      </w:r>
      <w:r>
        <w:rPr>
          <w:b/>
          <w:bCs/>
        </w:rPr>
        <w:t>”</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w:t>
      </w:r>
      <w:r>
        <w:rPr>
          <w:rStyle w:val="CharDefText"/>
        </w:rPr>
        <w:t>corresponding authorisation</w:t>
      </w:r>
      <w:r>
        <w:rPr>
          <w:b/>
          <w:bCs/>
        </w:rPr>
        <w:t>”</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t>“</w:t>
      </w:r>
      <w:r>
        <w:rPr>
          <w:rStyle w:val="CharDefText"/>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rStyle w:val="CharDefText"/>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rStyle w:val="CharDefText"/>
        </w:rPr>
        <w:t>corresponding taxation Act</w:t>
      </w:r>
      <w:r>
        <w:rPr>
          <w:b/>
        </w:rPr>
        <w:t>”</w:t>
      </w:r>
      <w:r>
        <w:t xml:space="preserve"> means a taxation Act within the meaning of the corresponding Taxation Administration Act;</w:t>
      </w:r>
    </w:p>
    <w:p>
      <w:pPr>
        <w:pStyle w:val="nzDefstart"/>
      </w:pPr>
      <w:r>
        <w:rPr>
          <w:b/>
        </w:rPr>
        <w:tab/>
        <w:t>“</w:t>
      </w:r>
      <w:r>
        <w:rPr>
          <w:rStyle w:val="CharDefText"/>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pPr>
      <w:r>
        <w:tab/>
        <w:t>(e)</w:t>
      </w:r>
      <w:r>
        <w:tab/>
        <w:t>in the definition of “taxation Act” by inserting after “enactment” —</w:t>
      </w:r>
    </w:p>
    <w:p>
      <w:pPr>
        <w:pStyle w:val="MiscOpen"/>
        <w:ind w:left="1418"/>
      </w:pPr>
      <w:r>
        <w:t xml:space="preserve">“    </w:t>
      </w:r>
    </w:p>
    <w:p>
      <w:pPr>
        <w:pStyle w:val="nzDefstart"/>
      </w:pPr>
      <w:r>
        <w:tab/>
      </w:r>
      <w:r>
        <w:tab/>
        <w:t>(in its application as a law of the Commonwealth in or in relation to Commonwealth places in Western Australia in accordance with the Commonwealth Mirror Taxes Act)</w:t>
      </w:r>
    </w:p>
    <w:p>
      <w:pPr>
        <w:pStyle w:val="MiscClose"/>
      </w:pPr>
      <w:r>
        <w:t xml:space="preserve">    ”.</w:t>
      </w:r>
    </w:p>
    <w:p>
      <w:pPr>
        <w:pStyle w:val="MiscClose"/>
      </w:pPr>
      <w:r>
        <w:t>”.</w:t>
      </w:r>
    </w:p>
    <w:p/>
    <w:p>
      <w:pPr>
        <w:sectPr>
          <w:headerReference w:type="even" r:id="rId28"/>
          <w:headerReference w:type="defaul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433"/>
    <w:docVar w:name="WAFER_20140609094545" w:val="RemoveTocBookmarks,RemoveUnusedBookmarks,RemoveLanguageTags,UsedStyles,ResetPageSize"/>
    <w:docVar w:name="WAFER_20140609094545_GUID" w:val="a3f4b786-926d-41dd-bdec-5e9f5354d282"/>
    <w:docVar w:name="WAFER_20151210154433" w:val="RemoveTrackChanges"/>
    <w:docVar w:name="WAFER_20151210154433_GUID" w:val="a63af839-aa5b-4fd6-a5b3-5cf70f05cc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25688</Words>
  <Characters>124333</Characters>
  <Application>Microsoft Office Word</Application>
  <DocSecurity>0</DocSecurity>
  <Lines>3271</Lines>
  <Paragraphs>1923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148098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2003 - 01-h0-03</dc:title>
  <dc:subject/>
  <dc:creator/>
  <cp:keywords/>
  <dc:description/>
  <cp:lastModifiedBy>svcMRProcess</cp:lastModifiedBy>
  <cp:revision>4</cp:revision>
  <cp:lastPrinted>2005-11-01T09:05:00Z</cp:lastPrinted>
  <dcterms:created xsi:type="dcterms:W3CDTF">2018-09-09T02:09:00Z</dcterms:created>
  <dcterms:modified xsi:type="dcterms:W3CDTF">2018-09-09T02:09:00Z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20070630</vt:lpwstr>
  </property>
  <property fmtid="{D5CDD505-2E9C-101B-9397-08002B2CF9AE}" pid="4" name="DocumentType">
    <vt:lpwstr>Act</vt:lpwstr>
  </property>
  <property fmtid="{D5CDD505-2E9C-101B-9397-08002B2CF9AE}" pid="5" name="OwlsUID">
    <vt:i4>6343</vt:i4>
  </property>
  <property fmtid="{D5CDD505-2E9C-101B-9397-08002B2CF9AE}" pid="6" name="AsAtDate">
    <vt:lpwstr>30 Jun 2007</vt:lpwstr>
  </property>
  <property fmtid="{D5CDD505-2E9C-101B-9397-08002B2CF9AE}" pid="7" name="Suffix">
    <vt:lpwstr>01-h0-03</vt:lpwstr>
  </property>
</Properties>
</file>