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(Extra-territorial Offences)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(Extra-territorial Offences)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_Toc171062499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_Toc171062500 \h </w:instrText>
      </w:r>
      <w:r>
        <w:fldChar w:fldCharType="separate"/>
      </w:r>
      <w:r>
        <w:t>2</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Search warrants</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_Toc171062502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Issue of search warrants</w:t>
      </w:r>
      <w:r>
        <w:tab/>
      </w:r>
      <w:r>
        <w:fldChar w:fldCharType="begin"/>
      </w:r>
      <w:r>
        <w:instrText xml:space="preserve"> PAGEREF _Toc171062503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Authority conferred by, and other incidents of, a search warrant</w:t>
      </w:r>
      <w:r>
        <w:tab/>
      </w:r>
      <w:r>
        <w:fldChar w:fldCharType="begin"/>
      </w:r>
      <w:r>
        <w:instrText xml:space="preserve"> PAGEREF _Toc171062504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Offence of hindering execution of search warrant</w:t>
      </w:r>
      <w:r>
        <w:tab/>
      </w:r>
      <w:r>
        <w:fldChar w:fldCharType="begin"/>
      </w:r>
      <w:r>
        <w:instrText xml:space="preserve"> PAGEREF _Toc171062505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Ministerial arrangements for transmission and return of objects seized under</w:t>
      </w:r>
      <w:r>
        <w:rPr>
          <w:szCs w:val="24"/>
        </w:rPr>
        <w:t xml:space="preserve"> this Part</w:t>
      </w:r>
      <w:r>
        <w:rPr>
          <w:snapToGrid w:val="0"/>
          <w:szCs w:val="24"/>
        </w:rPr>
        <w:t>, or under a corresponding law</w:t>
      </w:r>
      <w:r>
        <w:tab/>
      </w:r>
      <w:r>
        <w:fldChar w:fldCharType="begin"/>
      </w:r>
      <w:r>
        <w:instrText xml:space="preserve"> PAGEREF _Toc171062506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Searching vehicles</w:t>
      </w:r>
    </w:p>
    <w:p>
      <w:pPr>
        <w:pStyle w:val="TOC8"/>
        <w:rPr>
          <w:sz w:val="24"/>
          <w:szCs w:val="24"/>
        </w:rPr>
      </w:pPr>
      <w:r>
        <w:rPr>
          <w:szCs w:val="24"/>
        </w:rPr>
        <w:t>8.</w:t>
      </w:r>
      <w:r>
        <w:rPr>
          <w:szCs w:val="24"/>
        </w:rPr>
        <w:tab/>
        <w:t>Vehicle in WA used to commit offence outside WA</w:t>
      </w:r>
      <w:r>
        <w:tab/>
      </w:r>
      <w:r>
        <w:fldChar w:fldCharType="begin"/>
      </w:r>
      <w:r>
        <w:instrText xml:space="preserve"> PAGEREF _Toc171062508 \h </w:instrText>
      </w:r>
      <w:r>
        <w:fldChar w:fldCharType="separate"/>
      </w:r>
      <w:r>
        <w:t>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Arrest powers</w:t>
      </w:r>
    </w:p>
    <w:p>
      <w:pPr>
        <w:pStyle w:val="TOC8"/>
        <w:rPr>
          <w:sz w:val="24"/>
          <w:szCs w:val="24"/>
        </w:rPr>
      </w:pPr>
      <w:r>
        <w:rPr>
          <w:szCs w:val="24"/>
        </w:rPr>
        <w:t>8A.</w:t>
      </w:r>
      <w:r>
        <w:rPr>
          <w:szCs w:val="24"/>
        </w:rPr>
        <w:tab/>
        <w:t>Arrest power for foreign offence</w:t>
      </w:r>
      <w:r>
        <w:tab/>
      </w:r>
      <w:r>
        <w:fldChar w:fldCharType="begin"/>
      </w:r>
      <w:r>
        <w:instrText xml:space="preserve"> PAGEREF _Toc171062510 \h </w:instrText>
      </w:r>
      <w:r>
        <w:fldChar w:fldCharType="separate"/>
      </w:r>
      <w:r>
        <w:t>10</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9</w:t>
      </w:r>
      <w:r>
        <w:rPr>
          <w:snapToGrid w:val="0"/>
          <w:szCs w:val="24"/>
        </w:rPr>
        <w:t>.</w:t>
      </w:r>
      <w:r>
        <w:rPr>
          <w:snapToGrid w:val="0"/>
          <w:szCs w:val="24"/>
        </w:rPr>
        <w:tab/>
        <w:t>Regulations</w:t>
      </w:r>
      <w:r>
        <w:tab/>
      </w:r>
      <w:r>
        <w:fldChar w:fldCharType="begin"/>
      </w:r>
      <w:r>
        <w:instrText xml:space="preserve"> PAGEREF _Toc171062512 \h </w:instrText>
      </w:r>
      <w:r>
        <w:fldChar w:fldCharType="separate"/>
      </w:r>
      <w:r>
        <w:t>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_Toc171062514 \h </w:instrText>
      </w:r>
      <w:r>
        <w:fldChar w:fldCharType="separate"/>
      </w:r>
      <w:r>
        <w:t>13</w:t>
      </w:r>
      <w:r>
        <w:fldChar w:fldCharType="end"/>
      </w:r>
    </w:p>
    <w:p>
      <w:pPr>
        <w:pStyle w:val="TOC8"/>
      </w:pPr>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(Extra</w:t>
      </w:r>
      <w:r>
        <w:noBreakHyphen/>
        <w:t xml:space="preserve">territorial Offences) Act 1987 </w:t>
      </w:r>
    </w:p>
    <w:p>
      <w:pPr>
        <w:pStyle w:val="LongTitle"/>
      </w:pPr>
      <w:bookmarkStart w:id="2" w:name="_Toc411841833"/>
      <w:bookmarkStart w:id="3" w:name="_Toc13468052"/>
      <w:bookmarkStart w:id="4" w:name="_Toc151795291"/>
      <w:r>
        <w:t>An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5" w:name="_Toc152558236"/>
      <w:bookmarkStart w:id="6" w:name="_Toc170639161"/>
      <w:bookmarkStart w:id="7" w:name="_Toc170639180"/>
      <w:bookmarkStart w:id="8" w:name="_Toc171062498"/>
      <w:r>
        <w:rPr>
          <w:rStyle w:val="CharPartNo"/>
        </w:rPr>
        <w:lastRenderedPageBreak/>
        <w:t>Part 1</w:t>
      </w:r>
      <w:r>
        <w:rPr>
          <w:b w:val="0"/>
        </w:rPr>
        <w:t> </w:t>
      </w:r>
      <w:r>
        <w:t>—</w:t>
      </w:r>
      <w:r>
        <w:rPr>
          <w:b w:val="0"/>
        </w:rPr>
        <w:t> </w:t>
      </w:r>
      <w:r>
        <w:rPr>
          <w:rStyle w:val="CharPartText"/>
        </w:rPr>
        <w:t>Preliminary</w:t>
      </w:r>
      <w:bookmarkEnd w:id="5"/>
      <w:bookmarkEnd w:id="6"/>
      <w:bookmarkEnd w:id="7"/>
      <w:bookmarkEnd w:id="8"/>
    </w:p>
    <w:p>
      <w:pPr>
        <w:pStyle w:val="Footnoteheading"/>
      </w:pPr>
      <w:r>
        <w:tab/>
        <w:t xml:space="preserve">[Heading inserted by No. 59 of 2006 s. 32(1).] </w:t>
      </w:r>
    </w:p>
    <w:p>
      <w:pPr>
        <w:pStyle w:val="Heading5"/>
        <w:rPr>
          <w:snapToGrid w:val="0"/>
        </w:rPr>
      </w:pPr>
      <w:bookmarkStart w:id="9" w:name="_Toc171062499"/>
      <w:r>
        <w:rPr>
          <w:rStyle w:val="CharSectno"/>
        </w:rPr>
        <w:t>1</w:t>
      </w:r>
      <w:r>
        <w:rPr>
          <w:snapToGrid w:val="0"/>
        </w:rPr>
        <w:t>.</w:t>
      </w:r>
      <w:r>
        <w:rPr>
          <w:snapToGrid w:val="0"/>
        </w:rPr>
        <w:tab/>
        <w:t>Short title</w:t>
      </w:r>
      <w:bookmarkEnd w:id="2"/>
      <w:bookmarkEnd w:id="3"/>
      <w:bookmarkEnd w:id="4"/>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10" w:name="_Toc411841834"/>
      <w:bookmarkStart w:id="11" w:name="_Toc13468053"/>
      <w:bookmarkStart w:id="12" w:name="_Toc151795292"/>
      <w:bookmarkStart w:id="13" w:name="_Toc171062500"/>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14" w:name="_Toc152558237"/>
      <w:bookmarkStart w:id="15" w:name="_Toc170639164"/>
      <w:bookmarkStart w:id="16" w:name="_Toc170639183"/>
      <w:bookmarkStart w:id="17" w:name="_Toc171062501"/>
      <w:bookmarkStart w:id="18" w:name="_Toc411841835"/>
      <w:bookmarkStart w:id="19" w:name="_Toc13468054"/>
      <w:bookmarkStart w:id="20" w:name="_Toc151795293"/>
      <w:r>
        <w:rPr>
          <w:rStyle w:val="CharPartNo"/>
        </w:rPr>
        <w:lastRenderedPageBreak/>
        <w:t>Part 2</w:t>
      </w:r>
      <w:r>
        <w:rPr>
          <w:b w:val="0"/>
        </w:rPr>
        <w:t> </w:t>
      </w:r>
      <w:r>
        <w:t>—</w:t>
      </w:r>
      <w:r>
        <w:rPr>
          <w:b w:val="0"/>
        </w:rPr>
        <w:t> </w:t>
      </w:r>
      <w:r>
        <w:rPr>
          <w:rStyle w:val="CharPartText"/>
        </w:rPr>
        <w:t>Search warrants</w:t>
      </w:r>
      <w:bookmarkEnd w:id="14"/>
      <w:bookmarkEnd w:id="15"/>
      <w:bookmarkEnd w:id="16"/>
      <w:bookmarkEnd w:id="17"/>
    </w:p>
    <w:p>
      <w:pPr>
        <w:pStyle w:val="Footnoteheading"/>
      </w:pPr>
      <w:r>
        <w:tab/>
        <w:t xml:space="preserve">[Heading inserted by No. 59 of 2006 s. 32(2).] </w:t>
      </w:r>
    </w:p>
    <w:p>
      <w:pPr>
        <w:pStyle w:val="Heading5"/>
        <w:rPr>
          <w:snapToGrid w:val="0"/>
        </w:rPr>
      </w:pPr>
      <w:bookmarkStart w:id="21" w:name="_Toc171062502"/>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t>“</w:t>
      </w:r>
      <w:r>
        <w:rPr>
          <w:rStyle w:val="CharDefText"/>
        </w:rPr>
        <w:t>appropriate authority</w:t>
      </w:r>
      <w:r>
        <w:rPr>
          <w:b/>
        </w:rPr>
        <w:t>”</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t>“</w:t>
      </w:r>
      <w:r>
        <w:rPr>
          <w:rStyle w:val="CharDefText"/>
        </w:rPr>
        <w:t>corresponding law</w:t>
      </w:r>
      <w:r>
        <w:rPr>
          <w:b/>
        </w:rPr>
        <w:t>”</w:t>
      </w:r>
      <w:r>
        <w:t xml:space="preserve"> means a law of another State or of a Territory, of the Commonwealth declared by proclamation to be a corresponding law;</w:t>
      </w:r>
    </w:p>
    <w:p>
      <w:pPr>
        <w:pStyle w:val="Defstart"/>
      </w:pPr>
      <w:r>
        <w:rPr>
          <w:b/>
        </w:rPr>
        <w:tab/>
        <w:t>“</w:t>
      </w:r>
      <w:r>
        <w:rPr>
          <w:rStyle w:val="CharDefText"/>
        </w:rPr>
        <w:t>night</w:t>
      </w:r>
      <w:r>
        <w:rPr>
          <w:b/>
        </w:rPr>
        <w:t>”</w:t>
      </w:r>
      <w:r>
        <w:t xml:space="preserve"> means the period commencing at 7 p.m. in each evening and ending at 7 a.m. the following morning;</w:t>
      </w:r>
    </w:p>
    <w:p>
      <w:pPr>
        <w:pStyle w:val="Defstart"/>
      </w:pPr>
      <w:r>
        <w:rPr>
          <w:b/>
        </w:rPr>
        <w:tab/>
        <w:t>“</w:t>
      </w:r>
      <w:r>
        <w:rPr>
          <w:rStyle w:val="CharDefText"/>
        </w:rPr>
        <w:t>offence to which this Part applies</w:t>
      </w:r>
      <w:r>
        <w:rPr>
          <w:b/>
        </w:rPr>
        <w:t>”</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t>“</w:t>
      </w:r>
      <w:r>
        <w:rPr>
          <w:rStyle w:val="CharDefText"/>
        </w:rPr>
        <w:t>owner</w:t>
      </w:r>
      <w:r>
        <w:rPr>
          <w:b/>
        </w:rPr>
        <w:t>”</w:t>
      </w:r>
      <w:r>
        <w:t>, of an object, includes a person entitled to possession of the object;</w:t>
      </w:r>
    </w:p>
    <w:p>
      <w:pPr>
        <w:pStyle w:val="Defstart"/>
      </w:pPr>
      <w:r>
        <w:rPr>
          <w:b/>
        </w:rPr>
        <w:tab/>
        <w:t>“</w:t>
      </w:r>
      <w:r>
        <w:rPr>
          <w:rStyle w:val="CharDefText"/>
        </w:rPr>
        <w:t>premises</w:t>
      </w:r>
      <w:r>
        <w:rPr>
          <w:b/>
        </w:rPr>
        <w:t>”</w:t>
      </w:r>
      <w:r>
        <w:t xml:space="preserve"> means a building, structure or place (whether built upon or not and whether enclosed or unenclosed) and includes an aircraft, vessel or vehicle;</w:t>
      </w:r>
    </w:p>
    <w:p>
      <w:pPr>
        <w:pStyle w:val="Defstart"/>
      </w:pPr>
      <w:r>
        <w:rPr>
          <w:b/>
        </w:rPr>
        <w:tab/>
        <w:t>“</w:t>
      </w:r>
      <w:r>
        <w:rPr>
          <w:rStyle w:val="CharDefText"/>
        </w:rPr>
        <w:t>reciprocating State</w:t>
      </w:r>
      <w:r>
        <w:rPr>
          <w:b/>
        </w:rPr>
        <w:t>”</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t>“</w:t>
      </w:r>
      <w:r>
        <w:rPr>
          <w:rStyle w:val="CharDefText"/>
        </w:rPr>
        <w:t>search warrant</w:t>
      </w:r>
      <w:r>
        <w:rPr>
          <w:b/>
        </w:rPr>
        <w: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ameded by No. 59 of 2006 s. 33(1).] </w:t>
      </w:r>
    </w:p>
    <w:p>
      <w:pPr>
        <w:pStyle w:val="Heading5"/>
        <w:rPr>
          <w:snapToGrid w:val="0"/>
        </w:rPr>
      </w:pPr>
      <w:bookmarkStart w:id="22" w:name="_Toc411841836"/>
      <w:bookmarkStart w:id="23" w:name="_Toc13468055"/>
      <w:bookmarkStart w:id="24" w:name="_Toc151795294"/>
      <w:bookmarkStart w:id="25" w:name="_Toc171062503"/>
      <w:r>
        <w:rPr>
          <w:rStyle w:val="CharSectno"/>
        </w:rPr>
        <w:t>4</w:t>
      </w:r>
      <w:r>
        <w:rPr>
          <w:snapToGrid w:val="0"/>
        </w:rPr>
        <w:t>.</w:t>
      </w:r>
      <w:r>
        <w:rPr>
          <w:snapToGrid w:val="0"/>
        </w:rPr>
        <w:tab/>
        <w:t>Issue of search warrants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 xml:space="preserve">[Section 4 amended by No. 59 of 2004 s. 141; No 84 of 2004 s. 80; No. 59 of 2006 s. 33(2) .] </w:t>
      </w:r>
    </w:p>
    <w:p>
      <w:pPr>
        <w:pStyle w:val="Heading5"/>
        <w:rPr>
          <w:snapToGrid w:val="0"/>
        </w:rPr>
      </w:pPr>
      <w:bookmarkStart w:id="26" w:name="_Toc411841837"/>
      <w:bookmarkStart w:id="27" w:name="_Toc13468056"/>
      <w:bookmarkStart w:id="28" w:name="_Toc151795295"/>
      <w:bookmarkStart w:id="29" w:name="_Toc171062504"/>
      <w:r>
        <w:rPr>
          <w:rStyle w:val="CharSectno"/>
        </w:rPr>
        <w:t>5</w:t>
      </w:r>
      <w:r>
        <w:rPr>
          <w:snapToGrid w:val="0"/>
        </w:rPr>
        <w:t>.</w:t>
      </w:r>
      <w:r>
        <w:rPr>
          <w:snapToGrid w:val="0"/>
        </w:rPr>
        <w:tab/>
        <w:t>Authority conferred by, and other incidents of, a search warrant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spacing w:before="120"/>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spacing w:before="120"/>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spacing w:before="120"/>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spacing w:before="120"/>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spacing w:before="120"/>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rPr>
          <w:snapToGrid w:val="0"/>
        </w:rPr>
      </w:pPr>
      <w:r>
        <w:rPr>
          <w:snapToGrid w:val="0"/>
        </w:rPr>
        <w:tab/>
        <w:t>(iii)</w:t>
      </w:r>
      <w:r>
        <w:rPr>
          <w:snapToGrid w:val="0"/>
        </w:rPr>
        <w:tab/>
        <w:t>a description of any objects seized and removed in pursuance of the warrant; 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spacing w:before="120"/>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30" w:name="_Toc411841838"/>
      <w:bookmarkStart w:id="31" w:name="_Toc13468057"/>
      <w:bookmarkStart w:id="32" w:name="_Toc151795296"/>
      <w:bookmarkStart w:id="33" w:name="_Toc171062505"/>
      <w:r>
        <w:rPr>
          <w:rStyle w:val="CharSectno"/>
        </w:rPr>
        <w:t>6</w:t>
      </w:r>
      <w:r>
        <w:rPr>
          <w:snapToGrid w:val="0"/>
        </w:rPr>
        <w:t>.</w:t>
      </w:r>
      <w:r>
        <w:rPr>
          <w:snapToGrid w:val="0"/>
        </w:rPr>
        <w:tab/>
        <w:t>Offence of hindering execution of search warrant</w:t>
      </w:r>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pPr>
      <w:r>
        <w:tab/>
        <w:t>Penalty: $2 000.</w:t>
      </w:r>
    </w:p>
    <w:p>
      <w:pPr>
        <w:pStyle w:val="Footnotesection"/>
      </w:pPr>
      <w:r>
        <w:tab/>
        <w:t>[Section 6 amended by No. 50 of 2003 s. 52(2).]</w:t>
      </w:r>
    </w:p>
    <w:p>
      <w:pPr>
        <w:pStyle w:val="Heading5"/>
        <w:rPr>
          <w:snapToGrid w:val="0"/>
        </w:rPr>
      </w:pPr>
      <w:bookmarkStart w:id="34" w:name="_Toc411841839"/>
      <w:bookmarkStart w:id="35" w:name="_Toc13468058"/>
      <w:bookmarkStart w:id="36" w:name="_Toc151795297"/>
      <w:bookmarkStart w:id="37" w:name="_Toc171062506"/>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 xml:space="preserve">[Section 7 inserted by No. 59 of 2006 s. 33(3).] </w:t>
      </w:r>
    </w:p>
    <w:p>
      <w:pPr>
        <w:pStyle w:val="Heading2"/>
      </w:pPr>
      <w:bookmarkStart w:id="38" w:name="_Toc152558241"/>
      <w:bookmarkStart w:id="39" w:name="_Toc170639171"/>
      <w:bookmarkStart w:id="40" w:name="_Toc170639190"/>
      <w:bookmarkStart w:id="41" w:name="_Toc171062507"/>
      <w:bookmarkStart w:id="42" w:name="_Toc152558238"/>
      <w:bookmarkStart w:id="43" w:name="_Toc411841841"/>
      <w:bookmarkStart w:id="44" w:name="_Toc13468060"/>
      <w:bookmarkStart w:id="45" w:name="_Toc151795299"/>
      <w:r>
        <w:rPr>
          <w:rStyle w:val="CharPartNo"/>
        </w:rPr>
        <w:t>Part 3</w:t>
      </w:r>
      <w:r>
        <w:rPr>
          <w:b w:val="0"/>
        </w:rPr>
        <w:t> </w:t>
      </w:r>
      <w:r>
        <w:t>—</w:t>
      </w:r>
      <w:r>
        <w:rPr>
          <w:b w:val="0"/>
        </w:rPr>
        <w:t> </w:t>
      </w:r>
      <w:r>
        <w:rPr>
          <w:rStyle w:val="CharPartText"/>
        </w:rPr>
        <w:t>Searching vehicles</w:t>
      </w:r>
      <w:bookmarkEnd w:id="38"/>
      <w:bookmarkEnd w:id="39"/>
      <w:bookmarkEnd w:id="40"/>
      <w:bookmarkEnd w:id="41"/>
    </w:p>
    <w:p>
      <w:pPr>
        <w:pStyle w:val="Footnoteheading"/>
      </w:pPr>
      <w:bookmarkStart w:id="46" w:name="_Toc152558242"/>
      <w:r>
        <w:tab/>
        <w:t xml:space="preserve">[Heading inserted by No. 59 of 2006 s. 34.] </w:t>
      </w:r>
    </w:p>
    <w:p>
      <w:pPr>
        <w:pStyle w:val="Heading5"/>
      </w:pPr>
      <w:bookmarkStart w:id="47" w:name="_Toc171062508"/>
      <w:r>
        <w:rPr>
          <w:rStyle w:val="CharSectno"/>
        </w:rPr>
        <w:t>8</w:t>
      </w:r>
      <w:r>
        <w:t>.</w:t>
      </w:r>
      <w:r>
        <w:tab/>
        <w:t>Vehicle in WA used to commit offence outside WA</w:t>
      </w:r>
      <w:bookmarkEnd w:id="46"/>
      <w:bookmarkEnd w:id="47"/>
    </w:p>
    <w:p>
      <w:pPr>
        <w:pStyle w:val="Subsection"/>
      </w:pPr>
      <w:r>
        <w:tab/>
        <w:t>(1)</w:t>
      </w:r>
      <w:r>
        <w:tab/>
        <w:t xml:space="preserve">In this section — </w:t>
      </w:r>
    </w:p>
    <w:p>
      <w:pPr>
        <w:pStyle w:val="Defstart"/>
      </w:pPr>
      <w:r>
        <w:rPr>
          <w:b/>
        </w:rPr>
        <w:tab/>
        <w:t>“</w:t>
      </w:r>
      <w:r>
        <w:rPr>
          <w:rStyle w:val="CharDefText"/>
        </w:rPr>
        <w:t>vehicle</w:t>
      </w:r>
      <w:r>
        <w:rPr>
          <w:b/>
        </w:rPr>
        <w:t>”</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pPr>
        <w:pStyle w:val="Subsection"/>
      </w:pPr>
      <w:r>
        <w:tab/>
        <w:t>(5)</w:t>
      </w:r>
      <w:r>
        <w:tab/>
        <w:t>On such an application, the Magistrates Court may do any or all of the following —</w:t>
      </w:r>
    </w:p>
    <w:p>
      <w:pPr>
        <w:pStyle w:val="Indenta"/>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For the purposes of subsection (7) a registrar of the Magistrates Court may issue a certified copy of the order and that order may be registered in a court of competent jurisdiction.</w:t>
      </w:r>
    </w:p>
    <w:p>
      <w:pPr>
        <w:pStyle w:val="Footnotesection"/>
      </w:pPr>
      <w:bookmarkStart w:id="48" w:name="_Toc152558243"/>
      <w:r>
        <w:tab/>
        <w:t>[Section 8 inserted by No. 59 of 2006 s. 34.]</w:t>
      </w:r>
    </w:p>
    <w:p>
      <w:pPr>
        <w:pStyle w:val="Heading2"/>
      </w:pPr>
      <w:bookmarkStart w:id="49" w:name="_Toc170639173"/>
      <w:bookmarkStart w:id="50" w:name="_Toc170639192"/>
      <w:bookmarkStart w:id="51" w:name="_Toc171062509"/>
      <w:r>
        <w:rPr>
          <w:rStyle w:val="CharPartNo"/>
        </w:rPr>
        <w:t>Part 4</w:t>
      </w:r>
      <w:r>
        <w:rPr>
          <w:b w:val="0"/>
        </w:rPr>
        <w:t> </w:t>
      </w:r>
      <w:r>
        <w:t>—</w:t>
      </w:r>
      <w:r>
        <w:rPr>
          <w:b w:val="0"/>
        </w:rPr>
        <w:t> </w:t>
      </w:r>
      <w:r>
        <w:rPr>
          <w:rStyle w:val="CharPartText"/>
        </w:rPr>
        <w:t>Arrest powers</w:t>
      </w:r>
      <w:bookmarkEnd w:id="48"/>
      <w:bookmarkEnd w:id="49"/>
      <w:bookmarkEnd w:id="50"/>
      <w:bookmarkEnd w:id="51"/>
    </w:p>
    <w:p>
      <w:pPr>
        <w:pStyle w:val="Footnoteheading"/>
      </w:pPr>
      <w:bookmarkStart w:id="52" w:name="_Toc152558244"/>
      <w:r>
        <w:tab/>
        <w:t xml:space="preserve">[Heading inserted by No. 59 of 2006 s. 34.] </w:t>
      </w:r>
    </w:p>
    <w:p>
      <w:pPr>
        <w:pStyle w:val="Heading5"/>
      </w:pPr>
      <w:bookmarkStart w:id="53" w:name="_Toc171062510"/>
      <w:r>
        <w:rPr>
          <w:rStyle w:val="CharSectno"/>
        </w:rPr>
        <w:t>8A</w:t>
      </w:r>
      <w:r>
        <w:t>.</w:t>
      </w:r>
      <w:r>
        <w:tab/>
        <w:t>Arrest power for foreign offence</w:t>
      </w:r>
      <w:bookmarkEnd w:id="52"/>
      <w:bookmarkEnd w:id="53"/>
    </w:p>
    <w:p>
      <w:pPr>
        <w:pStyle w:val="Subsection"/>
      </w:pPr>
      <w:r>
        <w:tab/>
        <w:t>(1)</w:t>
      </w:r>
      <w:r>
        <w:tab/>
        <w:t xml:space="preserve">In this section — </w:t>
      </w:r>
    </w:p>
    <w:p>
      <w:pPr>
        <w:pStyle w:val="Defstart"/>
      </w:pPr>
      <w:r>
        <w:rPr>
          <w:b/>
        </w:rPr>
        <w:tab/>
        <w:t>“</w:t>
      </w:r>
      <w:r>
        <w:rPr>
          <w:rStyle w:val="CharDefText"/>
        </w:rPr>
        <w:t>foreign offence</w:t>
      </w:r>
      <w:r>
        <w:rPr>
          <w:b/>
        </w:rPr>
        <w:t>”</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b/>
        </w:rPr>
        <w:t>“</w:t>
      </w:r>
      <w:r>
        <w:rPr>
          <w:rStyle w:val="CharDefText"/>
        </w:rPr>
        <w:t>return date</w:t>
      </w:r>
      <w:r>
        <w:rPr>
          <w:b/>
        </w:rPr>
        <w:t>”</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Proceedings under this section form part of the criminal jurisdiction of the Magistrates Court or the Children’s Court.</w:t>
      </w:r>
    </w:p>
    <w:p>
      <w:pPr>
        <w:pStyle w:val="Footnotesection"/>
      </w:pPr>
      <w:r>
        <w:tab/>
        <w:t>[Section 8A inserted by No. 59 of 2006 s. 34.]</w:t>
      </w:r>
    </w:p>
    <w:p>
      <w:pPr>
        <w:pStyle w:val="Heading2"/>
      </w:pPr>
      <w:bookmarkStart w:id="54" w:name="_Toc170639175"/>
      <w:bookmarkStart w:id="55" w:name="_Toc170639194"/>
      <w:bookmarkStart w:id="56" w:name="_Toc171062511"/>
      <w:r>
        <w:rPr>
          <w:rStyle w:val="CharPartNo"/>
        </w:rPr>
        <w:t>Part 5</w:t>
      </w:r>
      <w:r>
        <w:rPr>
          <w:b w:val="0"/>
        </w:rPr>
        <w:t> </w:t>
      </w:r>
      <w:r>
        <w:t>—</w:t>
      </w:r>
      <w:r>
        <w:rPr>
          <w:b w:val="0"/>
        </w:rPr>
        <w:t> </w:t>
      </w:r>
      <w:r>
        <w:rPr>
          <w:rStyle w:val="CharPartText"/>
        </w:rPr>
        <w:t>Miscellaneous</w:t>
      </w:r>
      <w:bookmarkEnd w:id="42"/>
      <w:bookmarkEnd w:id="54"/>
      <w:bookmarkEnd w:id="55"/>
      <w:bookmarkEnd w:id="56"/>
    </w:p>
    <w:p>
      <w:pPr>
        <w:pStyle w:val="Footnoteheading"/>
      </w:pPr>
      <w:r>
        <w:tab/>
        <w:t xml:space="preserve">[Heading inserted by No. 59 of 2006 s. 32(3).] </w:t>
      </w:r>
    </w:p>
    <w:p>
      <w:pPr>
        <w:pStyle w:val="Heading5"/>
        <w:rPr>
          <w:snapToGrid w:val="0"/>
        </w:rPr>
      </w:pPr>
      <w:bookmarkStart w:id="57" w:name="_Toc171062512"/>
      <w:r>
        <w:rPr>
          <w:rStyle w:val="CharSectno"/>
        </w:rPr>
        <w:t>9</w:t>
      </w:r>
      <w:r>
        <w:rPr>
          <w:snapToGrid w:val="0"/>
        </w:rPr>
        <w:t>.</w:t>
      </w:r>
      <w:r>
        <w:rPr>
          <w:snapToGrid w:val="0"/>
        </w:rPr>
        <w:tab/>
        <w:t>Regulations</w:t>
      </w:r>
      <w:bookmarkEnd w:id="43"/>
      <w:bookmarkEnd w:id="44"/>
      <w:bookmarkEnd w:id="45"/>
      <w:bookmarkEnd w:id="57"/>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58" w:name="_Toc72573510"/>
      <w:bookmarkStart w:id="59" w:name="_Toc89511300"/>
      <w:bookmarkStart w:id="60" w:name="_Toc97105888"/>
      <w:bookmarkStart w:id="61" w:name="_Toc101953727"/>
      <w:bookmarkStart w:id="62" w:name="_Toc101953793"/>
      <w:bookmarkStart w:id="63" w:name="_Toc103064835"/>
      <w:bookmarkStart w:id="64" w:name="_Toc151795300"/>
      <w:bookmarkStart w:id="65" w:name="_Toc170633539"/>
      <w:bookmarkStart w:id="66" w:name="_Toc170633551"/>
      <w:bookmarkStart w:id="67" w:name="_Toc170639177"/>
      <w:bookmarkStart w:id="68" w:name="_Toc170639196"/>
      <w:bookmarkStart w:id="69" w:name="_Toc171062513"/>
      <w:r>
        <w:t>Notes</w:t>
      </w:r>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 w:name="_Toc151795301"/>
      <w:bookmarkStart w:id="71" w:name="_Toc171062514"/>
      <w:r>
        <w:rPr>
          <w:snapToGrid w:val="0"/>
        </w:rPr>
        <w:t>Compilation table</w:t>
      </w:r>
      <w:bookmarkEnd w:id="70"/>
      <w:bookmarkEnd w:id="71"/>
    </w:p>
    <w:tbl>
      <w:tblPr>
        <w:tblW w:w="6978" w:type="dxa"/>
        <w:tblInd w:w="-114" w:type="dxa"/>
        <w:tblLayout w:type="fixed"/>
        <w:tblCellMar>
          <w:left w:w="28" w:type="dxa"/>
          <w:right w:w="28" w:type="dxa"/>
        </w:tblCellMar>
        <w:tblLook w:val="0000" w:firstRow="0" w:lastRow="0" w:firstColumn="0" w:lastColumn="0" w:noHBand="0" w:noVBand="0"/>
      </w:tblPr>
      <w:tblGrid>
        <w:gridCol w:w="2233"/>
        <w:gridCol w:w="1117"/>
        <w:gridCol w:w="1117"/>
        <w:gridCol w:w="2511"/>
      </w:tblGrid>
      <w:tr>
        <w:trPr>
          <w:cantSplit/>
          <w:tblHeader/>
        </w:trPr>
        <w:tc>
          <w:tcPr>
            <w:tcW w:w="2233"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17"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17" w:type="dxa"/>
            <w:tcBorders>
              <w:top w:val="single" w:sz="12" w:space="0" w:color="auto"/>
              <w:bottom w:val="single" w:sz="12" w:space="0" w:color="auto"/>
            </w:tcBorders>
          </w:tcPr>
          <w:p>
            <w:pPr>
              <w:pStyle w:val="nTable"/>
              <w:spacing w:before="60" w:after="60"/>
              <w:rPr>
                <w:b/>
                <w:sz w:val="19"/>
              </w:rPr>
            </w:pPr>
            <w:r>
              <w:rPr>
                <w:b/>
                <w:sz w:val="19"/>
              </w:rPr>
              <w:t>Assent</w:t>
            </w:r>
          </w:p>
        </w:tc>
        <w:tc>
          <w:tcPr>
            <w:tcW w:w="2511"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33" w:type="dxa"/>
          </w:tcPr>
          <w:p>
            <w:pPr>
              <w:pStyle w:val="nTable"/>
              <w:spacing w:before="120"/>
              <w:ind w:right="113"/>
              <w:rPr>
                <w:sz w:val="19"/>
              </w:rPr>
            </w:pPr>
            <w:r>
              <w:rPr>
                <w:i/>
                <w:sz w:val="19"/>
              </w:rPr>
              <w:t>Criminal Investigation (Extra</w:t>
            </w:r>
            <w:r>
              <w:rPr>
                <w:i/>
                <w:sz w:val="19"/>
              </w:rPr>
              <w:noBreakHyphen/>
              <w:t>territorial Offences) Act 1987</w:t>
            </w:r>
          </w:p>
        </w:tc>
        <w:tc>
          <w:tcPr>
            <w:tcW w:w="1117" w:type="dxa"/>
          </w:tcPr>
          <w:p>
            <w:pPr>
              <w:pStyle w:val="nTable"/>
              <w:spacing w:before="120"/>
              <w:rPr>
                <w:sz w:val="19"/>
              </w:rPr>
            </w:pPr>
            <w:r>
              <w:rPr>
                <w:sz w:val="19"/>
              </w:rPr>
              <w:t>67 of 1987</w:t>
            </w:r>
          </w:p>
        </w:tc>
        <w:tc>
          <w:tcPr>
            <w:tcW w:w="1117" w:type="dxa"/>
          </w:tcPr>
          <w:p>
            <w:pPr>
              <w:pStyle w:val="nTable"/>
              <w:spacing w:before="120"/>
              <w:rPr>
                <w:sz w:val="19"/>
              </w:rPr>
            </w:pPr>
            <w:r>
              <w:rPr>
                <w:sz w:val="19"/>
              </w:rPr>
              <w:t>22 Nov 1987</w:t>
            </w:r>
          </w:p>
        </w:tc>
        <w:tc>
          <w:tcPr>
            <w:tcW w:w="2511" w:type="dxa"/>
          </w:tcPr>
          <w:p>
            <w:pPr>
              <w:pStyle w:val="nTable"/>
              <w:spacing w:before="120"/>
              <w:rPr>
                <w:sz w:val="19"/>
              </w:rPr>
            </w:pPr>
            <w:r>
              <w:rPr>
                <w:sz w:val="19"/>
              </w:rPr>
              <w:t xml:space="preserve">5 May 1989 (see s. 2 and </w:t>
            </w:r>
            <w:r>
              <w:rPr>
                <w:i/>
                <w:sz w:val="19"/>
              </w:rPr>
              <w:t>Gazette</w:t>
            </w:r>
            <w:r>
              <w:rPr>
                <w:sz w:val="19"/>
              </w:rPr>
              <w:t xml:space="preserve"> 5 May 1989 p. 1367)</w:t>
            </w:r>
          </w:p>
        </w:tc>
      </w:tr>
      <w:tr>
        <w:trPr>
          <w:cantSplit/>
        </w:trPr>
        <w:tc>
          <w:tcPr>
            <w:tcW w:w="6978" w:type="dxa"/>
            <w:gridSpan w:val="4"/>
          </w:tcPr>
          <w:p>
            <w:pPr>
              <w:pStyle w:val="nTable"/>
              <w:spacing w:before="12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33" w:type="dxa"/>
          </w:tcPr>
          <w:p>
            <w:pPr>
              <w:pStyle w:val="nTable"/>
              <w:spacing w:before="120"/>
              <w:ind w:right="113"/>
              <w:rPr>
                <w:sz w:val="19"/>
              </w:rPr>
            </w:pPr>
            <w:r>
              <w:rPr>
                <w:i/>
                <w:sz w:val="19"/>
              </w:rPr>
              <w:t xml:space="preserve">Sentencing Legislation Amendment and Repeal Act 2003 </w:t>
            </w:r>
            <w:r>
              <w:rPr>
                <w:sz w:val="19"/>
              </w:rPr>
              <w:t>s. 52</w:t>
            </w:r>
          </w:p>
        </w:tc>
        <w:tc>
          <w:tcPr>
            <w:tcW w:w="1117" w:type="dxa"/>
          </w:tcPr>
          <w:p>
            <w:pPr>
              <w:pStyle w:val="nTable"/>
              <w:spacing w:before="120"/>
              <w:rPr>
                <w:sz w:val="19"/>
              </w:rPr>
            </w:pPr>
            <w:r>
              <w:rPr>
                <w:sz w:val="19"/>
              </w:rPr>
              <w:t>50 of 2003</w:t>
            </w:r>
          </w:p>
        </w:tc>
        <w:tc>
          <w:tcPr>
            <w:tcW w:w="1117" w:type="dxa"/>
          </w:tcPr>
          <w:p>
            <w:pPr>
              <w:pStyle w:val="nTable"/>
              <w:spacing w:before="120"/>
              <w:rPr>
                <w:sz w:val="19"/>
              </w:rPr>
            </w:pPr>
            <w:r>
              <w:rPr>
                <w:sz w:val="19"/>
              </w:rPr>
              <w:t>9 Jul 2003</w:t>
            </w:r>
          </w:p>
        </w:tc>
        <w:tc>
          <w:tcPr>
            <w:tcW w:w="2511"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33"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17" w:type="dxa"/>
          </w:tcPr>
          <w:p>
            <w:pPr>
              <w:pStyle w:val="nTable"/>
              <w:spacing w:before="120"/>
              <w:rPr>
                <w:sz w:val="19"/>
              </w:rPr>
            </w:pPr>
            <w:r>
              <w:rPr>
                <w:snapToGrid w:val="0"/>
                <w:sz w:val="19"/>
                <w:lang w:val="en-US"/>
              </w:rPr>
              <w:t>59 of 2004</w:t>
            </w:r>
          </w:p>
        </w:tc>
        <w:tc>
          <w:tcPr>
            <w:tcW w:w="1117" w:type="dxa"/>
          </w:tcPr>
          <w:p>
            <w:pPr>
              <w:pStyle w:val="nTable"/>
              <w:spacing w:before="120"/>
              <w:rPr>
                <w:sz w:val="19"/>
              </w:rPr>
            </w:pPr>
            <w:r>
              <w:rPr>
                <w:sz w:val="19"/>
              </w:rPr>
              <w:t>23 Nov 2004</w:t>
            </w:r>
          </w:p>
        </w:tc>
        <w:tc>
          <w:tcPr>
            <w:tcW w:w="2511"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CellMar>
            <w:left w:w="56" w:type="dxa"/>
            <w:right w:w="56" w:type="dxa"/>
          </w:tblCellMar>
        </w:tblPrEx>
        <w:tc>
          <w:tcPr>
            <w:tcW w:w="2233"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7" w:type="dxa"/>
          </w:tcPr>
          <w:p>
            <w:pPr>
              <w:pStyle w:val="nTable"/>
              <w:spacing w:before="100"/>
              <w:rPr>
                <w:snapToGrid w:val="0"/>
                <w:sz w:val="19"/>
                <w:lang w:val="en-US"/>
              </w:rPr>
            </w:pPr>
            <w:r>
              <w:rPr>
                <w:snapToGrid w:val="0"/>
                <w:sz w:val="19"/>
                <w:lang w:val="en-US"/>
              </w:rPr>
              <w:t>84 of 2004</w:t>
            </w:r>
          </w:p>
        </w:tc>
        <w:tc>
          <w:tcPr>
            <w:tcW w:w="1117" w:type="dxa"/>
          </w:tcPr>
          <w:p>
            <w:pPr>
              <w:pStyle w:val="nTable"/>
              <w:spacing w:before="100"/>
              <w:rPr>
                <w:sz w:val="19"/>
              </w:rPr>
            </w:pPr>
            <w:r>
              <w:rPr>
                <w:sz w:val="19"/>
              </w:rPr>
              <w:t>16 Dec 2004</w:t>
            </w:r>
          </w:p>
        </w:tc>
        <w:tc>
          <w:tcPr>
            <w:tcW w:w="2511"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c>
          <w:tcPr>
            <w:tcW w:w="2233" w:type="dxa"/>
            <w:tcBorders>
              <w:bottom w:val="single" w:sz="4" w:space="0" w:color="auto"/>
            </w:tcBorders>
          </w:tcPr>
          <w:p>
            <w:pPr>
              <w:pStyle w:val="nTable"/>
              <w:spacing w:before="10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17" w:type="dxa"/>
            <w:tcBorders>
              <w:bottom w:val="single" w:sz="4" w:space="0" w:color="auto"/>
            </w:tcBorders>
          </w:tcPr>
          <w:p>
            <w:pPr>
              <w:pStyle w:val="nTable"/>
              <w:spacing w:before="100"/>
              <w:rPr>
                <w:snapToGrid w:val="0"/>
                <w:sz w:val="19"/>
                <w:lang w:val="en-US"/>
              </w:rPr>
            </w:pPr>
            <w:r>
              <w:rPr>
                <w:snapToGrid w:val="0"/>
                <w:sz w:val="19"/>
                <w:lang w:val="en-US"/>
              </w:rPr>
              <w:t>59 of 2006</w:t>
            </w:r>
          </w:p>
        </w:tc>
        <w:tc>
          <w:tcPr>
            <w:tcW w:w="1117" w:type="dxa"/>
            <w:tcBorders>
              <w:bottom w:val="single" w:sz="4" w:space="0" w:color="auto"/>
            </w:tcBorders>
          </w:tcPr>
          <w:p>
            <w:pPr>
              <w:pStyle w:val="nTable"/>
              <w:spacing w:before="100"/>
              <w:rPr>
                <w:sz w:val="19"/>
              </w:rPr>
            </w:pPr>
            <w:r>
              <w:rPr>
                <w:sz w:val="19"/>
              </w:rPr>
              <w:t>16 Nov 2006</w:t>
            </w:r>
          </w:p>
        </w:tc>
        <w:tc>
          <w:tcPr>
            <w:tcW w:w="2511" w:type="dxa"/>
            <w:tcBorders>
              <w:bottom w:val="single" w:sz="4" w:space="0" w:color="auto"/>
            </w:tcBorders>
          </w:tcPr>
          <w:p>
            <w:pPr>
              <w:pStyle w:val="nTable"/>
              <w:spacing w:before="10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18"/>
    <w:docVar w:name="WAFER_20151210104818" w:val="RemoveTrackChanges"/>
    <w:docVar w:name="WAFER_20151210104818_GUID" w:val="2620753c-28ab-466d-b65a-58f373bc4c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2688</Words>
  <Characters>12557</Characters>
  <Application>Microsoft Office Word</Application>
  <DocSecurity>0</DocSecurity>
  <Lines>369</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1987 - 01-e0-02</dc:title>
  <dc:subject/>
  <dc:creator/>
  <cp:keywords/>
  <dc:description/>
  <cp:lastModifiedBy>svcMRProcess</cp:lastModifiedBy>
  <cp:revision>4</cp:revision>
  <cp:lastPrinted>2002-08-26T00:47:00Z</cp:lastPrinted>
  <dcterms:created xsi:type="dcterms:W3CDTF">2015-12-10T09:10:00Z</dcterms:created>
  <dcterms:modified xsi:type="dcterms:W3CDTF">2015-12-10T09:10:00Z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198</vt:i4>
  </property>
  <property fmtid="{D5CDD505-2E9C-101B-9397-08002B2CF9AE}" pid="6" name="AsAtDate">
    <vt:lpwstr>01 Jul 2007</vt:lpwstr>
  </property>
  <property fmtid="{D5CDD505-2E9C-101B-9397-08002B2CF9AE}" pid="7" name="Suffix">
    <vt:lpwstr>01-e0-02</vt:lpwstr>
  </property>
</Properties>
</file>