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_Toc171051474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_Toc171051475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_Toc171051476 \h </w:instrText>
      </w:r>
      <w:r>
        <w:fldChar w:fldCharType="separate"/>
      </w:r>
      <w:r>
        <w:t>1</w:t>
      </w:r>
      <w:r>
        <w:fldChar w:fldCharType="end"/>
      </w:r>
    </w:p>
    <w:p>
      <w:pPr>
        <w:pStyle w:val="TOC8"/>
        <w:rPr>
          <w:sz w:val="24"/>
          <w:szCs w:val="24"/>
        </w:rPr>
      </w:pPr>
      <w:r>
        <w:rPr>
          <w:szCs w:val="24"/>
        </w:rPr>
        <w:t>3A.</w:t>
      </w:r>
      <w:r>
        <w:rPr>
          <w:szCs w:val="24"/>
        </w:rPr>
        <w:tab/>
        <w:t>Construction of references to time</w:t>
      </w:r>
      <w:r>
        <w:tab/>
      </w:r>
      <w:r>
        <w:fldChar w:fldCharType="begin"/>
      </w:r>
      <w:r>
        <w:instrText xml:space="preserve"> PAGEREF _Toc171051477 \h </w:instrText>
      </w:r>
      <w:r>
        <w:fldChar w:fldCharType="separate"/>
      </w:r>
      <w:r>
        <w:t>2</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_Toc171051478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_Toc171051479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_Toc171051480 \h </w:instrText>
      </w:r>
      <w:r>
        <w:fldChar w:fldCharType="separate"/>
      </w:r>
      <w:r>
        <w:t>3</w:t>
      </w:r>
      <w:r>
        <w:fldChar w:fldCharType="end"/>
      </w:r>
    </w:p>
    <w:p>
      <w:pPr>
        <w:pStyle w:val="TOC8"/>
        <w:rPr>
          <w:sz w:val="24"/>
          <w:szCs w:val="24"/>
        </w:rPr>
      </w:pPr>
      <w:r>
        <w:rPr>
          <w:szCs w:val="24"/>
        </w:rPr>
        <w:t>7.</w:t>
      </w:r>
      <w:r>
        <w:rPr>
          <w:szCs w:val="24"/>
        </w:rPr>
        <w:tab/>
        <w:t>Fees</w:t>
      </w:r>
      <w:r>
        <w:tab/>
      </w:r>
      <w:r>
        <w:fldChar w:fldCharType="begin"/>
      </w:r>
      <w:r>
        <w:instrText xml:space="preserve"> PAGEREF _Toc171051481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_Toc171051482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_Toc171051483 \h </w:instrText>
      </w:r>
      <w:r>
        <w:fldChar w:fldCharType="separate"/>
      </w:r>
      <w:r>
        <w:t>4</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_Toc171051484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_Toc171051485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rate of interest under the Act section 62(16)</w:t>
      </w:r>
      <w:r>
        <w:tab/>
      </w:r>
      <w:r>
        <w:fldChar w:fldCharType="begin"/>
      </w:r>
      <w:r>
        <w:instrText xml:space="preserve"> PAGEREF _Toc171051486 \h </w:instrText>
      </w:r>
      <w:r>
        <w:fldChar w:fldCharType="separate"/>
      </w:r>
      <w:r>
        <w:t>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Tariff L1 (general supply — low/medium voltage tariff)</w:t>
      </w:r>
      <w:r>
        <w:tab/>
      </w:r>
      <w:r>
        <w:fldChar w:fldCharType="begin"/>
      </w:r>
      <w:r>
        <w:instrText xml:space="preserve"> PAGEREF _Toc171051488 \h </w:instrText>
      </w:r>
      <w:r>
        <w:fldChar w:fldCharType="separate"/>
      </w:r>
      <w:r>
        <w:t>7</w:t>
      </w:r>
      <w:r>
        <w:fldChar w:fldCharType="end"/>
      </w:r>
    </w:p>
    <w:p>
      <w:pPr>
        <w:pStyle w:val="TOC8"/>
        <w:rPr>
          <w:sz w:val="24"/>
          <w:szCs w:val="24"/>
        </w:rPr>
      </w:pPr>
      <w:r>
        <w:rPr>
          <w:szCs w:val="22"/>
        </w:rPr>
        <w:t>2.</w:t>
      </w:r>
      <w:r>
        <w:rPr>
          <w:szCs w:val="22"/>
        </w:rPr>
        <w:tab/>
        <w:t>Tariff</w:t>
      </w:r>
      <w:r>
        <w:rPr>
          <w:snapToGrid w:val="0"/>
          <w:szCs w:val="22"/>
        </w:rPr>
        <w:t xml:space="preserve"> M1 (general supply — high voltage tariff)</w:t>
      </w:r>
      <w:r>
        <w:tab/>
      </w:r>
      <w:r>
        <w:fldChar w:fldCharType="begin"/>
      </w:r>
      <w:r>
        <w:instrText xml:space="preserve"> PAGEREF _Toc171051489 \h </w:instrText>
      </w:r>
      <w:r>
        <w:fldChar w:fldCharType="separate"/>
      </w:r>
      <w:r>
        <w:t>7</w:t>
      </w:r>
      <w:r>
        <w:fldChar w:fldCharType="end"/>
      </w:r>
    </w:p>
    <w:p>
      <w:pPr>
        <w:pStyle w:val="TOC8"/>
        <w:rPr>
          <w:sz w:val="24"/>
          <w:szCs w:val="24"/>
        </w:rPr>
      </w:pPr>
      <w:r>
        <w:rPr>
          <w:szCs w:val="22"/>
        </w:rPr>
        <w:t>3.</w:t>
      </w:r>
      <w:r>
        <w:rPr>
          <w:szCs w:val="22"/>
        </w:rPr>
        <w:tab/>
        <w:t>Tariff</w:t>
      </w:r>
      <w:r>
        <w:rPr>
          <w:snapToGrid w:val="0"/>
          <w:szCs w:val="22"/>
        </w:rPr>
        <w:t xml:space="preserve"> R1 (time of use tariff)</w:t>
      </w:r>
      <w:r>
        <w:tab/>
      </w:r>
      <w:r>
        <w:fldChar w:fldCharType="begin"/>
      </w:r>
      <w:r>
        <w:instrText xml:space="preserve"> PAGEREF _Toc171051490 \h </w:instrText>
      </w:r>
      <w:r>
        <w:fldChar w:fldCharType="separate"/>
      </w:r>
      <w:r>
        <w:t>7</w:t>
      </w:r>
      <w:r>
        <w:fldChar w:fldCharType="end"/>
      </w:r>
    </w:p>
    <w:p>
      <w:pPr>
        <w:pStyle w:val="TOC8"/>
        <w:rPr>
          <w:sz w:val="24"/>
          <w:szCs w:val="24"/>
        </w:rPr>
      </w:pPr>
      <w:r>
        <w:rPr>
          <w:szCs w:val="22"/>
        </w:rPr>
        <w:t>3A.</w:t>
      </w:r>
      <w:r>
        <w:rPr>
          <w:szCs w:val="22"/>
        </w:rPr>
        <w:tab/>
        <w:t>Tariff R3 (time of use tariff)</w:t>
      </w:r>
      <w:r>
        <w:tab/>
      </w:r>
      <w:r>
        <w:fldChar w:fldCharType="begin"/>
      </w:r>
      <w:r>
        <w:instrText xml:space="preserve"> PAGEREF _Toc171051491 \h </w:instrText>
      </w:r>
      <w:r>
        <w:fldChar w:fldCharType="separate"/>
      </w:r>
      <w:r>
        <w:t>8</w:t>
      </w:r>
      <w:r>
        <w:fldChar w:fldCharType="end"/>
      </w:r>
    </w:p>
    <w:p>
      <w:pPr>
        <w:pStyle w:val="TOC8"/>
        <w:rPr>
          <w:sz w:val="24"/>
          <w:szCs w:val="24"/>
        </w:rPr>
      </w:pPr>
      <w:r>
        <w:rPr>
          <w:szCs w:val="22"/>
        </w:rPr>
        <w:t>4.</w:t>
      </w:r>
      <w:r>
        <w:rPr>
          <w:szCs w:val="22"/>
        </w:rPr>
        <w:tab/>
        <w:t xml:space="preserve">Tariff </w:t>
      </w:r>
      <w:r>
        <w:rPr>
          <w:snapToGrid w:val="0"/>
          <w:szCs w:val="22"/>
        </w:rPr>
        <w:t>S1 (low/medium voltage time based demand and energy Tariff)</w:t>
      </w:r>
      <w:r>
        <w:tab/>
      </w:r>
      <w:r>
        <w:fldChar w:fldCharType="begin"/>
      </w:r>
      <w:r>
        <w:instrText xml:space="preserve"> PAGEREF _Toc171051492 \h </w:instrText>
      </w:r>
      <w:r>
        <w:fldChar w:fldCharType="separate"/>
      </w:r>
      <w:r>
        <w:t>9</w:t>
      </w:r>
      <w:r>
        <w:fldChar w:fldCharType="end"/>
      </w:r>
    </w:p>
    <w:p>
      <w:pPr>
        <w:pStyle w:val="TOC8"/>
        <w:rPr>
          <w:sz w:val="24"/>
          <w:szCs w:val="24"/>
        </w:rPr>
      </w:pPr>
      <w:r>
        <w:rPr>
          <w:szCs w:val="22"/>
        </w:rPr>
        <w:t>5.</w:t>
      </w:r>
      <w:r>
        <w:rPr>
          <w:szCs w:val="22"/>
        </w:rPr>
        <w:tab/>
        <w:t>Tariff</w:t>
      </w:r>
      <w:r>
        <w:rPr>
          <w:snapToGrid w:val="0"/>
          <w:szCs w:val="22"/>
        </w:rPr>
        <w:t xml:space="preserve"> T1 (high voltage time based demand and energy tariff)</w:t>
      </w:r>
      <w:r>
        <w:tab/>
      </w:r>
      <w:r>
        <w:fldChar w:fldCharType="begin"/>
      </w:r>
      <w:r>
        <w:instrText xml:space="preserve"> PAGEREF _Toc171051493 \h </w:instrText>
      </w:r>
      <w:r>
        <w:fldChar w:fldCharType="separate"/>
      </w:r>
      <w:r>
        <w:t>10</w:t>
      </w:r>
      <w:r>
        <w:fldChar w:fldCharType="end"/>
      </w:r>
    </w:p>
    <w:p>
      <w:pPr>
        <w:pStyle w:val="TOC8"/>
        <w:rPr>
          <w:sz w:val="24"/>
          <w:szCs w:val="24"/>
        </w:rPr>
      </w:pPr>
      <w:r>
        <w:rPr>
          <w:szCs w:val="22"/>
        </w:rPr>
        <w:t>6.</w:t>
      </w:r>
      <w:r>
        <w:rPr>
          <w:szCs w:val="22"/>
        </w:rPr>
        <w:tab/>
        <w:t>Standby charges</w:t>
      </w:r>
      <w:r>
        <w:tab/>
      </w:r>
      <w:r>
        <w:fldChar w:fldCharType="begin"/>
      </w:r>
      <w:r>
        <w:instrText xml:space="preserve"> PAGEREF _Toc171051494 \h </w:instrText>
      </w:r>
      <w:r>
        <w:fldChar w:fldCharType="separate"/>
      </w:r>
      <w:r>
        <w:t>12</w:t>
      </w:r>
      <w:r>
        <w:fldChar w:fldCharType="end"/>
      </w:r>
    </w:p>
    <w:p>
      <w:pPr>
        <w:pStyle w:val="TOC8"/>
        <w:rPr>
          <w:sz w:val="24"/>
          <w:szCs w:val="24"/>
        </w:rPr>
      </w:pPr>
      <w:r>
        <w:rPr>
          <w:szCs w:val="22"/>
        </w:rPr>
        <w:t>7.</w:t>
      </w:r>
      <w:r>
        <w:rPr>
          <w:szCs w:val="22"/>
        </w:rPr>
        <w:tab/>
        <w:t>Tariff</w:t>
      </w:r>
      <w:r>
        <w:rPr>
          <w:snapToGrid w:val="0"/>
          <w:szCs w:val="22"/>
        </w:rPr>
        <w:t xml:space="preserve"> A1 (residential tariff)</w:t>
      </w:r>
      <w:r>
        <w:tab/>
      </w:r>
      <w:r>
        <w:fldChar w:fldCharType="begin"/>
      </w:r>
      <w:r>
        <w:instrText xml:space="preserve"> PAGEREF _Toc171051495 \h </w:instrText>
      </w:r>
      <w:r>
        <w:fldChar w:fldCharType="separate"/>
      </w:r>
      <w:r>
        <w:t>13</w:t>
      </w:r>
      <w:r>
        <w:fldChar w:fldCharType="end"/>
      </w:r>
    </w:p>
    <w:p>
      <w:pPr>
        <w:pStyle w:val="TOC8"/>
        <w:rPr>
          <w:sz w:val="24"/>
          <w:szCs w:val="24"/>
        </w:rPr>
      </w:pPr>
      <w:r>
        <w:rPr>
          <w:szCs w:val="22"/>
        </w:rPr>
        <w:t>8.</w:t>
      </w:r>
      <w:r>
        <w:rPr>
          <w:szCs w:val="22"/>
        </w:rPr>
        <w:tab/>
        <w:t>Tariff</w:t>
      </w:r>
      <w:r>
        <w:rPr>
          <w:snapToGrid w:val="0"/>
          <w:szCs w:val="22"/>
        </w:rPr>
        <w:t xml:space="preserve"> B1 (residential water heating tariff)</w:t>
      </w:r>
      <w:r>
        <w:tab/>
      </w:r>
      <w:r>
        <w:fldChar w:fldCharType="begin"/>
      </w:r>
      <w:r>
        <w:instrText xml:space="preserve"> PAGEREF _Toc171051496 \h </w:instrText>
      </w:r>
      <w:r>
        <w:fldChar w:fldCharType="separate"/>
      </w:r>
      <w:r>
        <w:t>14</w:t>
      </w:r>
      <w:r>
        <w:fldChar w:fldCharType="end"/>
      </w:r>
    </w:p>
    <w:p>
      <w:pPr>
        <w:pStyle w:val="TOC8"/>
        <w:rPr>
          <w:sz w:val="24"/>
          <w:szCs w:val="24"/>
        </w:rPr>
      </w:pPr>
      <w:r>
        <w:rPr>
          <w:szCs w:val="22"/>
        </w:rPr>
        <w:t>9.</w:t>
      </w:r>
      <w:r>
        <w:rPr>
          <w:szCs w:val="22"/>
        </w:rPr>
        <w:tab/>
        <w:t>Tariff</w:t>
      </w:r>
      <w:r>
        <w:rPr>
          <w:snapToGrid w:val="0"/>
          <w:szCs w:val="22"/>
        </w:rPr>
        <w:t xml:space="preserve"> C1 (special community service tariff)</w:t>
      </w:r>
      <w:r>
        <w:tab/>
      </w:r>
      <w:r>
        <w:fldChar w:fldCharType="begin"/>
      </w:r>
      <w:r>
        <w:instrText xml:space="preserve"> PAGEREF _Toc171051497 \h </w:instrText>
      </w:r>
      <w:r>
        <w:fldChar w:fldCharType="separate"/>
      </w:r>
      <w:r>
        <w:t>14</w:t>
      </w:r>
      <w:r>
        <w:fldChar w:fldCharType="end"/>
      </w:r>
    </w:p>
    <w:p>
      <w:pPr>
        <w:pStyle w:val="TOC8"/>
        <w:rPr>
          <w:sz w:val="24"/>
          <w:szCs w:val="24"/>
        </w:rPr>
      </w:pPr>
      <w:r>
        <w:rPr>
          <w:szCs w:val="22"/>
        </w:rPr>
        <w:t>10.</w:t>
      </w:r>
      <w:r>
        <w:rPr>
          <w:szCs w:val="22"/>
        </w:rPr>
        <w:tab/>
        <w:t xml:space="preserve">Tariff </w:t>
      </w:r>
      <w:r>
        <w:rPr>
          <w:snapToGrid w:val="0"/>
          <w:szCs w:val="22"/>
        </w:rPr>
        <w:t>D1 (special tariff for certain premises)</w:t>
      </w:r>
      <w:r>
        <w:tab/>
      </w:r>
      <w:r>
        <w:fldChar w:fldCharType="begin"/>
      </w:r>
      <w:r>
        <w:instrText xml:space="preserve"> PAGEREF _Toc171051498 \h </w:instrText>
      </w:r>
      <w:r>
        <w:fldChar w:fldCharType="separate"/>
      </w:r>
      <w:r>
        <w:t>15</w:t>
      </w:r>
      <w:r>
        <w:fldChar w:fldCharType="end"/>
      </w:r>
    </w:p>
    <w:p>
      <w:pPr>
        <w:pStyle w:val="TOC8"/>
        <w:rPr>
          <w:sz w:val="24"/>
          <w:szCs w:val="24"/>
        </w:rPr>
      </w:pPr>
      <w:r>
        <w:rPr>
          <w:szCs w:val="22"/>
        </w:rPr>
        <w:t>11.</w:t>
      </w:r>
      <w:r>
        <w:rPr>
          <w:szCs w:val="22"/>
        </w:rPr>
        <w:tab/>
        <w:t>Tariff</w:t>
      </w:r>
      <w:r>
        <w:rPr>
          <w:snapToGrid w:val="0"/>
          <w:szCs w:val="22"/>
        </w:rPr>
        <w:t xml:space="preserve"> K1 (general supply with residential tariff)</w:t>
      </w:r>
      <w:r>
        <w:tab/>
      </w:r>
      <w:r>
        <w:fldChar w:fldCharType="begin"/>
      </w:r>
      <w:r>
        <w:instrText xml:space="preserve"> PAGEREF _Toc171051499 \h </w:instrText>
      </w:r>
      <w:r>
        <w:fldChar w:fldCharType="separate"/>
      </w:r>
      <w:r>
        <w:t>15</w:t>
      </w:r>
      <w:r>
        <w:fldChar w:fldCharType="end"/>
      </w:r>
    </w:p>
    <w:p>
      <w:pPr>
        <w:pStyle w:val="TOC8"/>
        <w:rPr>
          <w:sz w:val="24"/>
          <w:szCs w:val="24"/>
        </w:rPr>
      </w:pPr>
      <w:r>
        <w:rPr>
          <w:szCs w:val="22"/>
        </w:rPr>
        <w:t>12.</w:t>
      </w:r>
      <w:r>
        <w:rPr>
          <w:szCs w:val="22"/>
        </w:rPr>
        <w:tab/>
        <w:t>Tariff</w:t>
      </w:r>
      <w:r>
        <w:rPr>
          <w:snapToGrid w:val="0"/>
          <w:szCs w:val="22"/>
        </w:rPr>
        <w:t xml:space="preserve"> W1 (t</w:t>
      </w:r>
      <w:r>
        <w:rPr>
          <w:bCs/>
          <w:iCs/>
          <w:snapToGrid w:val="0"/>
          <w:szCs w:val="22"/>
        </w:rPr>
        <w:t>raffic light installations)</w:t>
      </w:r>
      <w:r>
        <w:tab/>
      </w:r>
      <w:r>
        <w:fldChar w:fldCharType="begin"/>
      </w:r>
      <w:r>
        <w:instrText xml:space="preserve"> PAGEREF _Toc171051500 \h </w:instrText>
      </w:r>
      <w:r>
        <w:fldChar w:fldCharType="separate"/>
      </w:r>
      <w:r>
        <w:t>16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_Toc171051505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171051474"/>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17105147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171051476"/>
      <w:r>
        <w:rPr>
          <w:rStyle w:val="CharSectno"/>
        </w:rPr>
        <w:t>3</w:t>
      </w:r>
      <w:r>
        <w:t>.</w:t>
      </w:r>
      <w:r>
        <w:tab/>
      </w:r>
      <w:bookmarkEnd w:id="19"/>
      <w:bookmarkEnd w:id="20"/>
      <w:bookmarkEnd w:id="21"/>
      <w:bookmarkEnd w:id="22"/>
      <w:bookmarkEnd w:id="23"/>
      <w:bookmarkEnd w:id="24"/>
      <w:bookmarkEnd w:id="25"/>
      <w:r>
        <w:rPr>
          <w:snapToGrid w:val="0"/>
        </w:rPr>
        <w:t>Terms used in these by</w:t>
      </w:r>
      <w:r>
        <w:rPr>
          <w:snapToGrid w:val="0"/>
        </w:rPr>
        <w:noBreakHyphen/>
        <w:t>laws</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Heading5"/>
      </w:pPr>
      <w:bookmarkStart w:id="28" w:name="_Toc171051477"/>
      <w:bookmarkStart w:id="29" w:name="_Toc486232664"/>
      <w:bookmarkStart w:id="30" w:name="_Toc509735409"/>
      <w:bookmarkStart w:id="31" w:name="_Toc511625641"/>
      <w:bookmarkStart w:id="32" w:name="_Toc512237523"/>
      <w:bookmarkStart w:id="33" w:name="_Toc512935995"/>
      <w:bookmarkStart w:id="34" w:name="_Toc44470744"/>
      <w:bookmarkStart w:id="35" w:name="_Toc63831848"/>
      <w:bookmarkStart w:id="36" w:name="_Toc128282856"/>
      <w:r>
        <w:rPr>
          <w:rStyle w:val="CharSectno"/>
        </w:rPr>
        <w:t>3A</w:t>
      </w:r>
      <w:r>
        <w:t>.</w:t>
      </w:r>
      <w:r>
        <w:tab/>
        <w:t>Construction of references to time</w:t>
      </w:r>
      <w:bookmarkEnd w:id="28"/>
    </w:p>
    <w:p>
      <w:pPr>
        <w:pStyle w:val="Subsection"/>
      </w:pPr>
      <w:r>
        <w:tab/>
        <w:t>(1)</w:t>
      </w:r>
      <w:r>
        <w:tab/>
        <w:t>In this by</w:t>
      </w:r>
      <w:r>
        <w:noBreakHyphen/>
        <w:t xml:space="preserve">law — </w:t>
      </w:r>
    </w:p>
    <w:p>
      <w:pPr>
        <w:pStyle w:val="Defstart"/>
      </w:pPr>
      <w:r>
        <w:rPr>
          <w:b/>
        </w:rPr>
        <w:tab/>
      </w:r>
      <w:r>
        <w:rPr>
          <w:rStyle w:val="CharDefText"/>
        </w:rPr>
        <w:t>standard time</w:t>
      </w:r>
      <w:r>
        <w:t xml:space="preserve"> and </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37" w:name="_Toc171051478"/>
      <w:r>
        <w:rPr>
          <w:rStyle w:val="CharSectno"/>
        </w:rPr>
        <w:t>4</w:t>
      </w:r>
      <w:r>
        <w:t>.</w:t>
      </w:r>
      <w:r>
        <w:tab/>
      </w:r>
      <w:r>
        <w:rPr>
          <w:snapToGrid w:val="0"/>
        </w:rPr>
        <w:t>Electricity charges</w:t>
      </w:r>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8" w:name="_Toc128282857"/>
      <w:bookmarkStart w:id="39" w:name="_Toc171051479"/>
      <w:r>
        <w:rPr>
          <w:rStyle w:val="CharSectno"/>
        </w:rPr>
        <w:t>5</w:t>
      </w:r>
      <w:r>
        <w:t>.</w:t>
      </w:r>
      <w:r>
        <w:tab/>
        <w:t>Application of residential tariffs</w:t>
      </w:r>
      <w:bookmarkEnd w:id="38"/>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40" w:name="_Toc128282858"/>
      <w:bookmarkStart w:id="41" w:name="_Toc171051480"/>
      <w:r>
        <w:rPr>
          <w:rStyle w:val="CharSectno"/>
        </w:rPr>
        <w:t>6</w:t>
      </w:r>
      <w:r>
        <w:t>.</w:t>
      </w:r>
      <w:r>
        <w:tab/>
        <w:t>Meter rental</w:t>
      </w:r>
      <w:bookmarkEnd w:id="40"/>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171051481"/>
      <w:r>
        <w:rPr>
          <w:rStyle w:val="CharSectno"/>
        </w:rPr>
        <w:t>7</w:t>
      </w:r>
      <w:r>
        <w:t>.</w:t>
      </w:r>
      <w:r>
        <w:tab/>
        <w:t>Fees</w:t>
      </w:r>
      <w:bookmarkEnd w:id="42"/>
      <w:bookmarkEnd w:id="43"/>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4" w:name="_Toc128282860"/>
      <w:bookmarkStart w:id="45" w:name="_Toc171051482"/>
      <w:r>
        <w:rPr>
          <w:rStyle w:val="CharSectno"/>
        </w:rPr>
        <w:t>8</w:t>
      </w:r>
      <w:r>
        <w:t>.</w:t>
      </w:r>
      <w:r>
        <w:tab/>
        <w:t>Payment</w:t>
      </w:r>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46" w:name="_Toc128282861"/>
      <w:bookmarkStart w:id="47" w:name="_Toc171051483"/>
      <w:r>
        <w:rPr>
          <w:rStyle w:val="CharSectno"/>
        </w:rPr>
        <w:t>9</w:t>
      </w:r>
      <w:r>
        <w:t>.</w:t>
      </w:r>
      <w:r>
        <w:tab/>
        <w:t>Rebates and reduced fees</w:t>
      </w:r>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8" w:name="_Toc128282862"/>
      <w:bookmarkStart w:id="49" w:name="_Toc171051484"/>
      <w:r>
        <w:rPr>
          <w:rStyle w:val="CharSectno"/>
        </w:rPr>
        <w:t>10</w:t>
      </w:r>
      <w:r>
        <w:t>.</w:t>
      </w:r>
      <w:r>
        <w:tab/>
        <w:t>Calculation of charges</w:t>
      </w:r>
      <w:bookmarkEnd w:id="48"/>
      <w:bookmarkEnd w:id="4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0" w:name="_Toc128282863"/>
      <w:bookmarkStart w:id="51" w:name="_Toc171051485"/>
      <w:r>
        <w:rPr>
          <w:rStyle w:val="CharSectno"/>
        </w:rPr>
        <w:t>11</w:t>
      </w:r>
      <w:r>
        <w:t>.</w:t>
      </w:r>
      <w:r>
        <w:tab/>
        <w:t>Changes in rates</w:t>
      </w:r>
      <w:bookmarkEnd w:id="50"/>
      <w:bookmarkEnd w:id="5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52" w:name="_Toc486232672"/>
      <w:bookmarkStart w:id="53" w:name="_Toc509735417"/>
      <w:bookmarkStart w:id="54" w:name="_Toc511625649"/>
      <w:bookmarkStart w:id="55" w:name="_Toc512237531"/>
      <w:bookmarkStart w:id="56" w:name="_Toc512936003"/>
      <w:bookmarkStart w:id="57" w:name="_Toc44470752"/>
      <w:bookmarkStart w:id="58" w:name="_Toc63831856"/>
      <w:bookmarkStart w:id="59" w:name="_Toc128282864"/>
      <w:bookmarkStart w:id="60" w:name="_Toc171051486"/>
      <w:r>
        <w:rPr>
          <w:rStyle w:val="CharSectno"/>
        </w:rPr>
        <w:t>12</w:t>
      </w:r>
      <w:r>
        <w:rPr>
          <w:snapToGrid w:val="0"/>
        </w:rPr>
        <w:t>.</w:t>
      </w:r>
      <w:r>
        <w:rPr>
          <w:snapToGrid w:val="0"/>
        </w:rPr>
        <w:tab/>
        <w:t>Prescribed rate of interest under the Act section 62(16)</w:t>
      </w:r>
      <w:bookmarkEnd w:id="52"/>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1" w:name="_Toc123621758"/>
      <w:bookmarkStart w:id="62" w:name="_Toc123621905"/>
      <w:bookmarkStart w:id="63" w:name="_Toc123624865"/>
      <w:bookmarkStart w:id="64" w:name="_Toc123624932"/>
      <w:bookmarkStart w:id="65" w:name="_Toc123626278"/>
      <w:bookmarkStart w:id="66" w:name="_Toc123629882"/>
      <w:bookmarkStart w:id="67" w:name="_Toc124135799"/>
      <w:bookmarkStart w:id="68" w:name="_Toc124137266"/>
      <w:bookmarkStart w:id="69" w:name="_Toc124147434"/>
      <w:bookmarkStart w:id="70" w:name="_Toc124147471"/>
      <w:bookmarkStart w:id="71" w:name="_Toc124158782"/>
      <w:bookmarkStart w:id="72" w:name="_Toc124158889"/>
      <w:bookmarkStart w:id="73" w:name="_Toc124158923"/>
      <w:bookmarkStart w:id="74" w:name="_Toc124216304"/>
      <w:bookmarkStart w:id="75" w:name="_Toc124227057"/>
      <w:bookmarkStart w:id="76" w:name="_Toc124227150"/>
      <w:bookmarkStart w:id="77" w:name="_Toc124234413"/>
      <w:bookmarkStart w:id="78" w:name="_Toc124234762"/>
      <w:bookmarkStart w:id="79" w:name="_Toc124234802"/>
      <w:bookmarkStart w:id="80" w:name="_Toc124934218"/>
      <w:bookmarkStart w:id="81" w:name="_Toc125279668"/>
      <w:bookmarkStart w:id="82" w:name="_Toc127067095"/>
      <w:bookmarkStart w:id="83" w:name="_Toc127076298"/>
      <w:bookmarkStart w:id="84" w:name="_Toc127085631"/>
      <w:bookmarkStart w:id="85" w:name="_Toc127086723"/>
      <w:bookmarkStart w:id="86" w:name="_Toc127671666"/>
      <w:bookmarkStart w:id="87" w:name="_Toc127690043"/>
      <w:bookmarkStart w:id="88" w:name="_Toc127699324"/>
      <w:bookmarkStart w:id="89" w:name="_Toc127760416"/>
      <w:bookmarkStart w:id="90" w:name="_Toc127760444"/>
      <w:bookmarkStart w:id="91" w:name="_Toc127946766"/>
      <w:bookmarkStart w:id="92" w:name="_Toc127960799"/>
      <w:bookmarkStart w:id="93" w:name="_Toc127960827"/>
      <w:bookmarkStart w:id="94" w:name="_Toc128190501"/>
      <w:bookmarkStart w:id="95" w:name="_Toc128196173"/>
      <w:bookmarkStart w:id="96" w:name="_Toc128197592"/>
      <w:bookmarkStart w:id="97" w:name="_Toc128282865"/>
      <w:bookmarkStart w:id="98" w:name="_Toc131490113"/>
      <w:bookmarkStart w:id="99" w:name="_Toc131491073"/>
      <w:bookmarkStart w:id="100" w:name="_Toc152664682"/>
      <w:bookmarkStart w:id="101" w:name="_Toc152669113"/>
      <w:bookmarkStart w:id="102" w:name="_Toc171051487"/>
      <w:r>
        <w:rPr>
          <w:rStyle w:val="CharSchNo"/>
        </w:rPr>
        <w:t>Schedule 1</w:t>
      </w:r>
      <w:r>
        <w:rPr>
          <w:rStyle w:val="CharSDivNo"/>
        </w:rPr>
        <w:t> </w:t>
      </w:r>
      <w:r>
        <w:t>—</w:t>
      </w:r>
      <w:r>
        <w:rPr>
          <w:rStyle w:val="CharSDivText"/>
        </w:rPr>
        <w:t> </w:t>
      </w:r>
      <w:r>
        <w:rPr>
          <w:rStyle w:val="CharSchText"/>
        </w:rPr>
        <w:t>Supply charges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pPr>
      <w:r>
        <w:t>[bl. 3, 4(1) and 10(1)]</w:t>
      </w:r>
    </w:p>
    <w:p>
      <w:pPr>
        <w:pStyle w:val="yHeading5"/>
      </w:pPr>
      <w:bookmarkStart w:id="103" w:name="_Toc128282866"/>
      <w:bookmarkStart w:id="104" w:name="_Toc171051488"/>
      <w:r>
        <w:rPr>
          <w:rStyle w:val="CharSClsNo"/>
        </w:rPr>
        <w:t>1</w:t>
      </w:r>
      <w:r>
        <w:t>.</w:t>
      </w:r>
      <w:r>
        <w:tab/>
        <w:t>Tariff L1 (general supply — low/medium voltage tariff)</w:t>
      </w:r>
      <w:bookmarkEnd w:id="103"/>
      <w:bookmarkEnd w:id="10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05" w:name="_Toc124224962"/>
      <w:bookmarkStart w:id="106" w:name="_Toc128282867"/>
      <w:bookmarkStart w:id="107" w:name="_Toc171051489"/>
      <w:r>
        <w:rPr>
          <w:rStyle w:val="CharSClsNo"/>
        </w:rPr>
        <w:t>2</w:t>
      </w:r>
      <w:r>
        <w:t>.</w:t>
      </w:r>
      <w:r>
        <w:tab/>
        <w:t>Tariff</w:t>
      </w:r>
      <w:r>
        <w:rPr>
          <w:snapToGrid w:val="0"/>
        </w:rPr>
        <w:t xml:space="preserve"> M1 (general supply — high voltage tariff)</w:t>
      </w:r>
      <w:bookmarkEnd w:id="105"/>
      <w:bookmarkEnd w:id="106"/>
      <w:bookmarkEnd w:id="107"/>
    </w:p>
    <w:p>
      <w:pPr>
        <w:pStyle w:val="ySubsection"/>
      </w:pPr>
      <w:r>
        <w:tab/>
        <w:t>(1)</w:t>
      </w:r>
      <w:r>
        <w:tab/>
        <w:t>Tariff M1 is available for consumers supplied at 6.6kV, 11kV, 22kV or 33kV or such higher voltage as the corporation may approve.</w:t>
      </w:r>
    </w:p>
    <w:p>
      <w:pPr>
        <w:pStyle w:val="ySubsection"/>
      </w:pPr>
      <w:r>
        <w:tab/>
        <w:t>(2)</w:t>
      </w:r>
      <w:r>
        <w:tab/>
        <w:t xml:space="preserve">Tariff M1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rPr>
          <w:snapToGrid w:val="0"/>
        </w:rPr>
      </w:pPr>
      <w:bookmarkStart w:id="108" w:name="_Toc128282868"/>
      <w:bookmarkStart w:id="109" w:name="_Toc171051490"/>
      <w:r>
        <w:rPr>
          <w:rStyle w:val="CharSClsNo"/>
        </w:rPr>
        <w:t>3</w:t>
      </w:r>
      <w:r>
        <w:t>.</w:t>
      </w:r>
      <w:r>
        <w:tab/>
        <w:t>Tariff</w:t>
      </w:r>
      <w:r>
        <w:rPr>
          <w:snapToGrid w:val="0"/>
        </w:rPr>
        <w:t xml:space="preserve"> R1 (time of use tariff)</w:t>
      </w:r>
      <w:bookmarkEnd w:id="108"/>
      <w:bookmarkEnd w:id="109"/>
    </w:p>
    <w:p>
      <w:pPr>
        <w:pStyle w:val="yEdnotesubsection"/>
      </w:pPr>
      <w:r>
        <w:tab/>
        <w:t>[(1)</w:t>
      </w:r>
      <w:r>
        <w:tab/>
        <w:t>repealed]</w:t>
      </w:r>
    </w:p>
    <w:p>
      <w:pPr>
        <w:pStyle w:val="ySubsection"/>
      </w:pPr>
      <w:r>
        <w:rPr>
          <w:snapToGrid w:val="0"/>
        </w:rPr>
        <w:tab/>
        <w:t>(2)</w:t>
      </w:r>
      <w:r>
        <w:rPr>
          <w:snapToGrid w:val="0"/>
        </w:rPr>
        <w:tab/>
      </w:r>
      <w:r>
        <w:t xml:space="preserve">Tariff R1 comprises — </w:t>
      </w:r>
    </w:p>
    <w:p>
      <w:pPr>
        <w:pStyle w:val="yIndenta"/>
        <w:rPr>
          <w:snapToGrid w:val="0"/>
        </w:rPr>
      </w:pPr>
      <w:r>
        <w:rPr>
          <w:snapToGrid w:val="0"/>
        </w:rPr>
        <w:tab/>
        <w:t>(a)</w:t>
      </w:r>
      <w:r>
        <w:rPr>
          <w:snapToGrid w:val="0"/>
        </w:rPr>
        <w:tab/>
      </w:r>
      <w:r>
        <w:t>a fi</w:t>
      </w:r>
      <w:r>
        <w:rPr>
          <w:snapToGrid w:val="0"/>
        </w:rPr>
        <w:t>xed charge at the rate of $1.09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19.13 cents per unit; and</w:t>
      </w:r>
    </w:p>
    <w:p>
      <w:pPr>
        <w:pStyle w:val="yIndenti0"/>
        <w:rPr>
          <w:snapToGrid w:val="0"/>
        </w:rPr>
      </w:pPr>
      <w:r>
        <w:tab/>
        <w:t>(ii)</w:t>
      </w:r>
      <w:r>
        <w:tab/>
        <w:t>an off</w:t>
      </w:r>
      <w:r>
        <w:rPr>
          <w:snapToGrid w:val="0"/>
        </w:rPr>
        <w:t xml:space="preserve"> peak energy charge at the rate of 5.90 cents per unit.</w:t>
      </w:r>
    </w:p>
    <w:p>
      <w:pPr>
        <w:pStyle w:val="ySubsection"/>
      </w:pPr>
      <w:bookmarkStart w:id="110" w:name="_Toc128282869"/>
      <w:r>
        <w:tab/>
        <w:t>(3)</w:t>
      </w:r>
      <w:r>
        <w:tab/>
        <w:t xml:space="preserve">Tariff R1 is subject to the following conditions —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3 amended in Gazette 26 Jun 2007 p. 3014.]</w:t>
      </w:r>
    </w:p>
    <w:p>
      <w:pPr>
        <w:pStyle w:val="yHeading5"/>
      </w:pPr>
      <w:bookmarkStart w:id="111" w:name="_Toc171051491"/>
      <w:r>
        <w:rPr>
          <w:rStyle w:val="CharSClsNo"/>
        </w:rPr>
        <w:t>3A</w:t>
      </w:r>
      <w:r>
        <w:t>.</w:t>
      </w:r>
      <w:r>
        <w:tab/>
        <w:t>Tariff R3 (time of use tariff)</w:t>
      </w:r>
      <w:bookmarkEnd w:id="111"/>
    </w:p>
    <w:p>
      <w:pPr>
        <w:pStyle w:val="ySubsection"/>
      </w:pPr>
      <w:r>
        <w:tab/>
        <w:t>(1)</w:t>
      </w:r>
      <w:r>
        <w:tab/>
        <w:t xml:space="preserve">Tariff R3 comprises for each supply period specified in the first column of the Table to this subclause — </w:t>
      </w:r>
    </w:p>
    <w:p>
      <w:pPr>
        <w:pStyle w:val="yIndenta"/>
      </w:pPr>
      <w:r>
        <w:tab/>
        <w:t>(a)</w:t>
      </w:r>
      <w:r>
        <w:tab/>
        <w:t>a fixed charge at the rate per day set out opposite the supply period in the second column of that Table; and</w:t>
      </w:r>
    </w:p>
    <w:p>
      <w:pPr>
        <w:pStyle w:val="yIndenta"/>
      </w:pPr>
      <w:r>
        <w:tab/>
        <w:t>(b)</w:t>
      </w:r>
      <w:r>
        <w:tab/>
        <w:t xml:space="preserve">an energy charge consisting of — </w:t>
      </w:r>
    </w:p>
    <w:p>
      <w:pPr>
        <w:pStyle w:val="yIndenti0"/>
      </w:pPr>
      <w:r>
        <w:tab/>
        <w:t>(i)</w:t>
      </w:r>
      <w:r>
        <w:tab/>
        <w:t>an on peak energy charge at the rate per unit set out opposite the supply period in the third column of that Table; and</w:t>
      </w:r>
    </w:p>
    <w:p>
      <w:pPr>
        <w:pStyle w:val="yIndenti0"/>
      </w:pPr>
      <w:r>
        <w:tab/>
        <w:t>(ii)</w:t>
      </w:r>
      <w:r>
        <w:tab/>
        <w:t>an off peak energy charge at the rate per unit set out opposite the supply period in the fourth column of that Table.</w:t>
      </w:r>
    </w:p>
    <w:p>
      <w:pPr>
        <w:pStyle w:val="yMiscellaneousBody"/>
        <w:tabs>
          <w:tab w:val="left" w:pos="3686"/>
        </w:tabs>
        <w:spacing w:after="120"/>
        <w:rPr>
          <w:b/>
          <w:bCs/>
        </w:rPr>
      </w:pPr>
      <w:r>
        <w:rPr>
          <w:b/>
          <w:bCs/>
        </w:rPr>
        <w:tab/>
        <w:t>Table</w:t>
      </w:r>
    </w:p>
    <w:tbl>
      <w:tblPr>
        <w:tblW w:w="0" w:type="auto"/>
        <w:tblInd w:w="1526" w:type="dxa"/>
        <w:tblLayout w:type="fixed"/>
        <w:tblLook w:val="0000" w:firstRow="0" w:lastRow="0" w:firstColumn="0" w:lastColumn="0" w:noHBand="0" w:noVBand="0"/>
      </w:tblPr>
      <w:tblGrid>
        <w:gridCol w:w="1559"/>
        <w:gridCol w:w="1418"/>
        <w:gridCol w:w="1275"/>
        <w:gridCol w:w="1134"/>
      </w:tblGrid>
      <w:tr>
        <w:trPr>
          <w:cantSplit/>
          <w:tblHeader/>
        </w:trPr>
        <w:tc>
          <w:tcPr>
            <w:tcW w:w="1559" w:type="dxa"/>
            <w:vMerge w:val="restart"/>
            <w:tcBorders>
              <w:top w:val="single" w:sz="4" w:space="0" w:color="auto"/>
            </w:tcBorders>
          </w:tcPr>
          <w:p>
            <w:pPr>
              <w:pStyle w:val="yTable"/>
              <w:jc w:val="center"/>
              <w:rPr>
                <w:b/>
                <w:bCs/>
              </w:rPr>
            </w:pPr>
            <w:r>
              <w:rPr>
                <w:b/>
                <w:bCs/>
              </w:rPr>
              <w:t>Supply period</w:t>
            </w:r>
          </w:p>
        </w:tc>
        <w:tc>
          <w:tcPr>
            <w:tcW w:w="1418" w:type="dxa"/>
            <w:vMerge w:val="restart"/>
            <w:tcBorders>
              <w:top w:val="single" w:sz="4" w:space="0" w:color="auto"/>
            </w:tcBorders>
          </w:tcPr>
          <w:p>
            <w:pPr>
              <w:pStyle w:val="yTable"/>
              <w:jc w:val="center"/>
              <w:rPr>
                <w:b/>
                <w:bCs/>
              </w:rPr>
            </w:pPr>
            <w:r>
              <w:rPr>
                <w:b/>
                <w:bCs/>
              </w:rPr>
              <w:t>Fixed charge</w:t>
            </w:r>
          </w:p>
        </w:tc>
        <w:tc>
          <w:tcPr>
            <w:tcW w:w="2409" w:type="dxa"/>
            <w:gridSpan w:val="2"/>
            <w:tcBorders>
              <w:top w:val="single" w:sz="4" w:space="0" w:color="auto"/>
            </w:tcBorders>
          </w:tcPr>
          <w:p>
            <w:pPr>
              <w:pStyle w:val="yTable"/>
              <w:jc w:val="center"/>
              <w:rPr>
                <w:b/>
                <w:bCs/>
              </w:rPr>
            </w:pPr>
            <w:r>
              <w:rPr>
                <w:b/>
                <w:bCs/>
              </w:rPr>
              <w:t>Energy charge</w:t>
            </w:r>
          </w:p>
        </w:tc>
      </w:tr>
      <w:tr>
        <w:trPr>
          <w:cantSplit/>
        </w:trPr>
        <w:tc>
          <w:tcPr>
            <w:tcW w:w="1559" w:type="dxa"/>
            <w:vMerge/>
            <w:tcBorders>
              <w:bottom w:val="single" w:sz="4" w:space="0" w:color="auto"/>
            </w:tcBorders>
          </w:tcPr>
          <w:p>
            <w:pPr>
              <w:pStyle w:val="yTable"/>
              <w:jc w:val="center"/>
              <w:rPr>
                <w:b/>
                <w:bCs/>
              </w:rPr>
            </w:pPr>
          </w:p>
        </w:tc>
        <w:tc>
          <w:tcPr>
            <w:tcW w:w="1418" w:type="dxa"/>
            <w:vMerge/>
            <w:tcBorders>
              <w:bottom w:val="single" w:sz="4" w:space="0" w:color="auto"/>
            </w:tcBorders>
          </w:tcPr>
          <w:p>
            <w:pPr>
              <w:pStyle w:val="yTable"/>
              <w:jc w:val="center"/>
              <w:rPr>
                <w:b/>
                <w:bCs/>
              </w:rPr>
            </w:pPr>
          </w:p>
        </w:tc>
        <w:tc>
          <w:tcPr>
            <w:tcW w:w="1275" w:type="dxa"/>
            <w:tcBorders>
              <w:bottom w:val="single" w:sz="4" w:space="0" w:color="auto"/>
            </w:tcBorders>
          </w:tcPr>
          <w:p>
            <w:pPr>
              <w:pStyle w:val="yTable"/>
              <w:jc w:val="center"/>
              <w:rPr>
                <w:b/>
                <w:bCs/>
              </w:rPr>
            </w:pPr>
            <w:r>
              <w:rPr>
                <w:b/>
                <w:bCs/>
              </w:rPr>
              <w:t>On peak</w:t>
            </w:r>
          </w:p>
        </w:tc>
        <w:tc>
          <w:tcPr>
            <w:tcW w:w="1134" w:type="dxa"/>
            <w:tcBorders>
              <w:bottom w:val="single" w:sz="4" w:space="0" w:color="auto"/>
            </w:tcBorders>
          </w:tcPr>
          <w:p>
            <w:pPr>
              <w:pStyle w:val="yTable"/>
              <w:jc w:val="center"/>
              <w:rPr>
                <w:b/>
                <w:bCs/>
              </w:rPr>
            </w:pPr>
            <w:r>
              <w:rPr>
                <w:b/>
                <w:bCs/>
              </w:rPr>
              <w:t>Off peak</w:t>
            </w:r>
          </w:p>
        </w:tc>
      </w:tr>
      <w:tr>
        <w:trPr>
          <w:cantSplit/>
        </w:trPr>
        <w:tc>
          <w:tcPr>
            <w:tcW w:w="1559" w:type="dxa"/>
            <w:tcBorders>
              <w:top w:val="single" w:sz="4" w:space="0" w:color="auto"/>
            </w:tcBorders>
          </w:tcPr>
          <w:p>
            <w:pPr>
              <w:pStyle w:val="yTable"/>
            </w:pPr>
            <w:r>
              <w:t>1 July 2007 to 30 June 2008</w:t>
            </w:r>
          </w:p>
        </w:tc>
        <w:tc>
          <w:tcPr>
            <w:tcW w:w="1418" w:type="dxa"/>
            <w:tcBorders>
              <w:top w:val="single" w:sz="4" w:space="0" w:color="auto"/>
            </w:tcBorders>
          </w:tcPr>
          <w:p>
            <w:pPr>
              <w:pStyle w:val="yTable"/>
              <w:jc w:val="center"/>
            </w:pPr>
            <w:r>
              <w:t>$1.19</w:t>
            </w:r>
          </w:p>
        </w:tc>
        <w:tc>
          <w:tcPr>
            <w:tcW w:w="1275" w:type="dxa"/>
            <w:tcBorders>
              <w:top w:val="single" w:sz="4" w:space="0" w:color="auto"/>
            </w:tcBorders>
          </w:tcPr>
          <w:p>
            <w:pPr>
              <w:pStyle w:val="yTable"/>
              <w:jc w:val="center"/>
            </w:pPr>
            <w:r>
              <w:t>20.85 cents</w:t>
            </w:r>
          </w:p>
        </w:tc>
        <w:tc>
          <w:tcPr>
            <w:tcW w:w="1134" w:type="dxa"/>
            <w:tcBorders>
              <w:top w:val="single" w:sz="4" w:space="0" w:color="auto"/>
            </w:tcBorders>
          </w:tcPr>
          <w:p>
            <w:pPr>
              <w:pStyle w:val="yTable"/>
              <w:jc w:val="center"/>
            </w:pPr>
            <w:r>
              <w:t>6.43 cents</w:t>
            </w:r>
          </w:p>
        </w:tc>
      </w:tr>
      <w:tr>
        <w:trPr>
          <w:cantSplit/>
        </w:trPr>
        <w:tc>
          <w:tcPr>
            <w:tcW w:w="1559" w:type="dxa"/>
          </w:tcPr>
          <w:p>
            <w:pPr>
              <w:pStyle w:val="yTable"/>
            </w:pPr>
            <w:r>
              <w:t>1 July 2008 to 30 June 2009</w:t>
            </w:r>
          </w:p>
        </w:tc>
        <w:tc>
          <w:tcPr>
            <w:tcW w:w="1418" w:type="dxa"/>
          </w:tcPr>
          <w:p>
            <w:pPr>
              <w:pStyle w:val="yTable"/>
              <w:jc w:val="center"/>
            </w:pPr>
            <w:r>
              <w:t>$1.25</w:t>
            </w:r>
          </w:p>
        </w:tc>
        <w:tc>
          <w:tcPr>
            <w:tcW w:w="1275" w:type="dxa"/>
          </w:tcPr>
          <w:p>
            <w:pPr>
              <w:pStyle w:val="yTable"/>
              <w:jc w:val="center"/>
            </w:pPr>
            <w:r>
              <w:t>21.89 cents</w:t>
            </w:r>
          </w:p>
        </w:tc>
        <w:tc>
          <w:tcPr>
            <w:tcW w:w="1134" w:type="dxa"/>
          </w:tcPr>
          <w:p>
            <w:pPr>
              <w:pStyle w:val="yTable"/>
              <w:jc w:val="center"/>
            </w:pPr>
            <w:r>
              <w:t>6.75 cents</w:t>
            </w:r>
          </w:p>
        </w:tc>
      </w:tr>
      <w:tr>
        <w:trPr>
          <w:cantSplit/>
        </w:trPr>
        <w:tc>
          <w:tcPr>
            <w:tcW w:w="1559" w:type="dxa"/>
          </w:tcPr>
          <w:p>
            <w:pPr>
              <w:pStyle w:val="yTable"/>
            </w:pPr>
            <w:r>
              <w:t>1 July 2009 to 30 June 2010</w:t>
            </w:r>
          </w:p>
        </w:tc>
        <w:tc>
          <w:tcPr>
            <w:tcW w:w="1418" w:type="dxa"/>
          </w:tcPr>
          <w:p>
            <w:pPr>
              <w:pStyle w:val="yTable"/>
              <w:jc w:val="center"/>
            </w:pPr>
            <w:r>
              <w:t>$1.31</w:t>
            </w:r>
          </w:p>
        </w:tc>
        <w:tc>
          <w:tcPr>
            <w:tcW w:w="1275" w:type="dxa"/>
          </w:tcPr>
          <w:p>
            <w:pPr>
              <w:pStyle w:val="yTable"/>
              <w:jc w:val="center"/>
            </w:pPr>
            <w:r>
              <w:t>22.99 cents</w:t>
            </w:r>
          </w:p>
        </w:tc>
        <w:tc>
          <w:tcPr>
            <w:tcW w:w="1134" w:type="dxa"/>
          </w:tcPr>
          <w:p>
            <w:pPr>
              <w:pStyle w:val="yTable"/>
              <w:jc w:val="center"/>
            </w:pPr>
            <w:r>
              <w:t>7.09 cents</w:t>
            </w:r>
          </w:p>
        </w:tc>
      </w:tr>
      <w:tr>
        <w:trPr>
          <w:cantSplit/>
        </w:trPr>
        <w:tc>
          <w:tcPr>
            <w:tcW w:w="1559" w:type="dxa"/>
          </w:tcPr>
          <w:p>
            <w:pPr>
              <w:pStyle w:val="yTable"/>
            </w:pPr>
            <w:r>
              <w:t>1 July 2010 to 30 June 2011</w:t>
            </w:r>
          </w:p>
        </w:tc>
        <w:tc>
          <w:tcPr>
            <w:tcW w:w="1418" w:type="dxa"/>
          </w:tcPr>
          <w:p>
            <w:pPr>
              <w:pStyle w:val="yTable"/>
              <w:jc w:val="center"/>
            </w:pPr>
            <w:r>
              <w:t>$1.38</w:t>
            </w:r>
          </w:p>
        </w:tc>
        <w:tc>
          <w:tcPr>
            <w:tcW w:w="1275" w:type="dxa"/>
          </w:tcPr>
          <w:p>
            <w:pPr>
              <w:pStyle w:val="yTable"/>
              <w:jc w:val="center"/>
            </w:pPr>
            <w:r>
              <w:t>24.14 cents</w:t>
            </w:r>
          </w:p>
        </w:tc>
        <w:tc>
          <w:tcPr>
            <w:tcW w:w="1134" w:type="dxa"/>
          </w:tcPr>
          <w:p>
            <w:pPr>
              <w:pStyle w:val="yTable"/>
              <w:jc w:val="center"/>
            </w:pPr>
            <w:r>
              <w:t>7.44 cents</w:t>
            </w:r>
          </w:p>
        </w:tc>
      </w:tr>
      <w:tr>
        <w:trPr>
          <w:cantSplit/>
        </w:trPr>
        <w:tc>
          <w:tcPr>
            <w:tcW w:w="1559" w:type="dxa"/>
            <w:tcBorders>
              <w:bottom w:val="single" w:sz="4" w:space="0" w:color="auto"/>
            </w:tcBorders>
          </w:tcPr>
          <w:p>
            <w:pPr>
              <w:pStyle w:val="yTable"/>
            </w:pPr>
            <w:r>
              <w:t>1 July 2011 to 30 June 2012</w:t>
            </w:r>
          </w:p>
        </w:tc>
        <w:tc>
          <w:tcPr>
            <w:tcW w:w="1418" w:type="dxa"/>
            <w:tcBorders>
              <w:bottom w:val="single" w:sz="4" w:space="0" w:color="auto"/>
            </w:tcBorders>
          </w:tcPr>
          <w:p>
            <w:pPr>
              <w:pStyle w:val="yTable"/>
              <w:jc w:val="center"/>
            </w:pPr>
            <w:r>
              <w:t>$1.44</w:t>
            </w:r>
          </w:p>
        </w:tc>
        <w:tc>
          <w:tcPr>
            <w:tcW w:w="1275" w:type="dxa"/>
            <w:tcBorders>
              <w:bottom w:val="single" w:sz="4" w:space="0" w:color="auto"/>
            </w:tcBorders>
          </w:tcPr>
          <w:p>
            <w:pPr>
              <w:pStyle w:val="yTable"/>
              <w:jc w:val="center"/>
            </w:pPr>
            <w:r>
              <w:t>25.35 cents</w:t>
            </w:r>
          </w:p>
        </w:tc>
        <w:tc>
          <w:tcPr>
            <w:tcW w:w="1134" w:type="dxa"/>
            <w:tcBorders>
              <w:bottom w:val="single" w:sz="4" w:space="0" w:color="auto"/>
            </w:tcBorders>
          </w:tcPr>
          <w:p>
            <w:pPr>
              <w:pStyle w:val="yTable"/>
              <w:jc w:val="center"/>
            </w:pPr>
            <w:r>
              <w:t>7.82 cents</w:t>
            </w:r>
          </w:p>
        </w:tc>
      </w:tr>
    </w:tbl>
    <w:p>
      <w:pPr>
        <w:pStyle w:val="ySubsection"/>
      </w:pPr>
      <w:r>
        <w:tab/>
        <w:t>(2)</w:t>
      </w:r>
      <w:r>
        <w:tab/>
        <w:t xml:space="preserve">Tariff R3 is subject to the following conditions —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3A inserted in Gazette 26 Jun 2007 p. 3014-15.]</w:t>
      </w:r>
    </w:p>
    <w:p>
      <w:pPr>
        <w:pStyle w:val="yHeading5"/>
        <w:rPr>
          <w:snapToGrid w:val="0"/>
        </w:rPr>
      </w:pPr>
      <w:bookmarkStart w:id="112" w:name="_Toc171051492"/>
      <w:r>
        <w:rPr>
          <w:rStyle w:val="CharSClsNo"/>
        </w:rPr>
        <w:t>4</w:t>
      </w:r>
      <w:r>
        <w:t>.</w:t>
      </w:r>
      <w:r>
        <w:tab/>
        <w:t xml:space="preserve">Tariff </w:t>
      </w:r>
      <w:r>
        <w:rPr>
          <w:snapToGrid w:val="0"/>
        </w:rPr>
        <w:t>S1 (low/medium voltage time based demand and energy Tariff)</w:t>
      </w:r>
      <w:bookmarkEnd w:id="110"/>
      <w:bookmarkEnd w:id="112"/>
    </w:p>
    <w:p>
      <w:pPr>
        <w:pStyle w:val="ySubsection"/>
        <w:rPr>
          <w:snapToGrid w:val="0"/>
        </w:rPr>
      </w:pPr>
      <w:r>
        <w:rPr>
          <w:snapToGrid w:val="0"/>
        </w:rPr>
        <w:tab/>
        <w:t>(1)</w:t>
      </w:r>
      <w:r>
        <w:rPr>
          <w:snapToGrid w:val="0"/>
        </w:rPr>
        <w:tab/>
      </w:r>
      <w:r>
        <w:t>Tariff S1</w:t>
      </w:r>
      <w:r>
        <w:rPr>
          <w:snapToGrid w:val="0"/>
        </w:rPr>
        <w:t xml:space="preserve"> is available for low/medium voltage supply.</w:t>
      </w:r>
    </w:p>
    <w:p>
      <w:pPr>
        <w:pStyle w:val="ySubsection"/>
      </w:pPr>
      <w:r>
        <w:tab/>
        <w:t>(2)</w:t>
      </w:r>
      <w:r>
        <w:tab/>
        <w:t xml:space="preserve">Tariff S1 comprises for each supply period specified in the first column of the Table to this subclause — </w:t>
      </w:r>
    </w:p>
    <w:p>
      <w:pPr>
        <w:pStyle w:val="yIndenta"/>
      </w:pPr>
      <w:r>
        <w:tab/>
        <w:t>(a)</w:t>
      </w:r>
      <w:r>
        <w:tab/>
        <w:t>a minimum charge at the rate per day set out opposite the supply period in the second column of that Table; and</w:t>
      </w:r>
    </w:p>
    <w:p>
      <w:pPr>
        <w:pStyle w:val="yIndenta"/>
      </w:pPr>
      <w:r>
        <w:tab/>
        <w:t>(b)</w:t>
      </w:r>
      <w:r>
        <w:tab/>
        <w:t xml:space="preserve">a demand charge at the rate per day set out opposite the supply period in the third column of that Table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per unit set out opposite the supply period in the fourth column of that Table; and</w:t>
      </w:r>
    </w:p>
    <w:p>
      <w:pPr>
        <w:pStyle w:val="yIndenti0"/>
      </w:pPr>
      <w:r>
        <w:tab/>
        <w:t>(ii)</w:t>
      </w:r>
      <w:r>
        <w:tab/>
        <w:t>an off peak energy charge at the rate per unit set out opposite the supply period in the fifth column of that Table.</w:t>
      </w:r>
    </w:p>
    <w:p>
      <w:pPr>
        <w:pStyle w:val="yMiscellaneousBody"/>
        <w:tabs>
          <w:tab w:val="left" w:pos="3686"/>
        </w:tabs>
        <w:spacing w:after="120"/>
        <w:rPr>
          <w:b/>
          <w:bCs/>
        </w:rPr>
      </w:pPr>
      <w:r>
        <w:rPr>
          <w:b/>
          <w:bCs/>
        </w:rPr>
        <w:tab/>
        <w:t>Table</w:t>
      </w:r>
    </w:p>
    <w:tbl>
      <w:tblPr>
        <w:tblW w:w="0" w:type="auto"/>
        <w:tblInd w:w="1384" w:type="dxa"/>
        <w:tblLayout w:type="fixed"/>
        <w:tblLook w:val="0000" w:firstRow="0" w:lastRow="0" w:firstColumn="0" w:lastColumn="0" w:noHBand="0" w:noVBand="0"/>
      </w:tblPr>
      <w:tblGrid>
        <w:gridCol w:w="1559"/>
        <w:gridCol w:w="1276"/>
        <w:gridCol w:w="1134"/>
        <w:gridCol w:w="992"/>
        <w:gridCol w:w="851"/>
      </w:tblGrid>
      <w:tr>
        <w:trPr>
          <w:cantSplit/>
          <w:tblHeader/>
        </w:trPr>
        <w:tc>
          <w:tcPr>
            <w:tcW w:w="1559" w:type="dxa"/>
            <w:vMerge w:val="restart"/>
            <w:tcBorders>
              <w:top w:val="single" w:sz="4" w:space="0" w:color="auto"/>
            </w:tcBorders>
          </w:tcPr>
          <w:p>
            <w:pPr>
              <w:pStyle w:val="yTable"/>
              <w:jc w:val="center"/>
              <w:rPr>
                <w:b/>
                <w:bCs/>
              </w:rPr>
            </w:pPr>
            <w:r>
              <w:rPr>
                <w:b/>
                <w:bCs/>
              </w:rPr>
              <w:t>Supply period</w:t>
            </w:r>
          </w:p>
        </w:tc>
        <w:tc>
          <w:tcPr>
            <w:tcW w:w="1276" w:type="dxa"/>
            <w:vMerge w:val="restart"/>
            <w:tcBorders>
              <w:top w:val="single" w:sz="4" w:space="0" w:color="auto"/>
            </w:tcBorders>
          </w:tcPr>
          <w:p>
            <w:pPr>
              <w:pStyle w:val="yTable"/>
              <w:jc w:val="center"/>
              <w:rPr>
                <w:b/>
                <w:bCs/>
              </w:rPr>
            </w:pPr>
            <w:r>
              <w:rPr>
                <w:b/>
                <w:bCs/>
              </w:rPr>
              <w:t>Minimum charge</w:t>
            </w:r>
          </w:p>
        </w:tc>
        <w:tc>
          <w:tcPr>
            <w:tcW w:w="1134" w:type="dxa"/>
            <w:vMerge w:val="restart"/>
            <w:tcBorders>
              <w:top w:val="single" w:sz="4" w:space="0" w:color="auto"/>
            </w:tcBorders>
          </w:tcPr>
          <w:p>
            <w:pPr>
              <w:pStyle w:val="yTable"/>
              <w:jc w:val="center"/>
              <w:rPr>
                <w:b/>
                <w:bCs/>
              </w:rPr>
            </w:pPr>
            <w:r>
              <w:rPr>
                <w:b/>
                <w:bCs/>
              </w:rPr>
              <w:t>Demand charge</w:t>
            </w:r>
          </w:p>
        </w:tc>
        <w:tc>
          <w:tcPr>
            <w:tcW w:w="1843" w:type="dxa"/>
            <w:gridSpan w:val="2"/>
            <w:tcBorders>
              <w:top w:val="single" w:sz="4" w:space="0" w:color="auto"/>
            </w:tcBorders>
          </w:tcPr>
          <w:p>
            <w:pPr>
              <w:pStyle w:val="yTable"/>
              <w:jc w:val="center"/>
              <w:rPr>
                <w:b/>
                <w:bCs/>
              </w:rPr>
            </w:pPr>
            <w:r>
              <w:rPr>
                <w:b/>
                <w:bCs/>
              </w:rPr>
              <w:t>Energy charge</w:t>
            </w:r>
          </w:p>
        </w:tc>
      </w:tr>
      <w:tr>
        <w:trPr>
          <w:cantSplit/>
          <w:tblHeader/>
        </w:trPr>
        <w:tc>
          <w:tcPr>
            <w:tcW w:w="1559" w:type="dxa"/>
            <w:vMerge/>
            <w:tcBorders>
              <w:bottom w:val="single" w:sz="4" w:space="0" w:color="auto"/>
            </w:tcBorders>
          </w:tcPr>
          <w:p>
            <w:pPr>
              <w:pStyle w:val="yTable"/>
              <w:jc w:val="center"/>
              <w:rPr>
                <w:b/>
                <w:bCs/>
              </w:rPr>
            </w:pPr>
          </w:p>
        </w:tc>
        <w:tc>
          <w:tcPr>
            <w:tcW w:w="1276" w:type="dxa"/>
            <w:vMerge/>
            <w:tcBorders>
              <w:bottom w:val="single" w:sz="4" w:space="0" w:color="auto"/>
            </w:tcBorders>
          </w:tcPr>
          <w:p>
            <w:pPr>
              <w:pStyle w:val="yTable"/>
              <w:jc w:val="center"/>
              <w:rPr>
                <w:b/>
                <w:bCs/>
              </w:rPr>
            </w:pPr>
          </w:p>
        </w:tc>
        <w:tc>
          <w:tcPr>
            <w:tcW w:w="1134" w:type="dxa"/>
            <w:vMerge/>
            <w:tcBorders>
              <w:bottom w:val="single" w:sz="4" w:space="0" w:color="auto"/>
            </w:tcBorders>
          </w:tcPr>
          <w:p>
            <w:pPr>
              <w:pStyle w:val="yTable"/>
              <w:jc w:val="center"/>
              <w:rPr>
                <w:b/>
                <w:bCs/>
              </w:rPr>
            </w:pPr>
          </w:p>
        </w:tc>
        <w:tc>
          <w:tcPr>
            <w:tcW w:w="992" w:type="dxa"/>
            <w:tcBorders>
              <w:bottom w:val="single" w:sz="4" w:space="0" w:color="auto"/>
            </w:tcBorders>
          </w:tcPr>
          <w:p>
            <w:pPr>
              <w:pStyle w:val="yTable"/>
              <w:jc w:val="center"/>
              <w:rPr>
                <w:b/>
                <w:bCs/>
              </w:rPr>
            </w:pPr>
            <w:r>
              <w:rPr>
                <w:b/>
                <w:bCs/>
              </w:rPr>
              <w:t>On peak</w:t>
            </w:r>
          </w:p>
        </w:tc>
        <w:tc>
          <w:tcPr>
            <w:tcW w:w="851" w:type="dxa"/>
            <w:tcBorders>
              <w:bottom w:val="single" w:sz="4" w:space="0" w:color="auto"/>
            </w:tcBorders>
          </w:tcPr>
          <w:p>
            <w:pPr>
              <w:pStyle w:val="yTable"/>
              <w:jc w:val="center"/>
              <w:rPr>
                <w:b/>
                <w:bCs/>
              </w:rPr>
            </w:pPr>
            <w:r>
              <w:rPr>
                <w:b/>
                <w:bCs/>
              </w:rPr>
              <w:t>Off peak</w:t>
            </w:r>
          </w:p>
        </w:tc>
      </w:tr>
      <w:tr>
        <w:trPr>
          <w:cantSplit/>
        </w:trPr>
        <w:tc>
          <w:tcPr>
            <w:tcW w:w="1559" w:type="dxa"/>
            <w:tcBorders>
              <w:top w:val="single" w:sz="4" w:space="0" w:color="auto"/>
            </w:tcBorders>
          </w:tcPr>
          <w:p>
            <w:pPr>
              <w:pStyle w:val="yTable"/>
            </w:pPr>
            <w:r>
              <w:t>1 July 2007 to 30 June 2008</w:t>
            </w:r>
          </w:p>
        </w:tc>
        <w:tc>
          <w:tcPr>
            <w:tcW w:w="1276" w:type="dxa"/>
            <w:tcBorders>
              <w:top w:val="single" w:sz="4" w:space="0" w:color="auto"/>
            </w:tcBorders>
          </w:tcPr>
          <w:p>
            <w:pPr>
              <w:pStyle w:val="yTable"/>
              <w:jc w:val="center"/>
            </w:pPr>
            <w:r>
              <w:t>$263.96</w:t>
            </w:r>
          </w:p>
        </w:tc>
        <w:tc>
          <w:tcPr>
            <w:tcW w:w="1134" w:type="dxa"/>
            <w:tcBorders>
              <w:top w:val="single" w:sz="4" w:space="0" w:color="auto"/>
            </w:tcBorders>
          </w:tcPr>
          <w:p>
            <w:pPr>
              <w:pStyle w:val="yTable"/>
              <w:jc w:val="center"/>
            </w:pPr>
            <w:r>
              <w:t>67.06 cents</w:t>
            </w:r>
          </w:p>
        </w:tc>
        <w:tc>
          <w:tcPr>
            <w:tcW w:w="992" w:type="dxa"/>
            <w:tcBorders>
              <w:top w:val="single" w:sz="4" w:space="0" w:color="auto"/>
            </w:tcBorders>
          </w:tcPr>
          <w:p>
            <w:pPr>
              <w:pStyle w:val="yTable"/>
              <w:jc w:val="center"/>
            </w:pPr>
            <w:r>
              <w:t>9.61 cents</w:t>
            </w:r>
          </w:p>
        </w:tc>
        <w:tc>
          <w:tcPr>
            <w:tcW w:w="851" w:type="dxa"/>
            <w:tcBorders>
              <w:top w:val="single" w:sz="4" w:space="0" w:color="auto"/>
            </w:tcBorders>
          </w:tcPr>
          <w:p>
            <w:pPr>
              <w:pStyle w:val="yTable"/>
              <w:jc w:val="center"/>
            </w:pPr>
            <w:r>
              <w:t>6.08 cents</w:t>
            </w:r>
          </w:p>
        </w:tc>
      </w:tr>
      <w:tr>
        <w:trPr>
          <w:cantSplit/>
        </w:trPr>
        <w:tc>
          <w:tcPr>
            <w:tcW w:w="1559" w:type="dxa"/>
          </w:tcPr>
          <w:p>
            <w:pPr>
              <w:pStyle w:val="yTable"/>
            </w:pPr>
            <w:r>
              <w:t>1 July 2008 to 30 June 2009</w:t>
            </w:r>
          </w:p>
        </w:tc>
        <w:tc>
          <w:tcPr>
            <w:tcW w:w="1276" w:type="dxa"/>
          </w:tcPr>
          <w:p>
            <w:pPr>
              <w:pStyle w:val="yTable"/>
              <w:jc w:val="center"/>
            </w:pPr>
            <w:r>
              <w:t>$277.16</w:t>
            </w:r>
          </w:p>
        </w:tc>
        <w:tc>
          <w:tcPr>
            <w:tcW w:w="1134" w:type="dxa"/>
          </w:tcPr>
          <w:p>
            <w:pPr>
              <w:pStyle w:val="yTable"/>
              <w:jc w:val="center"/>
            </w:pPr>
            <w:r>
              <w:t>70.41 cents</w:t>
            </w:r>
          </w:p>
        </w:tc>
        <w:tc>
          <w:tcPr>
            <w:tcW w:w="992" w:type="dxa"/>
          </w:tcPr>
          <w:p>
            <w:pPr>
              <w:pStyle w:val="yTable"/>
              <w:jc w:val="center"/>
            </w:pPr>
            <w:r>
              <w:t>10.09 cents</w:t>
            </w:r>
          </w:p>
        </w:tc>
        <w:tc>
          <w:tcPr>
            <w:tcW w:w="851" w:type="dxa"/>
          </w:tcPr>
          <w:p>
            <w:pPr>
              <w:pStyle w:val="yTable"/>
              <w:jc w:val="center"/>
            </w:pPr>
            <w:r>
              <w:t>6.39 cents</w:t>
            </w:r>
          </w:p>
        </w:tc>
      </w:tr>
      <w:tr>
        <w:trPr>
          <w:cantSplit/>
        </w:trPr>
        <w:tc>
          <w:tcPr>
            <w:tcW w:w="1559" w:type="dxa"/>
          </w:tcPr>
          <w:p>
            <w:pPr>
              <w:pStyle w:val="yTable"/>
            </w:pPr>
            <w:r>
              <w:t>1 July 2009 to 30 June 2010</w:t>
            </w:r>
          </w:p>
        </w:tc>
        <w:tc>
          <w:tcPr>
            <w:tcW w:w="1276" w:type="dxa"/>
          </w:tcPr>
          <w:p>
            <w:pPr>
              <w:pStyle w:val="yTable"/>
              <w:jc w:val="center"/>
            </w:pPr>
            <w:r>
              <w:t>$291.02</w:t>
            </w:r>
          </w:p>
        </w:tc>
        <w:tc>
          <w:tcPr>
            <w:tcW w:w="1134" w:type="dxa"/>
          </w:tcPr>
          <w:p>
            <w:pPr>
              <w:pStyle w:val="yTable"/>
              <w:jc w:val="center"/>
            </w:pPr>
            <w:r>
              <w:t>73.93 cents</w:t>
            </w:r>
          </w:p>
        </w:tc>
        <w:tc>
          <w:tcPr>
            <w:tcW w:w="992" w:type="dxa"/>
          </w:tcPr>
          <w:p>
            <w:pPr>
              <w:pStyle w:val="yTable"/>
              <w:jc w:val="center"/>
            </w:pPr>
            <w:r>
              <w:t>10.60 cents</w:t>
            </w:r>
          </w:p>
        </w:tc>
        <w:tc>
          <w:tcPr>
            <w:tcW w:w="851" w:type="dxa"/>
          </w:tcPr>
          <w:p>
            <w:pPr>
              <w:pStyle w:val="yTable"/>
              <w:jc w:val="center"/>
            </w:pPr>
            <w:r>
              <w:t>6.71 cents</w:t>
            </w:r>
          </w:p>
        </w:tc>
      </w:tr>
      <w:tr>
        <w:trPr>
          <w:cantSplit/>
        </w:trPr>
        <w:tc>
          <w:tcPr>
            <w:tcW w:w="1559" w:type="dxa"/>
          </w:tcPr>
          <w:p>
            <w:pPr>
              <w:pStyle w:val="yTable"/>
            </w:pPr>
            <w:r>
              <w:t>1 July 2010 to 30 June 2011</w:t>
            </w:r>
          </w:p>
        </w:tc>
        <w:tc>
          <w:tcPr>
            <w:tcW w:w="1276" w:type="dxa"/>
          </w:tcPr>
          <w:p>
            <w:pPr>
              <w:pStyle w:val="yTable"/>
              <w:jc w:val="center"/>
            </w:pPr>
            <w:r>
              <w:t>$305.57</w:t>
            </w:r>
          </w:p>
        </w:tc>
        <w:tc>
          <w:tcPr>
            <w:tcW w:w="1134" w:type="dxa"/>
          </w:tcPr>
          <w:p>
            <w:pPr>
              <w:pStyle w:val="yTable"/>
              <w:jc w:val="center"/>
            </w:pPr>
            <w:r>
              <w:t>77.63 cents</w:t>
            </w:r>
          </w:p>
        </w:tc>
        <w:tc>
          <w:tcPr>
            <w:tcW w:w="992" w:type="dxa"/>
          </w:tcPr>
          <w:p>
            <w:pPr>
              <w:pStyle w:val="yTable"/>
              <w:jc w:val="center"/>
            </w:pPr>
            <w:r>
              <w:t>11.13 cents</w:t>
            </w:r>
          </w:p>
        </w:tc>
        <w:tc>
          <w:tcPr>
            <w:tcW w:w="851" w:type="dxa"/>
          </w:tcPr>
          <w:p>
            <w:pPr>
              <w:pStyle w:val="yTable"/>
              <w:jc w:val="center"/>
            </w:pPr>
            <w:r>
              <w:t>7.04 cents</w:t>
            </w:r>
          </w:p>
        </w:tc>
      </w:tr>
      <w:tr>
        <w:trPr>
          <w:cantSplit/>
        </w:trPr>
        <w:tc>
          <w:tcPr>
            <w:tcW w:w="1559" w:type="dxa"/>
            <w:tcBorders>
              <w:bottom w:val="single" w:sz="4" w:space="0" w:color="auto"/>
            </w:tcBorders>
          </w:tcPr>
          <w:p>
            <w:pPr>
              <w:pStyle w:val="yTable"/>
            </w:pPr>
            <w:r>
              <w:t>1 July 2011 to 30 June 2012</w:t>
            </w:r>
          </w:p>
        </w:tc>
        <w:tc>
          <w:tcPr>
            <w:tcW w:w="1276" w:type="dxa"/>
            <w:tcBorders>
              <w:bottom w:val="single" w:sz="4" w:space="0" w:color="auto"/>
            </w:tcBorders>
          </w:tcPr>
          <w:p>
            <w:pPr>
              <w:pStyle w:val="yTable"/>
              <w:jc w:val="center"/>
            </w:pPr>
            <w:r>
              <w:t>$320.84</w:t>
            </w:r>
          </w:p>
        </w:tc>
        <w:tc>
          <w:tcPr>
            <w:tcW w:w="1134" w:type="dxa"/>
            <w:tcBorders>
              <w:bottom w:val="single" w:sz="4" w:space="0" w:color="auto"/>
            </w:tcBorders>
          </w:tcPr>
          <w:p>
            <w:pPr>
              <w:pStyle w:val="yTable"/>
              <w:jc w:val="center"/>
            </w:pPr>
            <w:r>
              <w:t>81.51 cents</w:t>
            </w:r>
          </w:p>
        </w:tc>
        <w:tc>
          <w:tcPr>
            <w:tcW w:w="992" w:type="dxa"/>
            <w:tcBorders>
              <w:bottom w:val="single" w:sz="4" w:space="0" w:color="auto"/>
            </w:tcBorders>
          </w:tcPr>
          <w:p>
            <w:pPr>
              <w:pStyle w:val="yTable"/>
              <w:jc w:val="center"/>
            </w:pPr>
            <w:r>
              <w:t>11.69 cents</w:t>
            </w:r>
          </w:p>
        </w:tc>
        <w:tc>
          <w:tcPr>
            <w:tcW w:w="851" w:type="dxa"/>
            <w:tcBorders>
              <w:bottom w:val="single" w:sz="4" w:space="0" w:color="auto"/>
            </w:tcBorders>
          </w:tcPr>
          <w:p>
            <w:pPr>
              <w:pStyle w:val="yTable"/>
              <w:jc w:val="center"/>
            </w:pPr>
            <w:r>
              <w:t>7.39 cents</w:t>
            </w:r>
          </w:p>
        </w:tc>
      </w:tr>
    </w:tbl>
    <w:p>
      <w:pPr>
        <w:pStyle w:val="ySubsection"/>
        <w:rPr>
          <w:snapToGrid w:val="0"/>
        </w:rPr>
      </w:pPr>
      <w:r>
        <w:rPr>
          <w:snapToGrid w:val="0"/>
        </w:rPr>
        <w:tab/>
        <w:t>(3)</w:t>
      </w:r>
      <w:r>
        <w:rPr>
          <w:snapToGrid w:val="0"/>
        </w:rPr>
        <w:tab/>
        <w:t xml:space="preserve">Tariff S1 is subject to the following conditions — </w:t>
      </w:r>
    </w:p>
    <w:p>
      <w:pPr>
        <w:pStyle w:val="yIndenta"/>
        <w:rPr>
          <w:snapToGrid w:val="0"/>
        </w:rPr>
      </w:pPr>
      <w:r>
        <w:rPr>
          <w:snapToGrid w:val="0"/>
        </w:rPr>
        <w:tab/>
        <w:t>(a)</w:t>
      </w:r>
      <w:r>
        <w:rPr>
          <w:snapToGrid w:val="0"/>
        </w:rPr>
        <w:tab/>
      </w:r>
      <w:r>
        <w:t>the c</w:t>
      </w:r>
      <w:r>
        <w:rPr>
          <w:snapToGrid w:val="0"/>
        </w:rPr>
        <w:t>onsumer must 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Indenta"/>
        <w:rPr>
          <w:snapToGrid w:val="0"/>
        </w:rPr>
      </w:pPr>
      <w:r>
        <w:tab/>
        <w:t>(c)</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bookmarkStart w:id="113" w:name="_Toc128282870"/>
      <w:r>
        <w:tab/>
        <w:t>[Clause 4 amended in Gazette 26 Jun 2007 p. 3015-16.]</w:t>
      </w:r>
    </w:p>
    <w:p>
      <w:pPr>
        <w:pStyle w:val="yHeading5"/>
        <w:rPr>
          <w:b w:val="0"/>
          <w:i/>
          <w:snapToGrid w:val="0"/>
        </w:rPr>
      </w:pPr>
      <w:bookmarkStart w:id="114" w:name="_Toc171051493"/>
      <w:r>
        <w:rPr>
          <w:rStyle w:val="CharSClsNo"/>
        </w:rPr>
        <w:t>5</w:t>
      </w:r>
      <w:r>
        <w:t>.</w:t>
      </w:r>
      <w:r>
        <w:tab/>
        <w:t>Tariff</w:t>
      </w:r>
      <w:r>
        <w:rPr>
          <w:snapToGrid w:val="0"/>
        </w:rPr>
        <w:t xml:space="preserve"> T1 (high voltage time based demand and energy tariff)</w:t>
      </w:r>
      <w:bookmarkEnd w:id="113"/>
      <w:bookmarkEnd w:id="114"/>
    </w:p>
    <w:p>
      <w:pPr>
        <w:pStyle w:val="ySubsection"/>
        <w:rPr>
          <w:snapToGrid w:val="0"/>
        </w:rPr>
      </w:pPr>
      <w:r>
        <w:rPr>
          <w:snapToGrid w:val="0"/>
        </w:rPr>
        <w:tab/>
        <w:t>(1)</w:t>
      </w:r>
      <w:r>
        <w:rPr>
          <w:snapToGrid w:val="0"/>
        </w:rPr>
        <w:tab/>
        <w:t>Tariff T1 is available to consumers supplied at 6.6kV, 11kV, 22kV or 33kV or such higher voltage as the c</w:t>
      </w:r>
      <w:r>
        <w:t>orporation</w:t>
      </w:r>
      <w:r>
        <w:rPr>
          <w:snapToGrid w:val="0"/>
        </w:rPr>
        <w:t xml:space="preserve"> may approve.</w:t>
      </w:r>
    </w:p>
    <w:p>
      <w:pPr>
        <w:pStyle w:val="ySubsection"/>
      </w:pPr>
      <w:r>
        <w:tab/>
        <w:t>(2)</w:t>
      </w:r>
      <w:r>
        <w:tab/>
        <w:t xml:space="preserve">Tariff T1 comprises for each supply period specified in the first column of the Table to this subclause — </w:t>
      </w:r>
    </w:p>
    <w:p>
      <w:pPr>
        <w:pStyle w:val="yIndenta"/>
      </w:pPr>
      <w:r>
        <w:tab/>
        <w:t>(a)</w:t>
      </w:r>
      <w:r>
        <w:tab/>
        <w:t>a minimum charge at the rate per day set out opposite the supply period in the second column of that Table; and</w:t>
      </w:r>
    </w:p>
    <w:p>
      <w:pPr>
        <w:pStyle w:val="yIndenta"/>
      </w:pPr>
      <w:r>
        <w:tab/>
        <w:t>(b)</w:t>
      </w:r>
      <w:r>
        <w:tab/>
        <w:t xml:space="preserve">a demand charge at the rate per day set out opposite the supply period in the third column of that Table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per unit set out opposite the supply period in the fourth column of that Table; and</w:t>
      </w:r>
    </w:p>
    <w:p>
      <w:pPr>
        <w:pStyle w:val="yIndenti0"/>
      </w:pPr>
      <w:r>
        <w:tab/>
        <w:t>(ii)</w:t>
      </w:r>
      <w:r>
        <w:tab/>
        <w:t>an off peak energy charge at the rate per unit set out opposite the supply period in the fifth column of that Table.</w:t>
      </w:r>
    </w:p>
    <w:p>
      <w:pPr>
        <w:pStyle w:val="yMiscellaneousBody"/>
        <w:tabs>
          <w:tab w:val="left" w:pos="3686"/>
        </w:tabs>
        <w:spacing w:after="120"/>
        <w:rPr>
          <w:b/>
          <w:bCs/>
        </w:rPr>
      </w:pPr>
      <w:r>
        <w:tab/>
      </w:r>
      <w:r>
        <w:rPr>
          <w:b/>
          <w:bCs/>
        </w:rPr>
        <w:t>Table</w:t>
      </w:r>
    </w:p>
    <w:tbl>
      <w:tblPr>
        <w:tblW w:w="0" w:type="auto"/>
        <w:tblInd w:w="1384" w:type="dxa"/>
        <w:tblLayout w:type="fixed"/>
        <w:tblLook w:val="0000" w:firstRow="0" w:lastRow="0" w:firstColumn="0" w:lastColumn="0" w:noHBand="0" w:noVBand="0"/>
      </w:tblPr>
      <w:tblGrid>
        <w:gridCol w:w="1559"/>
        <w:gridCol w:w="1276"/>
        <w:gridCol w:w="1134"/>
        <w:gridCol w:w="992"/>
        <w:gridCol w:w="851"/>
      </w:tblGrid>
      <w:tr>
        <w:trPr>
          <w:cantSplit/>
          <w:tblHeader/>
        </w:trPr>
        <w:tc>
          <w:tcPr>
            <w:tcW w:w="1559" w:type="dxa"/>
            <w:vMerge w:val="restart"/>
            <w:tcBorders>
              <w:top w:val="single" w:sz="4" w:space="0" w:color="auto"/>
            </w:tcBorders>
          </w:tcPr>
          <w:p>
            <w:pPr>
              <w:pStyle w:val="yTable"/>
              <w:jc w:val="center"/>
              <w:rPr>
                <w:b/>
                <w:bCs/>
              </w:rPr>
            </w:pPr>
            <w:r>
              <w:rPr>
                <w:b/>
                <w:bCs/>
              </w:rPr>
              <w:t>Supply period</w:t>
            </w:r>
          </w:p>
        </w:tc>
        <w:tc>
          <w:tcPr>
            <w:tcW w:w="1276" w:type="dxa"/>
            <w:vMerge w:val="restart"/>
            <w:tcBorders>
              <w:top w:val="single" w:sz="4" w:space="0" w:color="auto"/>
            </w:tcBorders>
          </w:tcPr>
          <w:p>
            <w:pPr>
              <w:pStyle w:val="yTable"/>
              <w:jc w:val="center"/>
              <w:rPr>
                <w:b/>
                <w:bCs/>
              </w:rPr>
            </w:pPr>
            <w:r>
              <w:rPr>
                <w:b/>
                <w:bCs/>
              </w:rPr>
              <w:t>Minimum charge</w:t>
            </w:r>
          </w:p>
        </w:tc>
        <w:tc>
          <w:tcPr>
            <w:tcW w:w="1134" w:type="dxa"/>
            <w:vMerge w:val="restart"/>
            <w:tcBorders>
              <w:top w:val="single" w:sz="4" w:space="0" w:color="auto"/>
            </w:tcBorders>
          </w:tcPr>
          <w:p>
            <w:pPr>
              <w:pStyle w:val="yTable"/>
              <w:jc w:val="center"/>
              <w:rPr>
                <w:b/>
                <w:bCs/>
              </w:rPr>
            </w:pPr>
            <w:r>
              <w:rPr>
                <w:b/>
                <w:bCs/>
              </w:rPr>
              <w:t>Demand charge</w:t>
            </w:r>
          </w:p>
        </w:tc>
        <w:tc>
          <w:tcPr>
            <w:tcW w:w="1843" w:type="dxa"/>
            <w:gridSpan w:val="2"/>
            <w:tcBorders>
              <w:top w:val="single" w:sz="4" w:space="0" w:color="auto"/>
            </w:tcBorders>
          </w:tcPr>
          <w:p>
            <w:pPr>
              <w:pStyle w:val="yTable"/>
              <w:jc w:val="center"/>
              <w:rPr>
                <w:b/>
                <w:bCs/>
              </w:rPr>
            </w:pPr>
            <w:r>
              <w:rPr>
                <w:b/>
                <w:bCs/>
              </w:rPr>
              <w:t>Energy charge</w:t>
            </w:r>
          </w:p>
        </w:tc>
      </w:tr>
      <w:tr>
        <w:trPr>
          <w:cantSplit/>
          <w:tblHeader/>
        </w:trPr>
        <w:tc>
          <w:tcPr>
            <w:tcW w:w="1559" w:type="dxa"/>
            <w:vMerge/>
            <w:tcBorders>
              <w:bottom w:val="single" w:sz="4" w:space="0" w:color="auto"/>
            </w:tcBorders>
          </w:tcPr>
          <w:p>
            <w:pPr>
              <w:pStyle w:val="yTable"/>
              <w:jc w:val="center"/>
              <w:rPr>
                <w:b/>
                <w:bCs/>
              </w:rPr>
            </w:pPr>
          </w:p>
        </w:tc>
        <w:tc>
          <w:tcPr>
            <w:tcW w:w="1276" w:type="dxa"/>
            <w:vMerge/>
            <w:tcBorders>
              <w:bottom w:val="single" w:sz="4" w:space="0" w:color="auto"/>
            </w:tcBorders>
          </w:tcPr>
          <w:p>
            <w:pPr>
              <w:pStyle w:val="yTable"/>
              <w:jc w:val="center"/>
              <w:rPr>
                <w:b/>
                <w:bCs/>
              </w:rPr>
            </w:pPr>
          </w:p>
        </w:tc>
        <w:tc>
          <w:tcPr>
            <w:tcW w:w="1134" w:type="dxa"/>
            <w:vMerge/>
            <w:tcBorders>
              <w:bottom w:val="single" w:sz="4" w:space="0" w:color="auto"/>
            </w:tcBorders>
          </w:tcPr>
          <w:p>
            <w:pPr>
              <w:pStyle w:val="yTable"/>
              <w:jc w:val="center"/>
              <w:rPr>
                <w:b/>
                <w:bCs/>
              </w:rPr>
            </w:pPr>
          </w:p>
        </w:tc>
        <w:tc>
          <w:tcPr>
            <w:tcW w:w="992" w:type="dxa"/>
            <w:tcBorders>
              <w:bottom w:val="single" w:sz="4" w:space="0" w:color="auto"/>
            </w:tcBorders>
          </w:tcPr>
          <w:p>
            <w:pPr>
              <w:pStyle w:val="yTable"/>
              <w:jc w:val="center"/>
              <w:rPr>
                <w:b/>
                <w:bCs/>
              </w:rPr>
            </w:pPr>
            <w:r>
              <w:rPr>
                <w:b/>
                <w:bCs/>
              </w:rPr>
              <w:t>On peak</w:t>
            </w:r>
          </w:p>
        </w:tc>
        <w:tc>
          <w:tcPr>
            <w:tcW w:w="851" w:type="dxa"/>
            <w:tcBorders>
              <w:bottom w:val="single" w:sz="4" w:space="0" w:color="auto"/>
            </w:tcBorders>
          </w:tcPr>
          <w:p>
            <w:pPr>
              <w:pStyle w:val="yTable"/>
              <w:jc w:val="center"/>
              <w:rPr>
                <w:b/>
                <w:bCs/>
              </w:rPr>
            </w:pPr>
            <w:r>
              <w:rPr>
                <w:b/>
                <w:bCs/>
              </w:rPr>
              <w:t>Off peak</w:t>
            </w:r>
          </w:p>
        </w:tc>
      </w:tr>
      <w:tr>
        <w:trPr>
          <w:cantSplit/>
        </w:trPr>
        <w:tc>
          <w:tcPr>
            <w:tcW w:w="1559" w:type="dxa"/>
            <w:tcBorders>
              <w:top w:val="single" w:sz="4" w:space="0" w:color="auto"/>
            </w:tcBorders>
          </w:tcPr>
          <w:p>
            <w:pPr>
              <w:pStyle w:val="yTable"/>
            </w:pPr>
            <w:r>
              <w:t>1 July 2007 to 30 June 2008</w:t>
            </w:r>
          </w:p>
        </w:tc>
        <w:tc>
          <w:tcPr>
            <w:tcW w:w="1276" w:type="dxa"/>
            <w:tcBorders>
              <w:top w:val="single" w:sz="4" w:space="0" w:color="auto"/>
            </w:tcBorders>
          </w:tcPr>
          <w:p>
            <w:pPr>
              <w:pStyle w:val="yTable"/>
              <w:jc w:val="center"/>
            </w:pPr>
            <w:r>
              <w:t>$348.23</w:t>
            </w:r>
          </w:p>
        </w:tc>
        <w:tc>
          <w:tcPr>
            <w:tcW w:w="1134" w:type="dxa"/>
            <w:tcBorders>
              <w:top w:val="single" w:sz="4" w:space="0" w:color="auto"/>
            </w:tcBorders>
          </w:tcPr>
          <w:p>
            <w:pPr>
              <w:pStyle w:val="yTable"/>
              <w:jc w:val="center"/>
            </w:pPr>
            <w:r>
              <w:t>61.36 cents</w:t>
            </w:r>
          </w:p>
        </w:tc>
        <w:tc>
          <w:tcPr>
            <w:tcW w:w="992" w:type="dxa"/>
            <w:tcBorders>
              <w:top w:val="single" w:sz="4" w:space="0" w:color="auto"/>
            </w:tcBorders>
          </w:tcPr>
          <w:p>
            <w:pPr>
              <w:pStyle w:val="yTable"/>
              <w:jc w:val="center"/>
            </w:pPr>
            <w:r>
              <w:t>8.98 cents</w:t>
            </w:r>
          </w:p>
        </w:tc>
        <w:tc>
          <w:tcPr>
            <w:tcW w:w="851" w:type="dxa"/>
            <w:tcBorders>
              <w:top w:val="single" w:sz="4" w:space="0" w:color="auto"/>
            </w:tcBorders>
          </w:tcPr>
          <w:p>
            <w:pPr>
              <w:pStyle w:val="yTable"/>
              <w:jc w:val="center"/>
            </w:pPr>
            <w:r>
              <w:t>5.98 cents</w:t>
            </w:r>
          </w:p>
        </w:tc>
      </w:tr>
      <w:tr>
        <w:trPr>
          <w:cantSplit/>
        </w:trPr>
        <w:tc>
          <w:tcPr>
            <w:tcW w:w="1559" w:type="dxa"/>
          </w:tcPr>
          <w:p>
            <w:pPr>
              <w:pStyle w:val="yTable"/>
            </w:pPr>
            <w:r>
              <w:t>1 July 2008 to 30 June 2009</w:t>
            </w:r>
          </w:p>
        </w:tc>
        <w:tc>
          <w:tcPr>
            <w:tcW w:w="1276" w:type="dxa"/>
          </w:tcPr>
          <w:p>
            <w:pPr>
              <w:pStyle w:val="yTable"/>
              <w:jc w:val="center"/>
            </w:pPr>
            <w:r>
              <w:t>$365.64</w:t>
            </w:r>
          </w:p>
        </w:tc>
        <w:tc>
          <w:tcPr>
            <w:tcW w:w="1134" w:type="dxa"/>
          </w:tcPr>
          <w:p>
            <w:pPr>
              <w:pStyle w:val="yTable"/>
              <w:jc w:val="center"/>
            </w:pPr>
            <w:r>
              <w:t>64.43 cents</w:t>
            </w:r>
          </w:p>
        </w:tc>
        <w:tc>
          <w:tcPr>
            <w:tcW w:w="992" w:type="dxa"/>
          </w:tcPr>
          <w:p>
            <w:pPr>
              <w:pStyle w:val="yTable"/>
              <w:jc w:val="center"/>
            </w:pPr>
            <w:r>
              <w:t>9.43 cents</w:t>
            </w:r>
          </w:p>
        </w:tc>
        <w:tc>
          <w:tcPr>
            <w:tcW w:w="851" w:type="dxa"/>
          </w:tcPr>
          <w:p>
            <w:pPr>
              <w:pStyle w:val="yTable"/>
              <w:jc w:val="center"/>
            </w:pPr>
            <w:r>
              <w:t>6.28 cents</w:t>
            </w:r>
          </w:p>
        </w:tc>
      </w:tr>
      <w:tr>
        <w:trPr>
          <w:cantSplit/>
        </w:trPr>
        <w:tc>
          <w:tcPr>
            <w:tcW w:w="1559" w:type="dxa"/>
          </w:tcPr>
          <w:p>
            <w:pPr>
              <w:pStyle w:val="yTable"/>
            </w:pPr>
            <w:r>
              <w:t>1 July 2009 to 30 June 2010</w:t>
            </w:r>
          </w:p>
        </w:tc>
        <w:tc>
          <w:tcPr>
            <w:tcW w:w="1276" w:type="dxa"/>
          </w:tcPr>
          <w:p>
            <w:pPr>
              <w:pStyle w:val="yTable"/>
              <w:jc w:val="center"/>
            </w:pPr>
            <w:r>
              <w:t>$383.92</w:t>
            </w:r>
          </w:p>
        </w:tc>
        <w:tc>
          <w:tcPr>
            <w:tcW w:w="1134" w:type="dxa"/>
          </w:tcPr>
          <w:p>
            <w:pPr>
              <w:pStyle w:val="yTable"/>
              <w:jc w:val="center"/>
            </w:pPr>
            <w:r>
              <w:t>67.65 cents</w:t>
            </w:r>
          </w:p>
        </w:tc>
        <w:tc>
          <w:tcPr>
            <w:tcW w:w="992" w:type="dxa"/>
          </w:tcPr>
          <w:p>
            <w:pPr>
              <w:pStyle w:val="yTable"/>
              <w:jc w:val="center"/>
            </w:pPr>
            <w:r>
              <w:t>9.90 cents</w:t>
            </w:r>
          </w:p>
        </w:tc>
        <w:tc>
          <w:tcPr>
            <w:tcW w:w="851" w:type="dxa"/>
          </w:tcPr>
          <w:p>
            <w:pPr>
              <w:pStyle w:val="yTable"/>
              <w:jc w:val="center"/>
            </w:pPr>
            <w:r>
              <w:t>6.60 cents</w:t>
            </w:r>
          </w:p>
        </w:tc>
      </w:tr>
      <w:tr>
        <w:trPr>
          <w:cantSplit/>
        </w:trPr>
        <w:tc>
          <w:tcPr>
            <w:tcW w:w="1559" w:type="dxa"/>
          </w:tcPr>
          <w:p>
            <w:pPr>
              <w:pStyle w:val="yTable"/>
            </w:pPr>
            <w:r>
              <w:t>1 July 2010 to 30 June 2011</w:t>
            </w:r>
          </w:p>
        </w:tc>
        <w:tc>
          <w:tcPr>
            <w:tcW w:w="1276" w:type="dxa"/>
          </w:tcPr>
          <w:p>
            <w:pPr>
              <w:pStyle w:val="yTable"/>
              <w:jc w:val="center"/>
            </w:pPr>
            <w:r>
              <w:t>$403.12</w:t>
            </w:r>
          </w:p>
        </w:tc>
        <w:tc>
          <w:tcPr>
            <w:tcW w:w="1134" w:type="dxa"/>
          </w:tcPr>
          <w:p>
            <w:pPr>
              <w:pStyle w:val="yTable"/>
              <w:jc w:val="center"/>
            </w:pPr>
            <w:r>
              <w:t>71.03 cents</w:t>
            </w:r>
          </w:p>
        </w:tc>
        <w:tc>
          <w:tcPr>
            <w:tcW w:w="992" w:type="dxa"/>
          </w:tcPr>
          <w:p>
            <w:pPr>
              <w:pStyle w:val="yTable"/>
              <w:jc w:val="center"/>
            </w:pPr>
            <w:r>
              <w:t>10.40 cents</w:t>
            </w:r>
          </w:p>
        </w:tc>
        <w:tc>
          <w:tcPr>
            <w:tcW w:w="851" w:type="dxa"/>
          </w:tcPr>
          <w:p>
            <w:pPr>
              <w:pStyle w:val="yTable"/>
              <w:jc w:val="center"/>
            </w:pPr>
            <w:r>
              <w:t>6.93 cents</w:t>
            </w:r>
          </w:p>
        </w:tc>
      </w:tr>
      <w:tr>
        <w:trPr>
          <w:cantSplit/>
        </w:trPr>
        <w:tc>
          <w:tcPr>
            <w:tcW w:w="1559" w:type="dxa"/>
            <w:tcBorders>
              <w:bottom w:val="single" w:sz="4" w:space="0" w:color="auto"/>
            </w:tcBorders>
          </w:tcPr>
          <w:p>
            <w:pPr>
              <w:pStyle w:val="yTable"/>
            </w:pPr>
            <w:r>
              <w:t>1 July 2011 to 30 June 2012</w:t>
            </w:r>
          </w:p>
        </w:tc>
        <w:tc>
          <w:tcPr>
            <w:tcW w:w="1276" w:type="dxa"/>
            <w:tcBorders>
              <w:bottom w:val="single" w:sz="4" w:space="0" w:color="auto"/>
            </w:tcBorders>
          </w:tcPr>
          <w:p>
            <w:pPr>
              <w:pStyle w:val="yTable"/>
              <w:jc w:val="center"/>
            </w:pPr>
            <w:r>
              <w:t>$423.28</w:t>
            </w:r>
          </w:p>
        </w:tc>
        <w:tc>
          <w:tcPr>
            <w:tcW w:w="1134" w:type="dxa"/>
            <w:tcBorders>
              <w:bottom w:val="single" w:sz="4" w:space="0" w:color="auto"/>
            </w:tcBorders>
          </w:tcPr>
          <w:p>
            <w:pPr>
              <w:pStyle w:val="yTable"/>
              <w:jc w:val="center"/>
            </w:pPr>
            <w:r>
              <w:t>74.58 cents</w:t>
            </w:r>
          </w:p>
        </w:tc>
        <w:tc>
          <w:tcPr>
            <w:tcW w:w="992" w:type="dxa"/>
            <w:tcBorders>
              <w:bottom w:val="single" w:sz="4" w:space="0" w:color="auto"/>
            </w:tcBorders>
          </w:tcPr>
          <w:p>
            <w:pPr>
              <w:pStyle w:val="yTable"/>
              <w:jc w:val="center"/>
            </w:pPr>
            <w:r>
              <w:t>10.92 cents</w:t>
            </w:r>
          </w:p>
        </w:tc>
        <w:tc>
          <w:tcPr>
            <w:tcW w:w="851" w:type="dxa"/>
            <w:tcBorders>
              <w:bottom w:val="single" w:sz="4" w:space="0" w:color="auto"/>
            </w:tcBorders>
          </w:tcPr>
          <w:p>
            <w:pPr>
              <w:pStyle w:val="yTable"/>
              <w:jc w:val="center"/>
            </w:pPr>
            <w:r>
              <w:t>7.27 cents</w:t>
            </w:r>
          </w:p>
        </w:tc>
      </w:tr>
    </w:tbl>
    <w:p>
      <w:pPr>
        <w:pStyle w:val="ySubsection"/>
        <w:rPr>
          <w:snapToGrid w:val="0"/>
        </w:rPr>
      </w:pPr>
      <w:r>
        <w:rPr>
          <w:snapToGrid w:val="0"/>
        </w:rPr>
        <w:tab/>
        <w:t>(3)</w:t>
      </w:r>
      <w:r>
        <w:rPr>
          <w:snapToGrid w:val="0"/>
        </w:rPr>
        <w:tab/>
        <w:t xml:space="preserve">Tariff T1 is subject to the following conditions — </w:t>
      </w:r>
    </w:p>
    <w:p>
      <w:pPr>
        <w:pStyle w:val="yIndenta"/>
        <w:rPr>
          <w:snapToGrid w:val="0"/>
        </w:rPr>
      </w:pPr>
      <w:r>
        <w:rPr>
          <w:snapToGrid w:val="0"/>
        </w:rPr>
        <w:tab/>
        <w:t>(a)</w:t>
      </w:r>
      <w:r>
        <w:rPr>
          <w:snapToGrid w:val="0"/>
        </w:rPr>
        <w:tab/>
      </w:r>
      <w:r>
        <w:t>the consumer must</w:t>
      </w:r>
      <w:r>
        <w:rPr>
          <w:snapToGrid w:val="0"/>
        </w:rPr>
        <w:t xml:space="preserve"> agree to take the tariff for a minimum period of 12 months;</w:t>
      </w:r>
    </w:p>
    <w:p>
      <w:pPr>
        <w:pStyle w:val="yIndenta"/>
        <w:rPr>
          <w:snapToGrid w:val="0"/>
        </w:rPr>
      </w:pPr>
      <w:r>
        <w:rPr>
          <w:snapToGrid w:val="0"/>
        </w:rPr>
        <w:tab/>
        <w:t>(b)</w:t>
      </w:r>
      <w:r>
        <w:rPr>
          <w:snapToGrid w:val="0"/>
        </w:rPr>
        <w:tab/>
      </w:r>
      <w:r>
        <w:t xml:space="preserve">it </w:t>
      </w:r>
      <w:r>
        <w:rPr>
          <w:snapToGrid w:val="0"/>
        </w:rPr>
        <w:t>applies to a consumer who owns all equipment except tariff metering equipment on the load side of the consumer’s high voltage terminals;</w:t>
      </w:r>
    </w:p>
    <w:p>
      <w:pPr>
        <w:pStyle w:val="yIndenta"/>
        <w:rPr>
          <w:snapToGrid w:val="0"/>
        </w:rPr>
      </w:pPr>
      <w:r>
        <w:rPr>
          <w:snapToGrid w:val="0"/>
        </w:rPr>
        <w:tab/>
        <w:t>(c)</w:t>
      </w:r>
      <w:r>
        <w:rPr>
          <w:snapToGrid w:val="0"/>
        </w:rPr>
        <w:tab/>
      </w:r>
      <w:r>
        <w:t>the p</w:t>
      </w:r>
      <w:r>
        <w:rPr>
          <w:snapToGrid w:val="0"/>
        </w:rPr>
        <w:t>ower factor must be 0.8 or better during the on peak period;</w:t>
      </w:r>
    </w:p>
    <w:p>
      <w:pPr>
        <w:pStyle w:val="yIndenta"/>
        <w:rPr>
          <w:snapToGrid w:val="0"/>
        </w:rPr>
      </w:pPr>
      <w:r>
        <w:rPr>
          <w:snapToGrid w:val="0"/>
        </w:rPr>
        <w:tab/>
        <w:t>(d)</w:t>
      </w:r>
      <w:r>
        <w:rPr>
          <w:snapToGrid w:val="0"/>
        </w:rPr>
        <w:tab/>
      </w:r>
      <w:r>
        <w:t>t</w:t>
      </w:r>
      <w:r>
        <w:rPr>
          <w:snapToGrid w:val="0"/>
        </w:rPr>
        <w:t>he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bookmarkStart w:id="115" w:name="_Toc128282871"/>
      <w:r>
        <w:tab/>
        <w:t>[Clause 5 amended in Gazette 26 Jun 2007 p. 3016-17.]</w:t>
      </w:r>
    </w:p>
    <w:p>
      <w:pPr>
        <w:pStyle w:val="yHeading5"/>
        <w:rPr>
          <w:snapToGrid w:val="0"/>
        </w:rPr>
      </w:pPr>
      <w:bookmarkStart w:id="116" w:name="_Toc171051494"/>
      <w:r>
        <w:rPr>
          <w:rStyle w:val="CharSClsNo"/>
        </w:rPr>
        <w:t>6</w:t>
      </w:r>
      <w:r>
        <w:t>.</w:t>
      </w:r>
      <w:r>
        <w:tab/>
        <w:t>Standby charges</w:t>
      </w:r>
      <w:bookmarkEnd w:id="115"/>
      <w:bookmarkEnd w:id="116"/>
    </w:p>
    <w:p>
      <w:pPr>
        <w:pStyle w:val="ySubsection"/>
        <w:rPr>
          <w:snapToGrid w:val="0"/>
        </w:rPr>
      </w:pPr>
      <w:r>
        <w:rPr>
          <w:snapToGrid w:val="0"/>
        </w:rPr>
        <w:tab/>
        <w:t>(1)</w:t>
      </w:r>
      <w:r>
        <w:rPr>
          <w:snapToGrid w:val="0"/>
        </w:rPr>
        <w:tab/>
        <w:t>Standby</w:t>
      </w:r>
      <w:r>
        <w:t xml:space="preserve"> charges are a</w:t>
      </w:r>
      <w:r>
        <w:rPr>
          <w:snapToGrid w:val="0"/>
        </w:rPr>
        <w:t xml:space="preserve">pplicable to consumers with their own generation and supplied on Tariff L1, R1, </w:t>
      </w:r>
      <w:r>
        <w:t xml:space="preserve">R3, </w:t>
      </w:r>
      <w:r>
        <w:rPr>
          <w:snapToGrid w:val="0"/>
        </w:rPr>
        <w:t>S1, M1 or T1 and are payable in addition to those tariffs.</w:t>
      </w:r>
    </w:p>
    <w:p>
      <w:pPr>
        <w:pStyle w:val="ySubsection"/>
        <w:rPr>
          <w:snapToGrid w:val="0"/>
        </w:rPr>
      </w:pPr>
      <w:r>
        <w:rPr>
          <w:snapToGrid w:val="0"/>
        </w:rPr>
        <w:tab/>
        <w:t>(2)</w:t>
      </w:r>
      <w:r>
        <w:rPr>
          <w:snapToGrid w:val="0"/>
        </w:rPr>
        <w:tab/>
        <w:t>In the case of Tariff L1</w:t>
      </w:r>
      <w:r>
        <w:t>,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S1, the standby charge is 5.72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(4)</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(5)</w:t>
      </w:r>
      <w:r>
        <w:rPr>
          <w:snapToGrid w:val="0"/>
        </w:rPr>
        <w:tab/>
        <w:t>In the case of Tariff T1, the standby charge is 5.10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(6)</w:t>
      </w:r>
      <w:r>
        <w:rPr>
          <w:snapToGrid w:val="0"/>
        </w:rPr>
        <w:tab/>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Indenta"/>
        <w:rPr>
          <w:snapToGrid w:val="0"/>
        </w:rPr>
      </w:pPr>
      <w:r>
        <w:rPr>
          <w:snapToGrid w:val="0"/>
        </w:rPr>
        <w:tab/>
        <w:t>(d)</w:t>
      </w:r>
      <w:r>
        <w:rPr>
          <w:snapToGrid w:val="0"/>
        </w:rPr>
        <w:tab/>
      </w:r>
      <w:r>
        <w:t>t</w:t>
      </w:r>
      <w:r>
        <w:rPr>
          <w:snapToGrid w:val="0"/>
        </w:rPr>
        <w:t>he normal half</w:t>
      </w:r>
      <w:r>
        <w:rPr>
          <w:snapToGrid w:val="0"/>
        </w:rPr>
        <w:noBreakHyphen/>
        <w:t>hourly maximum demand will be assessed by the c</w:t>
      </w:r>
      <w:r>
        <w:t>orporation</w:t>
      </w:r>
      <w:r>
        <w:rPr>
          <w:snapToGrid w:val="0"/>
        </w:rPr>
        <w:t xml:space="preserve"> and will be based on loading normally supplied from the c</w:t>
      </w:r>
      <w:r>
        <w:t>orporation’s</w:t>
      </w:r>
      <w:r>
        <w:rPr>
          <w:snapToGrid w:val="0"/>
        </w:rPr>
        <w:t xml:space="preserve"> supply;</w:t>
      </w:r>
    </w:p>
    <w:p>
      <w:pPr>
        <w:pStyle w:val="yIndenta"/>
        <w:rPr>
          <w:snapToGrid w:val="0"/>
        </w:rPr>
      </w:pPr>
      <w:r>
        <w:rPr>
          <w:snapToGrid w:val="0"/>
        </w:rPr>
        <w:tab/>
        <w:t>(e)</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spacing w:before="60" w:after="60"/>
        <w:ind w:left="1418"/>
        <w:jc w:val="center"/>
        <w:rPr>
          <w:rFonts w:ascii="Times" w:hAnsi="Times"/>
          <w:snapToGrid w:val="0"/>
          <w:sz w:val="20"/>
        </w:rPr>
      </w:pPr>
      <w:r>
        <w:rPr>
          <w:rFonts w:ascii="Times" w:hAnsi="Times"/>
          <w:position w:val="-26"/>
          <w:sz w:val="20"/>
          <w:lang w:eastAsia="en-AU"/>
        </w:rPr>
        <w:drawing>
          <wp:inline distT="0" distB="0" distL="0" distR="0">
            <wp:extent cx="2926080" cy="38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6080" cy="389890"/>
                    </a:xfrm>
                    <a:prstGeom prst="rect">
                      <a:avLst/>
                    </a:prstGeom>
                    <a:noFill/>
                    <a:ln>
                      <a:noFill/>
                    </a:ln>
                  </pic:spPr>
                </pic:pic>
              </a:graphicData>
            </a:graphic>
          </wp:inline>
        </w:drawing>
      </w:r>
    </w:p>
    <w:p>
      <w:pPr>
        <w:pStyle w:val="yIndenta"/>
        <w:rPr>
          <w:snapToGrid w:val="0"/>
        </w:rPr>
      </w:pPr>
      <w:r>
        <w:rPr>
          <w:snapToGrid w:val="0"/>
        </w:rPr>
        <w:tab/>
        <w:t>(f)</w:t>
      </w:r>
      <w:r>
        <w:rPr>
          <w:snapToGrid w:val="0"/>
        </w:rPr>
        <w:tab/>
      </w:r>
      <w:r>
        <w:t>t</w:t>
      </w:r>
      <w:r>
        <w:rPr>
          <w:snapToGrid w:val="0"/>
        </w:rPr>
        <w:t>he total half</w:t>
      </w:r>
      <w:r>
        <w:rPr>
          <w:snapToGrid w:val="0"/>
        </w:rPr>
        <w:noBreakHyphen/>
        <w:t>hourly maximum demand will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Indenta"/>
        <w:rPr>
          <w:snapToGrid w:val="0"/>
        </w:rPr>
      </w:pPr>
      <w:r>
        <w:rPr>
          <w:snapToGrid w:val="0"/>
        </w:rPr>
        <w:tab/>
        <w:t>(g)</w:t>
      </w:r>
      <w:r>
        <w:rPr>
          <w:snapToGrid w:val="0"/>
        </w:rPr>
        <w:tab/>
      </w:r>
      <w:r>
        <w:t>t</w:t>
      </w:r>
      <w:r>
        <w:rPr>
          <w:snapToGrid w:val="0"/>
        </w:rPr>
        <w:t>he difference between total half</w:t>
      </w:r>
      <w:r>
        <w:rPr>
          <w:snapToGrid w:val="0"/>
        </w:rPr>
        <w:noBreakHyphen/>
        <w:t>hourly maximum demand and normal half</w:t>
      </w:r>
      <w:r>
        <w:rPr>
          <w:snapToGrid w:val="0"/>
        </w:rPr>
        <w:noBreakHyphen/>
        <w:t>hourly maximum demand will not exceed — </w:t>
      </w:r>
    </w:p>
    <w:p>
      <w:pPr>
        <w:pStyle w:val="yIndenti0"/>
        <w:rPr>
          <w:snapToGrid w:val="0"/>
        </w:rPr>
      </w:pPr>
      <w:r>
        <w:rPr>
          <w:snapToGrid w:val="0"/>
        </w:rPr>
        <w:tab/>
        <w:t>(i)</w:t>
      </w:r>
      <w:r>
        <w:rPr>
          <w:snapToGrid w:val="0"/>
        </w:rPr>
        <w:tab/>
        <w:t>the capacity of the consumer’s generation equipment; or</w:t>
      </w:r>
    </w:p>
    <w:p>
      <w:pPr>
        <w:pStyle w:val="yIndenti0"/>
        <w:rPr>
          <w:snapToGrid w:val="0"/>
        </w:rPr>
      </w:pPr>
      <w:r>
        <w:rPr>
          <w:snapToGrid w:val="0"/>
        </w:rPr>
        <w:tab/>
        <w:t>(ii)</w:t>
      </w:r>
      <w:r>
        <w:rPr>
          <w:snapToGrid w:val="0"/>
        </w:rPr>
        <w:tab/>
        <w:t>the expected maximum loading of such generation equipment, as assessed by the</w:t>
      </w:r>
      <w:r>
        <w:t xml:space="preserve"> corporation</w:t>
      </w:r>
      <w:r>
        <w:rPr>
          <w:snapToGrid w:val="0"/>
        </w:rPr>
        <w:t>.</w:t>
      </w:r>
    </w:p>
    <w:p>
      <w:pPr>
        <w:pStyle w:val="yFootnotesection"/>
      </w:pPr>
      <w:bookmarkStart w:id="117" w:name="_Toc124226015"/>
      <w:bookmarkStart w:id="118" w:name="_Toc128282872"/>
      <w:r>
        <w:tab/>
        <w:t>[Clause 6 amended in Gazette 26 Jun 2007 p. 3017.]</w:t>
      </w:r>
    </w:p>
    <w:p>
      <w:pPr>
        <w:pStyle w:val="yHeading5"/>
        <w:rPr>
          <w:snapToGrid w:val="0"/>
        </w:rPr>
      </w:pPr>
      <w:bookmarkStart w:id="119" w:name="_Toc171051495"/>
      <w:r>
        <w:rPr>
          <w:rStyle w:val="CharSClsNo"/>
        </w:rPr>
        <w:t>7</w:t>
      </w:r>
      <w:r>
        <w:t>.</w:t>
      </w:r>
      <w:r>
        <w:tab/>
        <w:t>Tariff</w:t>
      </w:r>
      <w:r>
        <w:rPr>
          <w:snapToGrid w:val="0"/>
        </w:rPr>
        <w:t xml:space="preserve"> A1 (residential tariff)</w:t>
      </w:r>
      <w:bookmarkEnd w:id="117"/>
      <w:bookmarkEnd w:id="118"/>
      <w:bookmarkEnd w:id="119"/>
    </w:p>
    <w:p>
      <w:pPr>
        <w:pStyle w:val="ySubsection"/>
        <w:rPr>
          <w:snapToGrid w:val="0"/>
        </w:rPr>
      </w:pPr>
      <w:r>
        <w:rPr>
          <w:snapToGrid w:val="0"/>
        </w:rPr>
        <w:tab/>
        <w:t>(1)</w:t>
      </w:r>
      <w:r>
        <w:rPr>
          <w:snapToGrid w:val="0"/>
        </w:rPr>
        <w:tab/>
        <w:t>Tariff A1 is available for residential use only.</w:t>
      </w:r>
    </w:p>
    <w:p>
      <w:pPr>
        <w:pStyle w:val="ySubsection"/>
        <w:rPr>
          <w:snapToGrid w:val="0"/>
        </w:rPr>
      </w:pPr>
      <w:r>
        <w:rPr>
          <w:snapToGrid w:val="0"/>
        </w:rPr>
        <w:tab/>
        <w:t>(2)</w:t>
      </w:r>
      <w:r>
        <w:rPr>
          <w:snapToGrid w:val="0"/>
        </w:rP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20" w:name="_Toc128282873"/>
      <w:bookmarkStart w:id="121" w:name="_Toc171051496"/>
      <w:r>
        <w:rPr>
          <w:rStyle w:val="CharSClsNo"/>
        </w:rPr>
        <w:t>8</w:t>
      </w:r>
      <w:r>
        <w:t>.</w:t>
      </w:r>
      <w:r>
        <w:tab/>
        <w:t>Tariff</w:t>
      </w:r>
      <w:r>
        <w:rPr>
          <w:snapToGrid w:val="0"/>
        </w:rPr>
        <w:t xml:space="preserve"> B1 (residential water heating tariff)</w:t>
      </w:r>
      <w:bookmarkEnd w:id="120"/>
      <w:bookmarkEnd w:id="121"/>
    </w:p>
    <w:p>
      <w:pPr>
        <w:pStyle w:val="ySubsection"/>
        <w:rPr>
          <w:snapToGrid w:val="0"/>
        </w:rPr>
      </w:pPr>
      <w:r>
        <w:rPr>
          <w:snapToGrid w:val="0"/>
        </w:rPr>
        <w:tab/>
        <w:t>(1)</w:t>
      </w:r>
      <w:r>
        <w:rPr>
          <w:snapToGrid w:val="0"/>
        </w:rPr>
        <w:tab/>
      </w:r>
      <w:r>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rPr>
          <w:snapToGrid w:val="0"/>
        </w:rPr>
        <w:tab/>
        <w:t>(2)</w:t>
      </w:r>
      <w:r>
        <w:rPr>
          <w:snapToGrid w:val="0"/>
        </w:rPr>
        <w:tab/>
      </w:r>
      <w:r>
        <w:t xml:space="preserve">Tariff B1 comprises — </w:t>
      </w:r>
    </w:p>
    <w:p>
      <w:pPr>
        <w:pStyle w:val="yIndenta"/>
        <w:rPr>
          <w:snapToGrid w:val="0"/>
        </w:rPr>
      </w:pPr>
      <w:r>
        <w:tab/>
        <w:t>(a)</w:t>
      </w:r>
      <w:r>
        <w:tab/>
        <w:t>a</w:t>
      </w:r>
      <w:r>
        <w:rPr>
          <w:snapToGrid w:val="0"/>
        </w:rPr>
        <w:t xml:space="preserve"> fixed charge at the rate of 12.84 cents per day or, for multiple dwellings supplied through one metered supply point, a fixed charge at the rate of 12.84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7.10 cents per unit.</w:t>
      </w:r>
    </w:p>
    <w:p>
      <w:pPr>
        <w:pStyle w:val="yHeading5"/>
        <w:rPr>
          <w:b w:val="0"/>
          <w:i/>
          <w:snapToGrid w:val="0"/>
        </w:rPr>
      </w:pPr>
      <w:bookmarkStart w:id="122" w:name="_Toc124226016"/>
      <w:bookmarkStart w:id="123" w:name="_Toc128282874"/>
      <w:bookmarkStart w:id="124" w:name="_Toc171051497"/>
      <w:r>
        <w:rPr>
          <w:rStyle w:val="CharSClsNo"/>
        </w:rPr>
        <w:t>9</w:t>
      </w:r>
      <w:r>
        <w:t>.</w:t>
      </w:r>
      <w:r>
        <w:tab/>
        <w:t>Tariff</w:t>
      </w:r>
      <w:r>
        <w:rPr>
          <w:snapToGrid w:val="0"/>
        </w:rPr>
        <w:t xml:space="preserve"> C1 (special community service tariff)</w:t>
      </w:r>
      <w:bookmarkEnd w:id="122"/>
      <w:bookmarkEnd w:id="123"/>
      <w:bookmarkEnd w:id="124"/>
    </w:p>
    <w:p>
      <w:pPr>
        <w:pStyle w:val="ySubsection"/>
        <w:rPr>
          <w:snapToGrid w:val="0"/>
        </w:rPr>
      </w:pPr>
      <w:r>
        <w:rPr>
          <w:snapToGrid w:val="0"/>
        </w:rPr>
        <w:tab/>
        <w:t>(1)</w:t>
      </w:r>
      <w:r>
        <w:rPr>
          <w:snapToGrid w:val="0"/>
        </w:rPr>
        <w:tab/>
        <w:t>Tariff C1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25" w:name="_Toc124226017"/>
      <w:bookmarkStart w:id="126" w:name="_Toc128282875"/>
      <w:bookmarkStart w:id="127" w:name="_Toc171051498"/>
      <w:r>
        <w:rPr>
          <w:rStyle w:val="CharSClsNo"/>
        </w:rPr>
        <w:t>10</w:t>
      </w:r>
      <w:r>
        <w:t>.</w:t>
      </w:r>
      <w:r>
        <w:tab/>
        <w:t xml:space="preserve">Tariff </w:t>
      </w:r>
      <w:r>
        <w:rPr>
          <w:snapToGrid w:val="0"/>
        </w:rPr>
        <w:t>D1 (special tariff for certain premises)</w:t>
      </w:r>
      <w:bookmarkEnd w:id="125"/>
      <w:bookmarkEnd w:id="126"/>
      <w:bookmarkEnd w:id="127"/>
    </w:p>
    <w:p>
      <w:pPr>
        <w:pStyle w:val="ySubsection"/>
        <w:rPr>
          <w:snapToGrid w:val="0"/>
        </w:rPr>
      </w:pPr>
      <w:r>
        <w:rPr>
          <w:snapToGrid w:val="0"/>
        </w:rPr>
        <w:tab/>
        <w:t>(1)</w:t>
      </w:r>
      <w:r>
        <w:rPr>
          <w:snapToGrid w:val="0"/>
        </w:rPr>
        <w:tab/>
      </w:r>
      <w:r>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rPr>
          <w:snapToGrid w:val="0"/>
        </w:rPr>
        <w:tab/>
        <w:t>(2)</w:t>
      </w:r>
      <w:r>
        <w:rPr>
          <w:snapToGrid w:val="0"/>
        </w:rPr>
        <w:tab/>
      </w:r>
      <w:r>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28" w:name="_Toc124226018"/>
      <w:bookmarkStart w:id="129" w:name="_Toc128282876"/>
      <w:bookmarkStart w:id="130" w:name="_Toc171051499"/>
      <w:r>
        <w:rPr>
          <w:rStyle w:val="CharSClsNo"/>
        </w:rPr>
        <w:t>11</w:t>
      </w:r>
      <w:r>
        <w:t>.</w:t>
      </w:r>
      <w:r>
        <w:tab/>
        <w:t>Tariff</w:t>
      </w:r>
      <w:r>
        <w:rPr>
          <w:snapToGrid w:val="0"/>
        </w:rPr>
        <w:t xml:space="preserve"> K1 (general supply with residential tariff)</w:t>
      </w:r>
      <w:bookmarkEnd w:id="128"/>
      <w:bookmarkEnd w:id="129"/>
      <w:bookmarkEnd w:id="130"/>
    </w:p>
    <w:p>
      <w:pPr>
        <w:pStyle w:val="ySubsection"/>
        <w:rPr>
          <w:snapToGrid w:val="0"/>
        </w:rPr>
      </w:pPr>
      <w:r>
        <w:rPr>
          <w:snapToGrid w:val="0"/>
        </w:rPr>
        <w:tab/>
        <w:t>(1)</w:t>
      </w:r>
      <w:r>
        <w:rPr>
          <w:snapToGrid w:val="0"/>
        </w:rPr>
        <w:tab/>
      </w:r>
      <w:r>
        <w:t>Tariff K1</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31" w:name="_Toc124226019"/>
      <w:bookmarkStart w:id="132" w:name="_Toc128282877"/>
      <w:bookmarkStart w:id="133" w:name="_Toc171051500"/>
      <w:r>
        <w:rPr>
          <w:rStyle w:val="CharSClsNo"/>
        </w:rPr>
        <w:t>12</w:t>
      </w:r>
      <w:r>
        <w:t>.</w:t>
      </w:r>
      <w:r>
        <w:tab/>
        <w:t>Tariff</w:t>
      </w:r>
      <w:r>
        <w:rPr>
          <w:snapToGrid w:val="0"/>
        </w:rPr>
        <w:t xml:space="preserve"> W1 (t</w:t>
      </w:r>
      <w:r>
        <w:rPr>
          <w:bCs/>
          <w:iCs/>
          <w:snapToGrid w:val="0"/>
        </w:rPr>
        <w:t>raffic light installations)</w:t>
      </w:r>
      <w:bookmarkEnd w:id="131"/>
      <w:bookmarkEnd w:id="132"/>
      <w:bookmarkEnd w:id="133"/>
    </w:p>
    <w:p>
      <w:pPr>
        <w:pStyle w:val="ySubsection"/>
      </w:pPr>
      <w:r>
        <w:tab/>
      </w:r>
      <w:r>
        <w:tab/>
        <w:t>Tariff W1 comprises a charge of $1.61 per day per kilowatt of the total installed wattage.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134" w:name="_Toc123621759"/>
      <w:bookmarkStart w:id="135" w:name="_Toc123621906"/>
      <w:bookmarkStart w:id="136" w:name="_Toc123624866"/>
      <w:bookmarkStart w:id="137" w:name="_Toc123624933"/>
      <w:bookmarkStart w:id="138" w:name="_Toc123626279"/>
      <w:bookmarkStart w:id="139" w:name="_Toc123629883"/>
      <w:bookmarkStart w:id="140" w:name="_Toc124135800"/>
      <w:bookmarkStart w:id="141" w:name="_Toc124137267"/>
      <w:bookmarkStart w:id="142" w:name="_Toc124147435"/>
      <w:bookmarkStart w:id="143" w:name="_Toc124147472"/>
      <w:bookmarkStart w:id="144" w:name="_Toc124158783"/>
      <w:bookmarkStart w:id="145" w:name="_Toc124158890"/>
      <w:bookmarkStart w:id="146" w:name="_Toc124158924"/>
      <w:bookmarkStart w:id="147" w:name="_Toc124216305"/>
      <w:bookmarkStart w:id="148" w:name="_Toc124227064"/>
      <w:bookmarkStart w:id="149" w:name="_Toc124227157"/>
      <w:bookmarkStart w:id="150" w:name="_Toc124234423"/>
      <w:bookmarkStart w:id="151" w:name="_Toc124234775"/>
      <w:bookmarkStart w:id="152" w:name="_Toc124234815"/>
    </w:p>
    <w:p>
      <w:pPr>
        <w:pStyle w:val="yScheduleHeading"/>
      </w:pPr>
      <w:bookmarkStart w:id="153" w:name="_Toc124934231"/>
      <w:bookmarkStart w:id="154" w:name="_Toc125279681"/>
      <w:bookmarkStart w:id="155" w:name="_Toc127067108"/>
      <w:bookmarkStart w:id="156" w:name="_Toc127076311"/>
      <w:bookmarkStart w:id="157" w:name="_Toc127085644"/>
      <w:bookmarkStart w:id="158" w:name="_Toc127086736"/>
      <w:bookmarkStart w:id="159" w:name="_Toc127671679"/>
      <w:bookmarkStart w:id="160" w:name="_Toc127690056"/>
      <w:bookmarkStart w:id="161" w:name="_Toc127699337"/>
      <w:bookmarkStart w:id="162" w:name="_Toc127760429"/>
      <w:bookmarkStart w:id="163" w:name="_Toc127760457"/>
      <w:bookmarkStart w:id="164" w:name="_Toc127946779"/>
      <w:bookmarkStart w:id="165" w:name="_Toc127960812"/>
      <w:bookmarkStart w:id="166" w:name="_Toc127960840"/>
      <w:bookmarkStart w:id="167" w:name="_Toc128190514"/>
      <w:bookmarkStart w:id="168" w:name="_Toc128196186"/>
      <w:bookmarkStart w:id="169" w:name="_Toc128197605"/>
      <w:bookmarkStart w:id="170" w:name="_Toc128282878"/>
      <w:bookmarkStart w:id="171" w:name="_Toc131490126"/>
      <w:bookmarkStart w:id="172" w:name="_Toc131491086"/>
      <w:bookmarkStart w:id="173" w:name="_Toc152664695"/>
      <w:bookmarkStart w:id="174" w:name="_Toc152669126"/>
      <w:bookmarkStart w:id="175" w:name="_Toc171051501"/>
      <w:r>
        <w:rPr>
          <w:rStyle w:val="CharSchNo"/>
        </w:rPr>
        <w:t>Schedule 2</w:t>
      </w:r>
      <w:r>
        <w:rPr>
          <w:rStyle w:val="CharSDivNo"/>
        </w:rPr>
        <w:t> </w:t>
      </w:r>
      <w:r>
        <w:t>—</w:t>
      </w:r>
      <w:r>
        <w:rPr>
          <w:rStyle w:val="CharSDivText"/>
        </w:rPr>
        <w:t> </w:t>
      </w:r>
      <w:r>
        <w:rPr>
          <w:rStyle w:val="CharSchText"/>
        </w:rPr>
        <w:t>Street lighting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ubsection"/>
      </w:pPr>
    </w:p>
    <w:p>
      <w:pPr>
        <w:pStyle w:val="yScheduleHeading"/>
      </w:pPr>
      <w:bookmarkStart w:id="176" w:name="_Toc124158784"/>
      <w:bookmarkStart w:id="177" w:name="_Toc124158891"/>
      <w:bookmarkStart w:id="178" w:name="_Toc124158925"/>
      <w:bookmarkStart w:id="179" w:name="_Toc124216306"/>
      <w:bookmarkStart w:id="180" w:name="_Toc124227065"/>
      <w:bookmarkStart w:id="181" w:name="_Toc124227158"/>
      <w:bookmarkStart w:id="182" w:name="_Toc124234424"/>
      <w:bookmarkStart w:id="183" w:name="_Toc124234776"/>
      <w:bookmarkStart w:id="184" w:name="_Toc124234816"/>
      <w:bookmarkStart w:id="185" w:name="_Toc124934232"/>
      <w:bookmarkStart w:id="186" w:name="_Toc125279682"/>
      <w:bookmarkStart w:id="187" w:name="_Toc127067109"/>
      <w:bookmarkStart w:id="188" w:name="_Toc127076312"/>
      <w:bookmarkStart w:id="189" w:name="_Toc127085645"/>
      <w:bookmarkStart w:id="190" w:name="_Toc127086737"/>
      <w:bookmarkStart w:id="191" w:name="_Toc127671680"/>
      <w:bookmarkStart w:id="192" w:name="_Toc127690057"/>
      <w:bookmarkStart w:id="193" w:name="_Toc127699338"/>
      <w:bookmarkStart w:id="194" w:name="_Toc127760430"/>
      <w:bookmarkStart w:id="195" w:name="_Toc127760458"/>
      <w:bookmarkStart w:id="196" w:name="_Toc127946780"/>
      <w:bookmarkStart w:id="197" w:name="_Toc127960813"/>
      <w:bookmarkStart w:id="198" w:name="_Toc127960841"/>
      <w:bookmarkStart w:id="199" w:name="_Toc128190515"/>
      <w:bookmarkStart w:id="200" w:name="_Toc128196187"/>
      <w:bookmarkStart w:id="201" w:name="_Toc128197606"/>
      <w:bookmarkStart w:id="202" w:name="_Toc128282879"/>
      <w:bookmarkStart w:id="203" w:name="_Toc131490127"/>
      <w:bookmarkStart w:id="204" w:name="_Toc131491087"/>
      <w:bookmarkStart w:id="205" w:name="_Toc152664696"/>
      <w:bookmarkStart w:id="206" w:name="_Toc152669127"/>
      <w:bookmarkStart w:id="207" w:name="_Toc171051502"/>
      <w:bookmarkStart w:id="208" w:name="_Toc123621760"/>
      <w:bookmarkStart w:id="209" w:name="_Toc123621907"/>
      <w:bookmarkStart w:id="210" w:name="_Toc123624867"/>
      <w:bookmarkStart w:id="211" w:name="_Toc123624934"/>
      <w:bookmarkStart w:id="212" w:name="_Toc123626280"/>
      <w:bookmarkStart w:id="213" w:name="_Toc123629884"/>
      <w:bookmarkStart w:id="214" w:name="_Toc124135801"/>
      <w:bookmarkStart w:id="215" w:name="_Toc124137268"/>
      <w:bookmarkStart w:id="216" w:name="_Toc124147436"/>
      <w:bookmarkStart w:id="217" w:name="_Toc124147473"/>
      <w:r>
        <w:rPr>
          <w:rStyle w:val="CharSchNo"/>
        </w:rPr>
        <w:t>Schedule 3</w:t>
      </w:r>
      <w:r>
        <w:rPr>
          <w:rStyle w:val="CharSDivNo"/>
        </w:rPr>
        <w:t> </w:t>
      </w:r>
      <w:r>
        <w:t>—</w:t>
      </w:r>
      <w:r>
        <w:rPr>
          <w:rStyle w:val="CharSDivText"/>
        </w:rPr>
        <w:t> </w:t>
      </w:r>
      <w:r>
        <w:rPr>
          <w:rStyle w:val="CharSchText"/>
        </w:rPr>
        <w:t>Meter rental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208"/>
    <w:bookmarkEnd w:id="209"/>
    <w:bookmarkEnd w:id="210"/>
    <w:bookmarkEnd w:id="211"/>
    <w:bookmarkEnd w:id="212"/>
    <w:bookmarkEnd w:id="213"/>
    <w:bookmarkEnd w:id="214"/>
    <w:bookmarkEnd w:id="215"/>
    <w:bookmarkEnd w:id="216"/>
    <w:bookmarkEnd w:id="217"/>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18" w:name="_Toc123621761"/>
      <w:bookmarkStart w:id="219" w:name="_Toc123621908"/>
      <w:bookmarkStart w:id="220" w:name="_Toc123624868"/>
      <w:bookmarkStart w:id="221" w:name="_Toc123624935"/>
      <w:bookmarkStart w:id="222" w:name="_Toc123626281"/>
      <w:bookmarkStart w:id="223" w:name="_Toc123629885"/>
      <w:bookmarkStart w:id="224" w:name="_Toc124135802"/>
      <w:bookmarkStart w:id="225" w:name="_Toc124137269"/>
      <w:bookmarkStart w:id="226" w:name="_Toc124147437"/>
      <w:bookmarkStart w:id="227" w:name="_Toc124147474"/>
      <w:bookmarkStart w:id="228" w:name="_Toc124158785"/>
      <w:bookmarkStart w:id="229" w:name="_Toc124158892"/>
      <w:bookmarkStart w:id="230" w:name="_Toc124158926"/>
      <w:bookmarkStart w:id="231" w:name="_Toc124216307"/>
      <w:bookmarkStart w:id="232" w:name="_Toc124227066"/>
      <w:bookmarkStart w:id="233" w:name="_Toc124227159"/>
      <w:bookmarkStart w:id="234" w:name="_Toc124234425"/>
      <w:bookmarkStart w:id="235" w:name="_Toc124234777"/>
      <w:bookmarkStart w:id="236" w:name="_Toc124234817"/>
      <w:bookmarkStart w:id="237" w:name="_Toc124934233"/>
      <w:bookmarkStart w:id="238" w:name="_Toc125279683"/>
      <w:bookmarkStart w:id="239" w:name="_Toc127067110"/>
      <w:bookmarkStart w:id="240" w:name="_Toc127076313"/>
      <w:bookmarkStart w:id="241" w:name="_Toc127085646"/>
      <w:bookmarkStart w:id="242" w:name="_Toc127086738"/>
      <w:bookmarkStart w:id="243" w:name="_Toc127671681"/>
      <w:bookmarkStart w:id="244" w:name="_Toc127690058"/>
      <w:bookmarkStart w:id="245" w:name="_Toc127699339"/>
      <w:bookmarkStart w:id="246" w:name="_Toc127760431"/>
      <w:bookmarkStart w:id="247" w:name="_Toc127760459"/>
      <w:bookmarkStart w:id="248" w:name="_Toc127946781"/>
      <w:bookmarkStart w:id="249" w:name="_Toc127960814"/>
      <w:bookmarkStart w:id="250" w:name="_Toc127960842"/>
      <w:bookmarkStart w:id="251" w:name="_Toc128190516"/>
      <w:bookmarkStart w:id="252" w:name="_Toc128196188"/>
      <w:bookmarkStart w:id="253" w:name="_Toc128197607"/>
      <w:bookmarkStart w:id="254" w:name="_Toc128282880"/>
      <w:bookmarkStart w:id="255" w:name="_Toc131490128"/>
      <w:bookmarkStart w:id="256" w:name="_Toc131491088"/>
      <w:bookmarkStart w:id="257" w:name="_Toc152664697"/>
      <w:bookmarkStart w:id="258" w:name="_Toc152669128"/>
      <w:bookmarkStart w:id="259" w:name="_Toc171051503"/>
      <w:r>
        <w:rPr>
          <w:rStyle w:val="CharSchNo"/>
        </w:rPr>
        <w:t>Schedule 4</w:t>
      </w:r>
      <w:r>
        <w:rPr>
          <w:rStyle w:val="CharSDivNo"/>
        </w:rPr>
        <w:t> </w:t>
      </w:r>
      <w:r>
        <w:t>—</w:t>
      </w:r>
      <w:r>
        <w:rPr>
          <w:rStyle w:val="CharSDivText"/>
        </w:rPr>
        <w:t> </w:t>
      </w:r>
      <w:r>
        <w:rPr>
          <w:rStyle w:val="CharSchText"/>
        </w:rPr>
        <w:t>Fees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$29.80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$4.10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Tariff R1 or R3 “time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pStyle w:val="yFootnotesection"/>
      </w:pPr>
      <w:r>
        <w:tab/>
        <w:t>[Schedule 4 amended in Gazette 26 Jun 2007 p. 3017.]</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60" w:name="_Toc113695922"/>
      <w:bookmarkStart w:id="261" w:name="_Toc131491089"/>
      <w:bookmarkStart w:id="262" w:name="_Toc152664698"/>
      <w:bookmarkStart w:id="263" w:name="_Toc152669129"/>
      <w:bookmarkStart w:id="264" w:name="_Toc171051504"/>
      <w:r>
        <w:t>Notes</w:t>
      </w:r>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 </w:t>
      </w:r>
      <w:bookmarkStart w:id="265" w:name="_Toc70311430"/>
      <w:bookmarkStart w:id="266" w:name="_Toc113695923"/>
    </w:p>
    <w:p>
      <w:pPr>
        <w:pStyle w:val="nHeading3"/>
      </w:pPr>
      <w:bookmarkStart w:id="267" w:name="UpToHere"/>
      <w:bookmarkStart w:id="268" w:name="_Toc171051505"/>
      <w:bookmarkEnd w:id="267"/>
      <w:r>
        <w:t>Compilation table</w:t>
      </w:r>
      <w:bookmarkEnd w:id="265"/>
      <w:bookmarkEnd w:id="266"/>
      <w:bookmarkEnd w:id="2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Borders>
              <w:bottom w:val="single" w:sz="4" w:space="0" w:color="auto"/>
            </w:tcBorders>
          </w:tcPr>
          <w:p>
            <w:pPr>
              <w:pStyle w:val="nTable"/>
              <w:rPr>
                <w:i/>
                <w:sz w:val="19"/>
              </w:rPr>
            </w:pPr>
            <w:r>
              <w:rPr>
                <w:i/>
                <w:sz w:val="19"/>
              </w:rPr>
              <w:t>Energy Operators (Electricity Retail Corporation) (Charges) Amendment By-laws 2007</w:t>
            </w:r>
          </w:p>
        </w:tc>
        <w:tc>
          <w:tcPr>
            <w:tcW w:w="1276" w:type="dxa"/>
            <w:tcBorders>
              <w:bottom w:val="single" w:sz="4" w:space="0" w:color="auto"/>
            </w:tcBorders>
          </w:tcPr>
          <w:p>
            <w:pPr>
              <w:pStyle w:val="nTable"/>
              <w:rPr>
                <w:sz w:val="19"/>
              </w:rPr>
            </w:pPr>
            <w:r>
              <w:rPr>
                <w:sz w:val="19"/>
              </w:rPr>
              <w:t>26 Jun 2007 p. 3013-17</w:t>
            </w:r>
          </w:p>
        </w:tc>
        <w:tc>
          <w:tcPr>
            <w:tcW w:w="2693" w:type="dxa"/>
            <w:tcBorders>
              <w:bottom w:val="single" w:sz="4" w:space="0" w:color="auto"/>
            </w:tcBorders>
          </w:tcPr>
          <w:p>
            <w:pPr>
              <w:pStyle w:val="nTable"/>
              <w:rPr>
                <w:sz w:val="19"/>
              </w:rPr>
            </w:pPr>
            <w:r>
              <w:rPr>
                <w:sz w:val="19"/>
              </w:rPr>
              <w:t>bl. 1 and 2: 26 Jun 2007 (see bl. 2(a));</w:t>
            </w:r>
          </w:p>
          <w:p>
            <w:pPr>
              <w:pStyle w:val="nTable"/>
              <w:rPr>
                <w:sz w:val="19"/>
              </w:rPr>
            </w:pPr>
            <w:r>
              <w:rPr>
                <w:sz w:val="19"/>
              </w:rPr>
              <w:t>By-laws other than bl. 1 and 2: 1 Jul 2007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4770</Words>
  <Characters>22658</Characters>
  <Application>Microsoft Office Word</Application>
  <DocSecurity>0</DocSecurity>
  <Lines>1078</Lines>
  <Paragraphs>741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vt:lpstr>
      <vt:lpstr>    Schedule 4 — Fees</vt:lpstr>
      <vt:lpstr>    Notes</vt:lpstr>
    </vt:vector>
  </TitlesOfParts>
  <Manager/>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2006 - 00-c0-05</dc:title>
  <dc:subject/>
  <dc:creator/>
  <cp:keywords/>
  <dc:description/>
  <cp:lastModifiedBy>svcMRProcess</cp:lastModifiedBy>
  <cp:revision>4</cp:revision>
  <cp:lastPrinted>2006-02-17T09:31:00Z</cp:lastPrinted>
  <dcterms:created xsi:type="dcterms:W3CDTF">2020-02-24T14:01:00Z</dcterms:created>
  <dcterms:modified xsi:type="dcterms:W3CDTF">2020-02-24T14:01:00Z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38407</vt:i4>
  </property>
  <property fmtid="{D5CDD505-2E9C-101B-9397-08002B2CF9AE}" pid="6" name="AsAtDate">
    <vt:lpwstr>01 Jul 2007</vt:lpwstr>
  </property>
  <property fmtid="{D5CDD505-2E9C-101B-9397-08002B2CF9AE}" pid="7" name="Suffix">
    <vt:lpwstr>00-c0-05</vt:lpwstr>
  </property>
</Properties>
</file>