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_Toc171050294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_Toc171050295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by</w:t>
      </w:r>
      <w:r>
        <w:rPr>
          <w:snapToGrid w:val="0"/>
          <w:szCs w:val="24"/>
        </w:rPr>
        <w:noBreakHyphen/>
        <w:t>laws</w:t>
      </w:r>
      <w:r>
        <w:tab/>
      </w:r>
      <w:r>
        <w:fldChar w:fldCharType="begin"/>
      </w:r>
      <w:r>
        <w:instrText xml:space="preserve"> PAGEREF _Toc171050296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_Toc171050297 \h </w:instrText>
      </w:r>
      <w:r>
        <w:fldChar w:fldCharType="separate"/>
      </w:r>
      <w:r>
        <w:t>1</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_Toc171050298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_Toc171050299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_Toc171050300 \h </w:instrText>
      </w:r>
      <w:r>
        <w:fldChar w:fldCharType="separate"/>
      </w:r>
      <w:r>
        <w:t>2</w:t>
      </w:r>
      <w:r>
        <w:fldChar w:fldCharType="end"/>
      </w:r>
    </w:p>
    <w:p>
      <w:pPr>
        <w:pStyle w:val="TOC8"/>
        <w:rPr>
          <w:sz w:val="24"/>
          <w:szCs w:val="24"/>
        </w:rPr>
      </w:pPr>
      <w:r>
        <w:rPr>
          <w:szCs w:val="24"/>
        </w:rPr>
        <w:t>8.</w:t>
      </w:r>
      <w:r>
        <w:rPr>
          <w:szCs w:val="24"/>
        </w:rPr>
        <w:tab/>
        <w:t>Payment</w:t>
      </w:r>
      <w:r>
        <w:tab/>
      </w:r>
      <w:r>
        <w:fldChar w:fldCharType="begin"/>
      </w:r>
      <w:r>
        <w:instrText xml:space="preserve"> PAGEREF _Toc171050301 \h </w:instrText>
      </w:r>
      <w:r>
        <w:fldChar w:fldCharType="separate"/>
      </w:r>
      <w:r>
        <w:t>2</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_Toc171050302 \h </w:instrText>
      </w:r>
      <w:r>
        <w:fldChar w:fldCharType="separate"/>
      </w:r>
      <w:r>
        <w:t>3</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_Toc171050303 \h </w:instrText>
      </w:r>
      <w:r>
        <w:fldChar w:fldCharType="separate"/>
      </w:r>
      <w:r>
        <w:t>4</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_Toc171050304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rate of interest under the Act section 62(16)</w:t>
      </w:r>
      <w:r>
        <w:tab/>
      </w:r>
      <w:r>
        <w:fldChar w:fldCharType="begin"/>
      </w:r>
      <w:r>
        <w:instrText xml:space="preserve"> PAGEREF _Toc171050305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Terms used in this Schedule</w:t>
      </w:r>
      <w:r>
        <w:tab/>
      </w:r>
      <w:r>
        <w:fldChar w:fldCharType="begin"/>
      </w:r>
      <w:r>
        <w:instrText xml:space="preserve"> PAGEREF _Toc171050307 \h </w:instrText>
      </w:r>
      <w:r>
        <w:fldChar w:fldCharType="separate"/>
      </w:r>
      <w:r>
        <w:t>6</w:t>
      </w:r>
      <w:r>
        <w:fldChar w:fldCharType="end"/>
      </w:r>
    </w:p>
    <w:p>
      <w:pPr>
        <w:pStyle w:val="TOC8"/>
        <w:rPr>
          <w:sz w:val="24"/>
          <w:szCs w:val="24"/>
        </w:rPr>
      </w:pPr>
      <w:r>
        <w:rPr>
          <w:szCs w:val="22"/>
        </w:rPr>
        <w:t>2.</w:t>
      </w:r>
      <w:r>
        <w:rPr>
          <w:szCs w:val="22"/>
        </w:rPr>
        <w:tab/>
        <w:t>Tariff L2 (general supply — low/medium voltage tariff)</w:t>
      </w:r>
      <w:r>
        <w:tab/>
      </w:r>
      <w:r>
        <w:fldChar w:fldCharType="begin"/>
      </w:r>
      <w:r>
        <w:instrText xml:space="preserve"> PAGEREF _Toc171050308 \h </w:instrText>
      </w:r>
      <w:r>
        <w:fldChar w:fldCharType="separate"/>
      </w:r>
      <w:r>
        <w:t>6</w:t>
      </w:r>
      <w:r>
        <w:fldChar w:fldCharType="end"/>
      </w:r>
    </w:p>
    <w:p>
      <w:pPr>
        <w:pStyle w:val="TOC8"/>
        <w:rPr>
          <w:sz w:val="24"/>
          <w:szCs w:val="24"/>
        </w:rPr>
      </w:pPr>
      <w:r>
        <w:rPr>
          <w:szCs w:val="22"/>
        </w:rPr>
        <w:t>3.</w:t>
      </w:r>
      <w:r>
        <w:rPr>
          <w:szCs w:val="22"/>
        </w:rPr>
        <w:tab/>
        <w:t>Tariff</w:t>
      </w:r>
      <w:r>
        <w:rPr>
          <w:snapToGrid w:val="0"/>
          <w:szCs w:val="22"/>
        </w:rPr>
        <w:t xml:space="preserve"> M2 (general supply — high voltage tariff)</w:t>
      </w:r>
      <w:r>
        <w:tab/>
      </w:r>
      <w:r>
        <w:fldChar w:fldCharType="begin"/>
      </w:r>
      <w:r>
        <w:instrText xml:space="preserve"> PAGEREF _Toc171050309 \h </w:instrText>
      </w:r>
      <w:r>
        <w:fldChar w:fldCharType="separate"/>
      </w:r>
      <w:r>
        <w:t>6</w:t>
      </w:r>
      <w:r>
        <w:fldChar w:fldCharType="end"/>
      </w:r>
    </w:p>
    <w:p>
      <w:pPr>
        <w:pStyle w:val="TOC8"/>
        <w:rPr>
          <w:sz w:val="24"/>
          <w:szCs w:val="24"/>
        </w:rPr>
      </w:pPr>
      <w:r>
        <w:rPr>
          <w:szCs w:val="22"/>
        </w:rPr>
        <w:t>4.</w:t>
      </w:r>
      <w:r>
        <w:rPr>
          <w:szCs w:val="22"/>
        </w:rPr>
        <w:tab/>
        <w:t>Tariff N2 (regional non</w:t>
      </w:r>
      <w:r>
        <w:rPr>
          <w:szCs w:val="22"/>
        </w:rPr>
        <w:noBreakHyphen/>
        <w:t>integrated systems — cost of supply tariff)</w:t>
      </w:r>
      <w:r>
        <w:tab/>
      </w:r>
      <w:r>
        <w:fldChar w:fldCharType="begin"/>
      </w:r>
      <w:r>
        <w:instrText xml:space="preserve"> PAGEREF _Toc171050310 \h </w:instrText>
      </w:r>
      <w:r>
        <w:fldChar w:fldCharType="separate"/>
      </w:r>
      <w:r>
        <w:t>7</w:t>
      </w:r>
      <w:r>
        <w:fldChar w:fldCharType="end"/>
      </w:r>
    </w:p>
    <w:p>
      <w:pPr>
        <w:pStyle w:val="TOC8"/>
        <w:rPr>
          <w:sz w:val="24"/>
          <w:szCs w:val="24"/>
        </w:rPr>
      </w:pPr>
      <w:r>
        <w:rPr>
          <w:szCs w:val="22"/>
        </w:rPr>
        <w:t>5.</w:t>
      </w:r>
      <w:r>
        <w:rPr>
          <w:szCs w:val="22"/>
        </w:rPr>
        <w:tab/>
        <w:t>Tariff</w:t>
      </w:r>
      <w:r>
        <w:rPr>
          <w:snapToGrid w:val="0"/>
          <w:szCs w:val="22"/>
        </w:rPr>
        <w:t xml:space="preserve"> P2 (North West interconnected system — cost of supply tariff)</w:t>
      </w:r>
      <w:r>
        <w:tab/>
      </w:r>
      <w:r>
        <w:fldChar w:fldCharType="begin"/>
      </w:r>
      <w:r>
        <w:instrText xml:space="preserve"> PAGEREF _Toc171050311 \h </w:instrText>
      </w:r>
      <w:r>
        <w:fldChar w:fldCharType="separate"/>
      </w:r>
      <w:r>
        <w:t>7</w:t>
      </w:r>
      <w:r>
        <w:fldChar w:fldCharType="end"/>
      </w:r>
    </w:p>
    <w:p>
      <w:pPr>
        <w:pStyle w:val="TOC8"/>
        <w:rPr>
          <w:sz w:val="24"/>
          <w:szCs w:val="24"/>
        </w:rPr>
      </w:pPr>
      <w:r>
        <w:rPr>
          <w:szCs w:val="22"/>
        </w:rPr>
        <w:t>6.</w:t>
      </w:r>
      <w:r>
        <w:rPr>
          <w:szCs w:val="22"/>
        </w:rPr>
        <w:tab/>
        <w:t>Tariff</w:t>
      </w:r>
      <w:r>
        <w:rPr>
          <w:snapToGrid w:val="0"/>
          <w:szCs w:val="22"/>
        </w:rPr>
        <w:t xml:space="preserve"> A2 (residential tariff)</w:t>
      </w:r>
      <w:r>
        <w:tab/>
      </w:r>
      <w:r>
        <w:fldChar w:fldCharType="begin"/>
      </w:r>
      <w:r>
        <w:instrText xml:space="preserve"> PAGEREF _Toc171050312 \h </w:instrText>
      </w:r>
      <w:r>
        <w:fldChar w:fldCharType="separate"/>
      </w:r>
      <w:r>
        <w:t>8</w:t>
      </w:r>
      <w:r>
        <w:fldChar w:fldCharType="end"/>
      </w:r>
    </w:p>
    <w:p>
      <w:pPr>
        <w:pStyle w:val="TOC8"/>
        <w:rPr>
          <w:sz w:val="24"/>
          <w:szCs w:val="24"/>
        </w:rPr>
      </w:pPr>
      <w:r>
        <w:rPr>
          <w:szCs w:val="22"/>
        </w:rPr>
        <w:t>7.</w:t>
      </w:r>
      <w:r>
        <w:rPr>
          <w:szCs w:val="22"/>
        </w:rPr>
        <w:tab/>
        <w:t>Tariff</w:t>
      </w:r>
      <w:r>
        <w:rPr>
          <w:snapToGrid w:val="0"/>
          <w:szCs w:val="22"/>
        </w:rPr>
        <w:t xml:space="preserve"> C2 (special community service tariff)</w:t>
      </w:r>
      <w:r>
        <w:tab/>
      </w:r>
      <w:r>
        <w:fldChar w:fldCharType="begin"/>
      </w:r>
      <w:r>
        <w:instrText xml:space="preserve"> PAGEREF _Toc171050313 \h </w:instrText>
      </w:r>
      <w:r>
        <w:fldChar w:fldCharType="separate"/>
      </w:r>
      <w:r>
        <w:t>8</w:t>
      </w:r>
      <w:r>
        <w:fldChar w:fldCharType="end"/>
      </w:r>
    </w:p>
    <w:p>
      <w:pPr>
        <w:pStyle w:val="TOC8"/>
        <w:rPr>
          <w:sz w:val="24"/>
          <w:szCs w:val="24"/>
        </w:rPr>
      </w:pPr>
      <w:r>
        <w:rPr>
          <w:szCs w:val="22"/>
        </w:rPr>
        <w:t>8.</w:t>
      </w:r>
      <w:r>
        <w:rPr>
          <w:szCs w:val="22"/>
        </w:rPr>
        <w:tab/>
        <w:t xml:space="preserve">Tariff </w:t>
      </w:r>
      <w:r>
        <w:rPr>
          <w:snapToGrid w:val="0"/>
          <w:szCs w:val="22"/>
        </w:rPr>
        <w:t>D2 (special tariff for certain premises)</w:t>
      </w:r>
      <w:r>
        <w:tab/>
      </w:r>
      <w:r>
        <w:fldChar w:fldCharType="begin"/>
      </w:r>
      <w:r>
        <w:instrText xml:space="preserve"> PAGEREF _Toc171050314 \h </w:instrText>
      </w:r>
      <w:r>
        <w:fldChar w:fldCharType="separate"/>
      </w:r>
      <w:r>
        <w:t>9</w:t>
      </w:r>
      <w:r>
        <w:fldChar w:fldCharType="end"/>
      </w:r>
    </w:p>
    <w:p>
      <w:pPr>
        <w:pStyle w:val="TOC8"/>
        <w:rPr>
          <w:sz w:val="24"/>
          <w:szCs w:val="24"/>
        </w:rPr>
      </w:pPr>
      <w:r>
        <w:rPr>
          <w:szCs w:val="22"/>
        </w:rPr>
        <w:t>9.</w:t>
      </w:r>
      <w:r>
        <w:rPr>
          <w:szCs w:val="22"/>
        </w:rPr>
        <w:tab/>
        <w:t>Tariff</w:t>
      </w:r>
      <w:r>
        <w:rPr>
          <w:snapToGrid w:val="0"/>
          <w:szCs w:val="22"/>
        </w:rPr>
        <w:t xml:space="preserve"> K2 (general supply with residential tariff)</w:t>
      </w:r>
      <w:r>
        <w:tab/>
      </w:r>
      <w:r>
        <w:fldChar w:fldCharType="begin"/>
      </w:r>
      <w:r>
        <w:instrText xml:space="preserve"> PAGEREF _Toc171050315 \h </w:instrText>
      </w:r>
      <w:r>
        <w:fldChar w:fldCharType="separate"/>
      </w:r>
      <w:r>
        <w:t>9</w:t>
      </w:r>
      <w:r>
        <w:fldChar w:fldCharType="end"/>
      </w:r>
    </w:p>
    <w:p>
      <w:pPr>
        <w:pStyle w:val="TOC8"/>
        <w:rPr>
          <w:sz w:val="24"/>
          <w:szCs w:val="24"/>
        </w:rPr>
      </w:pPr>
      <w:r>
        <w:rPr>
          <w:szCs w:val="22"/>
        </w:rPr>
        <w:t>10.</w:t>
      </w:r>
      <w:r>
        <w:rPr>
          <w:szCs w:val="22"/>
        </w:rPr>
        <w:tab/>
        <w:t>Tariff</w:t>
      </w:r>
      <w:r>
        <w:rPr>
          <w:snapToGrid w:val="0"/>
          <w:szCs w:val="22"/>
        </w:rPr>
        <w:t xml:space="preserve"> W2 (t</w:t>
      </w:r>
      <w:r>
        <w:rPr>
          <w:bCs/>
          <w:iCs/>
          <w:snapToGrid w:val="0"/>
          <w:szCs w:val="22"/>
        </w:rPr>
        <w:t>raffic light installations)</w:t>
      </w:r>
      <w:r>
        <w:tab/>
      </w:r>
      <w:r>
        <w:fldChar w:fldCharType="begin"/>
      </w:r>
      <w:r>
        <w:instrText xml:space="preserve"> PAGEREF _Toc171050316 \h </w:instrText>
      </w:r>
      <w:r>
        <w:fldChar w:fldCharType="separate"/>
      </w:r>
      <w:r>
        <w:t>10</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_Toc171050321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Operators (Powers) Act 1979</w:t>
      </w:r>
    </w:p>
    <w:p>
      <w:pPr>
        <w:pStyle w:val="NameofActReg"/>
      </w:pPr>
      <w:r>
        <w:t>Energy Operators (Regional Power Corporation) (Charges) By-laws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171050294"/>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(Regional Power Corporation) (Charges) By-laws 2006</w:t>
      </w:r>
      <w:r>
        <w:t>.</w:t>
      </w:r>
    </w:p>
    <w:p>
      <w:pPr>
        <w:pStyle w:val="Heading5"/>
        <w:rPr>
          <w:spacing w:val="-2"/>
        </w:rPr>
      </w:pPr>
      <w:bookmarkStart w:id="10" w:name="_Toc123621894"/>
      <w:bookmarkStart w:id="11" w:name="_Toc128284267"/>
      <w:bookmarkStart w:id="12" w:name="_Toc171050295"/>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171050296"/>
      <w:r>
        <w:rPr>
          <w:rStyle w:val="CharSectno"/>
        </w:rPr>
        <w:t>3</w:t>
      </w:r>
      <w:r>
        <w:t>.</w:t>
      </w:r>
      <w:r>
        <w:tab/>
      </w:r>
      <w:bookmarkEnd w:id="13"/>
      <w:bookmarkEnd w:id="14"/>
      <w:bookmarkEnd w:id="15"/>
      <w:bookmarkEnd w:id="16"/>
      <w:bookmarkEnd w:id="17"/>
      <w:bookmarkEnd w:id="18"/>
      <w:bookmarkEnd w:id="19"/>
      <w:r>
        <w:rPr>
          <w:snapToGrid w:val="0"/>
        </w:rPr>
        <w:t>Terms used in these by</w:t>
      </w:r>
      <w:r>
        <w:rPr>
          <w:snapToGrid w:val="0"/>
        </w:rPr>
        <w:noBreakHyphen/>
        <w:t>laws</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Heading5"/>
        <w:rPr>
          <w:snapToGrid w:val="0"/>
        </w:rPr>
      </w:pPr>
      <w:bookmarkStart w:id="23" w:name="_Toc486232664"/>
      <w:bookmarkStart w:id="24" w:name="_Toc509735409"/>
      <w:bookmarkStart w:id="25" w:name="_Toc511625641"/>
      <w:bookmarkStart w:id="26" w:name="_Toc512237523"/>
      <w:bookmarkStart w:id="27" w:name="_Toc512935995"/>
      <w:bookmarkStart w:id="28" w:name="_Toc44470744"/>
      <w:bookmarkStart w:id="29" w:name="_Toc63831848"/>
      <w:bookmarkStart w:id="30" w:name="_Toc123621896"/>
      <w:bookmarkStart w:id="31" w:name="_Toc128284269"/>
      <w:bookmarkStart w:id="32" w:name="_Toc171050297"/>
      <w:r>
        <w:rPr>
          <w:rStyle w:val="CharSectno"/>
        </w:rPr>
        <w:t>4</w:t>
      </w:r>
      <w:r>
        <w:t>.</w:t>
      </w:r>
      <w:r>
        <w:tab/>
      </w:r>
      <w:r>
        <w:rPr>
          <w:snapToGrid w:val="0"/>
        </w:rPr>
        <w:t>Electricity charges</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3" w:name="_Toc123621897"/>
      <w:bookmarkStart w:id="34" w:name="_Toc128284270"/>
      <w:bookmarkStart w:id="35" w:name="_Toc171050298"/>
      <w:r>
        <w:rPr>
          <w:rStyle w:val="CharSectno"/>
        </w:rPr>
        <w:t>5</w:t>
      </w:r>
      <w:r>
        <w:t>.</w:t>
      </w:r>
      <w:r>
        <w:tab/>
        <w:t>Application of residential tariffs</w:t>
      </w:r>
      <w:bookmarkEnd w:id="33"/>
      <w:bookmarkEnd w:id="34"/>
      <w:bookmarkEnd w:id="3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6" w:name="_Toc123621898"/>
      <w:bookmarkStart w:id="37" w:name="_Toc128284271"/>
      <w:bookmarkStart w:id="38" w:name="_Toc171050299"/>
      <w:r>
        <w:rPr>
          <w:rStyle w:val="CharSectno"/>
        </w:rPr>
        <w:t>6</w:t>
      </w:r>
      <w:r>
        <w:t>.</w:t>
      </w:r>
      <w:r>
        <w:tab/>
        <w:t>Meter rental</w:t>
      </w:r>
      <w:bookmarkEnd w:id="36"/>
      <w:bookmarkEnd w:id="37"/>
      <w:bookmarkEnd w:id="3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9" w:name="_Toc123621899"/>
      <w:bookmarkStart w:id="40" w:name="_Toc128284272"/>
      <w:bookmarkStart w:id="41" w:name="_Toc171050300"/>
      <w:r>
        <w:rPr>
          <w:rStyle w:val="CharSectno"/>
        </w:rPr>
        <w:t>7</w:t>
      </w:r>
      <w:r>
        <w:t>.</w:t>
      </w:r>
      <w:r>
        <w:tab/>
        <w:t>Fees</w:t>
      </w:r>
      <w:bookmarkEnd w:id="39"/>
      <w:bookmarkEnd w:id="40"/>
      <w:bookmarkEnd w:id="4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2" w:name="_Toc123621900"/>
      <w:bookmarkStart w:id="43" w:name="_Toc128284273"/>
      <w:bookmarkStart w:id="44" w:name="_Toc171050301"/>
      <w:r>
        <w:rPr>
          <w:rStyle w:val="CharSectno"/>
        </w:rPr>
        <w:t>8</w:t>
      </w:r>
      <w:r>
        <w:t>.</w:t>
      </w:r>
      <w:r>
        <w:tab/>
        <w:t>Payment</w:t>
      </w:r>
      <w:bookmarkEnd w:id="42"/>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45" w:name="_Toc123621901"/>
      <w:bookmarkStart w:id="46" w:name="_Toc128284274"/>
      <w:bookmarkStart w:id="47" w:name="_Toc171050302"/>
      <w:r>
        <w:rPr>
          <w:rStyle w:val="CharSectno"/>
        </w:rPr>
        <w:t>9</w:t>
      </w:r>
      <w:r>
        <w:t>.</w:t>
      </w:r>
      <w:r>
        <w:tab/>
        <w:t>Rebates and reduced fees</w:t>
      </w:r>
      <w:bookmarkEnd w:id="45"/>
      <w:bookmarkEnd w:id="46"/>
      <w:bookmarkEnd w:id="47"/>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8" w:name="_Toc123621902"/>
      <w:bookmarkStart w:id="49" w:name="_Toc128284275"/>
      <w:bookmarkStart w:id="50" w:name="_Toc171050303"/>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171050304"/>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54" w:name="_Toc486232672"/>
      <w:bookmarkStart w:id="55" w:name="_Toc509735417"/>
      <w:bookmarkStart w:id="56" w:name="_Toc511625649"/>
      <w:bookmarkStart w:id="57" w:name="_Toc512237531"/>
      <w:bookmarkStart w:id="58" w:name="_Toc512936003"/>
      <w:bookmarkStart w:id="59" w:name="_Toc44470752"/>
      <w:bookmarkStart w:id="60" w:name="_Toc63831856"/>
      <w:bookmarkStart w:id="61" w:name="_Toc123621904"/>
      <w:bookmarkStart w:id="62" w:name="_Toc128284277"/>
      <w:bookmarkStart w:id="63" w:name="_Toc171050305"/>
      <w:r>
        <w:rPr>
          <w:rStyle w:val="CharSectno"/>
        </w:rPr>
        <w:t>12</w:t>
      </w:r>
      <w:r>
        <w:rPr>
          <w:snapToGrid w:val="0"/>
        </w:rPr>
        <w:t>.</w:t>
      </w:r>
      <w:r>
        <w:rPr>
          <w:snapToGrid w:val="0"/>
        </w:rPr>
        <w:tab/>
        <w:t>Prescribed rate of interest under the Act section 62(16)</w:t>
      </w:r>
      <w:bookmarkEnd w:id="54"/>
      <w:bookmarkEnd w:id="55"/>
      <w:bookmarkEnd w:id="56"/>
      <w:bookmarkEnd w:id="57"/>
      <w:bookmarkEnd w:id="58"/>
      <w:bookmarkEnd w:id="59"/>
      <w:bookmarkEnd w:id="60"/>
      <w:bookmarkEnd w:id="61"/>
      <w:bookmarkEnd w:id="62"/>
      <w:bookmarkEnd w:id="63"/>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bookmarkStart w:id="64" w:name="_Toc123630125"/>
      <w:bookmarkStart w:id="65" w:name="_Toc123630143"/>
      <w:bookmarkStart w:id="66" w:name="_Toc123630161"/>
      <w:bookmarkStart w:id="67" w:name="_Toc124052047"/>
      <w:bookmarkStart w:id="68" w:name="_Toc124057992"/>
      <w:bookmarkStart w:id="69" w:name="_Toc124058053"/>
      <w:bookmarkStart w:id="70" w:name="_Toc124133807"/>
      <w:bookmarkStart w:id="71" w:name="_Toc124148130"/>
      <w:bookmarkStart w:id="72" w:name="_Toc124157862"/>
      <w:bookmarkStart w:id="73" w:name="_Toc124216739"/>
      <w:bookmarkStart w:id="74" w:name="_Toc124217247"/>
      <w:bookmarkStart w:id="75" w:name="_Toc124218585"/>
      <w:bookmarkStart w:id="76" w:name="_Toc124222742"/>
      <w:bookmarkStart w:id="77" w:name="_Toc124224459"/>
      <w:bookmarkStart w:id="78" w:name="_Toc124224492"/>
      <w:bookmarkStart w:id="79" w:name="_Toc124224860"/>
      <w:bookmarkStart w:id="80" w:name="_Toc124224960"/>
      <w:bookmarkStart w:id="81" w:name="_Toc124225750"/>
      <w:bookmarkStart w:id="82" w:name="_Toc124226011"/>
      <w:bookmarkStart w:id="83" w:name="_Toc124235173"/>
      <w:bookmarkStart w:id="84" w:name="_Toc124235974"/>
      <w:bookmarkStart w:id="85" w:name="_Toc125272400"/>
      <w:bookmarkStart w:id="86" w:name="_Toc125279410"/>
      <w:bookmarkStart w:id="87" w:name="_Toc127005811"/>
      <w:bookmarkStart w:id="88" w:name="_Toc127006358"/>
      <w:bookmarkStart w:id="89" w:name="_Toc127077890"/>
      <w:bookmarkStart w:id="90" w:name="_Toc127078596"/>
      <w:bookmarkStart w:id="91" w:name="_Toc127079183"/>
      <w:bookmarkStart w:id="92" w:name="_Toc127079705"/>
      <w:bookmarkStart w:id="93" w:name="_Toc127083130"/>
      <w:bookmarkStart w:id="94" w:name="_Toc127084552"/>
      <w:bookmarkStart w:id="95" w:name="_Toc127084586"/>
      <w:bookmarkStart w:id="96" w:name="_Toc127084741"/>
      <w:bookmarkStart w:id="97" w:name="_Toc127085260"/>
      <w:bookmarkStart w:id="98" w:name="_Toc127085669"/>
      <w:bookmarkStart w:id="99" w:name="_Toc127085711"/>
      <w:bookmarkStart w:id="100" w:name="_Toc127085783"/>
      <w:bookmarkStart w:id="101" w:name="_Toc127086351"/>
      <w:bookmarkStart w:id="102" w:name="_Toc127672623"/>
      <w:bookmarkStart w:id="103" w:name="_Toc127695292"/>
      <w:bookmarkStart w:id="104" w:name="_Toc127695735"/>
      <w:bookmarkStart w:id="105" w:name="_Toc127699619"/>
      <w:bookmarkStart w:id="106" w:name="_Toc127947029"/>
      <w:bookmarkStart w:id="107" w:name="_Toc127947918"/>
      <w:bookmarkStart w:id="108" w:name="_Toc127947944"/>
      <w:bookmarkStart w:id="109" w:name="_Toc127959114"/>
      <w:bookmarkStart w:id="110" w:name="_Toc127959523"/>
      <w:bookmarkStart w:id="111" w:name="_Toc128191075"/>
      <w:bookmarkStart w:id="112" w:name="_Toc128196498"/>
      <w:bookmarkStart w:id="113" w:name="_Toc128283904"/>
      <w:bookmarkStart w:id="114" w:name="_Toc128284063"/>
      <w:bookmarkStart w:id="115" w:name="_Toc128284089"/>
      <w:bookmarkStart w:id="116" w:name="_Toc128284278"/>
      <w:bookmarkStart w:id="117" w:name="_Toc131496135"/>
    </w:p>
    <w:p>
      <w:pPr>
        <w:pStyle w:val="yScheduleHeading"/>
      </w:pPr>
      <w:bookmarkStart w:id="118" w:name="_Toc131497418"/>
      <w:bookmarkStart w:id="119" w:name="_Toc131501850"/>
      <w:bookmarkStart w:id="120" w:name="_Toc171050306"/>
      <w:r>
        <w:rPr>
          <w:rStyle w:val="CharSchNo"/>
        </w:rPr>
        <w:t>Schedule 1</w:t>
      </w:r>
      <w:r>
        <w:rPr>
          <w:rStyle w:val="CharSDivNo"/>
        </w:rPr>
        <w:t> </w:t>
      </w:r>
      <w:r>
        <w:t>—</w:t>
      </w:r>
      <w:r>
        <w:rPr>
          <w:rStyle w:val="CharSDivText"/>
        </w:rPr>
        <w:t> </w:t>
      </w:r>
      <w:r>
        <w:rPr>
          <w:rStyle w:val="CharSchText"/>
        </w:rPr>
        <w:t>Supply charges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pPr>
      <w:r>
        <w:t>[bl. 3, 4(1) and 10(1)]</w:t>
      </w:r>
    </w:p>
    <w:p>
      <w:pPr>
        <w:pStyle w:val="yHeading5"/>
      </w:pPr>
      <w:bookmarkStart w:id="121" w:name="_Toc128284279"/>
      <w:bookmarkStart w:id="122" w:name="_Toc171050307"/>
      <w:r>
        <w:rPr>
          <w:rStyle w:val="CharSClsNo"/>
        </w:rPr>
        <w:t>1</w:t>
      </w:r>
      <w:r>
        <w:t>.</w:t>
      </w:r>
      <w:r>
        <w:tab/>
        <w:t>Terms used in this Schedule</w:t>
      </w:r>
      <w:bookmarkEnd w:id="121"/>
      <w:bookmarkEnd w:id="122"/>
    </w:p>
    <w:p>
      <w:pPr>
        <w:pStyle w:val="ySubsection"/>
      </w:pPr>
      <w:r>
        <w:tab/>
      </w:r>
      <w:r>
        <w:tab/>
        <w:t xml:space="preserve">In this Schedule — </w:t>
      </w:r>
    </w:p>
    <w:p>
      <w:pPr>
        <w:pStyle w:val="yDefstart"/>
      </w:pPr>
      <w:r>
        <w:rPr>
          <w:b/>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yDefstart"/>
      </w:pPr>
      <w:r>
        <w:rPr>
          <w:b/>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rPr>
          <w:b/>
        </w:rPr>
        <w:tab/>
      </w:r>
      <w:r>
        <w:rPr>
          <w:rStyle w:val="CharDefText"/>
        </w:rPr>
        <w:t>South West interconnected system</w:t>
      </w:r>
      <w:r>
        <w:t xml:space="preserve"> has the meaning given to that term in the </w:t>
      </w:r>
      <w:r>
        <w:rPr>
          <w:i/>
          <w:iCs/>
        </w:rPr>
        <w:t>Electricity Industry Act 2004</w:t>
      </w:r>
      <w:r>
        <w:t xml:space="preserve"> section 3.</w:t>
      </w:r>
    </w:p>
    <w:p>
      <w:pPr>
        <w:pStyle w:val="yHeading5"/>
      </w:pPr>
      <w:bookmarkStart w:id="123" w:name="_Toc128284280"/>
      <w:bookmarkStart w:id="124" w:name="_Toc171050308"/>
      <w:r>
        <w:rPr>
          <w:rStyle w:val="CharSClsNo"/>
        </w:rPr>
        <w:t>2</w:t>
      </w:r>
      <w:r>
        <w:t>.</w:t>
      </w:r>
      <w:r>
        <w:tab/>
        <w:t>Tariff L2 (general supply — low/medium voltage tariff)</w:t>
      </w:r>
      <w:bookmarkEnd w:id="123"/>
      <w:bookmarkEnd w:id="124"/>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25" w:name="_Toc128284281"/>
      <w:bookmarkStart w:id="126" w:name="_Toc171050309"/>
      <w:r>
        <w:rPr>
          <w:rStyle w:val="CharSClsNo"/>
        </w:rPr>
        <w:t>3</w:t>
      </w:r>
      <w:r>
        <w:t>.</w:t>
      </w:r>
      <w:r>
        <w:tab/>
        <w:t>Tariff</w:t>
      </w:r>
      <w:r>
        <w:rPr>
          <w:snapToGrid w:val="0"/>
        </w:rPr>
        <w:t xml:space="preserve"> M2 (general supply — high voltage tariff)</w:t>
      </w:r>
      <w:bookmarkEnd w:id="125"/>
      <w:bookmarkEnd w:id="126"/>
    </w:p>
    <w:p>
      <w:pPr>
        <w:pStyle w:val="ySubsection"/>
      </w:pPr>
      <w:r>
        <w:tab/>
        <w:t>(1)</w:t>
      </w:r>
      <w:r>
        <w:tab/>
        <w:t>Tariff M2 is available for consumers supplied at 6.6kV, 11kV, 22kV or 33kV or such higher voltage as the corporation may approve.</w:t>
      </w:r>
    </w:p>
    <w:p>
      <w:pPr>
        <w:pStyle w:val="ySubsection"/>
      </w:pPr>
      <w:r>
        <w:tab/>
        <w:t>(2)</w:t>
      </w:r>
      <w:r>
        <w:tab/>
        <w:t xml:space="preserve">Tariff M2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pPr>
      <w:bookmarkStart w:id="127" w:name="_Toc128284282"/>
      <w:bookmarkStart w:id="128" w:name="_Toc171050310"/>
      <w:r>
        <w:rPr>
          <w:rStyle w:val="CharSClsNo"/>
        </w:rPr>
        <w:t>4</w:t>
      </w:r>
      <w:r>
        <w:t>.</w:t>
      </w:r>
      <w:r>
        <w:tab/>
        <w:t>Tariff N2 (regional non</w:t>
      </w:r>
      <w:r>
        <w:noBreakHyphen/>
        <w:t>integrated systems — cost of supply tariff)</w:t>
      </w:r>
      <w:bookmarkEnd w:id="127"/>
      <w:bookmarkEnd w:id="128"/>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10(3) — </w:t>
      </w:r>
    </w:p>
    <w:p>
      <w:pPr>
        <w:pStyle w:val="yMiscellaneousBody"/>
        <w:jc w:val="center"/>
      </w:pPr>
      <w:r>
        <w:rPr>
          <w:noProof/>
          <w:position w:val="-24"/>
          <w:lang w:eastAsia="en-AU"/>
        </w:rPr>
        <w:drawing>
          <wp:inline distT="0" distB="0" distL="0" distR="0">
            <wp:extent cx="209931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9310" cy="397510"/>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11(C)(2)(a) of the Schedule to the </w:t>
      </w:r>
      <w:r>
        <w:rPr>
          <w:i/>
        </w:rPr>
        <w:t>Excise Tariff Act 1921</w:t>
      </w:r>
      <w:r>
        <w:t xml:space="preserve"> of the Commonwealth.</w:t>
      </w:r>
    </w:p>
    <w:p>
      <w:pPr>
        <w:pStyle w:val="yHeading5"/>
        <w:rPr>
          <w:b w:val="0"/>
          <w:i/>
          <w:snapToGrid w:val="0"/>
        </w:rPr>
      </w:pPr>
      <w:bookmarkStart w:id="129" w:name="_Toc128284283"/>
      <w:bookmarkStart w:id="130" w:name="_Toc171050311"/>
      <w:r>
        <w:rPr>
          <w:rStyle w:val="CharSClsNo"/>
        </w:rPr>
        <w:t>5</w:t>
      </w:r>
      <w:r>
        <w:t>.</w:t>
      </w:r>
      <w:r>
        <w:tab/>
        <w:t>Tariff</w:t>
      </w:r>
      <w:r>
        <w:rPr>
          <w:snapToGrid w:val="0"/>
        </w:rPr>
        <w:t xml:space="preserve"> P2 (North West interconnected system — cost of supply tariff)</w:t>
      </w:r>
      <w:bookmarkEnd w:id="129"/>
      <w:bookmarkEnd w:id="130"/>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31.31 cents per day; and</w:t>
      </w:r>
    </w:p>
    <w:p>
      <w:pPr>
        <w:pStyle w:val="yIndenta"/>
        <w:rPr>
          <w:snapToGrid w:val="0"/>
        </w:rPr>
      </w:pPr>
      <w:r>
        <w:rPr>
          <w:snapToGrid w:val="0"/>
        </w:rPr>
        <w:tab/>
        <w:t>(b)</w:t>
      </w:r>
      <w:r>
        <w:rPr>
          <w:snapToGrid w:val="0"/>
        </w:rPr>
        <w:tab/>
        <w:t>a charge for metered consumption at the rate of 20.77 cents per unit.</w:t>
      </w:r>
    </w:p>
    <w:p>
      <w:pPr>
        <w:pStyle w:val="yHeading5"/>
        <w:rPr>
          <w:snapToGrid w:val="0"/>
        </w:rPr>
      </w:pPr>
      <w:bookmarkStart w:id="131" w:name="_Toc128284284"/>
      <w:bookmarkStart w:id="132" w:name="_Toc171050312"/>
      <w:r>
        <w:rPr>
          <w:rStyle w:val="CharSClsNo"/>
        </w:rPr>
        <w:t>6</w:t>
      </w:r>
      <w:r>
        <w:t>.</w:t>
      </w:r>
      <w:r>
        <w:tab/>
        <w:t>Tariff</w:t>
      </w:r>
      <w:r>
        <w:rPr>
          <w:snapToGrid w:val="0"/>
        </w:rPr>
        <w:t xml:space="preserve"> A2 (residential tariff)</w:t>
      </w:r>
      <w:bookmarkEnd w:id="131"/>
      <w:bookmarkEnd w:id="132"/>
    </w:p>
    <w:p>
      <w:pPr>
        <w:pStyle w:val="ySubsection"/>
        <w:rPr>
          <w:snapToGrid w:val="0"/>
        </w:rPr>
      </w:pPr>
      <w:r>
        <w:rPr>
          <w:snapToGrid w:val="0"/>
        </w:rPr>
        <w:tab/>
        <w:t>(1)</w:t>
      </w:r>
      <w:r>
        <w:rPr>
          <w:snapToGrid w:val="0"/>
        </w:rPr>
        <w:tab/>
        <w:t>Tariff A2 is available for residential use only.</w:t>
      </w:r>
    </w:p>
    <w:p>
      <w:pPr>
        <w:pStyle w:val="ySubsection"/>
        <w:rPr>
          <w:snapToGrid w:val="0"/>
        </w:rPr>
      </w:pPr>
      <w:r>
        <w:rPr>
          <w:snapToGrid w:val="0"/>
        </w:rPr>
        <w:tab/>
        <w:t>(2)</w:t>
      </w:r>
      <w:r>
        <w:rPr>
          <w:snapToGrid w:val="0"/>
        </w:rP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133" w:name="_Toc128284285"/>
      <w:bookmarkStart w:id="134" w:name="_Toc171050313"/>
      <w:r>
        <w:rPr>
          <w:rStyle w:val="CharSClsNo"/>
        </w:rPr>
        <w:t>7</w:t>
      </w:r>
      <w:r>
        <w:t>.</w:t>
      </w:r>
      <w:r>
        <w:tab/>
        <w:t>Tariff</w:t>
      </w:r>
      <w:r>
        <w:rPr>
          <w:snapToGrid w:val="0"/>
        </w:rPr>
        <w:t xml:space="preserve"> C2 (special community service tariff)</w:t>
      </w:r>
      <w:bookmarkEnd w:id="133"/>
      <w:bookmarkEnd w:id="134"/>
    </w:p>
    <w:p>
      <w:pPr>
        <w:pStyle w:val="ySubsection"/>
        <w:rPr>
          <w:snapToGrid w:val="0"/>
        </w:rPr>
      </w:pPr>
      <w:r>
        <w:rPr>
          <w:snapToGrid w:val="0"/>
        </w:rPr>
        <w:tab/>
        <w:t>(1)</w:t>
      </w:r>
      <w:r>
        <w:rPr>
          <w:snapToGrid w:val="0"/>
        </w:rPr>
        <w:tab/>
        <w:t>Tariff C2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135" w:name="_Toc128284286"/>
      <w:bookmarkStart w:id="136" w:name="_Toc171050314"/>
      <w:r>
        <w:rPr>
          <w:rStyle w:val="CharSClsNo"/>
        </w:rPr>
        <w:t>8</w:t>
      </w:r>
      <w:r>
        <w:t>.</w:t>
      </w:r>
      <w:r>
        <w:tab/>
        <w:t xml:space="preserve">Tariff </w:t>
      </w:r>
      <w:r>
        <w:rPr>
          <w:snapToGrid w:val="0"/>
        </w:rPr>
        <w:t>D2 (special tariff for certain premises)</w:t>
      </w:r>
      <w:bookmarkEnd w:id="135"/>
      <w:bookmarkEnd w:id="136"/>
    </w:p>
    <w:p>
      <w:pPr>
        <w:pStyle w:val="ySubsection"/>
        <w:rPr>
          <w:snapToGrid w:val="0"/>
        </w:rPr>
      </w:pPr>
      <w:r>
        <w:rPr>
          <w:snapToGrid w:val="0"/>
        </w:rPr>
        <w:tab/>
        <w:t>(1)</w:t>
      </w:r>
      <w:r>
        <w:rPr>
          <w:snapToGrid w:val="0"/>
        </w:rPr>
        <w:tab/>
      </w:r>
      <w:r>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rPr>
          <w:snapToGrid w:val="0"/>
        </w:rPr>
        <w:tab/>
        <w:t>(2)</w:t>
      </w:r>
      <w:r>
        <w:rPr>
          <w:snapToGrid w:val="0"/>
        </w:rPr>
        <w:tab/>
      </w:r>
      <w:r>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137" w:name="_Toc128284287"/>
      <w:bookmarkStart w:id="138" w:name="_Toc171050315"/>
      <w:r>
        <w:rPr>
          <w:rStyle w:val="CharSClsNo"/>
        </w:rPr>
        <w:t>9</w:t>
      </w:r>
      <w:r>
        <w:t>.</w:t>
      </w:r>
      <w:r>
        <w:tab/>
        <w:t>Tariff</w:t>
      </w:r>
      <w:r>
        <w:rPr>
          <w:snapToGrid w:val="0"/>
        </w:rPr>
        <w:t xml:space="preserve"> K2 (general supply with residential tariff)</w:t>
      </w:r>
      <w:bookmarkEnd w:id="137"/>
      <w:bookmarkEnd w:id="138"/>
    </w:p>
    <w:p>
      <w:pPr>
        <w:pStyle w:val="ySubsection"/>
        <w:rPr>
          <w:snapToGrid w:val="0"/>
        </w:rPr>
      </w:pPr>
      <w:r>
        <w:rPr>
          <w:snapToGrid w:val="0"/>
        </w:rPr>
        <w:tab/>
        <w:t>(1)</w:t>
      </w:r>
      <w:r>
        <w:rPr>
          <w:snapToGrid w:val="0"/>
        </w:rPr>
        <w:tab/>
      </w:r>
      <w:r>
        <w:t>Tariff K2</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139" w:name="_Toc128284288"/>
      <w:bookmarkStart w:id="140" w:name="_Toc171050316"/>
      <w:r>
        <w:rPr>
          <w:rStyle w:val="CharSClsNo"/>
        </w:rPr>
        <w:t>10</w:t>
      </w:r>
      <w:r>
        <w:t>.</w:t>
      </w:r>
      <w:r>
        <w:tab/>
        <w:t>Tariff</w:t>
      </w:r>
      <w:r>
        <w:rPr>
          <w:snapToGrid w:val="0"/>
        </w:rPr>
        <w:t xml:space="preserve"> W2 (t</w:t>
      </w:r>
      <w:r>
        <w:rPr>
          <w:bCs/>
          <w:iCs/>
          <w:snapToGrid w:val="0"/>
        </w:rPr>
        <w:t>raffic light installations)</w:t>
      </w:r>
      <w:bookmarkEnd w:id="139"/>
      <w:bookmarkEnd w:id="140"/>
    </w:p>
    <w:p>
      <w:pPr>
        <w:pStyle w:val="ySubsection"/>
      </w:pPr>
      <w:r>
        <w:tab/>
      </w:r>
      <w:r>
        <w:tab/>
        <w:t>Tariff W2 comprises a charge of $2.62 per day per kilowatt of the total installed wattage.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141" w:name="_Toc123621759"/>
      <w:bookmarkStart w:id="142" w:name="_Toc123621906"/>
      <w:bookmarkStart w:id="143" w:name="_Toc123624866"/>
      <w:bookmarkStart w:id="144" w:name="_Toc123624933"/>
      <w:bookmarkStart w:id="145" w:name="_Toc123630128"/>
      <w:bookmarkStart w:id="146" w:name="_Toc123630146"/>
      <w:bookmarkStart w:id="147" w:name="_Toc123630164"/>
      <w:bookmarkStart w:id="148" w:name="_Toc124052050"/>
      <w:bookmarkStart w:id="149" w:name="_Toc124057995"/>
      <w:bookmarkStart w:id="150" w:name="_Toc124058056"/>
      <w:bookmarkStart w:id="151" w:name="_Toc124133810"/>
      <w:bookmarkStart w:id="152" w:name="_Toc124148133"/>
      <w:bookmarkStart w:id="153" w:name="_Toc124157865"/>
      <w:bookmarkStart w:id="154" w:name="_Toc124216742"/>
      <w:bookmarkStart w:id="155" w:name="_Toc124217250"/>
      <w:bookmarkStart w:id="156" w:name="_Toc124218589"/>
      <w:bookmarkStart w:id="157" w:name="_Toc124222749"/>
      <w:bookmarkStart w:id="158" w:name="_Toc124224477"/>
      <w:bookmarkStart w:id="159" w:name="_Toc124224510"/>
      <w:bookmarkStart w:id="160" w:name="_Toc124224878"/>
      <w:bookmarkStart w:id="161" w:name="_Toc124224978"/>
      <w:bookmarkStart w:id="162" w:name="_Toc124225768"/>
      <w:bookmarkStart w:id="163" w:name="_Toc124226029"/>
      <w:bookmarkStart w:id="164" w:name="_Toc124235191"/>
      <w:bookmarkStart w:id="165" w:name="_Toc124235992"/>
      <w:bookmarkStart w:id="166" w:name="_Toc125272418"/>
      <w:bookmarkStart w:id="167" w:name="_Toc125279428"/>
      <w:bookmarkStart w:id="168" w:name="_Toc127005829"/>
      <w:bookmarkStart w:id="169" w:name="_Toc127006376"/>
      <w:bookmarkStart w:id="170" w:name="_Toc127077910"/>
      <w:bookmarkStart w:id="171" w:name="_Toc127078615"/>
      <w:bookmarkStart w:id="172" w:name="_Toc127079202"/>
      <w:bookmarkStart w:id="173" w:name="_Toc127079724"/>
      <w:bookmarkStart w:id="174" w:name="_Toc127083149"/>
      <w:bookmarkStart w:id="175" w:name="_Toc127084571"/>
      <w:bookmarkStart w:id="176" w:name="_Toc127084605"/>
      <w:bookmarkStart w:id="177" w:name="_Toc127084752"/>
      <w:bookmarkStart w:id="178" w:name="_Toc127085271"/>
      <w:bookmarkStart w:id="179" w:name="_Toc127085680"/>
      <w:bookmarkStart w:id="180" w:name="_Toc127085722"/>
      <w:bookmarkStart w:id="181" w:name="_Toc127085794"/>
      <w:bookmarkStart w:id="182" w:name="_Toc127086362"/>
      <w:bookmarkStart w:id="183" w:name="_Toc127672634"/>
      <w:bookmarkStart w:id="184" w:name="_Toc127695303"/>
      <w:bookmarkStart w:id="185" w:name="_Toc127695746"/>
      <w:bookmarkStart w:id="186" w:name="_Toc127699630"/>
      <w:bookmarkStart w:id="187" w:name="_Toc127947040"/>
      <w:bookmarkStart w:id="188" w:name="_Toc127947929"/>
      <w:bookmarkStart w:id="189" w:name="_Toc127947955"/>
      <w:bookmarkStart w:id="190" w:name="_Toc127959125"/>
      <w:bookmarkStart w:id="191" w:name="_Toc127959534"/>
      <w:bookmarkStart w:id="192" w:name="_Toc128191086"/>
      <w:bookmarkStart w:id="193" w:name="_Toc128196509"/>
      <w:bookmarkStart w:id="194" w:name="_Toc128283915"/>
      <w:bookmarkStart w:id="195" w:name="_Toc128284074"/>
      <w:bookmarkStart w:id="196" w:name="_Toc128284100"/>
      <w:bookmarkStart w:id="197" w:name="_Toc128284289"/>
      <w:bookmarkStart w:id="198" w:name="_Toc131496146"/>
    </w:p>
    <w:p>
      <w:pPr>
        <w:pStyle w:val="yScheduleHeading"/>
      </w:pPr>
      <w:bookmarkStart w:id="199" w:name="_Toc131497429"/>
      <w:bookmarkStart w:id="200" w:name="_Toc131501861"/>
      <w:bookmarkStart w:id="201" w:name="_Toc171050317"/>
      <w:r>
        <w:rPr>
          <w:rStyle w:val="CharSchNo"/>
        </w:rPr>
        <w:t>Schedule 2</w:t>
      </w:r>
      <w:r>
        <w:rPr>
          <w:rStyle w:val="CharSDivNo"/>
        </w:rPr>
        <w:t> </w:t>
      </w:r>
      <w:r>
        <w:t>—</w:t>
      </w:r>
      <w:r>
        <w:rPr>
          <w:rStyle w:val="CharSDivText"/>
        </w:rPr>
        <w:t> </w:t>
      </w:r>
      <w:r>
        <w:rPr>
          <w:rStyle w:val="CharSchText"/>
        </w:rPr>
        <w:t>Street lighting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spacing w:after="60"/>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cheduleHeading"/>
      </w:pPr>
      <w:bookmarkStart w:id="202" w:name="_Toc124157866"/>
      <w:bookmarkStart w:id="203" w:name="_Toc124216743"/>
      <w:bookmarkStart w:id="204" w:name="_Toc124217251"/>
      <w:bookmarkStart w:id="205" w:name="_Toc124218590"/>
      <w:bookmarkStart w:id="206" w:name="_Toc124222750"/>
      <w:bookmarkStart w:id="207" w:name="_Toc124224478"/>
      <w:bookmarkStart w:id="208" w:name="_Toc124224511"/>
      <w:bookmarkStart w:id="209" w:name="_Toc124224879"/>
      <w:bookmarkStart w:id="210" w:name="_Toc124224979"/>
      <w:bookmarkStart w:id="211" w:name="_Toc124225769"/>
      <w:bookmarkStart w:id="212" w:name="_Toc124226030"/>
      <w:bookmarkStart w:id="213" w:name="_Toc124235192"/>
      <w:bookmarkStart w:id="214" w:name="_Toc124235993"/>
      <w:bookmarkStart w:id="215" w:name="_Toc125272419"/>
      <w:bookmarkStart w:id="216" w:name="_Toc125279429"/>
      <w:bookmarkStart w:id="217" w:name="_Toc127005830"/>
      <w:bookmarkStart w:id="218" w:name="_Toc127006377"/>
      <w:bookmarkStart w:id="219" w:name="_Toc127077911"/>
      <w:bookmarkStart w:id="220" w:name="_Toc127078616"/>
      <w:bookmarkStart w:id="221" w:name="_Toc127079203"/>
      <w:bookmarkStart w:id="222" w:name="_Toc127079725"/>
      <w:bookmarkStart w:id="223" w:name="_Toc127083150"/>
      <w:bookmarkStart w:id="224" w:name="_Toc127084572"/>
      <w:bookmarkStart w:id="225" w:name="_Toc127084606"/>
      <w:bookmarkStart w:id="226" w:name="_Toc127084753"/>
      <w:bookmarkStart w:id="227" w:name="_Toc127085272"/>
      <w:bookmarkStart w:id="228" w:name="_Toc127085681"/>
      <w:bookmarkStart w:id="229" w:name="_Toc127085723"/>
      <w:bookmarkStart w:id="230" w:name="_Toc127085795"/>
      <w:bookmarkStart w:id="231" w:name="_Toc127086363"/>
      <w:bookmarkStart w:id="232" w:name="_Toc127672635"/>
      <w:bookmarkStart w:id="233" w:name="_Toc127695304"/>
      <w:bookmarkStart w:id="234" w:name="_Toc127695747"/>
      <w:bookmarkStart w:id="235" w:name="_Toc127699631"/>
      <w:bookmarkStart w:id="236" w:name="_Toc127947041"/>
      <w:bookmarkStart w:id="237" w:name="_Toc127947930"/>
      <w:bookmarkStart w:id="238" w:name="_Toc127947956"/>
      <w:bookmarkStart w:id="239" w:name="_Toc127959126"/>
      <w:bookmarkStart w:id="240" w:name="_Toc127959535"/>
      <w:bookmarkStart w:id="241" w:name="_Toc128191087"/>
      <w:bookmarkStart w:id="242" w:name="_Toc128196510"/>
      <w:bookmarkStart w:id="243" w:name="_Toc128283916"/>
      <w:bookmarkStart w:id="244" w:name="_Toc128284075"/>
      <w:bookmarkStart w:id="245" w:name="_Toc128284101"/>
      <w:bookmarkStart w:id="246" w:name="_Toc128284290"/>
      <w:bookmarkStart w:id="247" w:name="_Toc131496147"/>
      <w:bookmarkStart w:id="248" w:name="_Toc131497430"/>
      <w:bookmarkStart w:id="249" w:name="_Toc131501862"/>
      <w:bookmarkStart w:id="250" w:name="_Toc171050318"/>
      <w:bookmarkStart w:id="251" w:name="_Toc123621760"/>
      <w:bookmarkStart w:id="252" w:name="_Toc123621907"/>
      <w:bookmarkStart w:id="253" w:name="_Toc123624867"/>
      <w:bookmarkStart w:id="254" w:name="_Toc123624934"/>
      <w:bookmarkStart w:id="255" w:name="_Toc123630129"/>
      <w:bookmarkStart w:id="256" w:name="_Toc123630147"/>
      <w:bookmarkStart w:id="257" w:name="_Toc123630165"/>
      <w:bookmarkStart w:id="258" w:name="_Toc124052051"/>
      <w:bookmarkStart w:id="259" w:name="_Toc124057996"/>
      <w:bookmarkStart w:id="260" w:name="_Toc124058057"/>
      <w:bookmarkStart w:id="261" w:name="_Toc124133811"/>
      <w:bookmarkStart w:id="262" w:name="_Toc124148134"/>
      <w:r>
        <w:rPr>
          <w:rStyle w:val="CharSchNo"/>
        </w:rPr>
        <w:t>Schedule 3</w:t>
      </w:r>
      <w:r>
        <w:rPr>
          <w:rStyle w:val="CharSDivNo"/>
        </w:rPr>
        <w:t> </w:t>
      </w:r>
      <w:r>
        <w:t>—</w:t>
      </w:r>
      <w:r>
        <w:rPr>
          <w:rStyle w:val="CharSDivText"/>
        </w:rPr>
        <w:t> </w:t>
      </w:r>
      <w:r>
        <w:rPr>
          <w:rStyle w:val="CharSchText"/>
        </w:rPr>
        <w:t>Meter rentals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bookmarkEnd w:id="251"/>
    <w:bookmarkEnd w:id="252"/>
    <w:bookmarkEnd w:id="253"/>
    <w:bookmarkEnd w:id="254"/>
    <w:bookmarkEnd w:id="255"/>
    <w:bookmarkEnd w:id="256"/>
    <w:bookmarkEnd w:id="257"/>
    <w:bookmarkEnd w:id="258"/>
    <w:bookmarkEnd w:id="259"/>
    <w:bookmarkEnd w:id="260"/>
    <w:bookmarkEnd w:id="261"/>
    <w:bookmarkEnd w:id="262"/>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63" w:name="_Toc123621761"/>
      <w:bookmarkStart w:id="264" w:name="_Toc123621908"/>
      <w:bookmarkStart w:id="265" w:name="_Toc123624868"/>
      <w:bookmarkStart w:id="266" w:name="_Toc123624935"/>
      <w:bookmarkStart w:id="267" w:name="_Toc123630130"/>
      <w:bookmarkStart w:id="268" w:name="_Toc123630148"/>
      <w:bookmarkStart w:id="269" w:name="_Toc123630166"/>
      <w:bookmarkStart w:id="270" w:name="_Toc124052052"/>
      <w:bookmarkStart w:id="271" w:name="_Toc124057997"/>
      <w:bookmarkStart w:id="272" w:name="_Toc124058058"/>
      <w:bookmarkStart w:id="273" w:name="_Toc124133812"/>
      <w:bookmarkStart w:id="274" w:name="_Toc124148135"/>
      <w:bookmarkStart w:id="275" w:name="_Toc124157867"/>
      <w:bookmarkStart w:id="276" w:name="_Toc124216744"/>
      <w:bookmarkStart w:id="277" w:name="_Toc124217252"/>
      <w:bookmarkStart w:id="278" w:name="_Toc124218591"/>
      <w:bookmarkStart w:id="279" w:name="_Toc124222751"/>
      <w:bookmarkStart w:id="280" w:name="_Toc124224479"/>
      <w:bookmarkStart w:id="281" w:name="_Toc124224512"/>
      <w:bookmarkStart w:id="282" w:name="_Toc124224880"/>
      <w:bookmarkStart w:id="283" w:name="_Toc124224980"/>
      <w:bookmarkStart w:id="284" w:name="_Toc124225770"/>
      <w:bookmarkStart w:id="285" w:name="_Toc124226031"/>
      <w:bookmarkStart w:id="286" w:name="_Toc124235193"/>
      <w:bookmarkStart w:id="287" w:name="_Toc124235994"/>
      <w:bookmarkStart w:id="288" w:name="_Toc125272420"/>
      <w:bookmarkStart w:id="289" w:name="_Toc125279430"/>
      <w:bookmarkStart w:id="290" w:name="_Toc127005831"/>
      <w:bookmarkStart w:id="291" w:name="_Toc127006378"/>
      <w:bookmarkStart w:id="292" w:name="_Toc127077912"/>
      <w:bookmarkStart w:id="293" w:name="_Toc127078617"/>
      <w:bookmarkStart w:id="294" w:name="_Toc127079204"/>
      <w:bookmarkStart w:id="295" w:name="_Toc127079726"/>
      <w:bookmarkStart w:id="296" w:name="_Toc127083151"/>
      <w:bookmarkStart w:id="297" w:name="_Toc127084573"/>
      <w:bookmarkStart w:id="298" w:name="_Toc127084607"/>
      <w:bookmarkStart w:id="299" w:name="_Toc127084754"/>
      <w:bookmarkStart w:id="300" w:name="_Toc127085273"/>
      <w:bookmarkStart w:id="301" w:name="_Toc127085682"/>
      <w:bookmarkStart w:id="302" w:name="_Toc127085724"/>
      <w:bookmarkStart w:id="303" w:name="_Toc127085796"/>
      <w:bookmarkStart w:id="304" w:name="_Toc127086364"/>
      <w:bookmarkStart w:id="305" w:name="_Toc127672636"/>
      <w:bookmarkStart w:id="306" w:name="_Toc127695305"/>
      <w:bookmarkStart w:id="307" w:name="_Toc127695748"/>
      <w:bookmarkStart w:id="308" w:name="_Toc127699632"/>
      <w:bookmarkStart w:id="309" w:name="_Toc127947042"/>
      <w:bookmarkStart w:id="310" w:name="_Toc127947931"/>
      <w:bookmarkStart w:id="311" w:name="_Toc127947957"/>
      <w:bookmarkStart w:id="312" w:name="_Toc127959127"/>
      <w:bookmarkStart w:id="313" w:name="_Toc127959536"/>
      <w:bookmarkStart w:id="314" w:name="_Toc128191088"/>
      <w:bookmarkStart w:id="315" w:name="_Toc128196511"/>
      <w:bookmarkStart w:id="316" w:name="_Toc128283917"/>
      <w:bookmarkStart w:id="317" w:name="_Toc128284076"/>
      <w:bookmarkStart w:id="318" w:name="_Toc128284102"/>
      <w:bookmarkStart w:id="319" w:name="_Toc128284291"/>
      <w:bookmarkStart w:id="320" w:name="_Toc131496148"/>
      <w:bookmarkStart w:id="321" w:name="_Toc131497431"/>
      <w:bookmarkStart w:id="322" w:name="_Toc131501863"/>
      <w:bookmarkStart w:id="323" w:name="_Toc171050319"/>
      <w:r>
        <w:rPr>
          <w:rStyle w:val="CharSchNo"/>
        </w:rPr>
        <w:t>Schedule 4</w:t>
      </w:r>
      <w:r>
        <w:rPr>
          <w:rStyle w:val="CharSDivNo"/>
        </w:rPr>
        <w:t> </w:t>
      </w:r>
      <w:r>
        <w:t>—</w:t>
      </w:r>
      <w:r>
        <w:rPr>
          <w:rStyle w:val="CharSDivText"/>
        </w:rPr>
        <w:t> </w:t>
      </w:r>
      <w:r>
        <w:rPr>
          <w:rStyle w:val="CharSchText"/>
        </w:rPr>
        <w:t>Fees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spacing w:after="60"/>
              <w:rPr>
                <w:b/>
                <w:iCs/>
              </w:rPr>
            </w:pPr>
            <w:r>
              <w:rPr>
                <w:b/>
                <w:iCs/>
              </w:rPr>
              <w:t>Description of fee</w:t>
            </w:r>
          </w:p>
        </w:tc>
        <w:tc>
          <w:tcPr>
            <w:tcW w:w="1418" w:type="dxa"/>
            <w:tcBorders>
              <w:top w:val="single" w:sz="4" w:space="0" w:color="auto"/>
              <w:bottom w:val="single" w:sz="4" w:space="0" w:color="auto"/>
            </w:tcBorders>
          </w:tcPr>
          <w:p>
            <w:pPr>
              <w:pStyle w:val="yTable"/>
              <w:spacing w:after="60"/>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$29.80</w:t>
            </w:r>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$4.10</w:t>
            </w:r>
          </w:p>
        </w:tc>
      </w:tr>
      <w:tr>
        <w:tc>
          <w:tcPr>
            <w:tcW w:w="5387" w:type="dxa"/>
            <w:gridSpan w:val="2"/>
            <w:tcBorders>
              <w:bottom w:val="single" w:sz="4" w:space="0" w:color="auto"/>
            </w:tcBorders>
          </w:tcPr>
          <w:p>
            <w:pPr>
              <w:pStyle w:val="yTable"/>
              <w:tabs>
                <w:tab w:val="left" w:pos="567"/>
              </w:tabs>
              <w:spacing w:before="0"/>
              <w:ind w:left="567" w:right="-142" w:hanging="567"/>
            </w:pPr>
            <w:r>
              <w:t>11.</w:t>
            </w:r>
            <w:r>
              <w:tab/>
              <w:t>Rejected account payment …………………………</w:t>
            </w:r>
          </w:p>
        </w:tc>
        <w:tc>
          <w:tcPr>
            <w:tcW w:w="1418" w:type="dxa"/>
            <w:tcBorders>
              <w:bottom w:val="single" w:sz="4" w:space="0" w:color="auto"/>
            </w:tcBorders>
          </w:tcPr>
          <w:p>
            <w:pPr>
              <w:pStyle w:val="yTable"/>
              <w:tabs>
                <w:tab w:val="decimal" w:pos="425"/>
              </w:tabs>
              <w:spacing w:before="0"/>
            </w:pPr>
            <w:r>
              <w:t>$20.00</w:t>
            </w:r>
          </w:p>
        </w:tc>
      </w:tr>
    </w:tbl>
    <w:p>
      <w:pPr>
        <w:pStyle w:val="yFootnotesection"/>
      </w:pPr>
      <w:bookmarkStart w:id="324" w:name="_Toc113695922"/>
      <w:r>
        <w:tab/>
        <w:t>[Schedule 4 amended in Gazette 29 Jun 2007 p. 3193.]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25" w:name="_Toc131497432"/>
      <w:bookmarkStart w:id="326" w:name="_Toc131501864"/>
      <w:bookmarkStart w:id="327" w:name="_Toc171050320"/>
      <w:r>
        <w:t>Notes</w:t>
      </w:r>
      <w:bookmarkEnd w:id="324"/>
      <w:bookmarkEnd w:id="325"/>
      <w:bookmarkEnd w:id="326"/>
      <w:bookmarkEnd w:id="327"/>
    </w:p>
    <w:p>
      <w:pPr>
        <w:pStyle w:val="nSubsection"/>
        <w:rPr>
          <w:snapToGrid w:val="0"/>
        </w:rPr>
      </w:pPr>
      <w:bookmarkStart w:id="328" w:name="_Toc70311430"/>
      <w:bookmarkStart w:id="329"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w:t>
      </w:r>
    </w:p>
    <w:p>
      <w:pPr>
        <w:pStyle w:val="nHeading3"/>
      </w:pPr>
      <w:bookmarkStart w:id="330" w:name="_Toc171050321"/>
      <w:r>
        <w:t>Compilation table</w:t>
      </w:r>
      <w:bookmarkEnd w:id="328"/>
      <w:bookmarkEnd w:id="329"/>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rPr>
            </w:pPr>
            <w:r>
              <w:rPr>
                <w:i/>
                <w:noProof/>
                <w:snapToGrid w:val="0"/>
              </w:rPr>
              <w:t>Energy Operators (Regional Power Corporation) (Charges) By-laws 2006</w:t>
            </w:r>
          </w:p>
        </w:tc>
        <w:tc>
          <w:tcPr>
            <w:tcW w:w="1276" w:type="dxa"/>
          </w:tcPr>
          <w:p>
            <w:pPr>
              <w:pStyle w:val="nTable"/>
            </w:pPr>
            <w:r>
              <w:t>31 Mar 2006 p. 1279</w:t>
            </w:r>
            <w:r>
              <w:noBreakHyphen/>
              <w:t>97</w:t>
            </w:r>
          </w:p>
        </w:tc>
        <w:tc>
          <w:tcPr>
            <w:tcW w:w="2693" w:type="dxa"/>
          </w:tcPr>
          <w:p>
            <w:pPr>
              <w:pStyle w:val="nTable"/>
            </w:pPr>
            <w:r>
              <w:t>1 Apr 2006 (see bl. 2)</w:t>
            </w:r>
          </w:p>
        </w:tc>
      </w:tr>
      <w:tr>
        <w:tc>
          <w:tcPr>
            <w:tcW w:w="3118" w:type="dxa"/>
            <w:tcBorders>
              <w:bottom w:val="single" w:sz="4" w:space="0" w:color="auto"/>
            </w:tcBorders>
          </w:tcPr>
          <w:p>
            <w:pPr>
              <w:pStyle w:val="nTable"/>
              <w:rPr>
                <w:i/>
                <w:noProof/>
                <w:snapToGrid w:val="0"/>
              </w:rPr>
            </w:pPr>
            <w:r>
              <w:rPr>
                <w:i/>
                <w:noProof/>
                <w:snapToGrid w:val="0"/>
              </w:rPr>
              <w:t>Energy Operators (Regional Power Corporation) (Charges) Amendment By</w:t>
            </w:r>
            <w:r>
              <w:rPr>
                <w:i/>
                <w:noProof/>
                <w:snapToGrid w:val="0"/>
              </w:rPr>
              <w:noBreakHyphen/>
              <w:t>law  2007</w:t>
            </w:r>
          </w:p>
        </w:tc>
        <w:tc>
          <w:tcPr>
            <w:tcW w:w="1276" w:type="dxa"/>
            <w:tcBorders>
              <w:bottom w:val="single" w:sz="4" w:space="0" w:color="auto"/>
            </w:tcBorders>
          </w:tcPr>
          <w:p>
            <w:pPr>
              <w:pStyle w:val="nTable"/>
            </w:pPr>
            <w:r>
              <w:t>29 Jun 2007 p. 3192-3</w:t>
            </w:r>
          </w:p>
        </w:tc>
        <w:tc>
          <w:tcPr>
            <w:tcW w:w="2693" w:type="dxa"/>
            <w:tcBorders>
              <w:bottom w:val="single" w:sz="4" w:space="0" w:color="auto"/>
            </w:tcBorders>
          </w:tcPr>
          <w:p>
            <w:pPr>
              <w:pStyle w:val="nTable"/>
              <w:rPr>
                <w:sz w:val="19"/>
              </w:rPr>
            </w:pPr>
            <w:r>
              <w:rPr>
                <w:sz w:val="19"/>
              </w:rPr>
              <w:t>bl. 1 and 2: 29 Jun 2007 (see </w:t>
            </w:r>
            <w:bookmarkStart w:id="331" w:name="UpToHere"/>
            <w:bookmarkEnd w:id="331"/>
            <w:r>
              <w:rPr>
                <w:sz w:val="19"/>
              </w:rPr>
              <w:t>bl. 2(a));</w:t>
            </w:r>
          </w:p>
          <w:p>
            <w:pPr>
              <w:pStyle w:val="nTable"/>
            </w:pPr>
            <w:r>
              <w:rPr>
                <w:sz w:val="19"/>
              </w:rPr>
              <w:t>By-laws other than bl. 1 and 2: 1 Jul 2007 (see bl.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(Regional Power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23"/>
    <w:docVar w:name="WAFER_20151207170123" w:val="RemoveTrackChanges"/>
    <w:docVar w:name="WAFER_20151207170123_GUID" w:val="2423e08d-c2f0-4937-9184-7eb5fffb66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3288</Words>
  <Characters>16081</Characters>
  <Application>Microsoft Office Word</Application>
  <DocSecurity>0</DocSecurity>
  <Lines>765</Lines>
  <Paragraphs>538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rentals</vt:lpstr>
      <vt:lpstr>    Schedule 4 — Fees</vt:lpstr>
      <vt:lpstr>    Notes</vt:lpstr>
    </vt:vector>
  </TitlesOfParts>
  <Manager/>
  <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2006 - 00-b0-06</dc:title>
  <dc:subject/>
  <dc:creator/>
  <cp:keywords/>
  <dc:description/>
  <cp:lastModifiedBy>svcMRProcess</cp:lastModifiedBy>
  <cp:revision>4</cp:revision>
  <cp:lastPrinted>2006-02-17T09:03:00Z</cp:lastPrinted>
  <dcterms:created xsi:type="dcterms:W3CDTF">2020-02-24T13:55:00Z</dcterms:created>
  <dcterms:modified xsi:type="dcterms:W3CDTF">2020-02-24T13:56:00Z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38408</vt:i4>
  </property>
  <property fmtid="{D5CDD505-2E9C-101B-9397-08002B2CF9AE}" pid="6" name="AsAtDate">
    <vt:lpwstr>01 Jul 2007</vt:lpwstr>
  </property>
  <property fmtid="{D5CDD505-2E9C-101B-9397-08002B2CF9AE}" pid="7" name="Suffix">
    <vt:lpwstr>00-b0-06</vt:lpwstr>
  </property>
</Properties>
</file>