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Carnarvon Irrigation District By-laws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 1962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Division I — Preliminary</w:t>
      </w:r>
    </w:p>
    <w:p>
      <w:pPr>
        <w:pStyle w:val="TOC8"/>
        <w:rPr>
          <w:sz w:val="24"/>
          <w:szCs w:val="24"/>
        </w:rPr>
      </w:pPr>
      <w:r>
        <w:rPr>
          <w:szCs w:val="24"/>
        </w:rPr>
        <w:t>1.</w:t>
      </w:r>
      <w:r>
        <w:rPr>
          <w:snapToGrid w:val="0"/>
          <w:szCs w:val="24"/>
        </w:rPr>
        <w:tab/>
        <w:t>Citation and application</w:t>
      </w:r>
      <w:r>
        <w:tab/>
      </w:r>
      <w:r>
        <w:fldChar w:fldCharType="begin"/>
      </w:r>
      <w:r>
        <w:instrText xml:space="preserve"> PAGEREF _Toc170880360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_Toc170880361 \h </w:instrText>
      </w:r>
      <w:r>
        <w:fldChar w:fldCharType="separate"/>
      </w:r>
      <w:r>
        <w:t>2</w:t>
      </w:r>
      <w:r>
        <w:fldChar w:fldCharType="end"/>
      </w:r>
    </w:p>
    <w:p>
      <w:pPr>
        <w:pStyle w:val="TOC2"/>
        <w:tabs>
          <w:tab w:val="right" w:leader="dot" w:pos="7086"/>
        </w:tabs>
        <w:rPr>
          <w:b w:val="0"/>
          <w:sz w:val="24"/>
          <w:szCs w:val="24"/>
        </w:rPr>
      </w:pPr>
      <w:r>
        <w:rPr>
          <w:szCs w:val="30"/>
        </w:rPr>
        <w:t>Division II — Protection of water, grounds, works, etc., from trespass and injury</w:t>
      </w:r>
    </w:p>
    <w:p>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_Toc170880363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_Toc170880364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_Toc170880365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_Toc170880366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_Toc170880367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_Toc170880368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_Toc170880369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_Toc170880370 \h </w:instrText>
      </w:r>
      <w:r>
        <w:fldChar w:fldCharType="separate"/>
      </w:r>
      <w:r>
        <w:t>5</w:t>
      </w:r>
      <w:r>
        <w:fldChar w:fldCharType="end"/>
      </w:r>
    </w:p>
    <w:p>
      <w:pPr>
        <w:pStyle w:val="TOC2"/>
        <w:tabs>
          <w:tab w:val="right" w:leader="dot" w:pos="7086"/>
        </w:tabs>
        <w:rPr>
          <w:b w:val="0"/>
          <w:sz w:val="24"/>
          <w:szCs w:val="24"/>
        </w:rPr>
      </w:pPr>
      <w:r>
        <w:rPr>
          <w:szCs w:val="30"/>
        </w:rPr>
        <w:t>Division III — Conditions governing the supply and control of water</w:t>
      </w:r>
    </w:p>
    <w:p>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_Toc170880372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_Toc170880373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_Toc170880374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_Toc170880375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_Toc170880376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_Toc170880377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_Toc170880378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_Toc170880379 \h </w:instrText>
      </w:r>
      <w:r>
        <w:fldChar w:fldCharType="separate"/>
      </w:r>
      <w:r>
        <w:t>9</w:t>
      </w:r>
      <w:r>
        <w:fldChar w:fldCharType="end"/>
      </w:r>
    </w:p>
    <w:p>
      <w:pPr>
        <w:pStyle w:val="TOC8"/>
        <w:rPr>
          <w:sz w:val="24"/>
          <w:szCs w:val="24"/>
        </w:rPr>
      </w:pPr>
      <w:r>
        <w:rPr>
          <w:szCs w:val="24"/>
        </w:rPr>
        <w:lastRenderedPageBreak/>
        <w:t>23</w:t>
      </w:r>
      <w:r>
        <w:rPr>
          <w:snapToGrid w:val="0"/>
          <w:szCs w:val="24"/>
        </w:rPr>
        <w:t>.</w:t>
      </w:r>
      <w:r>
        <w:rPr>
          <w:snapToGrid w:val="0"/>
          <w:szCs w:val="24"/>
        </w:rPr>
        <w:tab/>
        <w:t>Notice of determination of water entitlement</w:t>
      </w:r>
      <w:r>
        <w:tab/>
      </w:r>
      <w:r>
        <w:fldChar w:fldCharType="begin"/>
      </w:r>
      <w:r>
        <w:instrText xml:space="preserve"> PAGEREF _Toc170880380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Charges for water</w:t>
      </w:r>
      <w:r>
        <w:tab/>
      </w:r>
      <w:r>
        <w:fldChar w:fldCharType="begin"/>
      </w:r>
      <w:r>
        <w:instrText xml:space="preserve"> PAGEREF _Toc170880381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_Toc170880382 \h </w:instrText>
      </w:r>
      <w:r>
        <w:fldChar w:fldCharType="separate"/>
      </w:r>
      <w:r>
        <w:t>10</w:t>
      </w:r>
      <w:r>
        <w:fldChar w:fldCharType="end"/>
      </w:r>
    </w:p>
    <w:p>
      <w:pPr>
        <w:pStyle w:val="TOC2"/>
        <w:tabs>
          <w:tab w:val="right" w:leader="dot" w:pos="7086"/>
        </w:tabs>
        <w:rPr>
          <w:b w:val="0"/>
          <w:sz w:val="24"/>
          <w:szCs w:val="24"/>
        </w:rPr>
      </w:pPr>
      <w:r>
        <w:rPr>
          <w:szCs w:val="30"/>
        </w:rPr>
        <w:t>Division V — Miscellaneous</w:t>
      </w:r>
    </w:p>
    <w:p>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_Toc170880384 \h </w:instrText>
      </w:r>
      <w:r>
        <w:fldChar w:fldCharType="separate"/>
      </w:r>
      <w:r>
        <w:t>11</w:t>
      </w:r>
      <w:r>
        <w:fldChar w:fldCharType="end"/>
      </w:r>
    </w:p>
    <w:p>
      <w:pPr>
        <w:pStyle w:val="TOC2"/>
        <w:tabs>
          <w:tab w:val="right" w:leader="dot" w:pos="7086"/>
        </w:tabs>
        <w:rPr>
          <w:b w:val="0"/>
          <w:sz w:val="24"/>
          <w:szCs w:val="24"/>
        </w:rPr>
      </w:pPr>
      <w:r>
        <w:rPr>
          <w:szCs w:val="28"/>
        </w:rPr>
        <w:t>Schedule 1 — Minimum fee for testing a meter</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_Toc170880387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1" w:name="_Toc107974147"/>
      <w:bookmarkStart w:id="2" w:name="_Toc139689667"/>
      <w:bookmarkStart w:id="3" w:name="_Toc147202345"/>
      <w:bookmarkStart w:id="4" w:name="_Toc170795028"/>
      <w:bookmarkStart w:id="5" w:name="_Toc170880359"/>
      <w:r>
        <w:rPr>
          <w:rStyle w:val="CharDivNo"/>
        </w:rPr>
        <w:t>Division I </w:t>
      </w:r>
      <w:r>
        <w:t>—</w:t>
      </w:r>
      <w:r>
        <w:rPr>
          <w:rStyle w:val="CharDivText"/>
        </w:rPr>
        <w:t> Preliminary</w:t>
      </w:r>
      <w:bookmarkEnd w:id="1"/>
      <w:bookmarkEnd w:id="2"/>
      <w:bookmarkEnd w:id="3"/>
      <w:bookmarkEnd w:id="4"/>
      <w:bookmarkEnd w:id="5"/>
      <w:r>
        <w:rPr>
          <w:rStyle w:val="CharDivText"/>
        </w:rPr>
        <w:t xml:space="preserve"> </w:t>
      </w:r>
    </w:p>
    <w:p>
      <w:pPr>
        <w:pStyle w:val="Heading5"/>
        <w:rPr>
          <w:snapToGrid w:val="0"/>
        </w:rPr>
      </w:pPr>
      <w:bookmarkStart w:id="6" w:name="_Toc13301825"/>
      <w:bookmarkStart w:id="7" w:name="_Toc13301994"/>
      <w:bookmarkStart w:id="8" w:name="_Toc139689668"/>
      <w:bookmarkStart w:id="9" w:name="_Toc170880360"/>
      <w:r>
        <w:rPr>
          <w:rStyle w:val="CharSectno"/>
        </w:rPr>
        <w:t>1</w:t>
      </w:r>
      <w:r>
        <w:t>.</w:t>
      </w:r>
      <w:r>
        <w:rPr>
          <w:snapToGrid w:val="0"/>
        </w:rPr>
        <w:tab/>
        <w:t>Citation and application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r>
      <w:r>
        <w:tab/>
        <w:t xml:space="preserve">Repealed in Gazette 30 Sep 1983 p. 4005.] </w:t>
      </w:r>
    </w:p>
    <w:p>
      <w:pPr>
        <w:pStyle w:val="Heading5"/>
        <w:rPr>
          <w:snapToGrid w:val="0"/>
        </w:rPr>
      </w:pPr>
      <w:bookmarkStart w:id="10" w:name="_Toc13301826"/>
      <w:bookmarkStart w:id="11" w:name="_Toc13301995"/>
      <w:bookmarkStart w:id="12" w:name="_Toc139689669"/>
      <w:bookmarkStart w:id="13" w:name="_Toc17088036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w:t>
      </w:r>
      <w:r>
        <w:rPr>
          <w:rStyle w:val="CharDefText"/>
        </w:rPr>
        <w:t>District</w:t>
      </w:r>
      <w:r>
        <w:rPr>
          <w:b/>
        </w:rPr>
        <w:t>”</w:t>
      </w:r>
      <w:r>
        <w:t xml:space="preserve"> means the Carnarvon Irrigation District constituted under the Act;</w:t>
      </w:r>
    </w:p>
    <w:p>
      <w:pPr>
        <w:pStyle w:val="Defstart"/>
      </w:pPr>
      <w:r>
        <w:rPr>
          <w:b/>
        </w:rPr>
        <w:tab/>
        <w:t>“</w:t>
      </w:r>
      <w:r>
        <w:rPr>
          <w:rStyle w:val="CharDefText"/>
        </w:rPr>
        <w:t>property</w:t>
      </w:r>
      <w:r>
        <w:rPr>
          <w:b/>
        </w:rPr>
        <w:t>”</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t>“</w:t>
      </w:r>
      <w:r>
        <w:rPr>
          <w:rStyle w:val="CharDefText"/>
        </w:rPr>
        <w:t>the Act</w:t>
      </w:r>
      <w:r>
        <w:rPr>
          <w:b/>
        </w:rPr>
        <w: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14" w:name="_Toc107974150"/>
      <w:bookmarkStart w:id="15" w:name="_Toc139689670"/>
      <w:bookmarkStart w:id="16" w:name="_Toc147202348"/>
      <w:bookmarkStart w:id="17" w:name="_Toc170795031"/>
      <w:bookmarkStart w:id="18" w:name="_Toc170880362"/>
      <w:r>
        <w:rPr>
          <w:rStyle w:val="CharDivNo"/>
        </w:rPr>
        <w:t>Division II </w:t>
      </w:r>
      <w:r>
        <w:t>— </w:t>
      </w:r>
      <w:r>
        <w:rPr>
          <w:rStyle w:val="CharDivText"/>
        </w:rPr>
        <w:t>Protection of water, grounds, works, etc., from trespass and injury</w:t>
      </w:r>
      <w:bookmarkEnd w:id="14"/>
      <w:bookmarkEnd w:id="15"/>
      <w:bookmarkEnd w:id="16"/>
      <w:bookmarkEnd w:id="17"/>
      <w:bookmarkEnd w:id="18"/>
      <w:r>
        <w:rPr>
          <w:rStyle w:val="CharDivText"/>
        </w:rPr>
        <w:t xml:space="preserve"> </w:t>
      </w:r>
    </w:p>
    <w:p>
      <w:pPr>
        <w:pStyle w:val="Heading5"/>
        <w:rPr>
          <w:snapToGrid w:val="0"/>
        </w:rPr>
      </w:pPr>
      <w:bookmarkStart w:id="19" w:name="_Toc13301827"/>
      <w:bookmarkStart w:id="20" w:name="_Toc13301996"/>
      <w:bookmarkStart w:id="21" w:name="_Toc139689671"/>
      <w:bookmarkStart w:id="22" w:name="_Toc170880363"/>
      <w:r>
        <w:rPr>
          <w:rStyle w:val="CharSectno"/>
        </w:rPr>
        <w:t>4</w:t>
      </w:r>
      <w:r>
        <w:rPr>
          <w:snapToGrid w:val="0"/>
        </w:rPr>
        <w:t>.</w:t>
      </w:r>
      <w:r>
        <w:rPr>
          <w:snapToGrid w:val="0"/>
        </w:rPr>
        <w:tab/>
        <w:t>Unauthorised entry</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3" w:name="_Toc13301828"/>
      <w:bookmarkStart w:id="24" w:name="_Toc13301997"/>
      <w:bookmarkStart w:id="25" w:name="_Toc139689672"/>
      <w:bookmarkStart w:id="26" w:name="_Toc170880364"/>
      <w:r>
        <w:rPr>
          <w:rStyle w:val="CharSectno"/>
        </w:rPr>
        <w:t>5</w:t>
      </w:r>
      <w:r>
        <w:rPr>
          <w:snapToGrid w:val="0"/>
        </w:rPr>
        <w:t>.</w:t>
      </w:r>
      <w:r>
        <w:rPr>
          <w:snapToGrid w:val="0"/>
        </w:rPr>
        <w:tab/>
        <w:t>Camp fires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27" w:name="_Toc13301829"/>
      <w:bookmarkStart w:id="28" w:name="_Toc13301998"/>
      <w:bookmarkStart w:id="29" w:name="_Toc139689673"/>
      <w:bookmarkStart w:id="30" w:name="_Toc170880365"/>
      <w:r>
        <w:rPr>
          <w:rStyle w:val="CharSectno"/>
        </w:rPr>
        <w:t>6</w:t>
      </w:r>
      <w:r>
        <w:rPr>
          <w:snapToGrid w:val="0"/>
        </w:rPr>
        <w:t>.</w:t>
      </w:r>
      <w:r>
        <w:rPr>
          <w:snapToGrid w:val="0"/>
        </w:rPr>
        <w:tab/>
        <w:t>Native flora</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1" w:name="_Toc13301830"/>
      <w:bookmarkStart w:id="32" w:name="_Toc13301999"/>
      <w:bookmarkStart w:id="33" w:name="_Toc139689674"/>
      <w:bookmarkStart w:id="34" w:name="_Toc170880366"/>
      <w:r>
        <w:rPr>
          <w:rStyle w:val="CharSectno"/>
        </w:rPr>
        <w:t>7</w:t>
      </w:r>
      <w:r>
        <w:rPr>
          <w:snapToGrid w:val="0"/>
        </w:rPr>
        <w:t>.</w:t>
      </w:r>
      <w:r>
        <w:rPr>
          <w:snapToGrid w:val="0"/>
        </w:rPr>
        <w:tab/>
        <w:t>Endangering works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35" w:name="_Toc13301831"/>
      <w:bookmarkStart w:id="36" w:name="_Toc13302000"/>
      <w:bookmarkStart w:id="37" w:name="_Toc139689675"/>
      <w:bookmarkStart w:id="38" w:name="_Toc170880367"/>
      <w:r>
        <w:rPr>
          <w:rStyle w:val="CharSectno"/>
        </w:rPr>
        <w:t>8</w:t>
      </w:r>
      <w:r>
        <w:rPr>
          <w:snapToGrid w:val="0"/>
        </w:rPr>
        <w:t>.</w:t>
      </w:r>
      <w:r>
        <w:rPr>
          <w:snapToGrid w:val="0"/>
        </w:rPr>
        <w:tab/>
        <w:t>Rubbish</w:t>
      </w:r>
      <w:bookmarkEnd w:id="35"/>
      <w:bookmarkEnd w:id="36"/>
      <w:bookmarkEnd w:id="37"/>
      <w:bookmarkEnd w:id="38"/>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39" w:name="_Toc13301832"/>
      <w:bookmarkStart w:id="40" w:name="_Toc13302001"/>
      <w:bookmarkStart w:id="41" w:name="_Toc139689676"/>
      <w:bookmarkStart w:id="42" w:name="_Toc170880368"/>
      <w:r>
        <w:rPr>
          <w:rStyle w:val="CharSectno"/>
        </w:rPr>
        <w:t>9</w:t>
      </w:r>
      <w:r>
        <w:rPr>
          <w:snapToGrid w:val="0"/>
        </w:rPr>
        <w:t>.</w:t>
      </w:r>
      <w:r>
        <w:rPr>
          <w:snapToGrid w:val="0"/>
        </w:rPr>
        <w:tab/>
        <w:t>Unauthorised use of water</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43" w:name="_Toc13301833"/>
      <w:bookmarkStart w:id="44" w:name="_Toc13302002"/>
      <w:bookmarkStart w:id="45" w:name="_Toc139689677"/>
      <w:bookmarkStart w:id="46" w:name="_Toc170880369"/>
      <w:r>
        <w:rPr>
          <w:rStyle w:val="CharSectno"/>
        </w:rPr>
        <w:t>10</w:t>
      </w:r>
      <w:r>
        <w:rPr>
          <w:snapToGrid w:val="0"/>
        </w:rPr>
        <w:t>.</w:t>
      </w:r>
      <w:r>
        <w:rPr>
          <w:snapToGrid w:val="0"/>
        </w:rPr>
        <w:tab/>
        <w:t>Interference with works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47" w:name="_Toc13301834"/>
      <w:bookmarkStart w:id="48" w:name="_Toc13302003"/>
      <w:bookmarkStart w:id="49" w:name="_Toc139689678"/>
      <w:bookmarkStart w:id="50" w:name="_Toc170880370"/>
      <w:r>
        <w:rPr>
          <w:rStyle w:val="CharSectno"/>
        </w:rPr>
        <w:t>11</w:t>
      </w:r>
      <w:r>
        <w:rPr>
          <w:snapToGrid w:val="0"/>
        </w:rPr>
        <w:t>.</w:t>
      </w:r>
      <w:r>
        <w:rPr>
          <w:snapToGrid w:val="0"/>
        </w:rPr>
        <w:tab/>
        <w:t>Animals straying</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51" w:name="_Toc107974159"/>
      <w:bookmarkStart w:id="52" w:name="_Toc139689679"/>
      <w:bookmarkStart w:id="53" w:name="_Toc147202357"/>
      <w:bookmarkStart w:id="54" w:name="_Toc170795040"/>
      <w:bookmarkStart w:id="55" w:name="_Toc170880371"/>
      <w:r>
        <w:rPr>
          <w:rStyle w:val="CharDivNo"/>
        </w:rPr>
        <w:t>Division III </w:t>
      </w:r>
      <w:r>
        <w:t>—</w:t>
      </w:r>
      <w:r>
        <w:rPr>
          <w:rStyle w:val="CharPartNo"/>
        </w:rPr>
        <w:t> </w:t>
      </w:r>
      <w:r>
        <w:rPr>
          <w:rStyle w:val="CharDivText"/>
        </w:rPr>
        <w:t>Conditions governing the supply and control of water</w:t>
      </w:r>
      <w:bookmarkEnd w:id="51"/>
      <w:bookmarkEnd w:id="52"/>
      <w:bookmarkEnd w:id="53"/>
      <w:bookmarkEnd w:id="54"/>
      <w:bookmarkEnd w:id="55"/>
      <w:r>
        <w:rPr>
          <w:rStyle w:val="CharPartNo"/>
        </w:rPr>
        <w:t xml:space="preserve"> </w:t>
      </w:r>
    </w:p>
    <w:p>
      <w:pPr>
        <w:pStyle w:val="Heading5"/>
        <w:rPr>
          <w:snapToGrid w:val="0"/>
        </w:rPr>
      </w:pPr>
      <w:bookmarkStart w:id="56" w:name="_Toc13301835"/>
      <w:bookmarkStart w:id="57" w:name="_Toc13302004"/>
      <w:bookmarkStart w:id="58" w:name="_Toc139689680"/>
      <w:bookmarkStart w:id="59" w:name="_Toc170880372"/>
      <w:r>
        <w:rPr>
          <w:rStyle w:val="CharSectno"/>
        </w:rPr>
        <w:t>12</w:t>
      </w:r>
      <w:r>
        <w:rPr>
          <w:iCs/>
          <w:snapToGrid w:val="0"/>
        </w:rPr>
        <w:t>.</w:t>
      </w:r>
      <w:r>
        <w:rPr>
          <w:iCs/>
          <w:snapToGrid w:val="0"/>
        </w:rPr>
        <w:tab/>
      </w:r>
      <w:r>
        <w:rPr>
          <w:snapToGrid w:val="0"/>
        </w:rPr>
        <w:t>Basis of supply</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60" w:name="_Toc13301836"/>
      <w:bookmarkStart w:id="61" w:name="_Toc13302005"/>
      <w:bookmarkStart w:id="62" w:name="_Toc139689681"/>
      <w:bookmarkStart w:id="63" w:name="_Toc170880373"/>
      <w:r>
        <w:rPr>
          <w:rStyle w:val="CharSectno"/>
        </w:rPr>
        <w:t>15</w:t>
      </w:r>
      <w:r>
        <w:rPr>
          <w:snapToGrid w:val="0"/>
        </w:rPr>
        <w:t>.</w:t>
      </w:r>
      <w:r>
        <w:rPr>
          <w:snapToGrid w:val="0"/>
        </w:rPr>
        <w:tab/>
        <w:t>Additional supply points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64" w:name="_Toc13301837"/>
      <w:bookmarkStart w:id="65" w:name="_Toc13302006"/>
      <w:bookmarkStart w:id="66" w:name="_Toc139689682"/>
      <w:bookmarkStart w:id="67" w:name="_Toc170880374"/>
      <w:r>
        <w:rPr>
          <w:rStyle w:val="CharSectno"/>
        </w:rPr>
        <w:t>16</w:t>
      </w:r>
      <w:r>
        <w:rPr>
          <w:snapToGrid w:val="0"/>
        </w:rPr>
        <w:t>.</w:t>
      </w:r>
      <w:r>
        <w:rPr>
          <w:snapToGrid w:val="0"/>
        </w:rPr>
        <w:tab/>
        <w:t>Occupier’s distributing system</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68" w:name="_Toc13301838"/>
      <w:bookmarkStart w:id="69" w:name="_Toc13302007"/>
      <w:bookmarkStart w:id="70" w:name="_Toc139689683"/>
      <w:bookmarkStart w:id="71" w:name="_Toc170880375"/>
      <w:r>
        <w:rPr>
          <w:rStyle w:val="CharSectno"/>
        </w:rPr>
        <w:t>17</w:t>
      </w:r>
      <w:r>
        <w:rPr>
          <w:snapToGrid w:val="0"/>
        </w:rPr>
        <w:t>.</w:t>
      </w:r>
      <w:r>
        <w:rPr>
          <w:snapToGrid w:val="0"/>
        </w:rPr>
        <w:tab/>
        <w:t>Regulating supply</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72" w:name="_Toc13301839"/>
      <w:bookmarkStart w:id="73" w:name="_Toc13302008"/>
      <w:bookmarkStart w:id="74" w:name="_Toc139689684"/>
      <w:bookmarkStart w:id="75" w:name="_Toc170880376"/>
      <w:r>
        <w:rPr>
          <w:rStyle w:val="CharSectno"/>
        </w:rPr>
        <w:t>18</w:t>
      </w:r>
      <w:r>
        <w:rPr>
          <w:snapToGrid w:val="0"/>
        </w:rPr>
        <w:t>.</w:t>
      </w:r>
      <w:r>
        <w:rPr>
          <w:snapToGrid w:val="0"/>
        </w:rPr>
        <w:tab/>
        <w:t>Meters</w:t>
      </w:r>
      <w:bookmarkEnd w:id="72"/>
      <w:bookmarkEnd w:id="73"/>
      <w:bookmarkEnd w:id="74"/>
      <w:bookmarkEnd w:id="75"/>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76" w:name="_Toc13301840"/>
      <w:bookmarkStart w:id="77" w:name="_Toc13302009"/>
      <w:bookmarkStart w:id="78" w:name="_Toc139689685"/>
      <w:bookmarkStart w:id="79" w:name="_Toc170880377"/>
      <w:r>
        <w:rPr>
          <w:rStyle w:val="CharSectno"/>
        </w:rPr>
        <w:t>19</w:t>
      </w:r>
      <w:r>
        <w:rPr>
          <w:snapToGrid w:val="0"/>
        </w:rPr>
        <w:t>.</w:t>
      </w:r>
      <w:r>
        <w:rPr>
          <w:snapToGrid w:val="0"/>
        </w:rPr>
        <w:tab/>
        <w:t>Testing of meters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80" w:name="_Toc13301841"/>
      <w:bookmarkStart w:id="81" w:name="_Toc13302010"/>
      <w:bookmarkStart w:id="82" w:name="_Toc139689686"/>
      <w:bookmarkStart w:id="83" w:name="_Toc170880378"/>
      <w:r>
        <w:rPr>
          <w:rStyle w:val="CharSectno"/>
        </w:rPr>
        <w:t>20</w:t>
      </w:r>
      <w:r>
        <w:rPr>
          <w:snapToGrid w:val="0"/>
        </w:rPr>
        <w:t>.</w:t>
      </w:r>
      <w:r>
        <w:rPr>
          <w:snapToGrid w:val="0"/>
        </w:rPr>
        <w:tab/>
        <w:t>Meter out of order</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84" w:name="_Toc13301842"/>
      <w:bookmarkStart w:id="85" w:name="_Toc13302011"/>
      <w:bookmarkStart w:id="86" w:name="_Toc139689687"/>
      <w:bookmarkStart w:id="87" w:name="_Toc170880379"/>
      <w:r>
        <w:rPr>
          <w:rStyle w:val="CharSectno"/>
        </w:rPr>
        <w:t>21</w:t>
      </w:r>
      <w:r>
        <w:rPr>
          <w:snapToGrid w:val="0"/>
        </w:rPr>
        <w:t>.</w:t>
      </w:r>
      <w:r>
        <w:rPr>
          <w:snapToGrid w:val="0"/>
        </w:rPr>
        <w:tab/>
        <w:t>Water for household purposes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88" w:name="_Toc13301843"/>
      <w:bookmarkStart w:id="89" w:name="_Toc13302012"/>
      <w:bookmarkStart w:id="90" w:name="_Toc139689688"/>
      <w:bookmarkStart w:id="91" w:name="_Toc170880380"/>
      <w:r>
        <w:rPr>
          <w:rStyle w:val="CharSectno"/>
        </w:rPr>
        <w:t>23</w:t>
      </w:r>
      <w:r>
        <w:rPr>
          <w:snapToGrid w:val="0"/>
        </w:rPr>
        <w:t>.</w:t>
      </w:r>
      <w:r>
        <w:rPr>
          <w:snapToGrid w:val="0"/>
        </w:rPr>
        <w:tab/>
        <w:t>Notice of determination of water entitlement</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92" w:name="_Toc13301844"/>
      <w:bookmarkStart w:id="93" w:name="_Toc13302013"/>
      <w:bookmarkStart w:id="94" w:name="_Toc139689689"/>
      <w:bookmarkStart w:id="95" w:name="_Toc170880381"/>
      <w:r>
        <w:rPr>
          <w:rStyle w:val="CharSectno"/>
        </w:rPr>
        <w:t>25</w:t>
      </w:r>
      <w:r>
        <w:rPr>
          <w:snapToGrid w:val="0"/>
        </w:rPr>
        <w:t>.</w:t>
      </w:r>
      <w:r>
        <w:rPr>
          <w:snapToGrid w:val="0"/>
        </w:rPr>
        <w:tab/>
        <w:t>Charges for water</w:t>
      </w:r>
      <w:bookmarkEnd w:id="92"/>
      <w:bookmarkEnd w:id="93"/>
      <w:bookmarkEnd w:id="94"/>
      <w:bookmarkEnd w:id="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96" w:name="_Toc13301845"/>
      <w:bookmarkStart w:id="97" w:name="_Toc13302014"/>
      <w:bookmarkStart w:id="98" w:name="_Toc139689690"/>
      <w:bookmarkStart w:id="99" w:name="_Toc170880382"/>
      <w:r>
        <w:rPr>
          <w:rStyle w:val="CharSectno"/>
        </w:rPr>
        <w:t>26</w:t>
      </w:r>
      <w:r>
        <w:rPr>
          <w:snapToGrid w:val="0"/>
        </w:rPr>
        <w:t>.</w:t>
      </w:r>
      <w:r>
        <w:rPr>
          <w:snapToGrid w:val="0"/>
        </w:rPr>
        <w:tab/>
        <w:t>Water for land outside the District for irrigation purposes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00" w:name="_Toc107974171"/>
      <w:bookmarkStart w:id="101" w:name="_Toc139689691"/>
      <w:bookmarkStart w:id="102" w:name="_Toc147202369"/>
      <w:bookmarkStart w:id="103" w:name="_Toc170795052"/>
      <w:bookmarkStart w:id="104" w:name="_Toc170880383"/>
      <w:r>
        <w:rPr>
          <w:rStyle w:val="CharDivNo"/>
        </w:rPr>
        <w:t>Division V </w:t>
      </w:r>
      <w:r>
        <w:t>—</w:t>
      </w:r>
      <w:r>
        <w:rPr>
          <w:rStyle w:val="CharPartNo"/>
        </w:rPr>
        <w:t> </w:t>
      </w:r>
      <w:r>
        <w:rPr>
          <w:rStyle w:val="CharDivText"/>
        </w:rPr>
        <w:t>Miscellaneous</w:t>
      </w:r>
      <w:bookmarkEnd w:id="100"/>
      <w:bookmarkEnd w:id="101"/>
      <w:bookmarkEnd w:id="102"/>
      <w:bookmarkEnd w:id="103"/>
      <w:bookmarkEnd w:id="104"/>
      <w:r>
        <w:rPr>
          <w:rStyle w:val="CharPartNo"/>
        </w:rPr>
        <w:t xml:space="preserve"> </w:t>
      </w:r>
    </w:p>
    <w:p>
      <w:pPr>
        <w:pStyle w:val="Heading5"/>
        <w:rPr>
          <w:snapToGrid w:val="0"/>
        </w:rPr>
      </w:pPr>
      <w:bookmarkStart w:id="105" w:name="_Toc13301846"/>
      <w:bookmarkStart w:id="106" w:name="_Toc13302015"/>
      <w:bookmarkStart w:id="107" w:name="_Toc139689692"/>
      <w:bookmarkStart w:id="108" w:name="_Toc170880384"/>
      <w:r>
        <w:rPr>
          <w:rStyle w:val="CharSectno"/>
        </w:rPr>
        <w:t>27</w:t>
      </w:r>
      <w:r>
        <w:rPr>
          <w:iCs/>
          <w:snapToGrid w:val="0"/>
        </w:rPr>
        <w:t>.</w:t>
      </w:r>
      <w:r>
        <w:rPr>
          <w:iCs/>
          <w:snapToGrid w:val="0"/>
        </w:rPr>
        <w:tab/>
      </w:r>
      <w:bookmarkEnd w:id="105"/>
      <w:bookmarkEnd w:id="106"/>
      <w:r>
        <w:rPr>
          <w:snapToGrid w:val="0"/>
        </w:rPr>
        <w:t>General penalty provision</w:t>
      </w:r>
      <w:bookmarkEnd w:id="107"/>
      <w:bookmarkEnd w:id="108"/>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 w:name="_Toc170795055"/>
      <w:bookmarkStart w:id="110" w:name="_Toc170880385"/>
      <w:r>
        <w:rPr>
          <w:rStyle w:val="CharSchNo"/>
        </w:rPr>
        <w:t>Schedule 1</w:t>
      </w:r>
      <w:r>
        <w:t> — </w:t>
      </w:r>
      <w:r>
        <w:rPr>
          <w:rStyle w:val="CharSchText"/>
        </w:rPr>
        <w:t>Minimum fee for testing a meter</w:t>
      </w:r>
      <w:bookmarkEnd w:id="109"/>
      <w:bookmarkEnd w:id="110"/>
    </w:p>
    <w:p>
      <w:pPr>
        <w:pStyle w:val="yShoulderClause"/>
      </w:pPr>
      <w:r>
        <w:t>[bl. 19(3)(a)]</w:t>
      </w:r>
    </w:p>
    <w:p>
      <w:pPr>
        <w:pStyle w:val="yFootnoteheading"/>
      </w:pPr>
      <w:r>
        <w:tab/>
        <w:t>[Heading inserted in Gazette 29 Jun 2007 p. 3234.]</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
              <w:tabs>
                <w:tab w:val="right" w:pos="1452"/>
              </w:tabs>
              <w:spacing w:before="0" w:line="240" w:lineRule="atLeast"/>
              <w:jc w:val="center"/>
              <w:rPr>
                <w:b/>
                <w:spacing w:val="-1"/>
              </w:rPr>
            </w:pPr>
            <w:r>
              <w:rPr>
                <w:b/>
                <w:spacing w:val="-1"/>
              </w:rPr>
              <w:t>Meter Size</w:t>
            </w:r>
          </w:p>
        </w:tc>
        <w:tc>
          <w:tcPr>
            <w:tcW w:w="1559" w:type="dxa"/>
            <w:tcBorders>
              <w:top w:val="single" w:sz="4" w:space="0" w:color="auto"/>
            </w:tcBorders>
          </w:tcPr>
          <w:p>
            <w:pPr>
              <w:pStyle w:val="yTable"/>
              <w:tabs>
                <w:tab w:val="right" w:pos="1452"/>
              </w:tabs>
              <w:spacing w:before="0" w:line="240" w:lineRule="atLeast"/>
              <w:jc w:val="center"/>
              <w:rPr>
                <w:b/>
                <w:spacing w:val="-1"/>
              </w:rPr>
            </w:pPr>
            <w:r>
              <w:rPr>
                <w:b/>
                <w:spacing w:val="-1"/>
              </w:rPr>
              <w:t>Fee</w:t>
            </w:r>
          </w:p>
        </w:tc>
      </w:tr>
      <w:tr>
        <w:tc>
          <w:tcPr>
            <w:tcW w:w="4394" w:type="dxa"/>
            <w:tcBorders>
              <w:bottom w:val="single" w:sz="4" w:space="0" w:color="auto"/>
            </w:tcBorders>
          </w:tcPr>
          <w:p>
            <w:pPr>
              <w:pStyle w:val="yTable"/>
              <w:tabs>
                <w:tab w:val="right" w:pos="1452"/>
              </w:tabs>
              <w:spacing w:before="0" w:line="240" w:lineRule="atLeast"/>
              <w:jc w:val="center"/>
              <w:rPr>
                <w:b/>
                <w:spacing w:val="-1"/>
              </w:rPr>
            </w:pPr>
          </w:p>
        </w:tc>
        <w:tc>
          <w:tcPr>
            <w:tcW w:w="1559" w:type="dxa"/>
            <w:tcBorders>
              <w:bottom w:val="single" w:sz="4" w:space="0" w:color="auto"/>
            </w:tcBorders>
          </w:tcPr>
          <w:p>
            <w:pPr>
              <w:pStyle w:val="yTable"/>
              <w:tabs>
                <w:tab w:val="right" w:pos="1452"/>
              </w:tabs>
              <w:spacing w:before="0" w:line="240" w:lineRule="atLeast"/>
              <w:jc w:val="center"/>
              <w:rPr>
                <w:b/>
                <w:spacing w:val="-1"/>
              </w:rPr>
            </w:pPr>
            <w:r>
              <w:rPr>
                <w:b/>
                <w:spacing w:val="-1"/>
              </w:rPr>
              <w:t>$</w:t>
            </w:r>
          </w:p>
        </w:tc>
      </w:tr>
      <w:tr>
        <w:tc>
          <w:tcPr>
            <w:tcW w:w="4394" w:type="dxa"/>
            <w:tcBorders>
              <w:top w:val="single" w:sz="4" w:space="0" w:color="auto"/>
            </w:tcBorders>
          </w:tcPr>
          <w:p>
            <w:pPr>
              <w:pStyle w:val="yTable"/>
              <w:tabs>
                <w:tab w:val="left" w:leader="dot" w:pos="5137"/>
              </w:tabs>
              <w:spacing w:before="80"/>
              <w:rPr>
                <w:spacing w:val="-1"/>
              </w:rPr>
            </w:pPr>
            <w:r>
              <w:rPr>
                <w:spacing w:val="-1"/>
              </w:rPr>
              <w:t>20</w:t>
            </w:r>
            <w:r>
              <w:rPr>
                <w:spacing w:val="-1"/>
              </w:rPr>
              <w:noBreakHyphen/>
              <w:t>25 mm ...........................................................</w:t>
            </w:r>
          </w:p>
        </w:tc>
        <w:tc>
          <w:tcPr>
            <w:tcW w:w="1559" w:type="dxa"/>
            <w:tcBorders>
              <w:top w:val="single" w:sz="4" w:space="0" w:color="auto"/>
            </w:tcBorders>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85.00</w:t>
            </w:r>
          </w:p>
        </w:tc>
      </w:tr>
      <w:tr>
        <w:tc>
          <w:tcPr>
            <w:tcW w:w="4394" w:type="dxa"/>
            <w:tcBorders>
              <w:bottom w:val="single" w:sz="4" w:space="0" w:color="auto"/>
            </w:tcBorders>
          </w:tcPr>
          <w:p>
            <w:pPr>
              <w:pStyle w:val="yTable"/>
              <w:tabs>
                <w:tab w:val="left" w:leader="dot" w:pos="5137"/>
              </w:tabs>
              <w:spacing w:before="80"/>
              <w:rPr>
                <w:spacing w:val="-1"/>
              </w:rPr>
            </w:pPr>
            <w:r>
              <w:rPr>
                <w:spacing w:val="-1"/>
              </w:rPr>
              <w:t>40 and over .........................................................</w:t>
            </w:r>
          </w:p>
        </w:tc>
        <w:tc>
          <w:tcPr>
            <w:tcW w:w="1559" w:type="dxa"/>
            <w:tcBorders>
              <w:bottom w:val="single" w:sz="4" w:space="0" w:color="auto"/>
            </w:tcBorders>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actual cost</w:t>
            </w:r>
          </w:p>
        </w:tc>
      </w:tr>
    </w:tbl>
    <w:p>
      <w:pPr>
        <w:pStyle w:val="yFootnotesection"/>
      </w:pPr>
      <w:r>
        <w:tab/>
        <w:t>[Schedule 1 inserted in Gazette 29 Jun 2007 p. 3234.]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1" w:name="_Toc107974174"/>
      <w:bookmarkStart w:id="112" w:name="_Toc139689694"/>
      <w:bookmarkStart w:id="113" w:name="_Toc147202372"/>
      <w:bookmarkStart w:id="114" w:name="_Toc170795056"/>
      <w:bookmarkStart w:id="115" w:name="_Toc170880386"/>
      <w:r>
        <w:t>Notes</w:t>
      </w:r>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w:t>
      </w:r>
      <w:r>
        <w:rPr>
          <w:i/>
          <w:iCs/>
          <w:snapToGrid w:val="0"/>
        </w:rPr>
        <w:t xml:space="preserve">1962 </w:t>
      </w:r>
      <w:r>
        <w:rPr>
          <w:snapToGrid w:val="0"/>
        </w:rPr>
        <w:t>and includes the amendments made by the other written laws referred to in the following table.  The table also contains information about any reprint.</w:t>
      </w:r>
    </w:p>
    <w:p>
      <w:pPr>
        <w:pStyle w:val="nHeading3"/>
        <w:rPr>
          <w:snapToGrid w:val="0"/>
        </w:rPr>
      </w:pPr>
      <w:bookmarkStart w:id="116" w:name="_Toc13302017"/>
      <w:bookmarkStart w:id="117" w:name="_Toc139689695"/>
      <w:bookmarkStart w:id="118" w:name="_Toc170880387"/>
      <w:r>
        <w:rPr>
          <w:snapToGrid w:val="0"/>
        </w:rPr>
        <w:t>Compilation table</w:t>
      </w:r>
      <w:bookmarkEnd w:id="116"/>
      <w:bookmarkEnd w:id="117"/>
      <w:bookmarkEnd w:id="118"/>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11</w:t>
            </w:r>
          </w:p>
        </w:tc>
        <w:tc>
          <w:tcPr>
            <w:tcW w:w="1276" w:type="dxa"/>
            <w:gridSpan w:val="2"/>
            <w:tcBorders>
              <w:bottom w:val="single" w:sz="4" w:space="0" w:color="auto"/>
            </w:tcBorders>
          </w:tcPr>
          <w:p>
            <w:pPr>
              <w:pStyle w:val="nTable"/>
              <w:spacing w:before="60" w:after="40"/>
              <w:ind w:right="113"/>
              <w:rPr>
                <w:bCs/>
                <w:sz w:val="19"/>
              </w:rPr>
            </w:pPr>
            <w:r>
              <w:rPr>
                <w:bCs/>
                <w:sz w:val="19"/>
              </w:rPr>
              <w:t>29 Jun 2007 p. 3233-44</w:t>
            </w:r>
          </w:p>
        </w:tc>
        <w:tc>
          <w:tcPr>
            <w:tcW w:w="2674" w:type="dxa"/>
            <w:gridSpan w:val="2"/>
            <w:tcBorders>
              <w:bottom w:val="single" w:sz="4" w:space="0" w:color="auto"/>
            </w:tcBorders>
          </w:tcPr>
          <w:p>
            <w:pPr>
              <w:pStyle w:val="nTable"/>
              <w:spacing w:before="60" w:after="40"/>
              <w:ind w:right="113"/>
              <w:rPr>
                <w:bCs/>
                <w:sz w:val="19"/>
              </w:rPr>
            </w:pPr>
            <w:r>
              <w:rPr>
                <w:bCs/>
                <w:sz w:val="19"/>
              </w:rPr>
              <w:t>1 Jul 2007 (see bl. 2)</w:t>
            </w:r>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 1962</w:t>
      </w:r>
      <w:r>
        <w:rPr>
          <w:snapToGrid w:val="0"/>
        </w:rPr>
        <w:t>; citation changed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Minimum fee for testing a meter</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Carnarvon Irrigation District By-laws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06"/>
    <w:docVar w:name="WAFER_20151207140506" w:val="RemoveTrackChanges"/>
    <w:docVar w:name="WAFER_20151207140506_GUID" w:val="550a1450-3e34-44bc-a14f-28f2ba20e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3935</Words>
  <Characters>17788</Characters>
  <Application>Microsoft Office Word</Application>
  <DocSecurity>0</DocSecurity>
  <Lines>613</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1962 - 01-d0-03</dc:title>
  <dc:subject/>
  <dc:creator/>
  <cp:keywords/>
  <dc:description/>
  <cp:lastModifiedBy>svcMRProcess</cp:lastModifiedBy>
  <cp:revision>4</cp:revision>
  <cp:lastPrinted>2003-09-11T03:31:00Z</cp:lastPrinted>
  <dcterms:created xsi:type="dcterms:W3CDTF">2015-12-08T16:32:00Z</dcterms:created>
  <dcterms:modified xsi:type="dcterms:W3CDTF">2015-12-08T16:32:00Z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4340</vt:i4>
  </property>
  <property fmtid="{D5CDD505-2E9C-101B-9397-08002B2CF9AE}" pid="6" name="Formerly">
    <vt:lpwstr>Carnarvon Irrigation District By laws</vt:lpwstr>
  </property>
  <property fmtid="{D5CDD505-2E9C-101B-9397-08002B2CF9AE}" pid="7" name="AsAtDate">
    <vt:lpwstr>01 Jul 2007</vt:lpwstr>
  </property>
  <property fmtid="{D5CDD505-2E9C-101B-9397-08002B2CF9AE}" pid="8" name="Suffix">
    <vt:lpwstr>01-d0-03</vt:lpwstr>
  </property>
</Properties>
</file>