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(Code of Conduct)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(Code of Conduct) Regulations 2007</w:t>
      </w:r>
      <w:r>
        <w:fldChar w:fldCharType="end"/>
      </w:r>
    </w:p>
    <w:p>
      <w:pPr>
        <w:pStyle w:val="Arrangement"/>
      </w:pPr>
      <w:r>
        <w:t>CONTENTS</w:t>
      </w:r>
    </w:p>
    <w:p>
      <w:pPr>
        <w:pStyle w:val="TOC8"/>
        <w:rPr>
          <w:sz w:val="24"/>
        </w:rPr>
      </w:pPr>
      <w:r>
        <w:fldChar w:fldCharType="begin"/>
      </w:r>
      <w:r>
        <w:instrText xml:space="preserve"> TOC \t "Heading 2,2,yScheduleHeading,2,yHeading 2,</w:instrText>
      </w:r>
      <w:r>
        <w:fldChar w:fldCharType="begin"/>
      </w:r>
      <w:r>
        <w:instrText xml:space="preserve">  </w:instrText>
      </w:r>
      <w:r>
        <w:fldChar w:fldCharType="end"/>
      </w:r>
      <w:r>
        <w:instrText>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tab/>
        <w:t>Citation</w:t>
      </w:r>
      <w:r>
        <w:tab/>
      </w:r>
      <w:r>
        <w:fldChar w:fldCharType="begin"/>
      </w:r>
      <w:r>
        <w:instrText xml:space="preserve"> PAGEREF _Toc170718266 \h </w:instrText>
      </w:r>
      <w:r>
        <w:fldChar w:fldCharType="separate"/>
      </w:r>
      <w:r>
        <w:t>1</w:t>
      </w:r>
      <w:r>
        <w:fldChar w:fldCharType="end"/>
      </w:r>
    </w:p>
    <w:p>
      <w:pPr>
        <w:pStyle w:val="TOC8"/>
        <w:rPr>
          <w:sz w:val="24"/>
        </w:rPr>
      </w:pPr>
      <w:r>
        <w:t>2.</w:t>
      </w:r>
      <w:r>
        <w:tab/>
        <w:t>Code of conduct prescribed (section 81)</w:t>
      </w:r>
      <w:r>
        <w:tab/>
      </w:r>
      <w:r>
        <w:fldChar w:fldCharType="begin"/>
      </w:r>
      <w:r>
        <w:instrText xml:space="preserve"> PAGEREF _Toc170718267 \h </w:instrText>
      </w:r>
      <w:r>
        <w:fldChar w:fldCharType="separate"/>
      </w:r>
      <w:r>
        <w:t>1</w:t>
      </w:r>
      <w:r>
        <w:fldChar w:fldCharType="end"/>
      </w:r>
    </w:p>
    <w:p>
      <w:pPr>
        <w:pStyle w:val="TOC2"/>
        <w:tabs>
          <w:tab w:val="right" w:leader="dot" w:pos="7086"/>
        </w:tabs>
        <w:rPr>
          <w:b w:val="0"/>
          <w:sz w:val="24"/>
        </w:rPr>
      </w:pPr>
      <w:r>
        <w:t>Schedule 1</w:t>
      </w:r>
      <w:r>
        <w:rPr>
          <w:sz w:val="24"/>
        </w:rPr>
        <w:t> </w:t>
      </w:r>
      <w:r>
        <w:t>—</w:t>
      </w:r>
      <w:r>
        <w:rPr>
          <w:sz w:val="24"/>
        </w:rPr>
        <w:t> </w:t>
      </w:r>
      <w:r>
        <w:t>Code of conduct</w:t>
      </w:r>
    </w:p>
    <w:p>
      <w:pPr>
        <w:pStyle w:val="TOC4"/>
        <w:tabs>
          <w:tab w:val="right" w:leader="dot" w:pos="7086"/>
        </w:tabs>
        <w:rPr>
          <w:b w:val="0"/>
          <w:sz w:val="24"/>
        </w:rPr>
      </w:pPr>
      <w:r>
        <w:t>Division 1 — Introductory provisions</w:t>
      </w:r>
    </w:p>
    <w:p>
      <w:pPr>
        <w:pStyle w:val="TOC8"/>
        <w:rPr>
          <w:sz w:val="24"/>
        </w:rPr>
      </w:pPr>
      <w:r>
        <w:t>1.</w:t>
      </w:r>
      <w:r>
        <w:tab/>
        <w:t>Preliminary</w:t>
      </w:r>
      <w:r>
        <w:tab/>
      </w:r>
      <w:r>
        <w:fldChar w:fldCharType="begin"/>
      </w:r>
      <w:r>
        <w:instrText xml:space="preserve"> PAGEREF _Toc170718270 \h </w:instrText>
      </w:r>
      <w:r>
        <w:fldChar w:fldCharType="separate"/>
      </w:r>
      <w:r>
        <w:t>3</w:t>
      </w:r>
      <w:r>
        <w:fldChar w:fldCharType="end"/>
      </w:r>
    </w:p>
    <w:p>
      <w:pPr>
        <w:pStyle w:val="TOC8"/>
        <w:rPr>
          <w:sz w:val="24"/>
        </w:rPr>
      </w:pPr>
      <w:r>
        <w:t>2.</w:t>
      </w:r>
      <w:r>
        <w:tab/>
        <w:t>Interpretation</w:t>
      </w:r>
      <w:r>
        <w:tab/>
      </w:r>
      <w:r>
        <w:fldChar w:fldCharType="begin"/>
      </w:r>
      <w:r>
        <w:instrText xml:space="preserve"> PAGEREF _Toc170718271 \h </w:instrText>
      </w:r>
      <w:r>
        <w:fldChar w:fldCharType="separate"/>
      </w:r>
      <w:r>
        <w:t>3</w:t>
      </w:r>
      <w:r>
        <w:fldChar w:fldCharType="end"/>
      </w:r>
    </w:p>
    <w:p>
      <w:pPr>
        <w:pStyle w:val="TOC4"/>
        <w:tabs>
          <w:tab w:val="right" w:leader="dot" w:pos="7086"/>
        </w:tabs>
        <w:rPr>
          <w:b w:val="0"/>
          <w:sz w:val="24"/>
        </w:rPr>
      </w:pPr>
      <w:r>
        <w:t>Division 2 — General obligations for all finance brokers</w:t>
      </w:r>
    </w:p>
    <w:p>
      <w:pPr>
        <w:pStyle w:val="TOC8"/>
        <w:rPr>
          <w:sz w:val="24"/>
        </w:rPr>
      </w:pPr>
      <w:r>
        <w:t>3.</w:t>
      </w:r>
      <w:r>
        <w:tab/>
        <w:t>Application of Division 2</w:t>
      </w:r>
      <w:r>
        <w:tab/>
      </w:r>
      <w:r>
        <w:fldChar w:fldCharType="begin"/>
      </w:r>
      <w:r>
        <w:instrText xml:space="preserve"> PAGEREF _Toc170718273 \h </w:instrText>
      </w:r>
      <w:r>
        <w:fldChar w:fldCharType="separate"/>
      </w:r>
      <w:r>
        <w:t>5</w:t>
      </w:r>
      <w:r>
        <w:fldChar w:fldCharType="end"/>
      </w:r>
    </w:p>
    <w:p>
      <w:pPr>
        <w:pStyle w:val="TOC8"/>
        <w:rPr>
          <w:sz w:val="24"/>
        </w:rPr>
      </w:pPr>
      <w:r>
        <w:t>4.</w:t>
      </w:r>
      <w:r>
        <w:tab/>
        <w:t>General fiduciary obligations</w:t>
      </w:r>
      <w:r>
        <w:tab/>
      </w:r>
      <w:r>
        <w:fldChar w:fldCharType="begin"/>
      </w:r>
      <w:r>
        <w:instrText xml:space="preserve"> PAGEREF _Toc170718274 \h </w:instrText>
      </w:r>
      <w:r>
        <w:fldChar w:fldCharType="separate"/>
      </w:r>
      <w:r>
        <w:t>5</w:t>
      </w:r>
      <w:r>
        <w:fldChar w:fldCharType="end"/>
      </w:r>
    </w:p>
    <w:p>
      <w:pPr>
        <w:pStyle w:val="TOC8"/>
        <w:rPr>
          <w:sz w:val="24"/>
        </w:rPr>
      </w:pPr>
      <w:r>
        <w:t>5.</w:t>
      </w:r>
      <w:r>
        <w:tab/>
        <w:t>Compliance with common law obligations, loyalty and disclosure of interests</w:t>
      </w:r>
      <w:r>
        <w:tab/>
      </w:r>
      <w:r>
        <w:fldChar w:fldCharType="begin"/>
      </w:r>
      <w:r>
        <w:instrText xml:space="preserve"> PAGEREF _Toc170718275 \h </w:instrText>
      </w:r>
      <w:r>
        <w:fldChar w:fldCharType="separate"/>
      </w:r>
      <w:r>
        <w:t>6</w:t>
      </w:r>
      <w:r>
        <w:fldChar w:fldCharType="end"/>
      </w:r>
    </w:p>
    <w:p>
      <w:pPr>
        <w:pStyle w:val="TOC8"/>
        <w:rPr>
          <w:sz w:val="24"/>
        </w:rPr>
      </w:pPr>
      <w:r>
        <w:t>6.</w:t>
      </w:r>
      <w:r>
        <w:tab/>
        <w:t>Cold calling/canvassing</w:t>
      </w:r>
      <w:r>
        <w:tab/>
      </w:r>
      <w:r>
        <w:fldChar w:fldCharType="begin"/>
      </w:r>
      <w:r>
        <w:instrText xml:space="preserve"> PAGEREF _Toc170718276 \h </w:instrText>
      </w:r>
      <w:r>
        <w:fldChar w:fldCharType="separate"/>
      </w:r>
      <w:r>
        <w:t>9</w:t>
      </w:r>
      <w:r>
        <w:fldChar w:fldCharType="end"/>
      </w:r>
    </w:p>
    <w:p>
      <w:pPr>
        <w:pStyle w:val="TOC4"/>
        <w:tabs>
          <w:tab w:val="right" w:leader="dot" w:pos="7086"/>
        </w:tabs>
        <w:rPr>
          <w:b w:val="0"/>
          <w:sz w:val="24"/>
        </w:rPr>
      </w:pPr>
      <w:r>
        <w:t>Division 3 — Restricted finance broking business (applies to A, B and C classes)</w:t>
      </w:r>
    </w:p>
    <w:p>
      <w:pPr>
        <w:pStyle w:val="TOC8"/>
        <w:rPr>
          <w:sz w:val="24"/>
        </w:rPr>
      </w:pPr>
      <w:r>
        <w:t>7.</w:t>
      </w:r>
      <w:r>
        <w:tab/>
        <w:t>Application of Division 3</w:t>
      </w:r>
      <w:r>
        <w:tab/>
      </w:r>
      <w:r>
        <w:fldChar w:fldCharType="begin"/>
      </w:r>
      <w:r>
        <w:instrText xml:space="preserve"> PAGEREF _Toc170718278 \h </w:instrText>
      </w:r>
      <w:r>
        <w:fldChar w:fldCharType="separate"/>
      </w:r>
      <w:r>
        <w:t>10</w:t>
      </w:r>
      <w:r>
        <w:fldChar w:fldCharType="end"/>
      </w:r>
    </w:p>
    <w:p>
      <w:pPr>
        <w:pStyle w:val="TOC8"/>
        <w:rPr>
          <w:sz w:val="24"/>
        </w:rPr>
      </w:pPr>
      <w:r>
        <w:t>8.</w:t>
      </w:r>
      <w:r>
        <w:tab/>
        <w:t>Duties to borrowers</w:t>
      </w:r>
      <w:r>
        <w:tab/>
      </w:r>
      <w:r>
        <w:fldChar w:fldCharType="begin"/>
      </w:r>
      <w:r>
        <w:instrText xml:space="preserve"> PAGEREF _Toc170718279 \h </w:instrText>
      </w:r>
      <w:r>
        <w:fldChar w:fldCharType="separate"/>
      </w:r>
      <w:r>
        <w:t>10</w:t>
      </w:r>
      <w:r>
        <w:fldChar w:fldCharType="end"/>
      </w:r>
    </w:p>
    <w:p>
      <w:pPr>
        <w:pStyle w:val="TOC8"/>
        <w:rPr>
          <w:sz w:val="24"/>
        </w:rPr>
      </w:pPr>
      <w:r>
        <w:t>9.</w:t>
      </w:r>
      <w:r>
        <w:tab/>
        <w:t>Limited ability to waive compliance</w:t>
      </w:r>
      <w:r>
        <w:tab/>
      </w:r>
      <w:r>
        <w:fldChar w:fldCharType="begin"/>
      </w:r>
      <w:r>
        <w:instrText xml:space="preserve"> PAGEREF _Toc170718280 \h </w:instrText>
      </w:r>
      <w:r>
        <w:fldChar w:fldCharType="separate"/>
      </w:r>
      <w:r>
        <w:t>18</w:t>
      </w:r>
      <w:r>
        <w:fldChar w:fldCharType="end"/>
      </w:r>
    </w:p>
    <w:p>
      <w:pPr>
        <w:pStyle w:val="TOC4"/>
        <w:tabs>
          <w:tab w:val="right" w:leader="dot" w:pos="7086"/>
        </w:tabs>
        <w:rPr>
          <w:b w:val="0"/>
          <w:sz w:val="24"/>
        </w:rPr>
      </w:pPr>
      <w:r>
        <w:t>Division 4 — Unrestricted finance broking business (applies to A class only)</w:t>
      </w:r>
    </w:p>
    <w:p>
      <w:pPr>
        <w:pStyle w:val="TOC8"/>
        <w:rPr>
          <w:sz w:val="24"/>
        </w:rPr>
      </w:pPr>
      <w:r>
        <w:t>10.</w:t>
      </w:r>
      <w:r>
        <w:tab/>
        <w:t>Application of Division 4</w:t>
      </w:r>
      <w:r>
        <w:tab/>
      </w:r>
      <w:r>
        <w:fldChar w:fldCharType="begin"/>
      </w:r>
      <w:r>
        <w:instrText xml:space="preserve"> PAGEREF _Toc170718282 \h </w:instrText>
      </w:r>
      <w:r>
        <w:fldChar w:fldCharType="separate"/>
      </w:r>
      <w:r>
        <w:t>19</w:t>
      </w:r>
      <w:r>
        <w:fldChar w:fldCharType="end"/>
      </w:r>
    </w:p>
    <w:p>
      <w:pPr>
        <w:pStyle w:val="TOC8"/>
        <w:rPr>
          <w:sz w:val="24"/>
        </w:rPr>
      </w:pPr>
      <w:r>
        <w:t>11.</w:t>
      </w:r>
      <w:r>
        <w:tab/>
        <w:t>Duties to parties</w:t>
      </w:r>
      <w:r>
        <w:tab/>
      </w:r>
      <w:r>
        <w:fldChar w:fldCharType="begin"/>
      </w:r>
      <w:r>
        <w:instrText xml:space="preserve"> PAGEREF _Toc170718283 \h </w:instrText>
      </w:r>
      <w:r>
        <w:fldChar w:fldCharType="separate"/>
      </w:r>
      <w:r>
        <w:t>19</w:t>
      </w:r>
      <w:r>
        <w:fldChar w:fldCharType="end"/>
      </w:r>
    </w:p>
    <w:p>
      <w:pPr>
        <w:pStyle w:val="TOC8"/>
        <w:rPr>
          <w:sz w:val="24"/>
        </w:rPr>
      </w:pPr>
      <w:r>
        <w:t>12.</w:t>
      </w:r>
      <w:r>
        <w:tab/>
        <w:t>Duties to lenders</w:t>
      </w:r>
      <w:r>
        <w:tab/>
      </w:r>
      <w:r>
        <w:fldChar w:fldCharType="begin"/>
      </w:r>
      <w:r>
        <w:instrText xml:space="preserve"> PAGEREF _Toc170718284 \h </w:instrText>
      </w:r>
      <w:r>
        <w:fldChar w:fldCharType="separate"/>
      </w:r>
      <w:r>
        <w:t>21</w:t>
      </w:r>
      <w:r>
        <w:fldChar w:fldCharType="end"/>
      </w:r>
    </w:p>
    <w:p>
      <w:pPr>
        <w:pStyle w:val="TOC8"/>
        <w:rPr>
          <w:sz w:val="24"/>
        </w:rPr>
      </w:pPr>
      <w:r>
        <w:t>13.</w:t>
      </w:r>
      <w:r>
        <w:tab/>
        <w:t>Execution of documents</w:t>
      </w:r>
      <w:r>
        <w:tab/>
      </w:r>
      <w:r>
        <w:fldChar w:fldCharType="begin"/>
      </w:r>
      <w:r>
        <w:instrText xml:space="preserve"> PAGEREF _Toc170718285 \h </w:instrText>
      </w:r>
      <w:r>
        <w:fldChar w:fldCharType="separate"/>
      </w:r>
      <w:r>
        <w:t>26</w:t>
      </w:r>
      <w:r>
        <w:fldChar w:fldCharType="end"/>
      </w:r>
    </w:p>
    <w:p>
      <w:pPr>
        <w:pStyle w:val="TOC8"/>
        <w:rPr>
          <w:sz w:val="24"/>
        </w:rPr>
      </w:pPr>
      <w:r>
        <w:t>14.</w:t>
      </w:r>
      <w:r>
        <w:tab/>
        <w:t>Limited ability to waive compliance</w:t>
      </w:r>
      <w:r>
        <w:tab/>
      </w:r>
      <w:r>
        <w:fldChar w:fldCharType="begin"/>
      </w:r>
      <w:r>
        <w:instrText xml:space="preserve"> PAGEREF _Toc170718286 \h </w:instrText>
      </w:r>
      <w:r>
        <w:fldChar w:fldCharType="separate"/>
      </w:r>
      <w:r>
        <w:t>26</w:t>
      </w:r>
      <w:r>
        <w:fldChar w:fldCharType="end"/>
      </w:r>
    </w:p>
    <w:p>
      <w:pPr>
        <w:pStyle w:val="TOC2"/>
        <w:tabs>
          <w:tab w:val="right" w:leader="dot" w:pos="7086"/>
        </w:tabs>
        <w:rPr>
          <w:b w:val="0"/>
          <w:sz w:val="24"/>
        </w:rPr>
      </w:pPr>
      <w:r>
        <w:t>Appendix 1</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_Toc170718289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Finance Brokers Control Act 1975</w:t>
      </w:r>
    </w:p>
    <w:p>
      <w:pPr>
        <w:pStyle w:val="NameofActReg"/>
      </w:pPr>
      <w:r>
        <w:t>Finance Brokers Control (Code of Conduct)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718266"/>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10" w:name="_Toc170718267"/>
      <w:r>
        <w:rPr>
          <w:rStyle w:val="CharSectno"/>
        </w:rPr>
        <w:t>2</w:t>
      </w:r>
      <w:r>
        <w:t>.</w:t>
      </w:r>
      <w:r>
        <w:tab/>
        <w:t>Code of conduct prescribed (section 81)</w:t>
      </w:r>
      <w:bookmarkEnd w:id="10"/>
    </w:p>
    <w:p>
      <w:pPr>
        <w:pStyle w:val="Subsection"/>
      </w:pPr>
      <w:r>
        <w:tab/>
      </w:r>
      <w:r>
        <w:tab/>
        <w:t>The code of conduct set out in Schedule 1 is prescribed as a code of conduct for finance brokers for the purposes of section 81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 w:name="_Toc170717265"/>
    </w:p>
    <w:p>
      <w:pPr>
        <w:pStyle w:val="yScheduleHeading"/>
      </w:pPr>
      <w:bookmarkStart w:id="12" w:name="_Toc170718268"/>
      <w:r>
        <w:rPr>
          <w:rStyle w:val="CharSchNo"/>
        </w:rPr>
        <w:t>Schedule 1</w:t>
      </w:r>
      <w:r>
        <w:rPr>
          <w:rStyle w:val="CharSDivNo"/>
        </w:rPr>
        <w:t> </w:t>
      </w:r>
      <w:r>
        <w:t>—</w:t>
      </w:r>
      <w:bookmarkStart w:id="13" w:name="AutoSch"/>
      <w:bookmarkEnd w:id="13"/>
      <w:r>
        <w:rPr>
          <w:rStyle w:val="CharSDivText"/>
        </w:rPr>
        <w:t> </w:t>
      </w:r>
      <w:r>
        <w:rPr>
          <w:rStyle w:val="CharSchText"/>
        </w:rPr>
        <w:t>Code of conduct</w:t>
      </w:r>
      <w:bookmarkEnd w:id="11"/>
      <w:bookmarkEnd w:id="12"/>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pPr>
      <w:bookmarkStart w:id="14" w:name="_Toc170717266"/>
      <w:bookmarkStart w:id="15" w:name="_Toc170718269"/>
      <w:r>
        <w:rPr>
          <w:rStyle w:val="CharSDivNo"/>
        </w:rPr>
        <w:t>Division 1</w:t>
      </w:r>
      <w:r>
        <w:t> — </w:t>
      </w:r>
      <w:r>
        <w:rPr>
          <w:rStyle w:val="CharSDivText"/>
        </w:rPr>
        <w:t>Introductory provisions</w:t>
      </w:r>
      <w:bookmarkEnd w:id="14"/>
      <w:bookmarkEnd w:id="15"/>
    </w:p>
    <w:p>
      <w:pPr>
        <w:pStyle w:val="yHeading5"/>
      </w:pPr>
      <w:bookmarkStart w:id="16" w:name="_Toc170718270"/>
      <w:r>
        <w:rPr>
          <w:rStyle w:val="CharSClsNo"/>
        </w:rPr>
        <w:t>1</w:t>
      </w:r>
      <w:r>
        <w:t>.</w:t>
      </w:r>
      <w:r>
        <w:tab/>
        <w:t>Preliminary</w:t>
      </w:r>
      <w:bookmarkEnd w:id="16"/>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17" w:name="_Toc170718271"/>
      <w:r>
        <w:rPr>
          <w:rStyle w:val="CharSClsNo"/>
        </w:rPr>
        <w:t>2</w:t>
      </w:r>
      <w:r>
        <w:t>.</w:t>
      </w:r>
      <w:r>
        <w:tab/>
        <w:t>Interpretation</w:t>
      </w:r>
      <w:bookmarkEnd w:id="17"/>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is the borrower if a finance broker deals directly with the borrower in negotiating or arranging a loan (unless the 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(Western Australia) Code.</w:t>
      </w:r>
    </w:p>
    <w:p>
      <w:pPr>
        <w:pStyle w:val="yHeading3"/>
      </w:pPr>
      <w:bookmarkStart w:id="18" w:name="_Toc170717269"/>
      <w:bookmarkStart w:id="19" w:name="_Toc170718272"/>
      <w:r>
        <w:rPr>
          <w:rStyle w:val="CharSDivNo"/>
        </w:rPr>
        <w:t>Division 2</w:t>
      </w:r>
      <w:r>
        <w:t> — </w:t>
      </w:r>
      <w:r>
        <w:rPr>
          <w:rStyle w:val="CharSDivText"/>
        </w:rPr>
        <w:t>General obligations for all finance brokers</w:t>
      </w:r>
      <w:bookmarkEnd w:id="18"/>
      <w:bookmarkEnd w:id="19"/>
    </w:p>
    <w:p>
      <w:pPr>
        <w:pStyle w:val="yHeading5"/>
      </w:pPr>
      <w:bookmarkStart w:id="20" w:name="_Toc170718273"/>
      <w:r>
        <w:rPr>
          <w:rStyle w:val="CharSClsNo"/>
        </w:rPr>
        <w:t>3</w:t>
      </w:r>
      <w:r>
        <w:t>.</w:t>
      </w:r>
      <w:r>
        <w:tab/>
        <w:t>Application of Division 2</w:t>
      </w:r>
      <w:bookmarkEnd w:id="20"/>
    </w:p>
    <w:p>
      <w:pPr>
        <w:pStyle w:val="ySubsection"/>
      </w:pPr>
      <w:r>
        <w:tab/>
        <w:t>3.1</w:t>
      </w:r>
      <w:r>
        <w:tab/>
        <w:t>Division 2 applies to all loans negotiated or arranged by a finance broker.</w:t>
      </w:r>
    </w:p>
    <w:p>
      <w:pPr>
        <w:pStyle w:val="yHeading5"/>
      </w:pPr>
      <w:bookmarkStart w:id="21" w:name="_Toc170718274"/>
      <w:r>
        <w:rPr>
          <w:rStyle w:val="CharSClsNo"/>
        </w:rPr>
        <w:t>4</w:t>
      </w:r>
      <w:r>
        <w:t>.</w:t>
      </w:r>
      <w:r>
        <w:tab/>
        <w:t>General fiduciary obligations</w:t>
      </w:r>
      <w:bookmarkEnd w:id="21"/>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tab/>
        <w:t>(c)</w:t>
      </w:r>
      <w:r>
        <w:tab/>
        <w:t>fulfil all commitments honestly, fairly and competently.</w:t>
      </w:r>
    </w:p>
    <w:p>
      <w:pPr>
        <w:pStyle w:val="yHeading5"/>
      </w:pPr>
      <w:bookmarkStart w:id="22" w:name="_Toc170718275"/>
      <w:r>
        <w:rPr>
          <w:rStyle w:val="CharSClsNo"/>
        </w:rPr>
        <w:t>5</w:t>
      </w:r>
      <w:r>
        <w:t>.</w:t>
      </w:r>
      <w:r>
        <w:tab/>
        <w:t>Compliance with common law obligations, loyalty and disclosure of interests</w:t>
      </w:r>
      <w:bookmarkEnd w:id="22"/>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exercise reasonable skill, care and diligence when conducting and carrying on the business of a finance broker and fulfil the 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23" w:name="_Toc170718276"/>
      <w:r>
        <w:rPr>
          <w:rStyle w:val="CharSClsNo"/>
        </w:rPr>
        <w:t>6</w:t>
      </w:r>
      <w:r>
        <w:t>.</w:t>
      </w:r>
      <w:r>
        <w:tab/>
        <w:t>Cold calling/canvassing</w:t>
      </w:r>
      <w:bookmarkEnd w:id="23"/>
    </w:p>
    <w:p>
      <w:pPr>
        <w:pStyle w:val="ySubsection"/>
      </w:pPr>
      <w:r>
        <w:tab/>
        <w:t>6.1</w:t>
      </w:r>
      <w:r>
        <w:tab/>
        <w:t xml:space="preserve">A finance broker must at all times comply with the </w:t>
      </w:r>
      <w:r>
        <w:rPr>
          <w:i/>
        </w:rPr>
        <w:t>Door to Door Trading Act 1987</w:t>
      </w:r>
      <w:r>
        <w:t xml:space="preserve"> 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Heading3"/>
      </w:pPr>
      <w:bookmarkStart w:id="24" w:name="_Toc170717274"/>
      <w:bookmarkStart w:id="25" w:name="_Toc170718277"/>
      <w:r>
        <w:rPr>
          <w:rStyle w:val="CharSDivNo"/>
        </w:rPr>
        <w:t>Division 3</w:t>
      </w:r>
      <w:r>
        <w:t> — </w:t>
      </w:r>
      <w:r>
        <w:rPr>
          <w:rStyle w:val="CharSDivText"/>
        </w:rPr>
        <w:t>Restricted finance broking business (applies to A, B and C classes)</w:t>
      </w:r>
      <w:bookmarkEnd w:id="24"/>
      <w:bookmarkEnd w:id="25"/>
    </w:p>
    <w:p>
      <w:pPr>
        <w:pStyle w:val="yHeading5"/>
      </w:pPr>
      <w:bookmarkStart w:id="26" w:name="_Toc170718278"/>
      <w:r>
        <w:rPr>
          <w:rStyle w:val="CharSClsNo"/>
        </w:rPr>
        <w:t>7</w:t>
      </w:r>
      <w:r>
        <w:t>.</w:t>
      </w:r>
      <w:r>
        <w:tab/>
        <w:t>Application of Division 3</w:t>
      </w:r>
      <w:bookmarkEnd w:id="26"/>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27" w:name="_Toc170718279"/>
      <w:r>
        <w:rPr>
          <w:rStyle w:val="CharSClsNo"/>
        </w:rPr>
        <w:t>8</w:t>
      </w:r>
      <w:r>
        <w:t>.</w:t>
      </w:r>
      <w:r>
        <w:tab/>
        <w:t>Duties to borrowers</w:t>
      </w:r>
      <w:bookmarkEnd w:id="27"/>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pPr>
      <w:r>
        <w:tab/>
        <w:t>8.6</w:t>
      </w:r>
      <w:r>
        <w:tab/>
        <w:t xml:space="preserve">Before being appointed to act as a finance broker to a borrower, a finance broker must disclose in writing to the borrower, the following information — </w:t>
      </w:r>
    </w:p>
    <w:p>
      <w:pPr>
        <w:pStyle w:val="yIndenta"/>
      </w:pPr>
      <w:r>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either percentages or fixed amounts, provided always that the highest and lowest commissions are expressed in the same manner for any loan amount and term nominated by a prospective borrower, where commissions are payable as both 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bookmarkStart w:id="28" w:name="UpToHere"/>
      <w:bookmarkEnd w:id="28"/>
      <w:r>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where it is reasonable to anticipate that the finance broker will not receive or retain all of the fees payable by the borrower or all of the commission or 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for 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pPr>
      <w:r>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29" w:name="_Toc170718280"/>
      <w:r>
        <w:rPr>
          <w:rStyle w:val="CharSClsNo"/>
        </w:rPr>
        <w:t>9</w:t>
      </w:r>
      <w:r>
        <w:t>.</w:t>
      </w:r>
      <w:r>
        <w:tab/>
        <w:t>Limited ability to waive compliance</w:t>
      </w:r>
      <w:bookmarkEnd w:id="29"/>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30" w:name="_Toc170717278"/>
      <w:bookmarkStart w:id="31" w:name="_Toc170718281"/>
      <w:r>
        <w:rPr>
          <w:rStyle w:val="CharSDivNo"/>
        </w:rPr>
        <w:t>Division 4</w:t>
      </w:r>
      <w:r>
        <w:t> — </w:t>
      </w:r>
      <w:r>
        <w:rPr>
          <w:rStyle w:val="CharSDivText"/>
        </w:rPr>
        <w:t>Unrestricted finance broking business (applies to A class only)</w:t>
      </w:r>
      <w:bookmarkEnd w:id="30"/>
      <w:bookmarkEnd w:id="31"/>
    </w:p>
    <w:p>
      <w:pPr>
        <w:pStyle w:val="yHeading5"/>
      </w:pPr>
      <w:bookmarkStart w:id="32" w:name="_Toc170718282"/>
      <w:r>
        <w:rPr>
          <w:rStyle w:val="CharSClsNo"/>
        </w:rPr>
        <w:t>10</w:t>
      </w:r>
      <w:r>
        <w:t>.</w:t>
      </w:r>
      <w:r>
        <w:tab/>
        <w:t>Application of Division 4</w:t>
      </w:r>
      <w:bookmarkEnd w:id="32"/>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33" w:name="_Toc170718283"/>
      <w:r>
        <w:rPr>
          <w:rStyle w:val="CharSClsNo"/>
        </w:rPr>
        <w:t>11</w:t>
      </w:r>
      <w:r>
        <w:t>.</w:t>
      </w:r>
      <w:r>
        <w:tab/>
        <w:t>Duties to parties</w:t>
      </w:r>
      <w:bookmarkEnd w:id="33"/>
    </w:p>
    <w:p>
      <w:pPr>
        <w:pStyle w:val="ySubsection"/>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34" w:name="_Toc170718284"/>
      <w:r>
        <w:rPr>
          <w:rStyle w:val="CharSClsNo"/>
        </w:rPr>
        <w:t>12</w:t>
      </w:r>
      <w:r>
        <w:t>.</w:t>
      </w:r>
      <w:r>
        <w:tab/>
        <w:t>Duties to lenders</w:t>
      </w:r>
      <w:bookmarkEnd w:id="34"/>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ensure that the valuer acknowledges in the valuation document that the lender may use and rely on the valuation and that the valuer accepts legal responsibility, by 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 and</w:t>
      </w:r>
    </w:p>
    <w:p>
      <w:pPr>
        <w:pStyle w:val="yIndenta"/>
      </w:pPr>
      <w:r>
        <w:tab/>
        <w:t>(c)</w:t>
      </w:r>
      <w:r>
        <w:tab/>
        <w:t>inform all lenders in writing that the finance broker will be sending lenders a true copy of the duplicate Certificate of Title bearing lenders’ names registered as mortgagees within 7 days of receipt of the duplicate Certificate of Title from the Department of Land Information.</w:t>
      </w:r>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Subsection"/>
      </w:pPr>
      <w:r>
        <w:tab/>
        <w:t>12.14</w:t>
      </w:r>
      <w:r>
        <w:tab/>
        <w:t xml:space="preserve">If a finance broker retains a duplicate Certificate of Title for any lender, then the finance broker must — </w:t>
      </w:r>
    </w:p>
    <w:p>
      <w:pPr>
        <w:pStyle w:val="yIndenta"/>
      </w:pPr>
      <w:r>
        <w:tab/>
        <w:t>(a)</w:t>
      </w:r>
      <w:r>
        <w:tab/>
        <w:t>acknowledge that fact in writing to the lender; and</w:t>
      </w:r>
    </w:p>
    <w:p>
      <w:pPr>
        <w:pStyle w:val="yIndenta"/>
      </w:pPr>
      <w:r>
        <w:tab/>
        <w:t>(b)</w:t>
      </w:r>
      <w:r>
        <w:tab/>
        <w:t>send the lender a true copy of the duplicate Certificate of Title bearing all lenders’ names registered as mortgagees, within 7 days of receipt of the duplicate Certificate of Title from the Department of Land Information; and</w:t>
      </w:r>
    </w:p>
    <w:p>
      <w:pPr>
        <w:pStyle w:val="yIndenta"/>
      </w:pPr>
      <w:r>
        <w:tab/>
        <w:t>(c)</w:t>
      </w:r>
      <w:r>
        <w:tab/>
        <w:t>hold that duplicate Certificate of Title in safe custody.</w:t>
      </w:r>
    </w:p>
    <w:p>
      <w:pPr>
        <w:pStyle w:val="yHeading5"/>
      </w:pPr>
      <w:bookmarkStart w:id="35" w:name="_Toc170718285"/>
      <w:r>
        <w:rPr>
          <w:rStyle w:val="CharSClsNo"/>
        </w:rPr>
        <w:t>13</w:t>
      </w:r>
      <w:r>
        <w:t>.</w:t>
      </w:r>
      <w:r>
        <w:tab/>
        <w:t>Execution of documents</w:t>
      </w:r>
      <w:bookmarkEnd w:id="35"/>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36" w:name="_Toc170718286"/>
      <w:r>
        <w:rPr>
          <w:rStyle w:val="CharSClsNo"/>
        </w:rPr>
        <w:t>14</w:t>
      </w:r>
      <w:r>
        <w:t>.</w:t>
      </w:r>
      <w:r>
        <w:tab/>
        <w:t>Limited ability to waive compliance</w:t>
      </w:r>
      <w:bookmarkEnd w:id="36"/>
    </w:p>
    <w:p>
      <w:pPr>
        <w:pStyle w:val="ySubsection"/>
        <w:keepNext/>
        <w:keepLines/>
      </w:pPr>
      <w:r>
        <w:tab/>
        <w:t>14.1</w:t>
      </w:r>
      <w:r>
        <w:tab/>
        <w:t xml:space="preserve">Compliance with one or more provisions of clause 12 may be waived if —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14.3</w:t>
      </w:r>
      <w:r>
        <w:tab/>
        <w:t>The onus of establishing the requirements of clauses 14.1 and 14.2 rests with the finance broker.</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37" w:name="_Toc170717284"/>
    </w:p>
    <w:p>
      <w:pPr>
        <w:pStyle w:val="yScheduleHeading"/>
      </w:pPr>
      <w:bookmarkStart w:id="38" w:name="_Toc170718287"/>
      <w:r>
        <w:rPr>
          <w:rStyle w:val="CharSchNo"/>
        </w:rPr>
        <w:t>Appendix 1</w:t>
      </w:r>
      <w:bookmarkEnd w:id="37"/>
      <w:bookmarkEnd w:id="38"/>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Australia report concerning all borrowers and guarantors (Clause 12.10(c)).</w:t>
            </w:r>
          </w:p>
        </w:tc>
      </w:tr>
      <w:tr>
        <w:tc>
          <w:tcPr>
            <w:tcW w:w="2835" w:type="dxa"/>
            <w:gridSpan w:val="2"/>
          </w:tcPr>
          <w:p>
            <w:pPr>
              <w:pStyle w:val="yTable"/>
              <w:pageBreakBefore/>
              <w:rPr>
                <w:b/>
              </w:rPr>
            </w:pPr>
            <w:r>
              <w:rPr>
                <w:b/>
              </w:rPr>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Duplicate 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39" w:name="_Toc113695922"/>
      <w:bookmarkStart w:id="40" w:name="_Toc170718288"/>
      <w:r>
        <w:t>Notes</w:t>
      </w:r>
      <w:bookmarkEnd w:id="39"/>
      <w:bookmarkEnd w:id="40"/>
    </w:p>
    <w:p>
      <w:pPr>
        <w:pStyle w:val="nSubsection"/>
        <w:rPr>
          <w:snapToGrid w:val="0"/>
        </w:rPr>
      </w:pPr>
      <w:bookmarkStart w:id="41" w:name="_Toc70311430"/>
      <w:bookmarkStart w:id="42" w:name="_Toc113695923"/>
      <w:r>
        <w:rPr>
          <w:snapToGrid w:val="0"/>
          <w:vertAlign w:val="superscript"/>
        </w:rPr>
        <w:t>1</w:t>
      </w:r>
      <w:r>
        <w:rPr>
          <w:snapToGrid w:val="0"/>
        </w:rPr>
        <w:tab/>
        <w:t xml:space="preserve">This is a compilation of the </w:t>
      </w:r>
      <w:r>
        <w:rPr>
          <w:i/>
          <w:noProof/>
          <w:snapToGrid w:val="0"/>
        </w:rPr>
        <w:t>Finance Brokers Control (Code of Conduct) Regulations 2007</w:t>
      </w:r>
      <w:r>
        <w:rPr>
          <w:snapToGrid w:val="0"/>
        </w:rPr>
        <w:t xml:space="preserve">.  The following table contains information about those regulations. </w:t>
      </w:r>
    </w:p>
    <w:p>
      <w:pPr>
        <w:pStyle w:val="nHeading3"/>
      </w:pPr>
      <w:bookmarkStart w:id="43" w:name="_Toc170718289"/>
      <w:r>
        <w:t>Compilation table</w:t>
      </w:r>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Finance Brokers Control (Code of Conduct) Regulations 2007</w:t>
            </w:r>
          </w:p>
        </w:tc>
        <w:tc>
          <w:tcPr>
            <w:tcW w:w="1276" w:type="dxa"/>
          </w:tcPr>
          <w:p>
            <w:pPr>
              <w:pStyle w:val="nTable"/>
              <w:spacing w:after="40"/>
              <w:rPr>
                <w:sz w:val="19"/>
              </w:rPr>
            </w:pPr>
            <w:r>
              <w:rPr>
                <w:sz w:val="19"/>
              </w:rPr>
              <w:t>29 Jun 2007 p. 3111</w:t>
            </w:r>
            <w:r>
              <w:rPr>
                <w:sz w:val="19"/>
              </w:rPr>
              <w:noBreakHyphen/>
              <w:t>44</w:t>
            </w:r>
          </w:p>
        </w:tc>
        <w:tc>
          <w:tcPr>
            <w:tcW w:w="2693" w:type="dxa"/>
          </w:tcPr>
          <w:p>
            <w:pPr>
              <w:pStyle w:val="nTable"/>
              <w:spacing w:after="40"/>
              <w:rPr>
                <w:sz w:val="19"/>
              </w:rPr>
            </w:pPr>
            <w:r>
              <w:rPr>
                <w:sz w:val="19"/>
              </w:rPr>
              <w:t>29 Jun 2007</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(Code of Conduct)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Finance Brokers Control (Code of Conduct)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Finance Brokers Control (Code of Conduct)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Code of conduct</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(Code of Conduct) Regulations 2007</w:t>
            </w:r>
          </w:fldSimple>
        </w:p>
      </w:tc>
    </w:tr>
    <w:tr>
      <w:tc>
        <w:tcPr>
          <w:tcW w:w="5715" w:type="dxa"/>
          <w:vAlign w:val="bottom"/>
        </w:tcPr>
        <w:p>
          <w:pPr>
            <w:pStyle w:val="HeaderTextRight"/>
          </w:pPr>
          <w:fldSimple w:instr=" styleref CharSchText ">
            <w:r>
              <w:rPr>
                <w:noProof/>
              </w:rPr>
              <w:t>Code of conduct</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Finance Brokers Control (Code of Conduct)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(Code of Conduct) Regulations 2007</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(Code of Conduct)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(Code of Conduct)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(Code of Conduct)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(Code of Conduct)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(Code of Conduct)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(Code of Conduct)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Finance Brokers Control (Code of Conduct)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82673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CE5F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8190</Words>
  <Characters>42179</Characters>
  <Application>Microsoft Office Word</Application>
  <DocSecurity>0</DocSecurity>
  <Lines>1171</Lines>
  <Paragraphs>671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Schedule 1 — Code of conduct</vt:lpstr>
      <vt:lpstr>        Division 1 — Introductory provisions</vt:lpstr>
      <vt:lpstr>        Division 2 — General obligations for all finance brokers</vt:lpstr>
      <vt:lpstr>        Division 3 — Restricted finance broking business (applies to A, B and C classes)</vt:lpstr>
      <vt:lpstr>        Division 4 — Unrestricted finance broking business (applies to A class only)</vt:lpstr>
      <vt:lpstr>    </vt:lpstr>
      <vt:lpstr>    Appendix 1</vt:lpstr>
      <vt:lpstr>    Notes</vt:lpstr>
    </vt:vector>
  </TitlesOfParts>
  <Manager/>
  <Company/>
  <LinksUpToDate>false</LinksUpToDate>
  <CharactersWithSpaces>49698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2007 - 00-a0-03</dc:title>
  <dc:subject/>
  <dc:creator/>
  <cp:keywords/>
  <dc:description/>
  <cp:lastModifiedBy>svcMRProcess</cp:lastModifiedBy>
  <cp:revision>4</cp:revision>
  <cp:lastPrinted>2007-01-15T08:36:00Z</cp:lastPrinted>
  <dcterms:created xsi:type="dcterms:W3CDTF">2018-09-17T05:08:00Z</dcterms:created>
  <dcterms:modified xsi:type="dcterms:W3CDTF">2018-09-17T05:08:00Z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39132</vt:i4>
  </property>
  <property fmtid="{D5CDD505-2E9C-101B-9397-08002B2CF9AE}" pid="6" name="AsAtDate">
    <vt:lpwstr>29 Jun 2007</vt:lpwstr>
  </property>
  <property fmtid="{D5CDD505-2E9C-101B-9397-08002B2CF9AE}" pid="7" name="Suffix">
    <vt:lpwstr>00-a0-03</vt:lpwstr>
  </property>
</Properties>
</file>