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_Toc171051717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_Toc171051718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_Toc171051719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_Toc171051720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_Toc171051721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_Toc171051722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_Toc171051723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_Toc171051724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_Toc171051725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_Toc171051726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_Toc171051727 \h </w:instrText>
      </w:r>
      <w:r>
        <w:fldChar w:fldCharType="separate"/>
      </w:r>
      <w:r>
        <w:t>10</w:t>
      </w:r>
      <w:r>
        <w:fldChar w:fldCharType="end"/>
      </w:r>
    </w:p>
    <w:p>
      <w:pPr>
        <w:pStyle w:val="TOC8"/>
        <w:rPr>
          <w:sz w:val="24"/>
          <w:szCs w:val="24"/>
        </w:rPr>
      </w:pPr>
      <w:r>
        <w:rPr>
          <w:szCs w:val="24"/>
        </w:rPr>
        <w:t>12.</w:t>
      </w:r>
      <w:r>
        <w:rPr>
          <w:szCs w:val="24"/>
        </w:rPr>
        <w:tab/>
        <w:t>Searchable information</w:t>
      </w:r>
      <w:r>
        <w:tab/>
      </w:r>
      <w:r>
        <w:fldChar w:fldCharType="begin"/>
      </w:r>
      <w:r>
        <w:instrText xml:space="preserve"> PAGEREF _Toc171051728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_Toc171051729 \h </w:instrText>
      </w:r>
      <w:r>
        <w:fldChar w:fldCharType="separate"/>
      </w:r>
      <w:r>
        <w:t>11</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_Toc171051730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_Toc171051731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_Toc171051737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_Toc171051738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_Toc171051739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_Toc171051741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17105171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17105171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171051719"/>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17105172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171051721"/>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171051722"/>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171051723"/>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171051724"/>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171051725"/>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171051726"/>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171051727"/>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100631327"/>
      <w:bookmarkStart w:id="94" w:name="_Toc102451456"/>
      <w:bookmarkStart w:id="95" w:name="_Toc171051728"/>
      <w:r>
        <w:rPr>
          <w:rStyle w:val="CharSectno"/>
        </w:rPr>
        <w:t>12</w:t>
      </w:r>
      <w:r>
        <w:t>.</w:t>
      </w:r>
      <w:r>
        <w:tab/>
        <w:t>Searchable information</w:t>
      </w:r>
      <w:bookmarkEnd w:id="93"/>
      <w:bookmarkEnd w:id="94"/>
      <w:bookmarkEnd w:id="95"/>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96" w:name="_Toc96398500"/>
      <w:bookmarkStart w:id="97" w:name="_Toc100631328"/>
      <w:bookmarkStart w:id="98" w:name="_Toc102451457"/>
      <w:bookmarkStart w:id="99" w:name="_Toc171051729"/>
      <w:r>
        <w:rPr>
          <w:rStyle w:val="CharSectno"/>
        </w:rPr>
        <w:t>13</w:t>
      </w:r>
      <w:r>
        <w:t>.</w:t>
      </w:r>
      <w:r>
        <w:tab/>
        <w:t>Resolution of disputes as to fees</w:t>
      </w:r>
      <w:bookmarkEnd w:id="96"/>
      <w:bookmarkEnd w:id="97"/>
      <w:bookmarkEnd w:id="98"/>
      <w:bookmarkEnd w:id="9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0" w:name="_Toc100631329"/>
      <w:bookmarkStart w:id="101" w:name="_Toc102451458"/>
      <w:bookmarkStart w:id="102" w:name="_Toc171051730"/>
      <w:r>
        <w:rPr>
          <w:rStyle w:val="CharSectno"/>
        </w:rPr>
        <w:t>14</w:t>
      </w:r>
      <w:r>
        <w:t>.</w:t>
      </w:r>
      <w:r>
        <w:tab/>
        <w:t>Recovery of unpaid fees</w:t>
      </w:r>
      <w:bookmarkEnd w:id="100"/>
      <w:bookmarkEnd w:id="101"/>
      <w:bookmarkEnd w:id="102"/>
    </w:p>
    <w:p>
      <w:pPr>
        <w:pStyle w:val="Subsection"/>
      </w:pPr>
      <w:r>
        <w:tab/>
      </w:r>
      <w:r>
        <w:tab/>
        <w:t>Any unpaid fee is a debt due to the State and may be recovered by action in a court of competent jurisdiction.</w:t>
      </w:r>
    </w:p>
    <w:p>
      <w:pPr>
        <w:pStyle w:val="Heading5"/>
      </w:pPr>
      <w:bookmarkStart w:id="103" w:name="_Toc533482764"/>
      <w:bookmarkStart w:id="104" w:name="_Toc61252567"/>
      <w:bookmarkStart w:id="105" w:name="_Toc96402839"/>
      <w:bookmarkStart w:id="106" w:name="_Toc100631330"/>
      <w:bookmarkStart w:id="107" w:name="_Toc102451459"/>
      <w:bookmarkStart w:id="108" w:name="_Toc171051731"/>
      <w:r>
        <w:rPr>
          <w:rStyle w:val="CharSectno"/>
        </w:rPr>
        <w:t>15</w:t>
      </w:r>
      <w:r>
        <w:t>.</w:t>
      </w:r>
      <w:r>
        <w:tab/>
        <w:t>Transitional</w:t>
      </w:r>
      <w:bookmarkEnd w:id="103"/>
      <w:bookmarkEnd w:id="104"/>
      <w:bookmarkEnd w:id="105"/>
      <w:bookmarkEnd w:id="106"/>
      <w:bookmarkEnd w:id="107"/>
      <w:bookmarkEnd w:id="1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 w:name="_Toc100631331"/>
      <w:bookmarkStart w:id="110" w:name="_Toc102451460"/>
    </w:p>
    <w:p>
      <w:pPr>
        <w:pStyle w:val="yScheduleHeading"/>
      </w:pPr>
      <w:bookmarkStart w:id="111" w:name="_Toc139104715"/>
      <w:bookmarkStart w:id="112" w:name="_Toc139276713"/>
      <w:bookmarkStart w:id="113" w:name="_Toc171051732"/>
      <w:r>
        <w:rPr>
          <w:rStyle w:val="CharSchNo"/>
        </w:rPr>
        <w:t>Schedule 1</w:t>
      </w:r>
      <w:r>
        <w:t xml:space="preserve"> — </w:t>
      </w:r>
      <w:r>
        <w:rPr>
          <w:rStyle w:val="CharSchText"/>
        </w:rPr>
        <w:t>Fees</w:t>
      </w:r>
      <w:bookmarkEnd w:id="109"/>
      <w:bookmarkEnd w:id="110"/>
      <w:bookmarkEnd w:id="111"/>
      <w:bookmarkEnd w:id="112"/>
      <w:bookmarkEnd w:id="113"/>
    </w:p>
    <w:p>
      <w:pPr>
        <w:pStyle w:val="yShoulderClause"/>
        <w:spacing w:after="360"/>
      </w:pPr>
      <w:r>
        <w:t>[r. 4]</w:t>
      </w:r>
    </w:p>
    <w:p>
      <w:pPr>
        <w:pStyle w:val="yHeading3"/>
        <w:spacing w:before="120" w:after="120"/>
      </w:pPr>
      <w:bookmarkStart w:id="114" w:name="_Toc100631332"/>
      <w:bookmarkStart w:id="115" w:name="_Toc102451461"/>
      <w:bookmarkStart w:id="116" w:name="_Toc139104716"/>
      <w:bookmarkStart w:id="117" w:name="_Toc139276714"/>
      <w:bookmarkStart w:id="118" w:name="_Toc171051733"/>
      <w:r>
        <w:rPr>
          <w:rStyle w:val="CharSDivNo"/>
        </w:rPr>
        <w:t>Division 1</w:t>
      </w:r>
      <w:r>
        <w:rPr>
          <w:b w:val="0"/>
        </w:rPr>
        <w:t> — </w:t>
      </w:r>
      <w:r>
        <w:rPr>
          <w:rStyle w:val="CharSDivText"/>
        </w:rPr>
        <w:t>General</w:t>
      </w:r>
      <w:bookmarkEnd w:id="114"/>
      <w:bookmarkEnd w:id="115"/>
      <w:bookmarkEnd w:id="116"/>
      <w:bookmarkEnd w:id="117"/>
      <w:bookmarkEnd w:id="118"/>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1.05</w:t>
            </w:r>
          </w:p>
          <w:p>
            <w:pPr>
              <w:pStyle w:val="yTable"/>
              <w:spacing w:before="0"/>
              <w:ind w:right="601"/>
              <w:jc w:val="right"/>
              <w:rPr>
                <w:sz w:val="20"/>
              </w:rPr>
            </w:pP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24.00</w:t>
            </w:r>
          </w:p>
          <w:p>
            <w:pPr>
              <w:pStyle w:val="yTable"/>
              <w:ind w:right="601"/>
              <w:jc w:val="right"/>
              <w:rPr>
                <w:sz w:val="20"/>
              </w:rPr>
            </w:pPr>
            <w:r>
              <w:rPr>
                <w:sz w:val="20"/>
              </w:rPr>
              <w:br/>
            </w:r>
            <w:r>
              <w:rPr>
                <w:sz w:val="20"/>
              </w:rPr>
              <w:br/>
            </w:r>
            <w:r>
              <w:rPr>
                <w:sz w:val="20"/>
              </w:rPr>
              <w:br/>
              <w:t>24.00</w:t>
            </w:r>
          </w:p>
          <w:p>
            <w:pPr>
              <w:pStyle w:val="yTable"/>
              <w:spacing w:before="0"/>
              <w:ind w:right="601"/>
              <w:jc w:val="right"/>
              <w:rPr>
                <w:sz w:val="20"/>
              </w:rPr>
            </w:pPr>
            <w:r>
              <w:rPr>
                <w:sz w:val="20"/>
              </w:rPr>
              <w:br/>
              <w:t>59.50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35.50</w:t>
            </w:r>
          </w:p>
          <w:p>
            <w:pPr>
              <w:pStyle w:val="yTable"/>
              <w:ind w:right="601"/>
              <w:jc w:val="right"/>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bookmarkStart w:id="119" w:name="UpToHere"/>
            <w:bookmarkEnd w:id="119"/>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8.35</w:t>
            </w:r>
          </w:p>
          <w:p>
            <w:pPr>
              <w:pStyle w:val="yTable"/>
              <w:ind w:right="601"/>
              <w:jc w:val="right"/>
              <w:rPr>
                <w:sz w:val="20"/>
              </w:rPr>
            </w:pPr>
            <w:r>
              <w:rPr>
                <w:sz w:val="20"/>
              </w:rPr>
              <w:br/>
            </w:r>
            <w:r>
              <w:rPr>
                <w:sz w:val="20"/>
              </w:rPr>
              <w:br/>
              <w:t>1.05</w:t>
            </w:r>
          </w:p>
          <w:p>
            <w:pPr>
              <w:pStyle w:val="yTable"/>
              <w:ind w:right="601"/>
              <w:jc w:val="right"/>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4.70</w:t>
            </w:r>
          </w:p>
          <w:p>
            <w:pPr>
              <w:pStyle w:val="yTable"/>
              <w:ind w:right="601"/>
              <w:jc w:val="right"/>
              <w:rPr>
                <w:sz w:val="20"/>
              </w:rPr>
            </w:pPr>
            <w:r>
              <w:rPr>
                <w:sz w:val="20"/>
              </w:rPr>
              <w:br/>
            </w:r>
            <w:r>
              <w:rPr>
                <w:sz w:val="20"/>
              </w:rPr>
              <w:br/>
            </w:r>
            <w:r>
              <w:rPr>
                <w:sz w:val="20"/>
              </w:rPr>
              <w:br/>
            </w:r>
            <w:r>
              <w:rPr>
                <w:sz w:val="20"/>
              </w:rPr>
              <w:br/>
              <w:t>11.50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$16.70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w:t>
      </w:r>
    </w:p>
    <w:p>
      <w:pPr>
        <w:pStyle w:val="yHeading3"/>
        <w:spacing w:after="240"/>
      </w:pPr>
      <w:bookmarkStart w:id="120" w:name="_Toc100631333"/>
      <w:bookmarkStart w:id="121" w:name="_Toc102451462"/>
      <w:bookmarkStart w:id="122" w:name="_Toc139104717"/>
      <w:bookmarkStart w:id="123" w:name="_Toc139276715"/>
      <w:bookmarkStart w:id="124" w:name="_Toc171051734"/>
      <w:r>
        <w:rPr>
          <w:rStyle w:val="CharSDivNo"/>
        </w:rPr>
        <w:t>Division 2</w:t>
      </w:r>
      <w:r>
        <w:rPr>
          <w:b w:val="0"/>
        </w:rPr>
        <w:t> — </w:t>
      </w:r>
      <w:r>
        <w:rPr>
          <w:rStyle w:val="CharSDivText"/>
        </w:rPr>
        <w:t>Civil jurisdiction</w:t>
      </w:r>
      <w:bookmarkEnd w:id="120"/>
      <w:bookmarkEnd w:id="121"/>
      <w:bookmarkEnd w:id="122"/>
      <w:bookmarkEnd w:id="123"/>
      <w:bookmarkEnd w:id="124"/>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t>69.00</w:t>
            </w:r>
          </w:p>
        </w:tc>
        <w:tc>
          <w:tcPr>
            <w:tcW w:w="770" w:type="dxa"/>
          </w:tcPr>
          <w:p>
            <w:pPr>
              <w:pStyle w:val="yTable"/>
              <w:jc w:val="center"/>
              <w:rPr>
                <w:sz w:val="18"/>
              </w:rPr>
            </w:pPr>
            <w:r>
              <w:rPr>
                <w:sz w:val="18"/>
              </w:rPr>
              <w:br/>
            </w:r>
            <w:r>
              <w:rPr>
                <w:sz w:val="18"/>
              </w:rPr>
              <w:br/>
            </w:r>
            <w:r>
              <w:rPr>
                <w:sz w:val="18"/>
              </w:rPr>
              <w:br/>
            </w:r>
            <w:r>
              <w:rPr>
                <w:sz w:val="18"/>
              </w:rPr>
              <w:br/>
            </w:r>
            <w:r>
              <w:rPr>
                <w:sz w:val="18"/>
              </w:rPr>
              <w:br/>
              <w:t>104.50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t>177.00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t>266.00</w:t>
            </w:r>
          </w:p>
        </w:tc>
        <w:tc>
          <w:tcPr>
            <w:tcW w:w="783" w:type="dxa"/>
          </w:tcPr>
          <w:p>
            <w:pPr>
              <w:pStyle w:val="yTable"/>
              <w:jc w:val="center"/>
              <w:rPr>
                <w:sz w:val="18"/>
              </w:rPr>
            </w:pPr>
            <w:r>
              <w:rPr>
                <w:sz w:val="18"/>
              </w:rPr>
              <w:br/>
            </w:r>
            <w:r>
              <w:rPr>
                <w:sz w:val="18"/>
              </w:rPr>
              <w:br/>
            </w:r>
            <w:r>
              <w:rPr>
                <w:sz w:val="18"/>
              </w:rPr>
              <w:br/>
            </w:r>
            <w:r>
              <w:rPr>
                <w:sz w:val="18"/>
              </w:rPr>
              <w:br/>
            </w:r>
            <w:r>
              <w:rPr>
                <w:sz w:val="18"/>
              </w:rPr>
              <w:br/>
              <w:t>282.00</w:t>
            </w:r>
          </w:p>
        </w:tc>
        <w:tc>
          <w:tcPr>
            <w:tcW w:w="798" w:type="dxa"/>
          </w:tcPr>
          <w:p>
            <w:pPr>
              <w:pStyle w:val="yTable"/>
              <w:jc w:val="center"/>
              <w:rPr>
                <w:sz w:val="18"/>
              </w:rPr>
            </w:pPr>
            <w:r>
              <w:rPr>
                <w:sz w:val="18"/>
              </w:rPr>
              <w:br/>
            </w:r>
            <w:r>
              <w:rPr>
                <w:sz w:val="18"/>
              </w:rPr>
              <w:br/>
            </w:r>
            <w:r>
              <w:rPr>
                <w:sz w:val="18"/>
              </w:rPr>
              <w:br/>
            </w:r>
            <w:r>
              <w:rPr>
                <w:sz w:val="18"/>
              </w:rPr>
              <w:br/>
            </w:r>
            <w:r>
              <w:rPr>
                <w:sz w:val="18"/>
              </w:rPr>
              <w:br/>
              <w:t>424.00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45.00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67.50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82.00</w:t>
            </w:r>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106.00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131.00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169.00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t>23.00</w:t>
            </w:r>
          </w:p>
        </w:tc>
        <w:tc>
          <w:tcPr>
            <w:tcW w:w="770" w:type="dxa"/>
          </w:tcPr>
          <w:p>
            <w:pPr>
              <w:pStyle w:val="yTable"/>
              <w:jc w:val="center"/>
              <w:rPr>
                <w:sz w:val="18"/>
              </w:rPr>
            </w:pPr>
            <w:r>
              <w:rPr>
                <w:sz w:val="18"/>
              </w:rPr>
              <w:br/>
              <w:t>46.00</w:t>
            </w:r>
          </w:p>
        </w:tc>
        <w:tc>
          <w:tcPr>
            <w:tcW w:w="854" w:type="dxa"/>
            <w:gridSpan w:val="2"/>
          </w:tcPr>
          <w:p>
            <w:pPr>
              <w:pStyle w:val="yTable"/>
              <w:jc w:val="center"/>
              <w:rPr>
                <w:sz w:val="18"/>
              </w:rPr>
            </w:pPr>
            <w:r>
              <w:rPr>
                <w:sz w:val="18"/>
              </w:rPr>
              <w:br/>
              <w:t>35.00</w:t>
            </w:r>
          </w:p>
        </w:tc>
        <w:tc>
          <w:tcPr>
            <w:tcW w:w="857" w:type="dxa"/>
            <w:gridSpan w:val="2"/>
          </w:tcPr>
          <w:p>
            <w:pPr>
              <w:pStyle w:val="yTable"/>
              <w:jc w:val="center"/>
              <w:rPr>
                <w:sz w:val="18"/>
              </w:rPr>
            </w:pPr>
            <w:r>
              <w:rPr>
                <w:sz w:val="18"/>
              </w:rPr>
              <w:br/>
              <w:t>70.00</w:t>
            </w:r>
          </w:p>
        </w:tc>
        <w:tc>
          <w:tcPr>
            <w:tcW w:w="783" w:type="dxa"/>
          </w:tcPr>
          <w:p>
            <w:pPr>
              <w:pStyle w:val="yTable"/>
              <w:jc w:val="center"/>
              <w:rPr>
                <w:sz w:val="18"/>
              </w:rPr>
            </w:pPr>
            <w:r>
              <w:rPr>
                <w:sz w:val="18"/>
              </w:rPr>
              <w:br/>
              <w:t>47.00</w:t>
            </w:r>
          </w:p>
        </w:tc>
        <w:tc>
          <w:tcPr>
            <w:tcW w:w="798" w:type="dxa"/>
          </w:tcPr>
          <w:p>
            <w:pPr>
              <w:pStyle w:val="yTable"/>
              <w:jc w:val="center"/>
              <w:rPr>
                <w:sz w:val="18"/>
              </w:rPr>
            </w:pPr>
            <w:r>
              <w:rPr>
                <w:sz w:val="18"/>
              </w:rPr>
              <w:br/>
              <w:t>94.00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t>110.00</w:t>
            </w:r>
          </w:p>
        </w:tc>
        <w:tc>
          <w:tcPr>
            <w:tcW w:w="770" w:type="dxa"/>
          </w:tcPr>
          <w:p>
            <w:pPr>
              <w:pStyle w:val="yTable"/>
              <w:jc w:val="center"/>
              <w:rPr>
                <w:sz w:val="18"/>
              </w:rPr>
            </w:pPr>
            <w:r>
              <w:rPr>
                <w:sz w:val="18"/>
              </w:rPr>
              <w:br/>
              <w:t>165.00</w:t>
            </w:r>
          </w:p>
        </w:tc>
        <w:tc>
          <w:tcPr>
            <w:tcW w:w="854" w:type="dxa"/>
            <w:gridSpan w:val="2"/>
          </w:tcPr>
          <w:p>
            <w:pPr>
              <w:pStyle w:val="yTable"/>
              <w:jc w:val="center"/>
              <w:rPr>
                <w:sz w:val="18"/>
              </w:rPr>
            </w:pPr>
            <w:r>
              <w:rPr>
                <w:sz w:val="18"/>
              </w:rPr>
              <w:br/>
              <w:t>199.00</w:t>
            </w:r>
          </w:p>
        </w:tc>
        <w:tc>
          <w:tcPr>
            <w:tcW w:w="857" w:type="dxa"/>
            <w:gridSpan w:val="2"/>
          </w:tcPr>
          <w:p>
            <w:pPr>
              <w:pStyle w:val="yTable"/>
              <w:jc w:val="center"/>
              <w:rPr>
                <w:sz w:val="18"/>
              </w:rPr>
            </w:pPr>
            <w:r>
              <w:rPr>
                <w:sz w:val="18"/>
              </w:rPr>
              <w:br/>
              <w:t>298.00</w:t>
            </w:r>
          </w:p>
        </w:tc>
        <w:tc>
          <w:tcPr>
            <w:tcW w:w="783" w:type="dxa"/>
          </w:tcPr>
          <w:p>
            <w:pPr>
              <w:pStyle w:val="yTable"/>
              <w:jc w:val="center"/>
              <w:rPr>
                <w:sz w:val="18"/>
              </w:rPr>
            </w:pPr>
            <w:r>
              <w:rPr>
                <w:sz w:val="18"/>
              </w:rPr>
              <w:br/>
              <w:t>222.00</w:t>
            </w:r>
          </w:p>
        </w:tc>
        <w:tc>
          <w:tcPr>
            <w:tcW w:w="798" w:type="dxa"/>
          </w:tcPr>
          <w:p>
            <w:pPr>
              <w:pStyle w:val="yTable"/>
              <w:jc w:val="center"/>
              <w:rPr>
                <w:sz w:val="18"/>
              </w:rPr>
            </w:pPr>
            <w:r>
              <w:rPr>
                <w:sz w:val="18"/>
              </w:rPr>
              <w:br/>
              <w:t>333.00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58.00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86.50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70.00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105.00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94.50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142.50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t>58.00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t>86.50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t>70.00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t>105.00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t>94.50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t>142.50</w:t>
            </w:r>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18"/>
              </w:rPr>
            </w:pPr>
            <w:r>
              <w:rPr>
                <w:sz w:val="18"/>
              </w:rP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18"/>
              </w:rPr>
            </w:pPr>
            <w:r>
              <w:rPr>
                <w:sz w:val="18"/>
              </w:rPr>
              <w:b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18"/>
              </w:rPr>
            </w:pPr>
            <w:r>
              <w:rPr>
                <w:sz w:val="18"/>
              </w:rPr>
              <w:br/>
            </w:r>
            <w:r>
              <w:rPr>
                <w:sz w:val="18"/>
              </w:rPr>
              <w:br/>
            </w:r>
            <w:r>
              <w:rPr>
                <w:sz w:val="18"/>
              </w:rPr>
              <w:br/>
              <w:t>20.00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t>177.00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69.00</w:t>
            </w:r>
          </w:p>
        </w:tc>
      </w:tr>
    </w:tbl>
    <w:p>
      <w:pPr>
        <w:pStyle w:val="yFootnotesection"/>
      </w:pPr>
      <w:bookmarkStart w:id="125" w:name="_Toc100631334"/>
      <w:bookmarkStart w:id="126" w:name="_Toc102451463"/>
      <w:r>
        <w:tab/>
        <w:t>[Division 2 amended in Gazette 23 Jun 2006 p. 2179</w:t>
      </w:r>
      <w:r>
        <w:noBreakHyphen/>
        <w:t>81; 26 Jun 2007 p. 3034-5.]</w:t>
      </w:r>
    </w:p>
    <w:p>
      <w:pPr>
        <w:pStyle w:val="yHeading3"/>
        <w:spacing w:after="240"/>
      </w:pPr>
      <w:bookmarkStart w:id="127" w:name="_Toc139104718"/>
      <w:bookmarkStart w:id="128" w:name="_Toc139276716"/>
      <w:bookmarkStart w:id="129" w:name="_Toc171051735"/>
      <w:r>
        <w:rPr>
          <w:rStyle w:val="CharSDivNo"/>
        </w:rPr>
        <w:t>Division 3</w:t>
      </w:r>
      <w:r>
        <w:rPr>
          <w:b w:val="0"/>
        </w:rPr>
        <w:t> — </w:t>
      </w:r>
      <w:r>
        <w:rPr>
          <w:rStyle w:val="CharSDivText"/>
        </w:rPr>
        <w:t>Criminal jurisdiction</w:t>
      </w:r>
      <w:bookmarkEnd w:id="125"/>
      <w:bookmarkEnd w:id="126"/>
      <w:bookmarkEnd w:id="127"/>
      <w:bookmarkEnd w:id="128"/>
      <w:bookmarkEnd w:id="129"/>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30" w:name="_Toc100631335"/>
      <w:r>
        <w:tab/>
        <w:t>[Division 3 amended in Gazette 23 Jun 2006 p. 2181; 26 Jun 2007 p. 3035.]</w:t>
      </w:r>
    </w:p>
    <w:p>
      <w:pPr>
        <w:pStyle w:val="yScheduleHeading"/>
      </w:pPr>
      <w:bookmarkStart w:id="131" w:name="_Toc102451464"/>
      <w:bookmarkStart w:id="132" w:name="_Toc139104719"/>
      <w:bookmarkStart w:id="133" w:name="_Toc139276717"/>
      <w:bookmarkStart w:id="134" w:name="_Toc171051736"/>
      <w:r>
        <w:rPr>
          <w:rStyle w:val="CharSchNo"/>
        </w:rPr>
        <w:t>Schedule 2</w:t>
      </w:r>
      <w:r>
        <w:rPr>
          <w:rStyle w:val="CharSDivNo"/>
        </w:rPr>
        <w:t> </w:t>
      </w:r>
      <w:r>
        <w:t>—</w:t>
      </w:r>
      <w:r>
        <w:rPr>
          <w:rStyle w:val="CharSDivText"/>
        </w:rPr>
        <w:t> </w:t>
      </w:r>
      <w:r>
        <w:rPr>
          <w:rStyle w:val="CharSchText"/>
        </w:rPr>
        <w:t>Forms</w:t>
      </w:r>
      <w:bookmarkEnd w:id="130"/>
      <w:bookmarkEnd w:id="131"/>
      <w:bookmarkEnd w:id="132"/>
      <w:bookmarkEnd w:id="133"/>
      <w:bookmarkEnd w:id="134"/>
    </w:p>
    <w:p>
      <w:pPr>
        <w:pStyle w:val="yShoulderClause"/>
      </w:pPr>
      <w:r>
        <w:t>[r. 4(6), 8(6), 13(2)]</w:t>
      </w:r>
    </w:p>
    <w:p>
      <w:pPr>
        <w:pStyle w:val="yHeading5"/>
      </w:pPr>
      <w:bookmarkStart w:id="135" w:name="_Toc96398510"/>
      <w:bookmarkStart w:id="136" w:name="_Toc96417044"/>
      <w:bookmarkStart w:id="137" w:name="_Toc100631336"/>
      <w:bookmarkStart w:id="138" w:name="_Toc102451465"/>
      <w:bookmarkStart w:id="139" w:name="_Toc171051737"/>
      <w:r>
        <w:rPr>
          <w:rStyle w:val="CharSClsNo"/>
        </w:rPr>
        <w:t>1</w:t>
      </w:r>
      <w:r>
        <w:t>.</w:t>
      </w:r>
      <w:r>
        <w:tab/>
        <w:t>Declaration that a person is a small business or a non</w:t>
      </w:r>
      <w:r>
        <w:noBreakHyphen/>
        <w:t>profit association</w:t>
      </w:r>
      <w:bookmarkEnd w:id="135"/>
      <w:bookmarkEnd w:id="136"/>
      <w:bookmarkEnd w:id="137"/>
      <w:bookmarkEnd w:id="138"/>
      <w:bookmarkEnd w:id="139"/>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40" w:name="_Toc96398511"/>
      <w:bookmarkStart w:id="141" w:name="_Toc96417045"/>
      <w:bookmarkStart w:id="142" w:name="_Toc100631337"/>
      <w:bookmarkStart w:id="143" w:name="_Toc102451466"/>
      <w:bookmarkStart w:id="144" w:name="_Toc171051738"/>
      <w:r>
        <w:rPr>
          <w:rStyle w:val="CharSClsNo"/>
        </w:rPr>
        <w:t>2</w:t>
      </w:r>
      <w:r>
        <w:t>.</w:t>
      </w:r>
      <w:r>
        <w:tab/>
        <w:t>Application to remit fees</w:t>
      </w:r>
      <w:bookmarkEnd w:id="140"/>
      <w:bookmarkEnd w:id="141"/>
      <w:bookmarkEnd w:id="142"/>
      <w:bookmarkEnd w:id="143"/>
      <w:bookmarkEnd w:id="1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45" w:name="_Toc100631338"/>
      <w:bookmarkStart w:id="146" w:name="_Toc102451467"/>
      <w:bookmarkStart w:id="147" w:name="_Toc171051739"/>
      <w:r>
        <w:rPr>
          <w:rStyle w:val="CharSClsNo"/>
        </w:rPr>
        <w:t>3</w:t>
      </w:r>
      <w:r>
        <w:t>.</w:t>
      </w:r>
      <w:r>
        <w:tab/>
        <w:t>Application for determination of dispute about fees</w:t>
      </w:r>
      <w:bookmarkEnd w:id="145"/>
      <w:bookmarkEnd w:id="146"/>
      <w:bookmarkEnd w:id="1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48" w:name="_Toc102451468"/>
      <w:bookmarkStart w:id="149" w:name="_Toc139104723"/>
      <w:bookmarkStart w:id="150" w:name="_Toc139276721"/>
      <w:bookmarkStart w:id="151" w:name="_Toc171051740"/>
      <w:r>
        <w:t>Notes</w:t>
      </w:r>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p>
    <w:p>
      <w:pPr>
        <w:pStyle w:val="nHeading3"/>
      </w:pPr>
      <w:bookmarkStart w:id="152" w:name="_Toc70311430"/>
      <w:bookmarkStart w:id="153" w:name="_Toc102451469"/>
      <w:bookmarkStart w:id="154" w:name="_Toc171051741"/>
      <w:r>
        <w:t>Compilation table</w:t>
      </w:r>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Magistrates Court (Fees) Amendment Regulations 2007</w:t>
            </w:r>
          </w:p>
        </w:tc>
        <w:tc>
          <w:tcPr>
            <w:tcW w:w="1276" w:type="dxa"/>
            <w:tcBorders>
              <w:bottom w:val="single" w:sz="4" w:space="0" w:color="auto"/>
            </w:tcBorders>
          </w:tcPr>
          <w:p>
            <w:pPr>
              <w:pStyle w:val="nTable"/>
              <w:rPr>
                <w:sz w:val="19"/>
              </w:rPr>
            </w:pPr>
            <w:r>
              <w:rPr>
                <w:sz w:val="19"/>
              </w:rPr>
              <w:t>26 Jun 2007 p. 3033-5</w:t>
            </w:r>
          </w:p>
        </w:tc>
        <w:tc>
          <w:tcPr>
            <w:tcW w:w="2693" w:type="dxa"/>
            <w:tcBorders>
              <w:bottom w:val="single" w:sz="4"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6341</Words>
  <Characters>32783</Characters>
  <Application>Microsoft Office Word</Application>
  <DocSecurity>0</DocSecurity>
  <Lines>1561</Lines>
  <Paragraphs>798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2005 - 00-c0-01</dc:title>
  <dc:subject/>
  <dc:creator/>
  <cp:keywords/>
  <dc:description/>
  <cp:lastModifiedBy>svcMRProcess</cp:lastModifiedBy>
  <cp:revision>4</cp:revision>
  <cp:lastPrinted>2005-04-06T23:51:00Z</cp:lastPrinted>
  <dcterms:created xsi:type="dcterms:W3CDTF">2018-09-12T15:44:00Z</dcterms:created>
  <dcterms:modified xsi:type="dcterms:W3CDTF">2018-09-12T15:44:00Z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37120</vt:i4>
  </property>
  <property fmtid="{D5CDD505-2E9C-101B-9397-08002B2CF9AE}" pid="6" name="AsAtDate">
    <vt:lpwstr>01 Jul 2007</vt:lpwstr>
  </property>
  <property fmtid="{D5CDD505-2E9C-101B-9397-08002B2CF9AE}" pid="7" name="Suffix">
    <vt:lpwstr>00-c0-01</vt:lpwstr>
  </property>
</Properties>
</file>