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Crown Suits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Crown Suits Act 1947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_Toc119915420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 of “Crown”</w:t>
      </w:r>
      <w:r>
        <w:rPr>
          <w:noProof/>
        </w:rPr>
        <w:tab/>
      </w:r>
      <w:r>
        <w:rPr>
          <w:noProof/>
        </w:rPr>
        <w:fldChar w:fldCharType="begin"/>
      </w:r>
      <w:r>
        <w:rPr>
          <w:noProof/>
        </w:rPr>
        <w:instrText xml:space="preserve"> PAGEREF _Toc119915421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_Toc119915422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Crown to sue and be sued as subject</w:t>
      </w:r>
      <w:r>
        <w:rPr>
          <w:noProof/>
        </w:rPr>
        <w:tab/>
      </w:r>
      <w:r>
        <w:rPr>
          <w:noProof/>
        </w:rPr>
        <w:fldChar w:fldCharType="begin"/>
      </w:r>
      <w:r>
        <w:rPr>
          <w:noProof/>
        </w:rPr>
        <w:instrText xml:space="preserve"> PAGEREF _Toc119915423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Statutory rights preserved where already given</w:t>
      </w:r>
      <w:r>
        <w:rPr>
          <w:noProof/>
        </w:rPr>
        <w:tab/>
      </w:r>
      <w:r>
        <w:rPr>
          <w:noProof/>
        </w:rPr>
        <w:fldChar w:fldCharType="begin"/>
      </w:r>
      <w:r>
        <w:rPr>
          <w:noProof/>
        </w:rPr>
        <w:instrText xml:space="preserve"> PAGEREF _Toc119915425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Joinder of the Crown in proceedings between subject and subject</w:t>
      </w:r>
      <w:r>
        <w:rPr>
          <w:noProof/>
        </w:rPr>
        <w:tab/>
      </w:r>
      <w:r>
        <w:rPr>
          <w:noProof/>
        </w:rPr>
        <w:fldChar w:fldCharType="begin"/>
      </w:r>
      <w:r>
        <w:rPr>
          <w:noProof/>
        </w:rPr>
        <w:instrText xml:space="preserve"> PAGEREF _Toc119915426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Same process available to Crown and subject</w:t>
      </w:r>
      <w:r>
        <w:rPr>
          <w:noProof/>
        </w:rPr>
        <w:tab/>
      </w:r>
      <w:r>
        <w:rPr>
          <w:noProof/>
        </w:rPr>
        <w:fldChar w:fldCharType="begin"/>
      </w:r>
      <w:r>
        <w:rPr>
          <w:noProof/>
        </w:rPr>
        <w:instrText xml:space="preserve"> PAGEREF _Toc119915427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Method of recovering judgment against the Crown</w:t>
      </w:r>
      <w:r>
        <w:rPr>
          <w:noProof/>
        </w:rPr>
        <w:tab/>
      </w:r>
      <w:r>
        <w:rPr>
          <w:noProof/>
        </w:rPr>
        <w:fldChar w:fldCharType="begin"/>
      </w:r>
      <w:r>
        <w:rPr>
          <w:noProof/>
        </w:rPr>
        <w:instrText xml:space="preserve"> PAGEREF _Toc119915428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Writs of extent and Ca. Sa. abolished</w:t>
      </w:r>
      <w:r>
        <w:rPr>
          <w:noProof/>
        </w:rPr>
        <w:tab/>
      </w:r>
      <w:r>
        <w:rPr>
          <w:noProof/>
        </w:rPr>
        <w:fldChar w:fldCharType="begin"/>
      </w:r>
      <w:r>
        <w:rPr>
          <w:noProof/>
        </w:rPr>
        <w:instrText xml:space="preserve"> PAGEREF _Toc119915429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_Toc119915430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_Toc119915432 \h </w:instrText>
      </w:r>
      <w:r>
        <w:rPr>
          <w:noProof/>
        </w:rPr>
      </w:r>
      <w:r>
        <w:rPr>
          <w:noProof/>
        </w:rPr>
        <w:fldChar w:fldCharType="separate"/>
      </w:r>
      <w:r>
        <w:rPr>
          <w:noProof/>
        </w:rPr>
        <w:t>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Crown Suits Act 1947 </w:t>
      </w:r>
    </w:p>
    <w:p>
      <w:pPr>
        <w:pStyle w:val="LongTitle"/>
        <w:rPr>
          <w:snapToGrid w:val="0"/>
        </w:rPr>
      </w:pPr>
      <w:r>
        <w:rPr>
          <w:snapToGrid w:val="0"/>
        </w:rPr>
        <w:t xml:space="preserve">An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1" w:name="_Toc40513014"/>
      <w:bookmarkStart w:id="2" w:name="_Toc11991542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3" w:name="_Toc40513016"/>
      <w:bookmarkStart w:id="4" w:name="_Toc119915421"/>
      <w:r>
        <w:rPr>
          <w:rStyle w:val="CharSectno"/>
        </w:rPr>
        <w:t>3</w:t>
      </w:r>
      <w:r>
        <w:rPr>
          <w:snapToGrid w:val="0"/>
        </w:rPr>
        <w:t>.</w:t>
      </w:r>
      <w:r>
        <w:rPr>
          <w:snapToGrid w:val="0"/>
        </w:rPr>
        <w:tab/>
        <w:t>Interpretation of “Crown”</w:t>
      </w:r>
      <w:bookmarkEnd w:id="3"/>
      <w:bookmarkEnd w:id="4"/>
      <w:r>
        <w:rPr>
          <w:snapToGrid w:val="0"/>
        </w:rPr>
        <w:t xml:space="preserve"> </w:t>
      </w:r>
    </w:p>
    <w:p>
      <w:pPr>
        <w:pStyle w:val="Subsection"/>
        <w:rPr>
          <w:snapToGrid w:val="0"/>
        </w:rPr>
      </w:pPr>
      <w:r>
        <w:rPr>
          <w:snapToGrid w:val="0"/>
        </w:rPr>
        <w:tab/>
      </w:r>
      <w:r>
        <w:rPr>
          <w:snapToGrid w:val="0"/>
        </w:rPr>
        <w:tab/>
        <w:t xml:space="preserve">In this Act, the term </w:t>
      </w:r>
      <w:r>
        <w:rPr>
          <w:b/>
          <w:snapToGrid w:val="0"/>
        </w:rPr>
        <w:t>“</w:t>
      </w:r>
      <w:r>
        <w:rPr>
          <w:rStyle w:val="CharDefText"/>
        </w:rPr>
        <w:t>Crown</w:t>
      </w:r>
      <w:r>
        <w:rPr>
          <w:b/>
          <w:snapToGrid w:val="0"/>
        </w:rPr>
        <w:t>”</w:t>
      </w:r>
      <w:r>
        <w:rPr>
          <w:snapToGrid w:val="0"/>
        </w:rPr>
        <w:t xml:space="preserve"> means the Crown in right of the Government of Western Australia.</w:t>
      </w:r>
    </w:p>
    <w:p>
      <w:pPr>
        <w:pStyle w:val="Heading5"/>
        <w:rPr>
          <w:snapToGrid w:val="0"/>
        </w:rPr>
      </w:pPr>
      <w:bookmarkStart w:id="5" w:name="_Toc40513017"/>
      <w:bookmarkStart w:id="6" w:name="_Toc119915422"/>
      <w:r>
        <w:rPr>
          <w:rStyle w:val="CharSectno"/>
        </w:rPr>
        <w:t>4</w:t>
      </w:r>
      <w:r>
        <w:rPr>
          <w:snapToGrid w:val="0"/>
        </w:rPr>
        <w:t>.</w:t>
      </w:r>
      <w:r>
        <w:rPr>
          <w:snapToGrid w:val="0"/>
        </w:rPr>
        <w:tab/>
        <w:t>Application of this Act</w:t>
      </w:r>
      <w:bookmarkEnd w:id="5"/>
      <w:bookmarkEnd w:id="6"/>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7" w:name="_Toc40513018"/>
      <w:bookmarkStart w:id="8" w:name="_Toc119915423"/>
      <w:r>
        <w:rPr>
          <w:rStyle w:val="CharSectno"/>
        </w:rPr>
        <w:t>5</w:t>
      </w:r>
      <w:r>
        <w:rPr>
          <w:snapToGrid w:val="0"/>
        </w:rPr>
        <w:t>.</w:t>
      </w:r>
      <w:r>
        <w:rPr>
          <w:snapToGrid w:val="0"/>
        </w:rPr>
        <w:tab/>
        <w:t>Crown to sue and be sued as subject</w:t>
      </w:r>
      <w:bookmarkEnd w:id="7"/>
      <w:bookmarkEnd w:id="8"/>
      <w:r>
        <w:rPr>
          <w:snapToGrid w:val="0"/>
        </w:rPr>
        <w:t xml:space="preserve"> </w:t>
      </w:r>
    </w:p>
    <w:p>
      <w:pPr>
        <w:pStyle w:val="Subsection"/>
        <w:rPr>
          <w:snapToGrid w:val="0"/>
        </w:rPr>
      </w:pPr>
      <w:r>
        <w:rPr>
          <w:snapToGrid w:val="0"/>
        </w:rPr>
        <w:tab/>
        <w:t>(1)</w:t>
      </w:r>
      <w:r>
        <w:rPr>
          <w:snapToGrid w:val="0"/>
        </w:rPr>
        <w:tab/>
        <w:t>Subject to this Act, the Crown may sue and be sued in any Court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r>
        <w:t>Repealed by No. 20 of 2005 s. 8(1).]</w:t>
      </w:r>
      <w:bookmarkStart w:id="9" w:name="UpToHere"/>
      <w:bookmarkEnd w:id="9"/>
    </w:p>
    <w:p>
      <w:pPr>
        <w:pStyle w:val="Heading5"/>
        <w:spacing w:before="180"/>
        <w:rPr>
          <w:snapToGrid w:val="0"/>
        </w:rPr>
      </w:pPr>
      <w:bookmarkStart w:id="10" w:name="_Toc40513020"/>
      <w:bookmarkStart w:id="11" w:name="_Toc119915425"/>
      <w:r>
        <w:rPr>
          <w:rStyle w:val="CharSectno"/>
        </w:rPr>
        <w:t>7</w:t>
      </w:r>
      <w:r>
        <w:rPr>
          <w:snapToGrid w:val="0"/>
        </w:rPr>
        <w:t>.</w:t>
      </w:r>
      <w:r>
        <w:rPr>
          <w:snapToGrid w:val="0"/>
        </w:rPr>
        <w:tab/>
        <w:t>Statutory rights preserved where already given</w:t>
      </w:r>
      <w:bookmarkEnd w:id="10"/>
      <w:bookmarkEnd w:id="11"/>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tab/>
        <w:t>(a)</w:t>
      </w:r>
      <w:r>
        <w:rPr>
          <w:snapToGrid w:val="0"/>
        </w:rPr>
        <w:tab/>
        <w:t>the rights or liabilities of any corporate body or instrumentality of the Crown created by any Act of Parliament.</w:t>
      </w:r>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12" w:name="_Toc40513021"/>
      <w:bookmarkStart w:id="13" w:name="_Toc119915426"/>
      <w:r>
        <w:rPr>
          <w:rStyle w:val="CharSectno"/>
        </w:rPr>
        <w:t>8</w:t>
      </w:r>
      <w:r>
        <w:rPr>
          <w:snapToGrid w:val="0"/>
        </w:rPr>
        <w:t>.</w:t>
      </w:r>
      <w:r>
        <w:rPr>
          <w:snapToGrid w:val="0"/>
        </w:rPr>
        <w:tab/>
        <w:t>Joinder of the Crown in proceedings between subject and subject</w:t>
      </w:r>
      <w:bookmarkEnd w:id="12"/>
      <w:bookmarkEnd w:id="13"/>
      <w:r>
        <w:rPr>
          <w:snapToGrid w:val="0"/>
        </w:rPr>
        <w:t xml:space="preserve"> </w:t>
      </w:r>
    </w:p>
    <w:p>
      <w:pPr>
        <w:pStyle w:val="Subsection"/>
        <w:rPr>
          <w:snapToGrid w:val="0"/>
        </w:rPr>
      </w:pPr>
      <w:r>
        <w:rPr>
          <w:snapToGrid w:val="0"/>
        </w:rPr>
        <w:tab/>
        <w:t>(1)</w:t>
      </w:r>
      <w:r>
        <w:rPr>
          <w:snapToGrid w:val="0"/>
        </w:rPr>
        <w:tab/>
        <w:t>When in any action, use or proceeding between litigants in any civil Court in Western Australia in which the Crown is not a party it appears to the Court that the constitutional rights of the Crown may be directly or indirectly affected, or any question arises as to the constitutional validity of any Act of Parliament of the State, the Crown may obtain leave by its Attorney General to intervene, or the Court may order that the Crown be joined as a party.</w:t>
      </w:r>
    </w:p>
    <w:p>
      <w:pPr>
        <w:pStyle w:val="Subsection"/>
        <w:rPr>
          <w:snapToGrid w:val="0"/>
        </w:rPr>
      </w:pPr>
      <w:r>
        <w:rPr>
          <w:snapToGrid w:val="0"/>
        </w:rPr>
        <w:tab/>
        <w:t>(2)</w:t>
      </w:r>
      <w:r>
        <w:rPr>
          <w:snapToGrid w:val="0"/>
        </w:rPr>
        <w:tab/>
        <w:t>Where any such question arises in any civil Court,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Every such intervention or joinder or removal shall be on such terms and conditions as the Court shall deem just.</w:t>
      </w:r>
    </w:p>
    <w:p>
      <w:pPr>
        <w:pStyle w:val="Subsection"/>
        <w:rPr>
          <w:snapToGrid w:val="0"/>
        </w:rPr>
      </w:pPr>
      <w:r>
        <w:rPr>
          <w:snapToGrid w:val="0"/>
        </w:rPr>
        <w:tab/>
        <w:t>(4)</w:t>
      </w:r>
      <w:r>
        <w:rPr>
          <w:snapToGrid w:val="0"/>
        </w:rPr>
        <w:tab/>
        <w:t xml:space="preserve">In this section </w:t>
      </w:r>
      <w:r>
        <w:rPr>
          <w:b/>
          <w:snapToGrid w:val="0"/>
        </w:rPr>
        <w:t>“</w:t>
      </w:r>
      <w:r>
        <w:rPr>
          <w:rStyle w:val="CharDefText"/>
        </w:rPr>
        <w:t>Act of Parliament</w:t>
      </w:r>
      <w:r>
        <w:rPr>
          <w:b/>
          <w:snapToGrid w:val="0"/>
        </w:rPr>
        <w:t>”</w:t>
      </w:r>
      <w:r>
        <w:rPr>
          <w:snapToGrid w:val="0"/>
        </w:rPr>
        <w:t xml:space="preserve"> includes an ordinance passed before the grant of responsible government to the State.</w:t>
      </w:r>
    </w:p>
    <w:p>
      <w:pPr>
        <w:pStyle w:val="Heading5"/>
        <w:rPr>
          <w:snapToGrid w:val="0"/>
        </w:rPr>
      </w:pPr>
      <w:bookmarkStart w:id="14" w:name="_Toc40513022"/>
      <w:bookmarkStart w:id="15" w:name="_Toc119915427"/>
      <w:r>
        <w:rPr>
          <w:rStyle w:val="CharSectno"/>
        </w:rPr>
        <w:t>9</w:t>
      </w:r>
      <w:r>
        <w:rPr>
          <w:snapToGrid w:val="0"/>
        </w:rPr>
        <w:t>.</w:t>
      </w:r>
      <w:r>
        <w:rPr>
          <w:snapToGrid w:val="0"/>
        </w:rPr>
        <w:tab/>
        <w:t>Same process available to Crown and subject</w:t>
      </w:r>
      <w:bookmarkEnd w:id="14"/>
      <w:bookmarkEnd w:id="15"/>
      <w:r>
        <w:rPr>
          <w:snapToGrid w:val="0"/>
        </w:rPr>
        <w:t xml:space="preserve"> </w:t>
      </w:r>
    </w:p>
    <w:p>
      <w:pPr>
        <w:pStyle w:val="Subsection"/>
        <w:rPr>
          <w:snapToGrid w:val="0"/>
        </w:rPr>
      </w:pPr>
      <w:r>
        <w:rPr>
          <w:snapToGrid w:val="0"/>
        </w:rPr>
        <w:tab/>
      </w:r>
      <w:r>
        <w:rPr>
          <w:snapToGrid w:val="0"/>
        </w:rPr>
        <w:tab/>
        <w:t>Subject to this Act, the same process shall be available both to the Crown and to the subject for the determination and enforcement of claims in Her Majesty’s civil Courts.</w:t>
      </w:r>
    </w:p>
    <w:p>
      <w:pPr>
        <w:pStyle w:val="Heading5"/>
        <w:rPr>
          <w:snapToGrid w:val="0"/>
        </w:rPr>
      </w:pPr>
      <w:bookmarkStart w:id="16" w:name="_Toc40513023"/>
      <w:bookmarkStart w:id="17" w:name="_Toc119915428"/>
      <w:r>
        <w:rPr>
          <w:rStyle w:val="CharSectno"/>
        </w:rPr>
        <w:t>10</w:t>
      </w:r>
      <w:r>
        <w:rPr>
          <w:snapToGrid w:val="0"/>
        </w:rPr>
        <w:t>.</w:t>
      </w:r>
      <w:r>
        <w:rPr>
          <w:snapToGrid w:val="0"/>
        </w:rPr>
        <w:tab/>
        <w:t>Method of recovering judgment against the Crown</w:t>
      </w:r>
      <w:bookmarkEnd w:id="16"/>
      <w:bookmarkEnd w:id="17"/>
      <w:r>
        <w:rPr>
          <w:snapToGrid w:val="0"/>
        </w:rPr>
        <w:t xml:space="preserve"> </w:t>
      </w:r>
    </w:p>
    <w:p>
      <w:pPr>
        <w:pStyle w:val="Subsection"/>
        <w:rPr>
          <w:snapToGrid w:val="0"/>
        </w:rPr>
      </w:pPr>
      <w:r>
        <w:rPr>
          <w:snapToGrid w:val="0"/>
        </w:rPr>
        <w:tab/>
        <w:t>(1)</w:t>
      </w:r>
      <w:r>
        <w:rPr>
          <w:snapToGrid w:val="0"/>
        </w:rPr>
        <w:tab/>
        <w:t>No execution or other process in the nature of execution shall be issued out of any Court against the Crown, but after any judgment has been given against the Crown the Registrar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On the receipt of such certificate the Governor shall cause to be charged to the Consolidated Fund the amount of such judgment and costs to the person entitled to recover the same.</w:t>
      </w:r>
    </w:p>
    <w:p>
      <w:pPr>
        <w:pStyle w:val="Footnotesection"/>
      </w:pPr>
      <w:r>
        <w:tab/>
        <w:t>[Section 10 amended by No. 6 of 1993 s. 11; No. 49 of 1996 s. 64.]</w:t>
      </w:r>
    </w:p>
    <w:p>
      <w:pPr>
        <w:pStyle w:val="Heading5"/>
        <w:rPr>
          <w:snapToGrid w:val="0"/>
        </w:rPr>
      </w:pPr>
      <w:bookmarkStart w:id="18" w:name="_Toc40513024"/>
      <w:bookmarkStart w:id="19" w:name="_Toc119915429"/>
      <w:r>
        <w:rPr>
          <w:rStyle w:val="CharSectno"/>
        </w:rPr>
        <w:t>11</w:t>
      </w:r>
      <w:r>
        <w:rPr>
          <w:snapToGrid w:val="0"/>
        </w:rPr>
        <w:t>.</w:t>
      </w:r>
      <w:r>
        <w:rPr>
          <w:snapToGrid w:val="0"/>
        </w:rPr>
        <w:tab/>
        <w:t>Writs of extent and Ca. Sa. abolished</w:t>
      </w:r>
      <w:bookmarkEnd w:id="18"/>
      <w:bookmarkEnd w:id="19"/>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20" w:name="_Toc40513025"/>
      <w:bookmarkStart w:id="21" w:name="_Toc119915430"/>
      <w:r>
        <w:rPr>
          <w:rStyle w:val="CharSectno"/>
        </w:rPr>
        <w:t>12</w:t>
      </w:r>
      <w:r>
        <w:rPr>
          <w:snapToGrid w:val="0"/>
        </w:rPr>
        <w:t>.</w:t>
      </w:r>
      <w:r>
        <w:rPr>
          <w:snapToGrid w:val="0"/>
        </w:rPr>
        <w:tab/>
        <w:t>Rules of Court</w:t>
      </w:r>
      <w:bookmarkEnd w:id="20"/>
      <w:bookmarkEnd w:id="21"/>
      <w:r>
        <w:rPr>
          <w:snapToGrid w:val="0"/>
        </w:rPr>
        <w:t xml:space="preserve"> </w:t>
      </w:r>
    </w:p>
    <w:p>
      <w:pPr>
        <w:pStyle w:val="Subsection"/>
        <w:rPr>
          <w:snapToGrid w:val="0"/>
        </w:rPr>
      </w:pPr>
      <w:r>
        <w:rPr>
          <w:snapToGrid w:val="0"/>
        </w:rPr>
        <w:tab/>
      </w:r>
      <w:r>
        <w:rPr>
          <w:snapToGrid w:val="0"/>
        </w:rPr>
        <w:tab/>
        <w:t>The Judges of the Supreme Court or any 2 of them may make rules governing practice or procedure which in their opinion requires to be specially prescribed for the purpose hereof, and subject thereto the Rules of the Supreme Court or of any competent Court in which an action is brought by or against the Crown shall apply as far as applicable to the practice and procedure to be observed in such action.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2" w:name="_Toc119914849"/>
      <w:bookmarkStart w:id="23" w:name="_Toc119914891"/>
      <w:bookmarkStart w:id="24" w:name="_Toc119915431"/>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119915432"/>
      <w:r>
        <w:rPr>
          <w:snapToGrid w:val="0"/>
        </w:rP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98"/>
              <w:rPr>
                <w:b/>
                <w:sz w:val="19"/>
              </w:rPr>
            </w:pPr>
            <w:r>
              <w:rPr>
                <w:b/>
                <w:sz w:val="19"/>
              </w:rPr>
              <w:t>Commencement</w:t>
            </w:r>
          </w:p>
        </w:tc>
      </w:tr>
      <w:tr>
        <w:tc>
          <w:tcPr>
            <w:tcW w:w="2268" w:type="dxa"/>
          </w:tcPr>
          <w:p>
            <w:pPr>
              <w:pStyle w:val="nTable"/>
              <w:spacing w:before="80"/>
              <w:rPr>
                <w:sz w:val="19"/>
              </w:rPr>
            </w:pPr>
            <w:r>
              <w:rPr>
                <w:i/>
                <w:sz w:val="19"/>
              </w:rPr>
              <w:t>Crown Suits Act 1947</w:t>
            </w:r>
          </w:p>
        </w:tc>
        <w:tc>
          <w:tcPr>
            <w:tcW w:w="1134" w:type="dxa"/>
          </w:tcPr>
          <w:p>
            <w:pPr>
              <w:pStyle w:val="nTable"/>
              <w:spacing w:before="80"/>
              <w:rPr>
                <w:sz w:val="19"/>
              </w:rPr>
            </w:pPr>
            <w:r>
              <w:rPr>
                <w:sz w:val="19"/>
              </w:rPr>
              <w:t>11 of 1947</w:t>
            </w:r>
          </w:p>
        </w:tc>
        <w:tc>
          <w:tcPr>
            <w:tcW w:w="1134" w:type="dxa"/>
          </w:tcPr>
          <w:p>
            <w:pPr>
              <w:pStyle w:val="nTable"/>
              <w:spacing w:before="80"/>
              <w:rPr>
                <w:sz w:val="19"/>
              </w:rPr>
            </w:pPr>
            <w:r>
              <w:rPr>
                <w:sz w:val="19"/>
              </w:rPr>
              <w:t>1 Nov 1947</w:t>
            </w:r>
          </w:p>
        </w:tc>
        <w:tc>
          <w:tcPr>
            <w:tcW w:w="2552" w:type="dxa"/>
          </w:tcPr>
          <w:p>
            <w:pPr>
              <w:pStyle w:val="nTable"/>
              <w:spacing w:before="80"/>
              <w:ind w:right="-198"/>
              <w:rPr>
                <w:sz w:val="19"/>
              </w:rPr>
            </w:pPr>
            <w:r>
              <w:rPr>
                <w:sz w:val="19"/>
              </w:rPr>
              <w:t>1 Nov 1947</w:t>
            </w:r>
          </w:p>
        </w:tc>
      </w:tr>
      <w:tr>
        <w:tc>
          <w:tcPr>
            <w:tcW w:w="2268" w:type="dxa"/>
          </w:tcPr>
          <w:p>
            <w:pPr>
              <w:pStyle w:val="nTable"/>
              <w:spacing w:before="80"/>
              <w:rPr>
                <w:sz w:val="19"/>
              </w:rPr>
            </w:pPr>
            <w:r>
              <w:rPr>
                <w:i/>
                <w:sz w:val="19"/>
              </w:rPr>
              <w:t>Crown Suits Act Amendment Act 1954</w:t>
            </w:r>
          </w:p>
        </w:tc>
        <w:tc>
          <w:tcPr>
            <w:tcW w:w="1134" w:type="dxa"/>
          </w:tcPr>
          <w:p>
            <w:pPr>
              <w:pStyle w:val="nTable"/>
              <w:spacing w:before="80"/>
              <w:rPr>
                <w:sz w:val="19"/>
              </w:rPr>
            </w:pPr>
            <w:r>
              <w:rPr>
                <w:sz w:val="19"/>
              </w:rPr>
              <w:t>22 of 1954</w:t>
            </w:r>
          </w:p>
        </w:tc>
        <w:tc>
          <w:tcPr>
            <w:tcW w:w="1134" w:type="dxa"/>
          </w:tcPr>
          <w:p>
            <w:pPr>
              <w:pStyle w:val="nTable"/>
              <w:spacing w:before="80"/>
              <w:rPr>
                <w:sz w:val="19"/>
              </w:rPr>
            </w:pPr>
            <w:r>
              <w:rPr>
                <w:sz w:val="19"/>
              </w:rPr>
              <w:t>7 Oct 1954</w:t>
            </w:r>
          </w:p>
        </w:tc>
        <w:tc>
          <w:tcPr>
            <w:tcW w:w="2552" w:type="dxa"/>
          </w:tcPr>
          <w:p>
            <w:pPr>
              <w:pStyle w:val="nTable"/>
              <w:spacing w:before="80"/>
              <w:ind w:right="-198"/>
              <w:rPr>
                <w:sz w:val="19"/>
              </w:rPr>
            </w:pPr>
            <w:r>
              <w:rPr>
                <w:sz w:val="19"/>
              </w:rPr>
              <w:t>7 Oct 1954</w:t>
            </w:r>
          </w:p>
        </w:tc>
      </w:tr>
      <w:tr>
        <w:trPr>
          <w:cantSplit/>
        </w:trPr>
        <w:tc>
          <w:tcPr>
            <w:tcW w:w="7088" w:type="dxa"/>
            <w:gridSpan w:val="4"/>
          </w:tcPr>
          <w:p>
            <w:pPr>
              <w:pStyle w:val="nTable"/>
              <w:spacing w:before="80"/>
              <w:ind w:right="-198"/>
              <w:rPr>
                <w:sz w:val="19"/>
              </w:rPr>
            </w:pPr>
            <w:r>
              <w:rPr>
                <w:b/>
                <w:sz w:val="19"/>
              </w:rPr>
              <w:t xml:space="preserve">Reprint of the </w:t>
            </w:r>
            <w:r>
              <w:rPr>
                <w:b/>
                <w:i/>
                <w:sz w:val="19"/>
              </w:rPr>
              <w:t>Crown Suits Act 1947</w:t>
            </w:r>
            <w:r>
              <w:rPr>
                <w:b/>
                <w:sz w:val="19"/>
              </w:rPr>
              <w:t xml:space="preserve"> approved 14 Apr 1971</w:t>
            </w:r>
            <w:r>
              <w:rPr>
                <w:sz w:val="19"/>
              </w:rPr>
              <w:t xml:space="preserve"> (includes amendments listed above)</w:t>
            </w:r>
          </w:p>
        </w:tc>
      </w:tr>
      <w:tr>
        <w:tc>
          <w:tcPr>
            <w:tcW w:w="2268" w:type="dxa"/>
          </w:tcPr>
          <w:p>
            <w:pPr>
              <w:pStyle w:val="nTable"/>
              <w:spacing w:before="80"/>
              <w:rPr>
                <w:sz w:val="19"/>
              </w:rPr>
            </w:pPr>
            <w:r>
              <w:rPr>
                <w:i/>
                <w:sz w:val="19"/>
              </w:rPr>
              <w:t>Acts Amendment (Asbestos Related Diseases) Act 1983</w:t>
            </w:r>
            <w:r>
              <w:rPr>
                <w:sz w:val="19"/>
              </w:rPr>
              <w:t xml:space="preserve"> Pt. III</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2" w:type="dxa"/>
          </w:tcPr>
          <w:p>
            <w:pPr>
              <w:pStyle w:val="nTable"/>
              <w:spacing w:before="80"/>
              <w:ind w:right="-198"/>
              <w:rPr>
                <w:sz w:val="19"/>
              </w:rPr>
            </w:pPr>
            <w:r>
              <w:rPr>
                <w:sz w:val="19"/>
              </w:rPr>
              <w:t>19 Jan 1984 (see s. 2)</w:t>
            </w:r>
          </w:p>
        </w:tc>
      </w:tr>
      <w:tr>
        <w:tc>
          <w:tcPr>
            <w:tcW w:w="2268" w:type="dxa"/>
          </w:tcPr>
          <w:p>
            <w:pPr>
              <w:pStyle w:val="nTable"/>
              <w:spacing w:before="80"/>
              <w:rPr>
                <w:sz w:val="19"/>
              </w:rPr>
            </w:pPr>
            <w:r>
              <w:rPr>
                <w:i/>
                <w:sz w:val="19"/>
              </w:rPr>
              <w:t>Financial Administration Legislation Amendment Act 1993</w:t>
            </w:r>
            <w:r>
              <w:rPr>
                <w:sz w:val="19"/>
              </w:rPr>
              <w:t xml:space="preserve"> 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ind w:right="-198"/>
              <w:rPr>
                <w:sz w:val="19"/>
              </w:rPr>
            </w:pPr>
            <w:r>
              <w:rPr>
                <w:sz w:val="19"/>
              </w:rPr>
              <w:t>1 Jul 1993 (see s. 2(1))</w:t>
            </w:r>
          </w:p>
        </w:tc>
      </w:tr>
      <w:t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 xml:space="preserve">25 Oct 1996 </w:t>
            </w:r>
          </w:p>
        </w:tc>
        <w:tc>
          <w:tcPr>
            <w:tcW w:w="2552" w:type="dxa"/>
          </w:tcPr>
          <w:p>
            <w:pPr>
              <w:pStyle w:val="nTable"/>
              <w:spacing w:before="80"/>
              <w:ind w:right="-198"/>
              <w:rPr>
                <w:sz w:val="19"/>
              </w:rPr>
            </w:pPr>
            <w:r>
              <w:rPr>
                <w:sz w:val="19"/>
              </w:rPr>
              <w:t>25 Oct 1996 (see s. 2(1))</w:t>
            </w:r>
          </w:p>
        </w:tc>
      </w:tr>
      <w:tr>
        <w:trPr>
          <w:cantSplit/>
        </w:trPr>
        <w:tc>
          <w:tcPr>
            <w:tcW w:w="7088" w:type="dxa"/>
            <w:gridSpan w:val="4"/>
          </w:tcPr>
          <w:p>
            <w:pPr>
              <w:pStyle w:val="nTable"/>
              <w:spacing w:before="80"/>
              <w:ind w:right="-198"/>
              <w:rPr>
                <w:sz w:val="19"/>
              </w:rPr>
            </w:pPr>
            <w:r>
              <w:rPr>
                <w:b/>
                <w:sz w:val="19"/>
              </w:rPr>
              <w:t xml:space="preserve">Reprint 2:  The </w:t>
            </w:r>
            <w:r>
              <w:rPr>
                <w:b/>
                <w:i/>
                <w:sz w:val="19"/>
              </w:rPr>
              <w:t>Crown Suits Act 1947</w:t>
            </w:r>
            <w:r>
              <w:rPr>
                <w:b/>
                <w:sz w:val="19"/>
              </w:rPr>
              <w:t xml:space="preserve"> as at 9 May 2003 </w:t>
            </w:r>
            <w:r>
              <w:rPr>
                <w:sz w:val="19"/>
              </w:rPr>
              <w:t>(includes amendments listed above)</w:t>
            </w:r>
          </w:p>
        </w:tc>
      </w:tr>
      <w:tr>
        <w:tc>
          <w:tcPr>
            <w:tcW w:w="2268" w:type="dxa"/>
          </w:tcPr>
          <w:p>
            <w:pPr>
              <w:pStyle w:val="nTable"/>
              <w:spacing w:before="80"/>
              <w:rPr>
                <w:sz w:val="19"/>
                <w:vertAlign w:val="superscript"/>
              </w:rPr>
            </w:pPr>
            <w:r>
              <w:rPr>
                <w:i/>
                <w:sz w:val="19"/>
              </w:rPr>
              <w:t>Acts Amendment and Repeal (Courts and Legal Practice) Act 2003</w:t>
            </w:r>
            <w:r>
              <w:rPr>
                <w:sz w:val="19"/>
              </w:rPr>
              <w:t xml:space="preserve"> s. 90, 97 </w:t>
            </w:r>
            <w:r>
              <w:rPr>
                <w:sz w:val="19"/>
                <w:vertAlign w:val="superscript"/>
              </w:rPr>
              <w:t>3</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2" w:type="dxa"/>
          </w:tcPr>
          <w:p>
            <w:pPr>
              <w:pStyle w:val="nTable"/>
              <w:spacing w:before="80"/>
              <w:ind w:right="-198"/>
              <w:rPr>
                <w:sz w:val="19"/>
              </w:rPr>
            </w:pPr>
            <w:r>
              <w:rPr>
                <w:sz w:val="19"/>
              </w:rPr>
              <w:t xml:space="preserve">1 Jan 2004 (see s. 2 and </w:t>
            </w:r>
            <w:r>
              <w:rPr>
                <w:i/>
                <w:sz w:val="19"/>
              </w:rPr>
              <w:t>Gazette</w:t>
            </w:r>
            <w:r>
              <w:rPr>
                <w:sz w:val="19"/>
              </w:rPr>
              <w:t xml:space="preserve"> 30 Dec 2003 p. 5722)</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4 </w:t>
            </w:r>
            <w:r>
              <w:rPr>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pPr>
      <w:r>
        <w:rPr>
          <w:vertAlign w:val="superscript"/>
        </w:rPr>
        <w:t>2</w:t>
      </w:r>
      <w:r>
        <w:tab/>
        <w:t xml:space="preserve">The provision in this Act repealing that Act has been omitted under s. 7(4)(f) of the </w:t>
      </w:r>
      <w:r>
        <w:rPr>
          <w:i/>
        </w:rPr>
        <w:t xml:space="preserve">Reprints Act 1984 </w:t>
      </w:r>
      <w:r>
        <w:t>from this reprint.</w:t>
      </w:r>
    </w:p>
    <w:p>
      <w:pPr>
        <w:pStyle w:val="nSubsection"/>
      </w:pPr>
      <w:r>
        <w:rPr>
          <w:vertAlign w:val="superscript"/>
        </w:rPr>
        <w:t>3</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26" w:name="_Toc58037621"/>
      <w:r>
        <w:rPr>
          <w:rStyle w:val="CharSectno"/>
        </w:rPr>
        <w:t>97</w:t>
      </w:r>
      <w:r>
        <w:t>.</w:t>
      </w:r>
      <w:r>
        <w:tab/>
        <w:t>References to Crown Solicitor</w:t>
      </w:r>
      <w:bookmarkEnd w:id="26"/>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8(2)</w:t>
      </w:r>
      <w:r>
        <w:t xml:space="preserve"> reads as follows:</w:t>
      </w:r>
    </w:p>
    <w:p>
      <w:pPr>
        <w:pStyle w:val="MiscOpen"/>
      </w:pPr>
      <w:r>
        <w:t>“</w:t>
      </w:r>
    </w:p>
    <w:p>
      <w:pPr>
        <w:pStyle w:val="nzHeading5"/>
      </w:pPr>
      <w:bookmarkStart w:id="27" w:name="_Toc86826885"/>
      <w:bookmarkStart w:id="28" w:name="_Toc119316831"/>
      <w:r>
        <w:rPr>
          <w:rStyle w:val="CharSectno"/>
        </w:rPr>
        <w:t>8</w:t>
      </w:r>
      <w:r>
        <w:t>.</w:t>
      </w:r>
      <w:r>
        <w:tab/>
        <w:t>Section 6 repealed and a savings provision</w:t>
      </w:r>
      <w:bookmarkEnd w:id="27"/>
      <w:bookmarkEnd w:id="28"/>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Crown Suits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Crown Suits Act 1947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Crown Suits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Crown Suits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E02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0E65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8838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A0A3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4EB7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4A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28AD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2C39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9AB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40C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8EC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600E9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29"/>
    <w:docVar w:name="WAFER_20151210111429" w:val="RemoveTrackChanges"/>
    <w:docVar w:name="WAFER_20151210111429_GUID" w:val="a3b01d02-dc5f-4a4e-98c5-aebfdbec5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5892</Characters>
  <Application>Microsoft Office Word</Application>
  <DocSecurity>0</DocSecurity>
  <Lines>203</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1947 - 02-b0-03</dc:title>
  <dc:subject/>
  <dc:creator/>
  <cp:keywords/>
  <dc:description/>
  <cp:lastModifiedBy>svcMRProcess</cp:lastModifiedBy>
  <cp:revision>4</cp:revision>
  <cp:lastPrinted>2003-05-22T02:19:00Z</cp:lastPrinted>
  <dcterms:created xsi:type="dcterms:W3CDTF">2015-12-10T19:27:00Z</dcterms:created>
  <dcterms:modified xsi:type="dcterms:W3CDTF">2015-12-10T19:27:00Z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200</vt:i4>
  </property>
  <property fmtid="{D5CDD505-2E9C-101B-9397-08002B2CF9AE}" pid="6" name="AsAtDate">
    <vt:lpwstr>15 Nov 2005</vt:lpwstr>
  </property>
  <property fmtid="{D5CDD505-2E9C-101B-9397-08002B2CF9AE}" pid="7" name="Suffix">
    <vt:lpwstr>02-b0-03</vt:lpwstr>
  </property>
</Properties>
</file>