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_Toc120355745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_Toc120355746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_Toc120355747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_Toc120355748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The Curriculum Council</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Curriculum Council established</w:t>
      </w:r>
      <w:r>
        <w:rPr>
          <w:noProof/>
        </w:rPr>
        <w:tab/>
      </w:r>
      <w:r>
        <w:rPr>
          <w:noProof/>
        </w:rPr>
        <w:fldChar w:fldCharType="begin"/>
      </w:r>
      <w:r>
        <w:rPr>
          <w:noProof/>
        </w:rPr>
        <w:instrText xml:space="preserve"> PAGEREF _Toc120355750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Members of Council</w:t>
      </w:r>
      <w:r>
        <w:rPr>
          <w:noProof/>
        </w:rPr>
        <w:tab/>
      </w:r>
      <w:r>
        <w:rPr>
          <w:noProof/>
        </w:rPr>
        <w:fldChar w:fldCharType="begin"/>
      </w:r>
      <w:r>
        <w:rPr>
          <w:noProof/>
        </w:rPr>
        <w:instrText xml:space="preserve"> PAGEREF _Toc120355751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Constitution, proceedings etc.</w:t>
      </w:r>
      <w:r>
        <w:rPr>
          <w:noProof/>
        </w:rPr>
        <w:tab/>
      </w:r>
      <w:r>
        <w:rPr>
          <w:noProof/>
        </w:rPr>
        <w:fldChar w:fldCharType="begin"/>
      </w:r>
      <w:r>
        <w:rPr>
          <w:noProof/>
        </w:rPr>
        <w:instrText xml:space="preserve"> PAGEREF _Toc120355752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_Toc120355753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Curriculum framework</w:t>
      </w:r>
      <w:r>
        <w:rPr>
          <w:noProof/>
        </w:rPr>
        <w:tab/>
      </w:r>
      <w:r>
        <w:rPr>
          <w:noProof/>
        </w:rPr>
        <w:fldChar w:fldCharType="begin"/>
      </w:r>
      <w:r>
        <w:rPr>
          <w:noProof/>
        </w:rPr>
        <w:instrText xml:space="preserve"> PAGEREF _Toc120355755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Implementation of curriculum framework</w:t>
      </w:r>
      <w:r>
        <w:rPr>
          <w:noProof/>
        </w:rPr>
        <w:tab/>
      </w:r>
      <w:r>
        <w:rPr>
          <w:noProof/>
        </w:rPr>
        <w:fldChar w:fldCharType="begin"/>
      </w:r>
      <w:r>
        <w:rPr>
          <w:noProof/>
        </w:rPr>
        <w:instrText xml:space="preserve"> PAGEREF _Toc120355756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Exemption from curriculum framework</w:t>
      </w:r>
      <w:r>
        <w:rPr>
          <w:noProof/>
        </w:rPr>
        <w:tab/>
      </w:r>
      <w:r>
        <w:rPr>
          <w:noProof/>
        </w:rPr>
        <w:fldChar w:fldCharType="begin"/>
      </w:r>
      <w:r>
        <w:rPr>
          <w:noProof/>
        </w:rPr>
        <w:instrText xml:space="preserve"> PAGEREF _Toc120355757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Post</w:t>
      </w:r>
      <w:r>
        <w:rPr>
          <w:noProof/>
          <w:snapToGrid w:val="0"/>
          <w:szCs w:val="24"/>
        </w:rPr>
        <w:noBreakHyphen/>
        <w:t>compulsory schooling</w:t>
      </w:r>
      <w:r>
        <w:rPr>
          <w:noProof/>
        </w:rPr>
        <w:tab/>
      </w:r>
      <w:r>
        <w:rPr>
          <w:noProof/>
        </w:rPr>
        <w:fldChar w:fldCharType="begin"/>
      </w:r>
      <w:r>
        <w:rPr>
          <w:noProof/>
        </w:rPr>
        <w:instrText xml:space="preserve"> PAGEREF _Toc120355758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Advice to Minister</w:t>
      </w:r>
      <w:r>
        <w:rPr>
          <w:noProof/>
        </w:rPr>
        <w:tab/>
      </w:r>
      <w:r>
        <w:rPr>
          <w:noProof/>
        </w:rPr>
        <w:fldChar w:fldCharType="begin"/>
      </w:r>
      <w:r>
        <w:rPr>
          <w:noProof/>
        </w:rPr>
        <w:instrText xml:space="preserve"> PAGEREF _Toc120355759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Information and register</w:t>
      </w:r>
      <w:r>
        <w:rPr>
          <w:noProof/>
        </w:rPr>
        <w:tab/>
      </w:r>
      <w:r>
        <w:rPr>
          <w:noProof/>
        </w:rPr>
        <w:fldChar w:fldCharType="begin"/>
      </w:r>
      <w:r>
        <w:rPr>
          <w:noProof/>
        </w:rPr>
        <w:instrText xml:space="preserve"> PAGEREF _Toc120355760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_Toc120355761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Performance of functions</w:t>
      </w:r>
      <w:r>
        <w:rPr>
          <w:noProof/>
        </w:rPr>
        <w:tab/>
      </w:r>
      <w:r>
        <w:rPr>
          <w:noProof/>
        </w:rPr>
        <w:fldChar w:fldCharType="begin"/>
      </w:r>
      <w:r>
        <w:rPr>
          <w:noProof/>
        </w:rPr>
        <w:instrText xml:space="preserve"> PAGEREF _Toc120355762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_Toc120355763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_Toc120355764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_Toc120355765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Staff</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_Toc120355767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_Toc120355768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Use of other government staff etc.</w:t>
      </w:r>
      <w:r>
        <w:rPr>
          <w:noProof/>
        </w:rPr>
        <w:tab/>
      </w:r>
      <w:r>
        <w:rPr>
          <w:noProof/>
        </w:rPr>
        <w:fldChar w:fldCharType="begin"/>
      </w:r>
      <w:r>
        <w:rPr>
          <w:noProof/>
        </w:rPr>
        <w:instrText xml:space="preserve"> PAGEREF _Toc120355769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Funds of Council</w:t>
      </w:r>
      <w:r>
        <w:rPr>
          <w:noProof/>
        </w:rPr>
        <w:tab/>
      </w:r>
      <w:r>
        <w:rPr>
          <w:noProof/>
        </w:rPr>
        <w:fldChar w:fldCharType="begin"/>
      </w:r>
      <w:r>
        <w:rPr>
          <w:noProof/>
        </w:rPr>
        <w:instrText xml:space="preserve"> PAGEREF _Toc120355771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Curriculum Council Account</w:t>
      </w:r>
      <w:r>
        <w:rPr>
          <w:noProof/>
        </w:rPr>
        <w:tab/>
      </w:r>
      <w:r>
        <w:rPr>
          <w:noProof/>
        </w:rPr>
        <w:fldChar w:fldCharType="begin"/>
      </w:r>
      <w:r>
        <w:rPr>
          <w:noProof/>
        </w:rPr>
        <w:instrText xml:space="preserve"> PAGEREF _Toc120355772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Borrowing from Treasury</w:t>
      </w:r>
      <w:r>
        <w:rPr>
          <w:noProof/>
        </w:rPr>
        <w:tab/>
      </w:r>
      <w:r>
        <w:rPr>
          <w:noProof/>
        </w:rPr>
        <w:fldChar w:fldCharType="begin"/>
      </w:r>
      <w:r>
        <w:rPr>
          <w:noProof/>
        </w:rPr>
        <w:instrText xml:space="preserve"> PAGEREF _Toc120355773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Other borrowing</w:t>
      </w:r>
      <w:r>
        <w:rPr>
          <w:noProof/>
        </w:rPr>
        <w:tab/>
      </w:r>
      <w:r>
        <w:rPr>
          <w:noProof/>
        </w:rPr>
        <w:fldChar w:fldCharType="begin"/>
      </w:r>
      <w:r>
        <w:rPr>
          <w:noProof/>
        </w:rPr>
        <w:instrText xml:space="preserve"> PAGEREF _Toc120355774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_Toc120355775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_Toc120355776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_Toc120355777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_Toc120355779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Execution of documents by Council</w:t>
      </w:r>
      <w:r>
        <w:rPr>
          <w:noProof/>
        </w:rPr>
        <w:tab/>
      </w:r>
      <w:r>
        <w:rPr>
          <w:noProof/>
        </w:rPr>
        <w:fldChar w:fldCharType="begin"/>
      </w:r>
      <w:r>
        <w:rPr>
          <w:noProof/>
        </w:rPr>
        <w:instrText xml:space="preserve"> PAGEREF _Toc120355780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_Toc120355781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_Toc120355782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_Toc120355783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_Toc120355784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_Toc120355785 \h </w:instrText>
      </w:r>
      <w:r>
        <w:rPr>
          <w:noProof/>
        </w:rPr>
      </w:r>
      <w:r>
        <w:rPr>
          <w:noProof/>
        </w:rPr>
        <w:fldChar w:fldCharType="separate"/>
      </w:r>
      <w:r>
        <w:rPr>
          <w:noProof/>
        </w:rPr>
        <w:t>24</w:t>
      </w:r>
      <w:r>
        <w:rPr>
          <w:noProof/>
        </w:rPr>
        <w:fldChar w:fldCharType="end"/>
      </w:r>
    </w:p>
    <w:p>
      <w:pPr>
        <w:pStyle w:val="TOC7"/>
        <w:rPr>
          <w:noProof/>
          <w:sz w:val="24"/>
          <w:szCs w:val="24"/>
        </w:rPr>
      </w:pPr>
      <w:r>
        <w:rPr>
          <w:noProof/>
          <w:szCs w:val="24"/>
        </w:rPr>
        <w:t>Division 1 — Provisions as to constitution and proceedings of the Council</w:t>
      </w:r>
      <w:r>
        <w:rPr>
          <w:noProof/>
        </w:rPr>
        <w:tab/>
      </w:r>
      <w:r>
        <w:rPr>
          <w:noProof/>
        </w:rPr>
        <w:fldChar w:fldCharType="begin"/>
      </w:r>
      <w:r>
        <w:rPr>
          <w:noProof/>
        </w:rPr>
        <w:instrText xml:space="preserve"> PAGEREF _Toc120355786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2"/>
        </w:rPr>
        <w:t xml:space="preserve">1. </w:t>
      </w:r>
      <w:r>
        <w:rPr>
          <w:noProof/>
          <w:sz w:val="24"/>
          <w:szCs w:val="24"/>
        </w:rPr>
        <w:tab/>
      </w:r>
      <w:r>
        <w:rPr>
          <w:noProof/>
          <w:szCs w:val="22"/>
        </w:rPr>
        <w:t>Term of office</w:t>
      </w:r>
      <w:r>
        <w:rPr>
          <w:noProof/>
        </w:rPr>
        <w:tab/>
      </w:r>
      <w:r>
        <w:rPr>
          <w:noProof/>
        </w:rPr>
        <w:fldChar w:fldCharType="begin"/>
      </w:r>
      <w:r>
        <w:rPr>
          <w:noProof/>
        </w:rPr>
        <w:instrText xml:space="preserve"> PAGEREF _Toc120355787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2"/>
        </w:rPr>
        <w:t xml:space="preserve">2. </w:t>
      </w:r>
      <w:r>
        <w:rPr>
          <w:noProof/>
          <w:sz w:val="24"/>
          <w:szCs w:val="24"/>
        </w:rPr>
        <w:tab/>
      </w:r>
      <w:r>
        <w:rPr>
          <w:noProof/>
          <w:szCs w:val="22"/>
        </w:rPr>
        <w:t>Resignation, removal etc.</w:t>
      </w:r>
      <w:r>
        <w:rPr>
          <w:noProof/>
        </w:rPr>
        <w:tab/>
      </w:r>
      <w:r>
        <w:rPr>
          <w:noProof/>
        </w:rPr>
        <w:fldChar w:fldCharType="begin"/>
      </w:r>
      <w:r>
        <w:rPr>
          <w:noProof/>
        </w:rPr>
        <w:instrText xml:space="preserve"> PAGEREF _Toc120355788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2"/>
        </w:rPr>
        <w:t xml:space="preserve">3. </w:t>
      </w:r>
      <w:r>
        <w:rPr>
          <w:noProof/>
          <w:sz w:val="24"/>
          <w:szCs w:val="24"/>
        </w:rPr>
        <w:tab/>
      </w:r>
      <w:r>
        <w:rPr>
          <w:noProof/>
          <w:szCs w:val="22"/>
        </w:rPr>
        <w:t>Leave of absence</w:t>
      </w:r>
      <w:r>
        <w:rPr>
          <w:noProof/>
        </w:rPr>
        <w:tab/>
      </w:r>
      <w:r>
        <w:rPr>
          <w:noProof/>
        </w:rPr>
        <w:fldChar w:fldCharType="begin"/>
      </w:r>
      <w:r>
        <w:rPr>
          <w:noProof/>
        </w:rPr>
        <w:instrText xml:space="preserve"> PAGEREF _Toc120355789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2"/>
        </w:rPr>
        <w:t xml:space="preserve">4. </w:t>
      </w:r>
      <w:r>
        <w:rPr>
          <w:noProof/>
          <w:sz w:val="24"/>
          <w:szCs w:val="24"/>
        </w:rPr>
        <w:tab/>
      </w:r>
      <w:r>
        <w:rPr>
          <w:noProof/>
          <w:szCs w:val="22"/>
        </w:rPr>
        <w:t>Appointed member unable to act</w:t>
      </w:r>
      <w:r>
        <w:rPr>
          <w:noProof/>
        </w:rPr>
        <w:tab/>
      </w:r>
      <w:r>
        <w:rPr>
          <w:noProof/>
        </w:rPr>
        <w:fldChar w:fldCharType="begin"/>
      </w:r>
      <w:r>
        <w:rPr>
          <w:noProof/>
        </w:rPr>
        <w:instrText xml:space="preserve"> PAGEREF _Toc120355790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 xml:space="preserve">5. </w:t>
      </w:r>
      <w:r>
        <w:rPr>
          <w:noProof/>
          <w:sz w:val="24"/>
          <w:szCs w:val="24"/>
        </w:rPr>
        <w:tab/>
      </w:r>
      <w:r>
        <w:rPr>
          <w:noProof/>
          <w:szCs w:val="22"/>
        </w:rPr>
        <w:t>Chief executive officer unable to attend</w:t>
      </w:r>
      <w:r>
        <w:rPr>
          <w:noProof/>
        </w:rPr>
        <w:tab/>
      </w:r>
      <w:r>
        <w:rPr>
          <w:noProof/>
        </w:rPr>
        <w:fldChar w:fldCharType="begin"/>
      </w:r>
      <w:r>
        <w:rPr>
          <w:noProof/>
        </w:rPr>
        <w:instrText xml:space="preserve"> PAGEREF _Toc120355791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 xml:space="preserve">6. </w:t>
      </w:r>
      <w:r>
        <w:rPr>
          <w:noProof/>
          <w:sz w:val="24"/>
          <w:szCs w:val="24"/>
        </w:rPr>
        <w:tab/>
      </w:r>
      <w:r>
        <w:rPr>
          <w:noProof/>
          <w:szCs w:val="22"/>
        </w:rPr>
        <w:t>Saving</w:t>
      </w:r>
      <w:r>
        <w:rPr>
          <w:noProof/>
        </w:rPr>
        <w:tab/>
      </w:r>
      <w:r>
        <w:rPr>
          <w:noProof/>
        </w:rPr>
        <w:fldChar w:fldCharType="begin"/>
      </w:r>
      <w:r>
        <w:rPr>
          <w:noProof/>
        </w:rPr>
        <w:instrText xml:space="preserve"> PAGEREF _Toc120355792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 xml:space="preserve">7. </w:t>
      </w:r>
      <w:r>
        <w:rPr>
          <w:noProof/>
          <w:sz w:val="24"/>
          <w:szCs w:val="24"/>
        </w:rPr>
        <w:tab/>
      </w:r>
      <w:r>
        <w:rPr>
          <w:noProof/>
          <w:szCs w:val="22"/>
        </w:rPr>
        <w:t>Calling of meetings</w:t>
      </w:r>
      <w:r>
        <w:rPr>
          <w:noProof/>
        </w:rPr>
        <w:tab/>
      </w:r>
      <w:r>
        <w:rPr>
          <w:noProof/>
        </w:rPr>
        <w:fldChar w:fldCharType="begin"/>
      </w:r>
      <w:r>
        <w:rPr>
          <w:noProof/>
        </w:rPr>
        <w:instrText xml:space="preserve"> PAGEREF _Toc120355793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 xml:space="preserve">8. </w:t>
      </w:r>
      <w:r>
        <w:rPr>
          <w:noProof/>
          <w:sz w:val="24"/>
          <w:szCs w:val="24"/>
        </w:rPr>
        <w:tab/>
      </w:r>
      <w:r>
        <w:rPr>
          <w:noProof/>
          <w:szCs w:val="22"/>
        </w:rPr>
        <w:t>Presiding officer</w:t>
      </w:r>
      <w:r>
        <w:rPr>
          <w:noProof/>
        </w:rPr>
        <w:tab/>
      </w:r>
      <w:r>
        <w:rPr>
          <w:noProof/>
        </w:rPr>
        <w:fldChar w:fldCharType="begin"/>
      </w:r>
      <w:r>
        <w:rPr>
          <w:noProof/>
        </w:rPr>
        <w:instrText xml:space="preserve"> PAGEREF _Toc120355794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 xml:space="preserve">9. </w:t>
      </w:r>
      <w:r>
        <w:rPr>
          <w:noProof/>
          <w:sz w:val="24"/>
          <w:szCs w:val="24"/>
        </w:rPr>
        <w:tab/>
      </w:r>
      <w:r>
        <w:rPr>
          <w:noProof/>
          <w:szCs w:val="22"/>
        </w:rPr>
        <w:t>Quorum</w:t>
      </w:r>
      <w:r>
        <w:rPr>
          <w:noProof/>
        </w:rPr>
        <w:tab/>
      </w:r>
      <w:r>
        <w:rPr>
          <w:noProof/>
        </w:rPr>
        <w:fldChar w:fldCharType="begin"/>
      </w:r>
      <w:r>
        <w:rPr>
          <w:noProof/>
        </w:rPr>
        <w:instrText xml:space="preserve"> PAGEREF _Toc120355795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10. </w:t>
      </w:r>
      <w:r>
        <w:rPr>
          <w:noProof/>
          <w:sz w:val="24"/>
          <w:szCs w:val="24"/>
        </w:rPr>
        <w:tab/>
      </w:r>
      <w:r>
        <w:rPr>
          <w:noProof/>
          <w:szCs w:val="22"/>
        </w:rPr>
        <w:t>Voting</w:t>
      </w:r>
      <w:r>
        <w:rPr>
          <w:noProof/>
        </w:rPr>
        <w:tab/>
      </w:r>
      <w:r>
        <w:rPr>
          <w:noProof/>
        </w:rPr>
        <w:fldChar w:fldCharType="begin"/>
      </w:r>
      <w:r>
        <w:rPr>
          <w:noProof/>
        </w:rPr>
        <w:instrText xml:space="preserve"> PAGEREF _Toc120355796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11. </w:t>
      </w:r>
      <w:r>
        <w:rPr>
          <w:noProof/>
          <w:sz w:val="24"/>
          <w:szCs w:val="24"/>
        </w:rPr>
        <w:tab/>
      </w:r>
      <w:r>
        <w:rPr>
          <w:noProof/>
          <w:szCs w:val="22"/>
        </w:rPr>
        <w:t>Minutes</w:t>
      </w:r>
      <w:r>
        <w:rPr>
          <w:noProof/>
        </w:rPr>
        <w:tab/>
      </w:r>
      <w:r>
        <w:rPr>
          <w:noProof/>
        </w:rPr>
        <w:fldChar w:fldCharType="begin"/>
      </w:r>
      <w:r>
        <w:rPr>
          <w:noProof/>
        </w:rPr>
        <w:instrText xml:space="preserve"> PAGEREF _Toc120355797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12. </w:t>
      </w:r>
      <w:r>
        <w:rPr>
          <w:noProof/>
          <w:sz w:val="24"/>
          <w:szCs w:val="24"/>
        </w:rPr>
        <w:tab/>
      </w:r>
      <w:r>
        <w:rPr>
          <w:noProof/>
          <w:szCs w:val="22"/>
        </w:rPr>
        <w:t>Resolution without meeting</w:t>
      </w:r>
      <w:r>
        <w:rPr>
          <w:noProof/>
        </w:rPr>
        <w:tab/>
      </w:r>
      <w:r>
        <w:rPr>
          <w:noProof/>
        </w:rPr>
        <w:fldChar w:fldCharType="begin"/>
      </w:r>
      <w:r>
        <w:rPr>
          <w:noProof/>
        </w:rPr>
        <w:instrText xml:space="preserve"> PAGEREF _Toc120355798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13. </w:t>
      </w:r>
      <w:r>
        <w:rPr>
          <w:noProof/>
          <w:sz w:val="24"/>
          <w:szCs w:val="24"/>
        </w:rPr>
        <w:tab/>
      </w:r>
      <w:r>
        <w:rPr>
          <w:noProof/>
          <w:szCs w:val="22"/>
        </w:rPr>
        <w:t>Telephone or video meetings</w:t>
      </w:r>
      <w:r>
        <w:rPr>
          <w:noProof/>
        </w:rPr>
        <w:tab/>
      </w:r>
      <w:r>
        <w:rPr>
          <w:noProof/>
        </w:rPr>
        <w:fldChar w:fldCharType="begin"/>
      </w:r>
      <w:r>
        <w:rPr>
          <w:noProof/>
        </w:rPr>
        <w:instrText xml:space="preserve"> PAGEREF _Toc120355799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14. </w:t>
      </w:r>
      <w:r>
        <w:rPr>
          <w:noProof/>
          <w:sz w:val="24"/>
          <w:szCs w:val="24"/>
        </w:rPr>
        <w:tab/>
      </w:r>
      <w:r>
        <w:rPr>
          <w:noProof/>
          <w:szCs w:val="22"/>
        </w:rPr>
        <w:t>Committees</w:t>
      </w:r>
      <w:r>
        <w:rPr>
          <w:noProof/>
        </w:rPr>
        <w:tab/>
      </w:r>
      <w:r>
        <w:rPr>
          <w:noProof/>
        </w:rPr>
        <w:fldChar w:fldCharType="begin"/>
      </w:r>
      <w:r>
        <w:rPr>
          <w:noProof/>
        </w:rPr>
        <w:instrText xml:space="preserve"> PAGEREF _Toc120355800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2"/>
        </w:rPr>
        <w:t xml:space="preserve">15. </w:t>
      </w:r>
      <w:r>
        <w:rPr>
          <w:noProof/>
          <w:sz w:val="24"/>
          <w:szCs w:val="24"/>
        </w:rPr>
        <w:tab/>
      </w:r>
      <w:r>
        <w:rPr>
          <w:noProof/>
          <w:szCs w:val="22"/>
        </w:rPr>
        <w:t>Council to determine own procedures</w:t>
      </w:r>
      <w:r>
        <w:rPr>
          <w:noProof/>
        </w:rPr>
        <w:tab/>
      </w:r>
      <w:r>
        <w:rPr>
          <w:noProof/>
        </w:rPr>
        <w:fldChar w:fldCharType="begin"/>
      </w:r>
      <w:r>
        <w:rPr>
          <w:noProof/>
        </w:rPr>
        <w:instrText xml:space="preserve"> PAGEREF _Toc120355801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_Toc120355802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2"/>
        </w:rPr>
        <w:t xml:space="preserve">16. </w:t>
      </w:r>
      <w:r>
        <w:rPr>
          <w:noProof/>
          <w:sz w:val="24"/>
          <w:szCs w:val="24"/>
        </w:rPr>
        <w:tab/>
      </w:r>
      <w:r>
        <w:rPr>
          <w:noProof/>
          <w:szCs w:val="22"/>
        </w:rPr>
        <w:t>Disclosure of interests</w:t>
      </w:r>
      <w:r>
        <w:rPr>
          <w:noProof/>
        </w:rPr>
        <w:tab/>
      </w:r>
      <w:r>
        <w:rPr>
          <w:noProof/>
        </w:rPr>
        <w:fldChar w:fldCharType="begin"/>
      </w:r>
      <w:r>
        <w:rPr>
          <w:noProof/>
        </w:rPr>
        <w:instrText xml:space="preserve"> PAGEREF _Toc120355803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2"/>
        </w:rPr>
        <w:t xml:space="preserve">17. </w:t>
      </w:r>
      <w:r>
        <w:rPr>
          <w:noProof/>
          <w:sz w:val="24"/>
          <w:szCs w:val="24"/>
        </w:rPr>
        <w:tab/>
      </w:r>
      <w:r>
        <w:rPr>
          <w:noProof/>
          <w:szCs w:val="22"/>
        </w:rPr>
        <w:t>Voting by interested members</w:t>
      </w:r>
      <w:r>
        <w:rPr>
          <w:noProof/>
        </w:rPr>
        <w:tab/>
      </w:r>
      <w:r>
        <w:rPr>
          <w:noProof/>
        </w:rPr>
        <w:fldChar w:fldCharType="begin"/>
      </w:r>
      <w:r>
        <w:rPr>
          <w:noProof/>
        </w:rPr>
        <w:instrText xml:space="preserve"> PAGEREF _Toc120355804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2"/>
        </w:rPr>
        <w:t xml:space="preserve">18. </w:t>
      </w:r>
      <w:r>
        <w:rPr>
          <w:noProof/>
          <w:sz w:val="24"/>
          <w:szCs w:val="24"/>
        </w:rPr>
        <w:tab/>
      </w:r>
      <w:r>
        <w:rPr>
          <w:noProof/>
          <w:szCs w:val="22"/>
        </w:rPr>
        <w:t>Clause 17 may be declared inapplicable</w:t>
      </w:r>
      <w:r>
        <w:rPr>
          <w:noProof/>
        </w:rPr>
        <w:tab/>
      </w:r>
      <w:r>
        <w:rPr>
          <w:noProof/>
        </w:rPr>
        <w:fldChar w:fldCharType="begin"/>
      </w:r>
      <w:r>
        <w:rPr>
          <w:noProof/>
        </w:rPr>
        <w:instrText xml:space="preserve"> PAGEREF _Toc120355805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2"/>
        </w:rPr>
        <w:t xml:space="preserve">19. </w:t>
      </w:r>
      <w:r>
        <w:rPr>
          <w:noProof/>
          <w:sz w:val="24"/>
          <w:szCs w:val="24"/>
        </w:rPr>
        <w:tab/>
      </w:r>
      <w:r>
        <w:rPr>
          <w:noProof/>
          <w:szCs w:val="22"/>
        </w:rPr>
        <w:t>Quorum where clause 18 applies</w:t>
      </w:r>
      <w:r>
        <w:rPr>
          <w:noProof/>
        </w:rPr>
        <w:tab/>
      </w:r>
      <w:r>
        <w:rPr>
          <w:noProof/>
        </w:rPr>
        <w:fldChar w:fldCharType="begin"/>
      </w:r>
      <w:r>
        <w:rPr>
          <w:noProof/>
        </w:rPr>
        <w:instrText xml:space="preserve"> PAGEREF _Toc120355806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2"/>
        </w:rPr>
        <w:t xml:space="preserve">20. </w:t>
      </w:r>
      <w:r>
        <w:rPr>
          <w:noProof/>
          <w:sz w:val="24"/>
          <w:szCs w:val="24"/>
        </w:rPr>
        <w:tab/>
      </w:r>
      <w:r>
        <w:rPr>
          <w:noProof/>
          <w:szCs w:val="22"/>
        </w:rPr>
        <w:t>Minister may declare clauses 17 and 19 inapplicable</w:t>
      </w:r>
      <w:r>
        <w:rPr>
          <w:noProof/>
        </w:rPr>
        <w:tab/>
      </w:r>
      <w:r>
        <w:rPr>
          <w:noProof/>
        </w:rPr>
        <w:fldChar w:fldCharType="begin"/>
      </w:r>
      <w:r>
        <w:rPr>
          <w:noProof/>
        </w:rPr>
        <w:instrText xml:space="preserve"> PAGEREF _Toc120355807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2 — Transitional and savings provisions</w:t>
      </w:r>
      <w:r>
        <w:rPr>
          <w:noProof/>
        </w:rPr>
        <w:tab/>
      </w:r>
      <w:r>
        <w:rPr>
          <w:noProof/>
        </w:rPr>
        <w:fldChar w:fldCharType="begin"/>
      </w:r>
      <w:r>
        <w:rPr>
          <w:noProof/>
        </w:rPr>
        <w:instrText xml:space="preserve"> PAGEREF _Toc120355808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 xml:space="preserve">1. </w:t>
      </w:r>
      <w:r>
        <w:rPr>
          <w:noProof/>
          <w:sz w:val="24"/>
          <w:szCs w:val="24"/>
        </w:rPr>
        <w:tab/>
      </w:r>
      <w:r>
        <w:rPr>
          <w:noProof/>
          <w:szCs w:val="22"/>
        </w:rPr>
        <w:t>Definitions</w:t>
      </w:r>
      <w:r>
        <w:rPr>
          <w:noProof/>
        </w:rPr>
        <w:tab/>
      </w:r>
      <w:r>
        <w:rPr>
          <w:noProof/>
        </w:rPr>
        <w:fldChar w:fldCharType="begin"/>
      </w:r>
      <w:r>
        <w:rPr>
          <w:noProof/>
        </w:rPr>
        <w:instrText xml:space="preserve"> PAGEREF _Toc120355809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 xml:space="preserve">2. </w:t>
      </w:r>
      <w:r>
        <w:rPr>
          <w:noProof/>
          <w:sz w:val="24"/>
          <w:szCs w:val="24"/>
        </w:rPr>
        <w:tab/>
      </w:r>
      <w:r>
        <w:rPr>
          <w:noProof/>
          <w:szCs w:val="22"/>
        </w:rPr>
        <w:t>Interpretation Act to apply</w:t>
      </w:r>
      <w:r>
        <w:rPr>
          <w:noProof/>
        </w:rPr>
        <w:tab/>
      </w:r>
      <w:r>
        <w:rPr>
          <w:noProof/>
        </w:rPr>
        <w:fldChar w:fldCharType="begin"/>
      </w:r>
      <w:r>
        <w:rPr>
          <w:noProof/>
        </w:rPr>
        <w:instrText xml:space="preserve"> PAGEREF _Toc120355810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 xml:space="preserve">3. </w:t>
      </w:r>
      <w:r>
        <w:rPr>
          <w:noProof/>
          <w:sz w:val="24"/>
          <w:szCs w:val="24"/>
        </w:rPr>
        <w:tab/>
      </w:r>
      <w:r>
        <w:rPr>
          <w:noProof/>
          <w:szCs w:val="22"/>
        </w:rPr>
        <w:t>Authority abolished</w:t>
      </w:r>
      <w:r>
        <w:rPr>
          <w:noProof/>
        </w:rPr>
        <w:tab/>
      </w:r>
      <w:r>
        <w:rPr>
          <w:noProof/>
        </w:rPr>
        <w:fldChar w:fldCharType="begin"/>
      </w:r>
      <w:r>
        <w:rPr>
          <w:noProof/>
        </w:rPr>
        <w:instrText xml:space="preserve"> PAGEREF _Toc120355811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 xml:space="preserve">4. </w:t>
      </w:r>
      <w:r>
        <w:rPr>
          <w:noProof/>
          <w:sz w:val="24"/>
          <w:szCs w:val="24"/>
        </w:rPr>
        <w:tab/>
      </w:r>
      <w:r>
        <w:rPr>
          <w:noProof/>
          <w:szCs w:val="22"/>
        </w:rPr>
        <w:t>Devolution of Authority’s assets, liabilities etc.</w:t>
      </w:r>
      <w:r>
        <w:rPr>
          <w:noProof/>
        </w:rPr>
        <w:tab/>
      </w:r>
      <w:r>
        <w:rPr>
          <w:noProof/>
        </w:rPr>
        <w:fldChar w:fldCharType="begin"/>
      </w:r>
      <w:r>
        <w:rPr>
          <w:noProof/>
        </w:rPr>
        <w:instrText xml:space="preserve"> PAGEREF _Toc120355812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 xml:space="preserve">5. </w:t>
      </w:r>
      <w:r>
        <w:rPr>
          <w:noProof/>
          <w:sz w:val="24"/>
          <w:szCs w:val="24"/>
        </w:rPr>
        <w:tab/>
      </w:r>
      <w:r>
        <w:rPr>
          <w:noProof/>
          <w:szCs w:val="22"/>
        </w:rPr>
        <w:t>Transition to staff of Council</w:t>
      </w:r>
      <w:r>
        <w:rPr>
          <w:noProof/>
        </w:rPr>
        <w:tab/>
      </w:r>
      <w:r>
        <w:rPr>
          <w:noProof/>
        </w:rPr>
        <w:fldChar w:fldCharType="begin"/>
      </w:r>
      <w:r>
        <w:rPr>
          <w:noProof/>
        </w:rPr>
        <w:instrText xml:space="preserve"> PAGEREF _Toc120355813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 xml:space="preserve">6. </w:t>
      </w:r>
      <w:r>
        <w:rPr>
          <w:noProof/>
          <w:sz w:val="24"/>
          <w:szCs w:val="24"/>
        </w:rPr>
        <w:tab/>
      </w:r>
      <w:r>
        <w:rPr>
          <w:noProof/>
          <w:szCs w:val="22"/>
        </w:rPr>
        <w:t>Employees’ rights preserved</w:t>
      </w:r>
      <w:r>
        <w:rPr>
          <w:noProof/>
        </w:rPr>
        <w:tab/>
      </w:r>
      <w:r>
        <w:rPr>
          <w:noProof/>
        </w:rPr>
        <w:fldChar w:fldCharType="begin"/>
      </w:r>
      <w:r>
        <w:rPr>
          <w:noProof/>
        </w:rPr>
        <w:instrText xml:space="preserve"> PAGEREF _Toc120355814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 xml:space="preserve">7. </w:t>
      </w:r>
      <w:r>
        <w:rPr>
          <w:noProof/>
          <w:sz w:val="24"/>
          <w:szCs w:val="24"/>
        </w:rPr>
        <w:tab/>
      </w:r>
      <w:r>
        <w:rPr>
          <w:noProof/>
          <w:szCs w:val="22"/>
        </w:rPr>
        <w:t>Funds</w:t>
      </w:r>
      <w:r>
        <w:rPr>
          <w:noProof/>
        </w:rPr>
        <w:tab/>
      </w:r>
      <w:r>
        <w:rPr>
          <w:noProof/>
        </w:rPr>
        <w:fldChar w:fldCharType="begin"/>
      </w:r>
      <w:r>
        <w:rPr>
          <w:noProof/>
        </w:rPr>
        <w:instrText xml:space="preserve"> PAGEREF _Toc120355815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 xml:space="preserve">8. </w:t>
      </w:r>
      <w:r>
        <w:rPr>
          <w:noProof/>
          <w:sz w:val="24"/>
          <w:szCs w:val="24"/>
        </w:rPr>
        <w:tab/>
      </w:r>
      <w:r>
        <w:rPr>
          <w:noProof/>
          <w:szCs w:val="22"/>
        </w:rPr>
        <w:t>Annual report for part of a year</w:t>
      </w:r>
      <w:r>
        <w:rPr>
          <w:noProof/>
        </w:rPr>
        <w:tab/>
      </w:r>
      <w:r>
        <w:rPr>
          <w:noProof/>
        </w:rPr>
        <w:fldChar w:fldCharType="begin"/>
      </w:r>
      <w:r>
        <w:rPr>
          <w:noProof/>
        </w:rPr>
        <w:instrText xml:space="preserve"> PAGEREF _Toc120355816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 xml:space="preserve">9. </w:t>
      </w:r>
      <w:r>
        <w:rPr>
          <w:noProof/>
          <w:sz w:val="24"/>
          <w:szCs w:val="24"/>
        </w:rPr>
        <w:tab/>
      </w:r>
      <w:r>
        <w:rPr>
          <w:noProof/>
          <w:szCs w:val="22"/>
        </w:rPr>
        <w:t>Completion of things commenced</w:t>
      </w:r>
      <w:r>
        <w:rPr>
          <w:noProof/>
        </w:rPr>
        <w:tab/>
      </w:r>
      <w:r>
        <w:rPr>
          <w:noProof/>
        </w:rPr>
        <w:fldChar w:fldCharType="begin"/>
      </w:r>
      <w:r>
        <w:rPr>
          <w:noProof/>
        </w:rPr>
        <w:instrText xml:space="preserve"> PAGEREF _Toc120355817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2"/>
        </w:rPr>
        <w:t xml:space="preserve">10. </w:t>
      </w:r>
      <w:r>
        <w:rPr>
          <w:noProof/>
          <w:sz w:val="24"/>
          <w:szCs w:val="24"/>
        </w:rPr>
        <w:tab/>
      </w:r>
      <w:r>
        <w:rPr>
          <w:noProof/>
          <w:szCs w:val="22"/>
        </w:rPr>
        <w:t>Continuing effect of things done</w:t>
      </w:r>
      <w:r>
        <w:rPr>
          <w:noProof/>
        </w:rPr>
        <w:tab/>
      </w:r>
      <w:r>
        <w:rPr>
          <w:noProof/>
        </w:rPr>
        <w:fldChar w:fldCharType="begin"/>
      </w:r>
      <w:r>
        <w:rPr>
          <w:noProof/>
        </w:rPr>
        <w:instrText xml:space="preserve"> PAGEREF _Toc120355818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2"/>
        </w:rPr>
        <w:t xml:space="preserve">11. </w:t>
      </w:r>
      <w:r>
        <w:rPr>
          <w:noProof/>
          <w:sz w:val="24"/>
          <w:szCs w:val="24"/>
        </w:rPr>
        <w:tab/>
      </w:r>
      <w:r>
        <w:rPr>
          <w:noProof/>
          <w:szCs w:val="22"/>
        </w:rPr>
        <w:t>Immunity to continue</w:t>
      </w:r>
      <w:r>
        <w:rPr>
          <w:noProof/>
        </w:rPr>
        <w:tab/>
      </w:r>
      <w:r>
        <w:rPr>
          <w:noProof/>
        </w:rPr>
        <w:fldChar w:fldCharType="begin"/>
      </w:r>
      <w:r>
        <w:rPr>
          <w:noProof/>
        </w:rPr>
        <w:instrText xml:space="preserve"> PAGEREF _Toc120355819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2"/>
        </w:rPr>
        <w:t xml:space="preserve">12. </w:t>
      </w:r>
      <w:r>
        <w:rPr>
          <w:noProof/>
          <w:sz w:val="24"/>
          <w:szCs w:val="24"/>
        </w:rPr>
        <w:tab/>
      </w:r>
      <w:r>
        <w:rPr>
          <w:noProof/>
          <w:szCs w:val="22"/>
        </w:rPr>
        <w:t>Agreements and instruments generally</w:t>
      </w:r>
      <w:r>
        <w:rPr>
          <w:noProof/>
        </w:rPr>
        <w:tab/>
      </w:r>
      <w:r>
        <w:rPr>
          <w:noProof/>
        </w:rPr>
        <w:fldChar w:fldCharType="begin"/>
      </w:r>
      <w:r>
        <w:rPr>
          <w:noProof/>
        </w:rPr>
        <w:instrText xml:space="preserve"> PAGEREF _Toc120355820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 xml:space="preserve">13. </w:t>
      </w:r>
      <w:r>
        <w:rPr>
          <w:noProof/>
          <w:sz w:val="24"/>
          <w:szCs w:val="24"/>
        </w:rPr>
        <w:tab/>
      </w:r>
      <w:r>
        <w:rPr>
          <w:noProof/>
          <w:szCs w:val="22"/>
        </w:rPr>
        <w:t>Further transitional provision may be made</w:t>
      </w:r>
      <w:r>
        <w:rPr>
          <w:noProof/>
        </w:rPr>
        <w:tab/>
      </w:r>
      <w:r>
        <w:rPr>
          <w:noProof/>
        </w:rPr>
        <w:fldChar w:fldCharType="begin"/>
      </w:r>
      <w:r>
        <w:rPr>
          <w:noProof/>
        </w:rPr>
        <w:instrText xml:space="preserve"> PAGEREF _Toc120355821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 xml:space="preserve">14. </w:t>
      </w:r>
      <w:r>
        <w:rPr>
          <w:noProof/>
          <w:sz w:val="24"/>
          <w:szCs w:val="24"/>
        </w:rPr>
        <w:tab/>
      </w:r>
      <w:r>
        <w:rPr>
          <w:noProof/>
          <w:szCs w:val="22"/>
        </w:rPr>
        <w:t>Exemption from State tax</w:t>
      </w:r>
      <w:r>
        <w:rPr>
          <w:noProof/>
        </w:rPr>
        <w:tab/>
      </w:r>
      <w:r>
        <w:rPr>
          <w:noProof/>
        </w:rPr>
        <w:fldChar w:fldCharType="begin"/>
      </w:r>
      <w:r>
        <w:rPr>
          <w:noProof/>
        </w:rPr>
        <w:instrText xml:space="preserve"> PAGEREF _Toc120355822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 xml:space="preserve">15. </w:t>
      </w:r>
      <w:r>
        <w:rPr>
          <w:noProof/>
          <w:sz w:val="24"/>
          <w:szCs w:val="24"/>
        </w:rPr>
        <w:tab/>
      </w:r>
      <w:r>
        <w:rPr>
          <w:noProof/>
          <w:szCs w:val="22"/>
        </w:rPr>
        <w:t>Registration of documents</w:t>
      </w:r>
      <w:r>
        <w:rPr>
          <w:noProof/>
        </w:rPr>
        <w:tab/>
      </w:r>
      <w:r>
        <w:rPr>
          <w:noProof/>
        </w:rPr>
        <w:fldChar w:fldCharType="begin"/>
      </w:r>
      <w:r>
        <w:rPr>
          <w:noProof/>
        </w:rPr>
        <w:instrText xml:space="preserve"> PAGEREF _Toc120355823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 xml:space="preserve">16. </w:t>
      </w:r>
      <w:r>
        <w:rPr>
          <w:noProof/>
          <w:sz w:val="24"/>
          <w:szCs w:val="24"/>
        </w:rPr>
        <w:tab/>
      </w:r>
      <w:r>
        <w:rPr>
          <w:noProof/>
          <w:szCs w:val="22"/>
        </w:rPr>
        <w:t>Saving</w:t>
      </w:r>
      <w:r>
        <w:rPr>
          <w:noProof/>
        </w:rPr>
        <w:tab/>
      </w:r>
      <w:r>
        <w:rPr>
          <w:noProof/>
        </w:rPr>
        <w:fldChar w:fldCharType="begin"/>
      </w:r>
      <w:r>
        <w:rPr>
          <w:noProof/>
        </w:rPr>
        <w:instrText xml:space="preserve"> PAGEREF _Toc120355824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_Toc120355826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_Toc120355827 \h </w:instrText>
      </w:r>
      <w:r>
        <w:rPr>
          <w:noProof/>
        </w:rPr>
      </w:r>
      <w:r>
        <w:rPr>
          <w:noProof/>
        </w:rPr>
        <w:fldChar w:fldCharType="separate"/>
      </w:r>
      <w:r>
        <w:rPr>
          <w:noProof/>
        </w:rPr>
        <w:t>35</w:t>
      </w:r>
      <w:r>
        <w:rPr>
          <w:noProof/>
        </w:rP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to repeal the </w:t>
      </w:r>
      <w:r>
        <w:rPr>
          <w:i/>
          <w:snapToGrid w:val="0"/>
        </w:rPr>
        <w:t>Secondary Education Authority Act 1984</w:t>
      </w:r>
      <w:r>
        <w:rPr>
          <w:snapToGrid w:val="0"/>
        </w:rPr>
        <w:t xml:space="preserve">, and for related purposes. </w:t>
      </w:r>
    </w:p>
    <w:p>
      <w:pPr>
        <w:pStyle w:val="Heading2"/>
      </w:pPr>
      <w:bookmarkStart w:id="1" w:name="_Toc72573512"/>
      <w:bookmarkStart w:id="2" w:name="_Toc120341371"/>
      <w:bookmarkStart w:id="3" w:name="_Toc120355744"/>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20109132"/>
      <w:bookmarkStart w:id="5" w:name="_Toc17002417"/>
      <w:bookmarkStart w:id="6" w:name="_Toc120355745"/>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7" w:name="_Toc520109133"/>
      <w:bookmarkStart w:id="8" w:name="_Toc17002418"/>
      <w:bookmarkStart w:id="9" w:name="_Toc12035574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520109134"/>
      <w:bookmarkStart w:id="11" w:name="_Toc17002419"/>
      <w:bookmarkStart w:id="12" w:name="_Toc12035574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Council appointed under section 6(1)(a) or (c);</w:t>
      </w:r>
    </w:p>
    <w:p>
      <w:pPr>
        <w:pStyle w:val="Defstart"/>
      </w:pPr>
      <w:r>
        <w:rPr>
          <w:b/>
        </w:rPr>
        <w:tab/>
        <w:t>“</w:t>
      </w:r>
      <w:r>
        <w:rPr>
          <w:rStyle w:val="CharDefText"/>
        </w:rPr>
        <w:t>assessment</w:t>
      </w:r>
      <w:r>
        <w:rPr>
          <w:b/>
        </w:rPr>
        <w:t>”</w:t>
      </w:r>
      <w:r>
        <w:t xml:space="preserve"> includes examination;</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chief executive officer</w:t>
      </w:r>
      <w:r>
        <w:rPr>
          <w:b/>
        </w:rPr>
        <w:t>”</w:t>
      </w:r>
      <w:r>
        <w:t xml:space="preserve"> means the person appointed as such for the purposes of section 20;</w:t>
      </w:r>
    </w:p>
    <w:p>
      <w:pPr>
        <w:pStyle w:val="Defstart"/>
      </w:pPr>
      <w:r>
        <w:rPr>
          <w:b/>
        </w:rPr>
        <w:tab/>
        <w:t>“</w:t>
      </w:r>
      <w:r>
        <w:rPr>
          <w:rStyle w:val="CharDefText"/>
        </w:rPr>
        <w:t>committee</w:t>
      </w:r>
      <w:r>
        <w:rPr>
          <w:b/>
        </w:rPr>
        <w:t>”</w:t>
      </w:r>
      <w:r>
        <w:t xml:space="preserve"> means a committee appointed under clause 14 of Schedule 1;</w:t>
      </w:r>
    </w:p>
    <w:p>
      <w:pPr>
        <w:pStyle w:val="Defstart"/>
      </w:pPr>
      <w:r>
        <w:rPr>
          <w:b/>
        </w:rPr>
        <w:tab/>
        <w:t>“</w:t>
      </w:r>
      <w:r>
        <w:rPr>
          <w:rStyle w:val="CharDefText"/>
        </w:rPr>
        <w:t>Council</w:t>
      </w:r>
      <w:r>
        <w:rPr>
          <w:b/>
        </w:rPr>
        <w:t>”</w:t>
      </w:r>
      <w:r>
        <w:t xml:space="preserve"> means the Curriculum Council established under section 5;</w:t>
      </w:r>
    </w:p>
    <w:p>
      <w:pPr>
        <w:pStyle w:val="Defstart"/>
      </w:pPr>
      <w:r>
        <w:rPr>
          <w:b/>
        </w:rPr>
        <w:tab/>
        <w:t>“</w:t>
      </w:r>
      <w:r>
        <w:rPr>
          <w:rStyle w:val="CharDefText"/>
        </w:rPr>
        <w:t>course of study</w:t>
      </w:r>
      <w:r>
        <w:rPr>
          <w:b/>
        </w:rPr>
        <w:t>”</w:t>
      </w:r>
      <w:r>
        <w:t xml:space="preserve"> means a course, education programme, subject or syllabus;</w:t>
      </w:r>
    </w:p>
    <w:p>
      <w:pPr>
        <w:pStyle w:val="Defstart"/>
      </w:pPr>
      <w:r>
        <w:rPr>
          <w:b/>
        </w:rPr>
        <w:tab/>
        <w:t>“</w:t>
      </w:r>
      <w:r>
        <w:rPr>
          <w:rStyle w:val="CharDefText"/>
        </w:rPr>
        <w:t>Education Department</w:t>
      </w:r>
      <w:r>
        <w:rPr>
          <w:b/>
        </w:rPr>
        <w:t>”</w:t>
      </w:r>
      <w:r>
        <w:t xml:space="preserve"> means the department referred to in section 228 of the </w:t>
      </w:r>
      <w:r>
        <w:rPr>
          <w:i/>
        </w:rPr>
        <w:t>School Education Act 1999</w:t>
      </w:r>
      <w:r>
        <w:t>;</w:t>
      </w:r>
    </w:p>
    <w:p>
      <w:pPr>
        <w:pStyle w:val="Defstart"/>
      </w:pPr>
      <w:r>
        <w:rPr>
          <w:b/>
        </w:rPr>
        <w:tab/>
        <w:t>“</w:t>
      </w:r>
      <w:r>
        <w:rPr>
          <w:rStyle w:val="CharDefText"/>
        </w:rPr>
        <w:t>education provider</w:t>
      </w:r>
      <w:r>
        <w:rPr>
          <w:b/>
        </w:rPr>
        <w:t>”</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t>“</w:t>
      </w:r>
      <w:r>
        <w:rPr>
          <w:rStyle w:val="CharDefText"/>
        </w:rPr>
        <w:t>governing body</w:t>
      </w:r>
      <w:r>
        <w:rPr>
          <w:b/>
        </w:rPr>
        <w:t>”</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t>“</w:t>
      </w:r>
      <w:r>
        <w:rPr>
          <w:rStyle w:val="CharDefText"/>
        </w:rPr>
        <w:t>home education</w:t>
      </w:r>
      <w:r>
        <w:rPr>
          <w:b/>
        </w:rPr>
        <w:t>”</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t>“</w:t>
      </w:r>
      <w:r>
        <w:rPr>
          <w:rStyle w:val="CharDefText"/>
        </w:rPr>
        <w:t>member of the Council</w:t>
      </w:r>
      <w:r>
        <w:rPr>
          <w:b/>
        </w:rPr>
        <w:t>”</w:t>
      </w:r>
      <w:r>
        <w:t xml:space="preserve"> includes a person acting under clause 4 or 5 of Schedule 1;</w:t>
      </w:r>
    </w:p>
    <w:p>
      <w:pPr>
        <w:pStyle w:val="Defstart"/>
      </w:pPr>
      <w:r>
        <w:rPr>
          <w:b/>
        </w:rPr>
        <w:tab/>
        <w:t>“</w:t>
      </w:r>
      <w:r>
        <w:rPr>
          <w:rStyle w:val="CharDefText"/>
        </w:rPr>
        <w:t>member of staff</w:t>
      </w:r>
      <w:r>
        <w:rPr>
          <w:b/>
        </w:rPr>
        <w:t>”</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t>“</w:t>
      </w:r>
      <w:r>
        <w:rPr>
          <w:rStyle w:val="CharDefText"/>
        </w:rPr>
        <w:t>school</w:t>
      </w:r>
      <w:r>
        <w:rPr>
          <w:b/>
        </w:rPr>
        <w:t>”</w:t>
      </w:r>
      <w:r>
        <w:t xml:space="preserve"> means a school as defined in the </w:t>
      </w:r>
      <w:r>
        <w:rPr>
          <w:i/>
        </w:rPr>
        <w:t>School Education Act 1999</w:t>
      </w:r>
      <w:r>
        <w:t xml:space="preserve"> or a community kindergarten registered under Part 5 of that Act;</w:t>
      </w:r>
    </w:p>
    <w:p>
      <w:pPr>
        <w:pStyle w:val="Defstart"/>
      </w:pPr>
      <w:r>
        <w:rPr>
          <w:b/>
        </w:rPr>
        <w:tab/>
        <w:t>“</w:t>
      </w:r>
      <w:r>
        <w:rPr>
          <w:rStyle w:val="CharDefText"/>
        </w:rPr>
        <w:t>school system</w:t>
      </w:r>
      <w:r>
        <w:rPr>
          <w:b/>
        </w:rPr>
        <w:t>”</w:t>
      </w:r>
      <w:r>
        <w:t xml:space="preserve"> means a system of not less than 3 non</w:t>
      </w:r>
      <w:r>
        <w:noBreakHyphen/>
        <w:t>government schools under which a person or body exercises supervisory control over the schools in the system;</w:t>
      </w:r>
    </w:p>
    <w:p>
      <w:pPr>
        <w:pStyle w:val="Defstart"/>
      </w:pPr>
      <w:r>
        <w:rPr>
          <w:b/>
        </w:rPr>
        <w:tab/>
        <w:t>“</w:t>
      </w:r>
      <w:r>
        <w:rPr>
          <w:rStyle w:val="CharDefText"/>
        </w:rPr>
        <w:t>student</w:t>
      </w:r>
      <w:r>
        <w:rPr>
          <w:b/>
        </w:rPr>
        <w:t>”</w:t>
      </w:r>
      <w:r>
        <w:t xml:space="preserve"> means a student enrolled in a school or receiving home education;</w:t>
      </w:r>
    </w:p>
    <w:p>
      <w:pPr>
        <w:pStyle w:val="Defstart"/>
      </w:pPr>
      <w:r>
        <w:rPr>
          <w:b/>
        </w:rPr>
        <w:tab/>
        <w:t>“</w:t>
      </w:r>
      <w:r>
        <w:rPr>
          <w:rStyle w:val="CharDefText"/>
        </w:rPr>
        <w:t>vocational education and training</w:t>
      </w:r>
      <w:r>
        <w:rPr>
          <w:b/>
        </w:rPr>
        <w:t>”</w:t>
      </w:r>
      <w:r>
        <w:t xml:space="preserve"> has the same meaning as in the </w:t>
      </w:r>
      <w:r>
        <w:rPr>
          <w:i/>
        </w:rPr>
        <w:t>Vocational Education and Training Act 1996</w:t>
      </w:r>
      <w:r>
        <w:t>.</w:t>
      </w:r>
    </w:p>
    <w:p>
      <w:pPr>
        <w:pStyle w:val="Footnotesection"/>
      </w:pPr>
      <w:r>
        <w:tab/>
        <w:t>[Section 3 amended by No. 36 of 1999 s. 247.]</w:t>
      </w:r>
    </w:p>
    <w:p>
      <w:pPr>
        <w:pStyle w:val="Heading5"/>
        <w:rPr>
          <w:snapToGrid w:val="0"/>
        </w:rPr>
      </w:pPr>
      <w:bookmarkStart w:id="13" w:name="_Toc520109135"/>
      <w:bookmarkStart w:id="14" w:name="_Toc17002420"/>
      <w:bookmarkStart w:id="15" w:name="_Toc120355748"/>
      <w:r>
        <w:rPr>
          <w:rStyle w:val="CharSectno"/>
        </w:rPr>
        <w:t>4</w:t>
      </w:r>
      <w:r>
        <w:rPr>
          <w:snapToGrid w:val="0"/>
        </w:rPr>
        <w:t>.</w:t>
      </w:r>
      <w:r>
        <w:rPr>
          <w:snapToGrid w:val="0"/>
        </w:rPr>
        <w:tab/>
        <w:t>Objects</w:t>
      </w:r>
      <w:bookmarkEnd w:id="13"/>
      <w:bookmarkEnd w:id="14"/>
      <w:bookmarkEnd w:id="15"/>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provide for the development and accreditation of courses of study for post</w:t>
      </w:r>
      <w:r>
        <w:rPr>
          <w:snapToGrid w:val="0"/>
        </w:rPr>
        <w:noBreakHyphen/>
        <w:t>compulsory schooling; and</w:t>
      </w:r>
    </w:p>
    <w:p>
      <w:pPr>
        <w:pStyle w:val="Indenta"/>
        <w:rPr>
          <w:snapToGrid w:val="0"/>
        </w:rPr>
      </w:pPr>
      <w:r>
        <w:rPr>
          <w:snapToGrid w:val="0"/>
        </w:rPr>
        <w:tab/>
        <w:t>(d)</w:t>
      </w:r>
      <w:r>
        <w:rPr>
          <w:snapToGrid w:val="0"/>
        </w:rPr>
        <w:tab/>
        <w:t>provide for the assessment and certification of student achievement.</w:t>
      </w:r>
    </w:p>
    <w:p>
      <w:pPr>
        <w:pStyle w:val="Heading2"/>
      </w:pPr>
      <w:bookmarkStart w:id="16" w:name="_Toc72573517"/>
      <w:bookmarkStart w:id="17" w:name="_Toc120341376"/>
      <w:bookmarkStart w:id="18" w:name="_Toc120355749"/>
      <w:r>
        <w:rPr>
          <w:rStyle w:val="CharPartNo"/>
        </w:rPr>
        <w:t>Part 2</w:t>
      </w:r>
      <w:r>
        <w:rPr>
          <w:rStyle w:val="CharDivNo"/>
        </w:rPr>
        <w:t> </w:t>
      </w:r>
      <w:r>
        <w:t>—</w:t>
      </w:r>
      <w:r>
        <w:rPr>
          <w:rStyle w:val="CharDivText"/>
        </w:rPr>
        <w:t> </w:t>
      </w:r>
      <w:r>
        <w:rPr>
          <w:rStyle w:val="CharPartText"/>
        </w:rPr>
        <w:t>The Curriculum Council</w:t>
      </w:r>
      <w:bookmarkEnd w:id="16"/>
      <w:bookmarkEnd w:id="17"/>
      <w:bookmarkEnd w:id="18"/>
      <w:r>
        <w:rPr>
          <w:rStyle w:val="CharPartText"/>
        </w:rPr>
        <w:t xml:space="preserve"> </w:t>
      </w:r>
    </w:p>
    <w:p>
      <w:pPr>
        <w:pStyle w:val="Heading5"/>
        <w:rPr>
          <w:snapToGrid w:val="0"/>
        </w:rPr>
      </w:pPr>
      <w:bookmarkStart w:id="19" w:name="_Toc520109136"/>
      <w:bookmarkStart w:id="20" w:name="_Toc17002421"/>
      <w:bookmarkStart w:id="21" w:name="_Toc120355750"/>
      <w:r>
        <w:rPr>
          <w:rStyle w:val="CharSectno"/>
        </w:rPr>
        <w:t>5</w:t>
      </w:r>
      <w:r>
        <w:rPr>
          <w:snapToGrid w:val="0"/>
        </w:rPr>
        <w:t>.</w:t>
      </w:r>
      <w:r>
        <w:rPr>
          <w:snapToGrid w:val="0"/>
        </w:rPr>
        <w:tab/>
        <w:t>Curriculum Council established</w:t>
      </w:r>
      <w:bookmarkEnd w:id="19"/>
      <w:bookmarkEnd w:id="20"/>
      <w:bookmarkEnd w:id="21"/>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22" w:name="_Toc520109137"/>
      <w:bookmarkStart w:id="23" w:name="_Toc17002422"/>
      <w:bookmarkStart w:id="24" w:name="_Toc120355751"/>
      <w:r>
        <w:rPr>
          <w:rStyle w:val="CharSectno"/>
        </w:rPr>
        <w:t>6</w:t>
      </w:r>
      <w:r>
        <w:rPr>
          <w:snapToGrid w:val="0"/>
        </w:rPr>
        <w:t>.</w:t>
      </w:r>
      <w:r>
        <w:rPr>
          <w:snapToGrid w:val="0"/>
        </w:rPr>
        <w:tab/>
        <w:t>Members of Council</w:t>
      </w:r>
      <w:bookmarkEnd w:id="22"/>
      <w:bookmarkEnd w:id="23"/>
      <w:bookmarkEnd w:id="24"/>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25" w:name="_Toc520109138"/>
      <w:bookmarkStart w:id="26" w:name="_Toc17002423"/>
      <w:bookmarkStart w:id="27" w:name="_Toc120355752"/>
      <w:r>
        <w:rPr>
          <w:rStyle w:val="CharSectno"/>
        </w:rPr>
        <w:t>7</w:t>
      </w:r>
      <w:r>
        <w:rPr>
          <w:snapToGrid w:val="0"/>
        </w:rPr>
        <w:t>.</w:t>
      </w:r>
      <w:r>
        <w:rPr>
          <w:snapToGrid w:val="0"/>
        </w:rPr>
        <w:tab/>
        <w:t>Constitution, proceedings etc.</w:t>
      </w:r>
      <w:bookmarkEnd w:id="25"/>
      <w:bookmarkEnd w:id="26"/>
      <w:bookmarkEnd w:id="27"/>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28" w:name="_Toc520109139"/>
      <w:bookmarkStart w:id="29" w:name="_Toc17002424"/>
      <w:bookmarkStart w:id="30" w:name="_Toc120355753"/>
      <w:r>
        <w:rPr>
          <w:rStyle w:val="CharSectno"/>
        </w:rPr>
        <w:t>8</w:t>
      </w:r>
      <w:r>
        <w:rPr>
          <w:snapToGrid w:val="0"/>
        </w:rPr>
        <w:t>.</w:t>
      </w:r>
      <w:r>
        <w:rPr>
          <w:snapToGrid w:val="0"/>
        </w:rPr>
        <w:tab/>
        <w:t>Remuneration of members</w:t>
      </w:r>
      <w:bookmarkEnd w:id="28"/>
      <w:bookmarkEnd w:id="29"/>
      <w:bookmarkEnd w:id="30"/>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31" w:name="_Toc72573522"/>
      <w:bookmarkStart w:id="32" w:name="_Toc120341381"/>
      <w:bookmarkStart w:id="33" w:name="_Toc120355754"/>
      <w:r>
        <w:rPr>
          <w:rStyle w:val="CharPartNo"/>
        </w:rPr>
        <w:t>Part 3</w:t>
      </w:r>
      <w:r>
        <w:rPr>
          <w:rStyle w:val="CharDivNo"/>
        </w:rPr>
        <w:t> </w:t>
      </w:r>
      <w:r>
        <w:t>—</w:t>
      </w:r>
      <w:r>
        <w:rPr>
          <w:rStyle w:val="CharDivText"/>
        </w:rPr>
        <w:t> </w:t>
      </w:r>
      <w:r>
        <w:rPr>
          <w:rStyle w:val="CharPartText"/>
        </w:rPr>
        <w:t>Functions and powers</w:t>
      </w:r>
      <w:bookmarkEnd w:id="31"/>
      <w:bookmarkEnd w:id="32"/>
      <w:bookmarkEnd w:id="33"/>
      <w:r>
        <w:rPr>
          <w:rStyle w:val="CharPartText"/>
        </w:rPr>
        <w:t xml:space="preserve"> </w:t>
      </w:r>
    </w:p>
    <w:p>
      <w:pPr>
        <w:pStyle w:val="Heading5"/>
        <w:rPr>
          <w:snapToGrid w:val="0"/>
        </w:rPr>
      </w:pPr>
      <w:bookmarkStart w:id="34" w:name="_Toc520109140"/>
      <w:bookmarkStart w:id="35" w:name="_Toc17002425"/>
      <w:bookmarkStart w:id="36" w:name="_Toc120355755"/>
      <w:r>
        <w:rPr>
          <w:rStyle w:val="CharSectno"/>
        </w:rPr>
        <w:t>9</w:t>
      </w:r>
      <w:r>
        <w:rPr>
          <w:snapToGrid w:val="0"/>
        </w:rPr>
        <w:t>.</w:t>
      </w:r>
      <w:r>
        <w:rPr>
          <w:snapToGrid w:val="0"/>
        </w:rPr>
        <w:tab/>
        <w:t>Curriculum framework</w:t>
      </w:r>
      <w:bookmarkEnd w:id="34"/>
      <w:bookmarkEnd w:id="35"/>
      <w:bookmarkEnd w:id="36"/>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37" w:name="_Toc520109141"/>
      <w:bookmarkStart w:id="38" w:name="_Toc17002426"/>
      <w:bookmarkStart w:id="39" w:name="_Toc120355756"/>
      <w:r>
        <w:rPr>
          <w:rStyle w:val="CharSectno"/>
        </w:rPr>
        <w:t>10</w:t>
      </w:r>
      <w:r>
        <w:rPr>
          <w:snapToGrid w:val="0"/>
        </w:rPr>
        <w:t>.</w:t>
      </w:r>
      <w:r>
        <w:rPr>
          <w:snapToGrid w:val="0"/>
        </w:rPr>
        <w:tab/>
        <w:t>Implementation of curriculum framework</w:t>
      </w:r>
      <w:bookmarkEnd w:id="37"/>
      <w:bookmarkEnd w:id="38"/>
      <w:bookmarkEnd w:id="39"/>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40" w:name="_Toc520109142"/>
      <w:bookmarkStart w:id="41" w:name="_Toc17002427"/>
      <w:bookmarkStart w:id="42" w:name="_Toc120355757"/>
      <w:r>
        <w:rPr>
          <w:rStyle w:val="CharSectno"/>
        </w:rPr>
        <w:t>11</w:t>
      </w:r>
      <w:r>
        <w:rPr>
          <w:snapToGrid w:val="0"/>
        </w:rPr>
        <w:t>.</w:t>
      </w:r>
      <w:r>
        <w:rPr>
          <w:snapToGrid w:val="0"/>
        </w:rPr>
        <w:tab/>
        <w:t>Exemption from curriculum framework</w:t>
      </w:r>
      <w:bookmarkEnd w:id="40"/>
      <w:bookmarkEnd w:id="41"/>
      <w:bookmarkEnd w:id="4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rPr>
          <w:snapToGrid w:val="0"/>
        </w:rPr>
      </w:pPr>
      <w:r>
        <w:rPr>
          <w:snapToGrid w:val="0"/>
        </w:rPr>
        <w:tab/>
        <w:t>(5)</w:t>
      </w:r>
      <w:r>
        <w:rPr>
          <w:snapToGrid w:val="0"/>
        </w:rPr>
        <w:tab/>
        <w:t>An exemption may be limited in its operation to a specified period.</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43" w:name="_Toc520109143"/>
      <w:bookmarkStart w:id="44" w:name="_Toc17002428"/>
      <w:bookmarkStart w:id="45" w:name="_Toc120355758"/>
      <w:r>
        <w:rPr>
          <w:rStyle w:val="CharSectno"/>
        </w:rPr>
        <w:t>12</w:t>
      </w:r>
      <w:r>
        <w:rPr>
          <w:snapToGrid w:val="0"/>
        </w:rPr>
        <w:t>.</w:t>
      </w:r>
      <w:r>
        <w:rPr>
          <w:snapToGrid w:val="0"/>
        </w:rPr>
        <w:tab/>
        <w:t>Post</w:t>
      </w:r>
      <w:r>
        <w:rPr>
          <w:snapToGrid w:val="0"/>
        </w:rPr>
        <w:noBreakHyphen/>
        <w:t>compulsory schooling</w:t>
      </w:r>
      <w:bookmarkEnd w:id="43"/>
      <w:bookmarkEnd w:id="44"/>
      <w:bookmarkEnd w:id="45"/>
      <w:r>
        <w:rPr>
          <w:snapToGrid w:val="0"/>
        </w:rPr>
        <w:t xml:space="preserve"> </w:t>
      </w:r>
    </w:p>
    <w:p>
      <w:pPr>
        <w:pStyle w:val="Subsection"/>
        <w:rPr>
          <w:snapToGrid w:val="0"/>
        </w:rPr>
      </w:pPr>
      <w:r>
        <w:rPr>
          <w:snapToGrid w:val="0"/>
        </w:rPr>
        <w:tab/>
      </w:r>
      <w:r>
        <w:rPr>
          <w:snapToGrid w:val="0"/>
        </w:rPr>
        <w:tab/>
        <w:t>It is a function of the Council to — </w:t>
      </w:r>
    </w:p>
    <w:p>
      <w:pPr>
        <w:pStyle w:val="Indenta"/>
        <w:rPr>
          <w:snapToGrid w:val="0"/>
        </w:rPr>
      </w:pPr>
      <w:r>
        <w:rPr>
          <w:snapToGrid w:val="0"/>
        </w:rPr>
        <w:tab/>
        <w:t>(a)</w:t>
      </w:r>
      <w:r>
        <w:rPr>
          <w:snapToGrid w:val="0"/>
        </w:rPr>
        <w:tab/>
        <w:t>establish guidelines for the development and accreditation of courses of study in which students undertaking post</w:t>
      </w:r>
      <w:r>
        <w:rPr>
          <w:snapToGrid w:val="0"/>
        </w:rPr>
        <w:noBreakHyphen/>
        <w:t>compulsory schooling may be assessed for purposes of certification;</w:t>
      </w:r>
    </w:p>
    <w:p>
      <w:pPr>
        <w:pStyle w:val="Indenta"/>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rPr>
          <w:snapToGrid w:val="0"/>
        </w:rPr>
      </w:pPr>
      <w:r>
        <w:rPr>
          <w:snapToGrid w:val="0"/>
        </w:rPr>
        <w:tab/>
        <w:t>(c)</w:t>
      </w:r>
      <w:r>
        <w:rPr>
          <w:snapToGrid w:val="0"/>
        </w:rPr>
        <w:tab/>
        <w:t>accredit, for the purposes of certification of students undertaking post</w:t>
      </w:r>
      <w:r>
        <w:rPr>
          <w:snapToGrid w:val="0"/>
        </w:rPr>
        <w:noBreakHyphen/>
        <w:t>compulsory schooling, partially completed secondary courses of study taken outside the State;</w:t>
      </w:r>
    </w:p>
    <w:p>
      <w:pPr>
        <w:pStyle w:val="Indenta"/>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assessment of achievement of students undertaking post</w:t>
      </w:r>
      <w:r>
        <w:rPr>
          <w:snapToGrid w:val="0"/>
        </w:rPr>
        <w:noBreakHyphen/>
        <w:t>compulsory 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Heading5"/>
        <w:rPr>
          <w:snapToGrid w:val="0"/>
        </w:rPr>
      </w:pPr>
      <w:bookmarkStart w:id="46" w:name="_Toc520109144"/>
      <w:bookmarkStart w:id="47" w:name="_Toc17002429"/>
      <w:bookmarkStart w:id="48" w:name="_Toc120355759"/>
      <w:r>
        <w:rPr>
          <w:rStyle w:val="CharSectno"/>
        </w:rPr>
        <w:t>13</w:t>
      </w:r>
      <w:r>
        <w:rPr>
          <w:snapToGrid w:val="0"/>
        </w:rPr>
        <w:t>.</w:t>
      </w:r>
      <w:r>
        <w:rPr>
          <w:snapToGrid w:val="0"/>
        </w:rPr>
        <w:tab/>
        <w:t>Advice to Minister</w:t>
      </w:r>
      <w:bookmarkEnd w:id="46"/>
      <w:bookmarkEnd w:id="47"/>
      <w:bookmarkEnd w:id="48"/>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49" w:name="_Toc520109145"/>
      <w:bookmarkStart w:id="50" w:name="_Toc17002430"/>
      <w:bookmarkStart w:id="51" w:name="_Toc120355760"/>
      <w:r>
        <w:rPr>
          <w:rStyle w:val="CharSectno"/>
        </w:rPr>
        <w:t>14</w:t>
      </w:r>
      <w:r>
        <w:rPr>
          <w:snapToGrid w:val="0"/>
        </w:rPr>
        <w:t>.</w:t>
      </w:r>
      <w:r>
        <w:rPr>
          <w:snapToGrid w:val="0"/>
        </w:rPr>
        <w:tab/>
        <w:t>Information and register</w:t>
      </w:r>
      <w:bookmarkEnd w:id="49"/>
      <w:bookmarkEnd w:id="50"/>
      <w:bookmarkEnd w:id="51"/>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rPr>
          <w:snapToGrid w:val="0"/>
        </w:rPr>
      </w:pPr>
      <w:bookmarkStart w:id="52" w:name="_Toc520109146"/>
      <w:bookmarkStart w:id="53" w:name="_Toc17002431"/>
      <w:bookmarkStart w:id="54" w:name="_Toc120355761"/>
      <w:r>
        <w:rPr>
          <w:rStyle w:val="CharSectno"/>
        </w:rPr>
        <w:t>15</w:t>
      </w:r>
      <w:r>
        <w:rPr>
          <w:snapToGrid w:val="0"/>
        </w:rPr>
        <w:t>.</w:t>
      </w:r>
      <w:r>
        <w:rPr>
          <w:snapToGrid w:val="0"/>
        </w:rPr>
        <w:tab/>
        <w:t>Powers</w:t>
      </w:r>
      <w:bookmarkEnd w:id="52"/>
      <w:bookmarkEnd w:id="53"/>
      <w:bookmarkEnd w:id="54"/>
      <w:r>
        <w:rPr>
          <w:snapToGrid w:val="0"/>
        </w:rPr>
        <w:t xml:space="preserve"> </w:t>
      </w:r>
    </w:p>
    <w:p>
      <w:pPr>
        <w:pStyle w:val="Subsection"/>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Council has power to — </w:t>
      </w:r>
    </w:p>
    <w:p>
      <w:pPr>
        <w:pStyle w:val="Indenta"/>
        <w:spacing w:before="60"/>
        <w:rPr>
          <w:snapToGrid w:val="0"/>
        </w:rPr>
      </w:pPr>
      <w:r>
        <w:rPr>
          <w:snapToGrid w:val="0"/>
        </w:rPr>
        <w:tab/>
        <w:t>(a)</w:t>
      </w:r>
      <w:r>
        <w:rPr>
          <w:snapToGrid w:val="0"/>
        </w:rPr>
        <w:tab/>
        <w:t xml:space="preserve">conduct and promote relevant research; </w:t>
      </w:r>
    </w:p>
    <w:p>
      <w:pPr>
        <w:pStyle w:val="Indenta"/>
        <w:spacing w:before="60"/>
        <w:rPr>
          <w:snapToGrid w:val="0"/>
        </w:rPr>
      </w:pPr>
      <w:r>
        <w:rPr>
          <w:snapToGrid w:val="0"/>
        </w:rPr>
        <w:tab/>
        <w:t>(b)</w:t>
      </w:r>
      <w:r>
        <w:rPr>
          <w:snapToGrid w:val="0"/>
        </w:rPr>
        <w:tab/>
        <w:t>provide such facilities as the Council thinks necessary for or conducive to the performance of its functions;</w:t>
      </w:r>
    </w:p>
    <w:p>
      <w:pPr>
        <w:pStyle w:val="Indenta"/>
        <w:spacing w:before="60"/>
        <w:rPr>
          <w:snapToGrid w:val="0"/>
        </w:rPr>
      </w:pPr>
      <w:r>
        <w:rPr>
          <w:snapToGrid w:val="0"/>
        </w:rPr>
        <w:tab/>
        <w:t>(c)</w:t>
      </w:r>
      <w:r>
        <w:rPr>
          <w:snapToGrid w:val="0"/>
        </w:rPr>
        <w:tab/>
        <w:t xml:space="preserve">acquire, hold, manage, develop, dispose of and otherwise deal in real and personal property; </w:t>
      </w:r>
    </w:p>
    <w:p>
      <w:pPr>
        <w:pStyle w:val="Indenta"/>
        <w:spacing w:before="60"/>
        <w:rPr>
          <w:snapToGrid w:val="0"/>
        </w:rPr>
      </w:pPr>
      <w:r>
        <w:rPr>
          <w:snapToGrid w:val="0"/>
        </w:rPr>
        <w:tab/>
        <w:t>(d)</w:t>
      </w:r>
      <w:r>
        <w:rPr>
          <w:snapToGrid w:val="0"/>
        </w:rPr>
        <w:tab/>
        <w:t>apply for, obtain and hold intellectual property rights and design rights;</w:t>
      </w:r>
    </w:p>
    <w:p>
      <w:pPr>
        <w:pStyle w:val="Indenta"/>
        <w:spacing w:before="6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55" w:name="_Toc520109147"/>
      <w:bookmarkStart w:id="56" w:name="_Toc17002432"/>
      <w:bookmarkStart w:id="57" w:name="_Toc120355762"/>
      <w:r>
        <w:rPr>
          <w:rStyle w:val="CharSectno"/>
        </w:rPr>
        <w:t>16</w:t>
      </w:r>
      <w:r>
        <w:rPr>
          <w:snapToGrid w:val="0"/>
        </w:rPr>
        <w:t>.</w:t>
      </w:r>
      <w:r>
        <w:rPr>
          <w:snapToGrid w:val="0"/>
        </w:rPr>
        <w:tab/>
        <w:t>Performance of functions</w:t>
      </w:r>
      <w:bookmarkEnd w:id="55"/>
      <w:bookmarkEnd w:id="56"/>
      <w:bookmarkEnd w:id="57"/>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organizations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58" w:name="_Toc520109148"/>
      <w:bookmarkStart w:id="59" w:name="_Toc17002433"/>
      <w:bookmarkStart w:id="60" w:name="_Toc120355763"/>
      <w:r>
        <w:rPr>
          <w:rStyle w:val="CharSectno"/>
        </w:rPr>
        <w:t>17</w:t>
      </w:r>
      <w:r>
        <w:rPr>
          <w:snapToGrid w:val="0"/>
        </w:rPr>
        <w:t>.</w:t>
      </w:r>
      <w:r>
        <w:rPr>
          <w:snapToGrid w:val="0"/>
        </w:rPr>
        <w:tab/>
        <w:t>Delegation</w:t>
      </w:r>
      <w:bookmarkEnd w:id="58"/>
      <w:bookmarkEnd w:id="59"/>
      <w:bookmarkEnd w:id="60"/>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61" w:name="_Toc520109149"/>
      <w:bookmarkStart w:id="62" w:name="_Toc17002434"/>
      <w:bookmarkStart w:id="63" w:name="_Toc120355764"/>
      <w:r>
        <w:rPr>
          <w:rStyle w:val="CharSectno"/>
        </w:rPr>
        <w:t>18</w:t>
      </w:r>
      <w:r>
        <w:rPr>
          <w:snapToGrid w:val="0"/>
        </w:rPr>
        <w:t>.</w:t>
      </w:r>
      <w:r>
        <w:rPr>
          <w:snapToGrid w:val="0"/>
        </w:rPr>
        <w:tab/>
        <w:t>Minister may give directions</w:t>
      </w:r>
      <w:bookmarkEnd w:id="61"/>
      <w:bookmarkEnd w:id="62"/>
      <w:bookmarkEnd w:id="6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rPr>
          <w:snapToGrid w:val="0"/>
        </w:rPr>
      </w:pPr>
      <w:r>
        <w:rPr>
          <w:snapToGrid w:val="0"/>
        </w:rPr>
        <w:tab/>
        <w:t>(2)</w:t>
      </w:r>
      <w:r>
        <w:rPr>
          <w:snapToGrid w:val="0"/>
        </w:rPr>
        <w:tab/>
        <w:t xml:space="preserve">The text of a direction given under subsection (1) is to be included in the annual report submitted by the accountable authority of the Council under section 66 of the </w:t>
      </w:r>
      <w:r>
        <w:rPr>
          <w:i/>
          <w:snapToGrid w:val="0"/>
        </w:rPr>
        <w:t>Financial Administration and Audit Act 1985</w:t>
      </w:r>
      <w:r>
        <w:rPr>
          <w:snapToGrid w:val="0"/>
        </w:rPr>
        <w:t>.</w:t>
      </w:r>
    </w:p>
    <w:p>
      <w:pPr>
        <w:pStyle w:val="Heading5"/>
        <w:rPr>
          <w:snapToGrid w:val="0"/>
        </w:rPr>
      </w:pPr>
      <w:bookmarkStart w:id="64" w:name="_Toc520109150"/>
      <w:bookmarkStart w:id="65" w:name="_Toc17002435"/>
      <w:bookmarkStart w:id="66" w:name="_Toc120355765"/>
      <w:r>
        <w:rPr>
          <w:rStyle w:val="CharSectno"/>
        </w:rPr>
        <w:t>19</w:t>
      </w:r>
      <w:r>
        <w:rPr>
          <w:snapToGrid w:val="0"/>
        </w:rPr>
        <w:t>.</w:t>
      </w:r>
      <w:r>
        <w:rPr>
          <w:snapToGrid w:val="0"/>
        </w:rPr>
        <w:tab/>
        <w:t>Minister to have access to information</w:t>
      </w:r>
      <w:bookmarkEnd w:id="64"/>
      <w:bookmarkEnd w:id="65"/>
      <w:bookmarkEnd w:id="6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Heading2"/>
      </w:pPr>
      <w:bookmarkStart w:id="67" w:name="_Toc72573534"/>
      <w:bookmarkStart w:id="68" w:name="_Toc120341393"/>
      <w:bookmarkStart w:id="69" w:name="_Toc120355766"/>
      <w:r>
        <w:rPr>
          <w:rStyle w:val="CharPartNo"/>
        </w:rPr>
        <w:t>Part 4</w:t>
      </w:r>
      <w:r>
        <w:rPr>
          <w:rStyle w:val="CharDivNo"/>
        </w:rPr>
        <w:t> </w:t>
      </w:r>
      <w:r>
        <w:t>—</w:t>
      </w:r>
      <w:r>
        <w:rPr>
          <w:rStyle w:val="CharDivText"/>
        </w:rPr>
        <w:t> </w:t>
      </w:r>
      <w:r>
        <w:rPr>
          <w:rStyle w:val="CharPartText"/>
        </w:rPr>
        <w:t>Staff</w:t>
      </w:r>
      <w:bookmarkEnd w:id="67"/>
      <w:bookmarkEnd w:id="68"/>
      <w:bookmarkEnd w:id="69"/>
      <w:r>
        <w:rPr>
          <w:rStyle w:val="CharPartText"/>
        </w:rPr>
        <w:t xml:space="preserve"> </w:t>
      </w:r>
    </w:p>
    <w:p>
      <w:pPr>
        <w:pStyle w:val="Heading5"/>
        <w:rPr>
          <w:snapToGrid w:val="0"/>
        </w:rPr>
      </w:pPr>
      <w:bookmarkStart w:id="70" w:name="_Toc520109151"/>
      <w:bookmarkStart w:id="71" w:name="_Toc17002436"/>
      <w:bookmarkStart w:id="72" w:name="_Toc120355767"/>
      <w:r>
        <w:rPr>
          <w:rStyle w:val="CharSectno"/>
        </w:rPr>
        <w:t>20</w:t>
      </w:r>
      <w:r>
        <w:rPr>
          <w:snapToGrid w:val="0"/>
        </w:rPr>
        <w:t>.</w:t>
      </w:r>
      <w:r>
        <w:rPr>
          <w:snapToGrid w:val="0"/>
        </w:rPr>
        <w:tab/>
        <w:t>Chief executive officer</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73" w:name="_Toc520109152"/>
      <w:bookmarkStart w:id="74" w:name="_Toc17002437"/>
      <w:bookmarkStart w:id="75" w:name="_Toc120355768"/>
      <w:r>
        <w:rPr>
          <w:rStyle w:val="CharSectno"/>
        </w:rPr>
        <w:t>21</w:t>
      </w:r>
      <w:r>
        <w:rPr>
          <w:snapToGrid w:val="0"/>
        </w:rPr>
        <w:t>.</w:t>
      </w:r>
      <w:r>
        <w:rPr>
          <w:snapToGrid w:val="0"/>
        </w:rPr>
        <w:tab/>
        <w:t>Other staff</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76" w:name="_Toc520109153"/>
      <w:bookmarkStart w:id="77" w:name="_Toc17002438"/>
      <w:bookmarkStart w:id="78" w:name="_Toc120355769"/>
      <w:r>
        <w:rPr>
          <w:rStyle w:val="CharSectno"/>
        </w:rPr>
        <w:t>22</w:t>
      </w:r>
      <w:r>
        <w:rPr>
          <w:snapToGrid w:val="0"/>
        </w:rPr>
        <w:t>.</w:t>
      </w:r>
      <w:r>
        <w:rPr>
          <w:snapToGrid w:val="0"/>
        </w:rPr>
        <w:tab/>
        <w:t>Use of other government staff etc.</w:t>
      </w:r>
      <w:bookmarkEnd w:id="76"/>
      <w:bookmarkEnd w:id="77"/>
      <w:bookmarkEnd w:id="78"/>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79" w:name="_Toc72573538"/>
      <w:bookmarkStart w:id="80" w:name="_Toc120341397"/>
      <w:bookmarkStart w:id="81" w:name="_Toc120355770"/>
      <w:r>
        <w:rPr>
          <w:rStyle w:val="CharPartNo"/>
        </w:rPr>
        <w:t>Part 5</w:t>
      </w:r>
      <w:r>
        <w:rPr>
          <w:rStyle w:val="CharDivNo"/>
        </w:rPr>
        <w:t> </w:t>
      </w:r>
      <w:r>
        <w:t>—</w:t>
      </w:r>
      <w:r>
        <w:rPr>
          <w:rStyle w:val="CharDivText"/>
        </w:rPr>
        <w:t> </w:t>
      </w:r>
      <w:r>
        <w:rPr>
          <w:rStyle w:val="CharPartText"/>
        </w:rPr>
        <w:t>Financial provisions</w:t>
      </w:r>
      <w:bookmarkEnd w:id="79"/>
      <w:bookmarkEnd w:id="80"/>
      <w:bookmarkEnd w:id="81"/>
      <w:r>
        <w:rPr>
          <w:rStyle w:val="CharPartText"/>
        </w:rPr>
        <w:t xml:space="preserve"> </w:t>
      </w:r>
    </w:p>
    <w:p>
      <w:pPr>
        <w:pStyle w:val="Heading5"/>
        <w:rPr>
          <w:snapToGrid w:val="0"/>
        </w:rPr>
      </w:pPr>
      <w:bookmarkStart w:id="82" w:name="_Toc520109154"/>
      <w:bookmarkStart w:id="83" w:name="_Toc17002439"/>
      <w:bookmarkStart w:id="84" w:name="_Toc120355771"/>
      <w:r>
        <w:rPr>
          <w:rStyle w:val="CharSectno"/>
        </w:rPr>
        <w:t>23</w:t>
      </w:r>
      <w:r>
        <w:rPr>
          <w:snapToGrid w:val="0"/>
        </w:rPr>
        <w:t>.</w:t>
      </w:r>
      <w:r>
        <w:rPr>
          <w:snapToGrid w:val="0"/>
        </w:rPr>
        <w:tab/>
        <w:t>Funds of Council</w:t>
      </w:r>
      <w:bookmarkEnd w:id="82"/>
      <w:bookmarkEnd w:id="83"/>
      <w:bookmarkEnd w:id="84"/>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85" w:name="_Toc520109155"/>
      <w:bookmarkStart w:id="86" w:name="_Toc17002440"/>
      <w:bookmarkStart w:id="87" w:name="_Toc120355772"/>
      <w:r>
        <w:rPr>
          <w:rStyle w:val="CharSectno"/>
        </w:rPr>
        <w:t>24</w:t>
      </w:r>
      <w:r>
        <w:rPr>
          <w:snapToGrid w:val="0"/>
        </w:rPr>
        <w:t>.</w:t>
      </w:r>
      <w:r>
        <w:rPr>
          <w:snapToGrid w:val="0"/>
        </w:rPr>
        <w:tab/>
        <w:t>Curriculum Council Account</w:t>
      </w:r>
      <w:bookmarkEnd w:id="85"/>
      <w:bookmarkEnd w:id="86"/>
      <w:bookmarkEnd w:id="87"/>
      <w:r>
        <w:rPr>
          <w:snapToGrid w:val="0"/>
        </w:rPr>
        <w:t xml:space="preserve"> </w:t>
      </w:r>
    </w:p>
    <w:p>
      <w:pPr>
        <w:pStyle w:val="Subsection"/>
        <w:rPr>
          <w:snapToGrid w:val="0"/>
        </w:rPr>
      </w:pPr>
      <w:r>
        <w:rPr>
          <w:snapToGrid w:val="0"/>
        </w:rPr>
        <w:tab/>
        <w:t>(1)</w:t>
      </w:r>
      <w:r>
        <w:rPr>
          <w:snapToGrid w:val="0"/>
        </w:rPr>
        <w:tab/>
        <w:t>The funds referred to in section 23 are to be credited to an account to be called the Curriculum Council Account — </w:t>
      </w:r>
    </w:p>
    <w:p>
      <w:pPr>
        <w:pStyle w:val="Indenta"/>
        <w:rPr>
          <w:snapToGrid w:val="0"/>
        </w:rPr>
      </w:pPr>
      <w:r>
        <w:rPr>
          <w:snapToGrid w:val="0"/>
        </w:rPr>
        <w:tab/>
        <w:t>(a)</w:t>
      </w:r>
      <w:r>
        <w:rPr>
          <w:snapToGrid w:val="0"/>
        </w:rPr>
        <w:tab/>
        <w:t>at the Treasury;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and if paragraph (a) applies that Account is to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Heading5"/>
        <w:rPr>
          <w:snapToGrid w:val="0"/>
        </w:rPr>
      </w:pPr>
      <w:bookmarkStart w:id="88" w:name="_Toc520109156"/>
      <w:bookmarkStart w:id="89" w:name="_Toc17002441"/>
      <w:bookmarkStart w:id="90" w:name="_Toc120355773"/>
      <w:r>
        <w:rPr>
          <w:rStyle w:val="CharSectno"/>
        </w:rPr>
        <w:t>25</w:t>
      </w:r>
      <w:r>
        <w:rPr>
          <w:snapToGrid w:val="0"/>
        </w:rPr>
        <w:t>.</w:t>
      </w:r>
      <w:r>
        <w:rPr>
          <w:snapToGrid w:val="0"/>
        </w:rPr>
        <w:tab/>
        <w:t>Borrowing from Treasury</w:t>
      </w:r>
      <w:bookmarkEnd w:id="88"/>
      <w:bookmarkEnd w:id="89"/>
      <w:bookmarkEnd w:id="90"/>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91" w:name="_Toc520109157"/>
      <w:bookmarkStart w:id="92" w:name="_Toc17002442"/>
      <w:bookmarkStart w:id="93" w:name="_Toc120355774"/>
      <w:r>
        <w:rPr>
          <w:rStyle w:val="CharSectno"/>
        </w:rPr>
        <w:t>26</w:t>
      </w:r>
      <w:r>
        <w:rPr>
          <w:snapToGrid w:val="0"/>
        </w:rPr>
        <w:t>.</w:t>
      </w:r>
      <w:r>
        <w:rPr>
          <w:snapToGrid w:val="0"/>
        </w:rPr>
        <w:tab/>
        <w:t>Other borrowing</w:t>
      </w:r>
      <w:bookmarkEnd w:id="91"/>
      <w:bookmarkEnd w:id="92"/>
      <w:bookmarkEnd w:id="93"/>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94" w:name="_Toc520109158"/>
      <w:bookmarkStart w:id="95" w:name="_Toc17002443"/>
      <w:bookmarkStart w:id="96" w:name="_Toc120355775"/>
      <w:r>
        <w:rPr>
          <w:rStyle w:val="CharSectno"/>
        </w:rPr>
        <w:t>27</w:t>
      </w:r>
      <w:r>
        <w:rPr>
          <w:snapToGrid w:val="0"/>
        </w:rPr>
        <w:t>.</w:t>
      </w:r>
      <w:r>
        <w:rPr>
          <w:snapToGrid w:val="0"/>
        </w:rPr>
        <w:tab/>
        <w:t>Guarantee by Treasurer</w:t>
      </w:r>
      <w:bookmarkEnd w:id="94"/>
      <w:bookmarkEnd w:id="95"/>
      <w:bookmarkEnd w:id="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97" w:name="_Toc520109159"/>
      <w:bookmarkStart w:id="98" w:name="_Toc17002444"/>
      <w:bookmarkStart w:id="99" w:name="_Toc120355776"/>
      <w:r>
        <w:rPr>
          <w:rStyle w:val="CharSectno"/>
        </w:rPr>
        <w:t>28</w:t>
      </w:r>
      <w:r>
        <w:rPr>
          <w:snapToGrid w:val="0"/>
        </w:rPr>
        <w:t>.</w:t>
      </w:r>
      <w:r>
        <w:rPr>
          <w:snapToGrid w:val="0"/>
        </w:rPr>
        <w:tab/>
        <w:t>Effect of guarantee</w:t>
      </w:r>
      <w:bookmarkEnd w:id="97"/>
      <w:bookmarkEnd w:id="98"/>
      <w:bookmarkEnd w:id="9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Council or otherwise in respect of any payment made by the Treasurer under a guarantee given under section 27.</w:t>
      </w:r>
    </w:p>
    <w:p>
      <w:pPr>
        <w:pStyle w:val="Heading5"/>
        <w:rPr>
          <w:snapToGrid w:val="0"/>
        </w:rPr>
      </w:pPr>
      <w:bookmarkStart w:id="100" w:name="_Toc520109160"/>
      <w:bookmarkStart w:id="101" w:name="_Toc17002445"/>
      <w:bookmarkStart w:id="102" w:name="_Toc120355777"/>
      <w:r>
        <w:rPr>
          <w:rStyle w:val="CharSectno"/>
        </w:rPr>
        <w:t>29</w:t>
      </w:r>
      <w:r>
        <w:rPr>
          <w:snapToGrid w:val="0"/>
        </w:rPr>
        <w:t>.</w:t>
      </w:r>
      <w:r>
        <w:rPr>
          <w:snapToGrid w:val="0"/>
        </w:rPr>
        <w:tab/>
        <w:t xml:space="preserve">Application of </w:t>
      </w:r>
      <w:r>
        <w:rPr>
          <w:i/>
          <w:snapToGrid w:val="0"/>
        </w:rPr>
        <w:t>Financial Administration and Audit Act 1985</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2"/>
      </w:pPr>
      <w:bookmarkStart w:id="103" w:name="_Toc72573546"/>
      <w:bookmarkStart w:id="104" w:name="_Toc120341405"/>
      <w:bookmarkStart w:id="105" w:name="_Toc120355778"/>
      <w:r>
        <w:rPr>
          <w:rStyle w:val="CharPartNo"/>
        </w:rPr>
        <w:t>Part 6</w:t>
      </w:r>
      <w:r>
        <w:rPr>
          <w:rStyle w:val="CharDivNo"/>
        </w:rPr>
        <w:t> </w:t>
      </w:r>
      <w:r>
        <w:t>—</w:t>
      </w:r>
      <w:r>
        <w:rPr>
          <w:rStyle w:val="CharDivText"/>
        </w:rPr>
        <w:t> </w:t>
      </w:r>
      <w:r>
        <w:rPr>
          <w:rStyle w:val="CharPartText"/>
        </w:rPr>
        <w:t>Miscellaneous</w:t>
      </w:r>
      <w:bookmarkEnd w:id="103"/>
      <w:bookmarkEnd w:id="104"/>
      <w:bookmarkEnd w:id="105"/>
      <w:r>
        <w:rPr>
          <w:rStyle w:val="CharPartText"/>
        </w:rPr>
        <w:t xml:space="preserve"> </w:t>
      </w:r>
    </w:p>
    <w:p>
      <w:pPr>
        <w:pStyle w:val="Heading5"/>
        <w:rPr>
          <w:snapToGrid w:val="0"/>
        </w:rPr>
      </w:pPr>
      <w:bookmarkStart w:id="106" w:name="_Toc520109161"/>
      <w:bookmarkStart w:id="107" w:name="_Toc17002446"/>
      <w:bookmarkStart w:id="108" w:name="_Toc120355779"/>
      <w:r>
        <w:rPr>
          <w:rStyle w:val="CharSectno"/>
        </w:rPr>
        <w:t>30</w:t>
      </w:r>
      <w:r>
        <w:rPr>
          <w:snapToGrid w:val="0"/>
        </w:rPr>
        <w:t>.</w:t>
      </w:r>
      <w:r>
        <w:rPr>
          <w:snapToGrid w:val="0"/>
        </w:rPr>
        <w:tab/>
        <w:t>Protection from liability</w:t>
      </w:r>
      <w:bookmarkEnd w:id="106"/>
      <w:bookmarkEnd w:id="107"/>
      <w:bookmarkEnd w:id="108"/>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09" w:name="_Toc520109162"/>
      <w:bookmarkStart w:id="110" w:name="_Toc17002447"/>
      <w:bookmarkStart w:id="111" w:name="_Toc120355780"/>
      <w:r>
        <w:rPr>
          <w:rStyle w:val="CharSectno"/>
        </w:rPr>
        <w:t>31</w:t>
      </w:r>
      <w:r>
        <w:rPr>
          <w:snapToGrid w:val="0"/>
        </w:rPr>
        <w:t>.</w:t>
      </w:r>
      <w:r>
        <w:rPr>
          <w:snapToGrid w:val="0"/>
        </w:rPr>
        <w:tab/>
        <w:t>Execution of documents by Council</w:t>
      </w:r>
      <w:bookmarkEnd w:id="109"/>
      <w:bookmarkEnd w:id="110"/>
      <w:bookmarkEnd w:id="111"/>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112" w:name="_Toc520109163"/>
      <w:bookmarkStart w:id="113" w:name="_Toc17002448"/>
      <w:bookmarkStart w:id="114" w:name="_Toc120355781"/>
      <w:r>
        <w:rPr>
          <w:rStyle w:val="CharSectno"/>
        </w:rPr>
        <w:t>32</w:t>
      </w:r>
      <w:r>
        <w:rPr>
          <w:snapToGrid w:val="0"/>
        </w:rPr>
        <w:t>.</w:t>
      </w:r>
      <w:r>
        <w:rPr>
          <w:snapToGrid w:val="0"/>
        </w:rPr>
        <w:tab/>
        <w:t>Confidentiality</w:t>
      </w:r>
      <w:bookmarkEnd w:id="112"/>
      <w:bookmarkEnd w:id="113"/>
      <w:bookmarkEnd w:id="114"/>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Heading5"/>
        <w:rPr>
          <w:snapToGrid w:val="0"/>
        </w:rPr>
      </w:pPr>
      <w:bookmarkStart w:id="115" w:name="_Toc520109164"/>
      <w:bookmarkStart w:id="116" w:name="_Toc17002449"/>
      <w:bookmarkStart w:id="117" w:name="_Toc120355782"/>
      <w:r>
        <w:rPr>
          <w:rStyle w:val="CharSectno"/>
        </w:rPr>
        <w:t>33</w:t>
      </w:r>
      <w:r>
        <w:rPr>
          <w:snapToGrid w:val="0"/>
        </w:rPr>
        <w:t>.</w:t>
      </w:r>
      <w:r>
        <w:rPr>
          <w:snapToGrid w:val="0"/>
        </w:rPr>
        <w:tab/>
        <w:t>Regulations</w:t>
      </w:r>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Heading5"/>
        <w:rPr>
          <w:snapToGrid w:val="0"/>
        </w:rPr>
      </w:pPr>
      <w:bookmarkStart w:id="118" w:name="_Toc520109165"/>
      <w:bookmarkStart w:id="119" w:name="_Toc17002450"/>
      <w:bookmarkStart w:id="120" w:name="_Toc120355783"/>
      <w:r>
        <w:rPr>
          <w:rStyle w:val="CharSectno"/>
        </w:rPr>
        <w:t>34</w:t>
      </w:r>
      <w:r>
        <w:rPr>
          <w:snapToGrid w:val="0"/>
        </w:rPr>
        <w:t>.</w:t>
      </w:r>
      <w:r>
        <w:rPr>
          <w:snapToGrid w:val="0"/>
        </w:rPr>
        <w:tab/>
        <w:t>Repeal</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121" w:name="_Toc520109167"/>
      <w:bookmarkStart w:id="122" w:name="_Toc17002452"/>
      <w:bookmarkStart w:id="123" w:name="_Toc120355784"/>
      <w:r>
        <w:rPr>
          <w:rStyle w:val="CharSectno"/>
        </w:rPr>
        <w:t>36</w:t>
      </w:r>
      <w:r>
        <w:rPr>
          <w:snapToGrid w:val="0"/>
        </w:rPr>
        <w:t>.</w:t>
      </w:r>
      <w:r>
        <w:rPr>
          <w:snapToGrid w:val="0"/>
        </w:rPr>
        <w:tab/>
        <w:t>Review of Act</w:t>
      </w:r>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4" w:name="_Toc120355785"/>
      <w:r>
        <w:rPr>
          <w:rStyle w:val="CharSchNo"/>
        </w:rPr>
        <w:t>Schedule 1</w:t>
      </w:r>
      <w:bookmarkEnd w:id="124"/>
      <w:r>
        <w:rPr>
          <w:rStyle w:val="CharSchNo"/>
        </w:rPr>
        <w:t xml:space="preserve"> </w:t>
      </w:r>
    </w:p>
    <w:p>
      <w:pPr>
        <w:pStyle w:val="yShoulderClause"/>
        <w:rPr>
          <w:snapToGrid w:val="0"/>
        </w:rPr>
      </w:pPr>
      <w:r>
        <w:rPr>
          <w:rStyle w:val="CharSchText"/>
        </w:rPr>
        <w:t xml:space="preserve"> </w:t>
      </w:r>
      <w:r>
        <w:rPr>
          <w:snapToGrid w:val="0"/>
        </w:rPr>
        <w:t>[Section 7]</w:t>
      </w:r>
    </w:p>
    <w:p>
      <w:pPr>
        <w:pStyle w:val="yHeading3"/>
      </w:pPr>
      <w:bookmarkStart w:id="125" w:name="_Toc17002454"/>
      <w:bookmarkStart w:id="126" w:name="_Toc120355786"/>
      <w:r>
        <w:t>Division 1 — Provisions as to constitution and proceedings of the Council</w:t>
      </w:r>
      <w:bookmarkEnd w:id="125"/>
      <w:bookmarkEnd w:id="126"/>
      <w:r>
        <w:t xml:space="preserve"> </w:t>
      </w:r>
    </w:p>
    <w:p>
      <w:pPr>
        <w:pStyle w:val="yHeading5"/>
        <w:outlineLvl w:val="9"/>
      </w:pPr>
      <w:bookmarkStart w:id="127" w:name="_Toc17002455"/>
      <w:bookmarkStart w:id="128" w:name="_Toc120355787"/>
      <w:r>
        <w:t xml:space="preserve">1. </w:t>
      </w:r>
      <w:r>
        <w:tab/>
        <w:t>Term of office</w:t>
      </w:r>
      <w:bookmarkEnd w:id="127"/>
      <w:bookmarkEnd w:id="128"/>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129" w:name="_Toc17002456"/>
      <w:bookmarkStart w:id="130" w:name="_Toc120355788"/>
      <w:r>
        <w:t xml:space="preserve">2. </w:t>
      </w:r>
      <w:r>
        <w:tab/>
        <w:t>Resignation, removal etc.</w:t>
      </w:r>
      <w:bookmarkEnd w:id="129"/>
      <w:bookmarkEnd w:id="130"/>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Heading5"/>
        <w:outlineLvl w:val="9"/>
      </w:pPr>
      <w:bookmarkStart w:id="131" w:name="_Toc17002457"/>
      <w:bookmarkStart w:id="132" w:name="_Toc120355789"/>
      <w:r>
        <w:t xml:space="preserve">3. </w:t>
      </w:r>
      <w:r>
        <w:tab/>
        <w:t>Leave of absence</w:t>
      </w:r>
      <w:bookmarkEnd w:id="131"/>
      <w:bookmarkEnd w:id="132"/>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133" w:name="_Toc17002458"/>
      <w:bookmarkStart w:id="134" w:name="_Toc120355790"/>
      <w:r>
        <w:t xml:space="preserve">4. </w:t>
      </w:r>
      <w:r>
        <w:tab/>
        <w:t>Appointed member unable to act</w:t>
      </w:r>
      <w:bookmarkEnd w:id="133"/>
      <w:bookmarkEnd w:id="13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135" w:name="_Toc17002459"/>
      <w:bookmarkStart w:id="136" w:name="_Toc120355791"/>
      <w:r>
        <w:t xml:space="preserve">5. </w:t>
      </w:r>
      <w:r>
        <w:tab/>
        <w:t>Chief executive officer unable to attend</w:t>
      </w:r>
      <w:bookmarkEnd w:id="135"/>
      <w:bookmarkEnd w:id="136"/>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137" w:name="_Toc17002460"/>
      <w:bookmarkStart w:id="138" w:name="_Toc120355792"/>
      <w:r>
        <w:t xml:space="preserve">6. </w:t>
      </w:r>
      <w:r>
        <w:tab/>
        <w:t>Saving</w:t>
      </w:r>
      <w:bookmarkEnd w:id="137"/>
      <w:bookmarkEnd w:id="138"/>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139" w:name="_Toc17002461"/>
      <w:bookmarkStart w:id="140" w:name="_Toc120355793"/>
      <w:r>
        <w:t xml:space="preserve">7. </w:t>
      </w:r>
      <w:r>
        <w:tab/>
        <w:t>Calling of meetings</w:t>
      </w:r>
      <w:bookmarkEnd w:id="139"/>
      <w:bookmarkEnd w:id="140"/>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141" w:name="_Toc17002462"/>
      <w:bookmarkStart w:id="142" w:name="_Toc120355794"/>
      <w:r>
        <w:t xml:space="preserve">8. </w:t>
      </w:r>
      <w:r>
        <w:tab/>
        <w:t>Presiding officer</w:t>
      </w:r>
      <w:bookmarkEnd w:id="141"/>
      <w:bookmarkEnd w:id="142"/>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143" w:name="_Toc17002463"/>
      <w:bookmarkStart w:id="144" w:name="_Toc120355795"/>
      <w:r>
        <w:t xml:space="preserve">9. </w:t>
      </w:r>
      <w:r>
        <w:tab/>
        <w:t>Quorum</w:t>
      </w:r>
      <w:bookmarkEnd w:id="143"/>
      <w:bookmarkEnd w:id="144"/>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145" w:name="_Toc17002464"/>
      <w:bookmarkStart w:id="146" w:name="_Toc120355796"/>
      <w:r>
        <w:t xml:space="preserve">10. </w:t>
      </w:r>
      <w:r>
        <w:tab/>
        <w:t>Voting</w:t>
      </w:r>
      <w:bookmarkEnd w:id="145"/>
      <w:bookmarkEnd w:id="146"/>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147" w:name="_Toc17002465"/>
      <w:bookmarkStart w:id="148" w:name="_Toc120355797"/>
      <w:r>
        <w:t xml:space="preserve">11. </w:t>
      </w:r>
      <w:r>
        <w:tab/>
        <w:t>Minutes</w:t>
      </w:r>
      <w:bookmarkEnd w:id="147"/>
      <w:bookmarkEnd w:id="148"/>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149" w:name="_Toc17002466"/>
      <w:bookmarkStart w:id="150" w:name="_Toc120355798"/>
      <w:r>
        <w:t xml:space="preserve">12. </w:t>
      </w:r>
      <w:r>
        <w:tab/>
        <w:t>Resolution without meeting</w:t>
      </w:r>
      <w:bookmarkEnd w:id="149"/>
      <w:bookmarkEnd w:id="150"/>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151" w:name="_Toc17002467"/>
      <w:bookmarkStart w:id="152" w:name="_Toc120355799"/>
      <w:r>
        <w:t xml:space="preserve">13. </w:t>
      </w:r>
      <w:r>
        <w:tab/>
        <w:t>Telephone or video meetings</w:t>
      </w:r>
      <w:bookmarkEnd w:id="151"/>
      <w:bookmarkEnd w:id="152"/>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153" w:name="_Toc17002468"/>
      <w:bookmarkStart w:id="154" w:name="_Toc120355800"/>
      <w:r>
        <w:t xml:space="preserve">14. </w:t>
      </w:r>
      <w:r>
        <w:tab/>
        <w:t>Committees</w:t>
      </w:r>
      <w:bookmarkEnd w:id="153"/>
      <w:bookmarkEnd w:id="15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155" w:name="_Toc17002469"/>
      <w:bookmarkStart w:id="156" w:name="_Toc120355801"/>
      <w:r>
        <w:t xml:space="preserve">15. </w:t>
      </w:r>
      <w:r>
        <w:tab/>
        <w:t>Council to determine own procedures</w:t>
      </w:r>
      <w:bookmarkEnd w:id="155"/>
      <w:bookmarkEnd w:id="156"/>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157" w:name="_Toc17002470"/>
      <w:bookmarkStart w:id="158" w:name="_Toc120355802"/>
      <w:r>
        <w:t>Division 2 — Disclosure of interests, etc.</w:t>
      </w:r>
      <w:bookmarkEnd w:id="157"/>
      <w:bookmarkEnd w:id="158"/>
      <w:r>
        <w:t xml:space="preserve"> </w:t>
      </w:r>
    </w:p>
    <w:p>
      <w:pPr>
        <w:pStyle w:val="yHeading5"/>
        <w:outlineLvl w:val="9"/>
      </w:pPr>
      <w:bookmarkStart w:id="159" w:name="_Toc17002471"/>
      <w:bookmarkStart w:id="160" w:name="_Toc120355803"/>
      <w:r>
        <w:t xml:space="preserve">16. </w:t>
      </w:r>
      <w:r>
        <w:tab/>
        <w:t>Disclosure of interests</w:t>
      </w:r>
      <w:bookmarkEnd w:id="159"/>
      <w:bookmarkEnd w:id="16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161" w:name="_Toc17002472"/>
      <w:r>
        <w:tab/>
        <w:t>[Clause 16 amended by No. 50 of 2003 s. 53(2).]</w:t>
      </w:r>
    </w:p>
    <w:p>
      <w:pPr>
        <w:pStyle w:val="yHeading5"/>
        <w:outlineLvl w:val="9"/>
      </w:pPr>
      <w:bookmarkStart w:id="162" w:name="_Toc120355804"/>
      <w:r>
        <w:t xml:space="preserve">17. </w:t>
      </w:r>
      <w:r>
        <w:tab/>
        <w:t>Voting by interested members</w:t>
      </w:r>
      <w:bookmarkEnd w:id="161"/>
      <w:bookmarkEnd w:id="162"/>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163" w:name="_Toc17002473"/>
      <w:bookmarkStart w:id="164" w:name="_Toc120355805"/>
      <w:r>
        <w:t xml:space="preserve">18. </w:t>
      </w:r>
      <w:r>
        <w:tab/>
        <w:t>Clause 17 may be declared inapplicable</w:t>
      </w:r>
      <w:bookmarkEnd w:id="163"/>
      <w:bookmarkEnd w:id="164"/>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165" w:name="_Toc17002474"/>
      <w:bookmarkStart w:id="166" w:name="_Toc120355806"/>
      <w:r>
        <w:t xml:space="preserve">19. </w:t>
      </w:r>
      <w:r>
        <w:tab/>
        <w:t>Quorum where clause 18 applies</w:t>
      </w:r>
      <w:bookmarkEnd w:id="165"/>
      <w:bookmarkEnd w:id="166"/>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167" w:name="_Toc17002475"/>
      <w:bookmarkStart w:id="168" w:name="_Toc120355807"/>
      <w:r>
        <w:t xml:space="preserve">20. </w:t>
      </w:r>
      <w:r>
        <w:tab/>
        <w:t>Minister may declare clauses 17 and 19 inapplicable</w:t>
      </w:r>
      <w:bookmarkEnd w:id="167"/>
      <w:bookmarkEnd w:id="168"/>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 No. 50 of 2003 s. 53(2).]</w:t>
      </w:r>
    </w:p>
    <w:p>
      <w:pPr>
        <w:pStyle w:val="yScheduleHeading"/>
      </w:pPr>
      <w:bookmarkStart w:id="169" w:name="_Toc17002476"/>
      <w:bookmarkStart w:id="170" w:name="_Toc120355808"/>
      <w:r>
        <w:rPr>
          <w:rStyle w:val="CharSchNo"/>
        </w:rPr>
        <w:t>Schedule 2</w:t>
      </w:r>
      <w:r>
        <w:t> — </w:t>
      </w:r>
      <w:r>
        <w:rPr>
          <w:rStyle w:val="CharSchText"/>
        </w:rPr>
        <w:t>Transitional and savings provisions</w:t>
      </w:r>
      <w:bookmarkEnd w:id="169"/>
      <w:bookmarkEnd w:id="170"/>
    </w:p>
    <w:p>
      <w:pPr>
        <w:pStyle w:val="yShoulderClause"/>
        <w:rPr>
          <w:snapToGrid w:val="0"/>
        </w:rPr>
      </w:pPr>
      <w:r>
        <w:rPr>
          <w:snapToGrid w:val="0"/>
        </w:rPr>
        <w:t>[Section 34(2)]</w:t>
      </w:r>
    </w:p>
    <w:p>
      <w:pPr>
        <w:pStyle w:val="yHeading5"/>
        <w:outlineLvl w:val="9"/>
      </w:pPr>
      <w:bookmarkStart w:id="171" w:name="_Toc17002477"/>
      <w:bookmarkStart w:id="172" w:name="_Toc120355809"/>
      <w:r>
        <w:t xml:space="preserve">1. </w:t>
      </w:r>
      <w:r>
        <w:tab/>
        <w:t>Definitions</w:t>
      </w:r>
      <w:bookmarkEnd w:id="171"/>
      <w:bookmarkEnd w:id="172"/>
      <w: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Authority</w:t>
      </w:r>
      <w:r>
        <w:rPr>
          <w:b/>
        </w:rPr>
        <w:t>”</w:t>
      </w:r>
      <w:r>
        <w:t xml:space="preserve"> means the Secondary Education Authority under the repealed Act as in force before the commencement day;</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repealed Act</w:t>
      </w:r>
      <w:r>
        <w:rPr>
          <w:b/>
        </w:rPr>
        <w:t>”</w:t>
      </w:r>
      <w:r>
        <w:t xml:space="preserve"> means the </w:t>
      </w:r>
      <w:r>
        <w:rPr>
          <w:i/>
        </w:rPr>
        <w:t>Secondary Education Authority Act 1984</w:t>
      </w:r>
      <w:r>
        <w:t>;</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Heading5"/>
        <w:outlineLvl w:val="9"/>
      </w:pPr>
      <w:bookmarkStart w:id="173" w:name="_Toc17002478"/>
      <w:bookmarkStart w:id="174" w:name="_Toc120355810"/>
      <w:r>
        <w:t xml:space="preserve">2. </w:t>
      </w:r>
      <w:r>
        <w:tab/>
        <w:t>Interpretation Act to apply</w:t>
      </w:r>
      <w:bookmarkEnd w:id="173"/>
      <w:bookmarkEnd w:id="174"/>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175" w:name="_Toc17002479"/>
      <w:bookmarkStart w:id="176" w:name="_Toc120355811"/>
      <w:r>
        <w:t xml:space="preserve">3. </w:t>
      </w:r>
      <w:r>
        <w:tab/>
        <w:t>Authority abolished</w:t>
      </w:r>
      <w:bookmarkEnd w:id="175"/>
      <w:bookmarkEnd w:id="176"/>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177" w:name="_Toc17002480"/>
      <w:bookmarkStart w:id="178" w:name="_Toc120355812"/>
      <w:r>
        <w:t xml:space="preserve">4. </w:t>
      </w:r>
      <w:r>
        <w:tab/>
        <w:t>Devolution of Authority’s assets, liabilities etc.</w:t>
      </w:r>
      <w:bookmarkEnd w:id="177"/>
      <w:bookmarkEnd w:id="17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179" w:name="_Toc17002481"/>
      <w:bookmarkStart w:id="180" w:name="_Toc120355813"/>
      <w:r>
        <w:t xml:space="preserve">5. </w:t>
      </w:r>
      <w:r>
        <w:tab/>
        <w:t>Transition to staff of Council</w:t>
      </w:r>
      <w:bookmarkEnd w:id="179"/>
      <w:bookmarkEnd w:id="180"/>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181" w:name="_Toc17002482"/>
      <w:bookmarkStart w:id="182" w:name="_Toc120355814"/>
      <w:r>
        <w:t xml:space="preserve">6. </w:t>
      </w:r>
      <w:r>
        <w:tab/>
        <w:t>Employees’ rights preserved</w:t>
      </w:r>
      <w:bookmarkEnd w:id="181"/>
      <w:bookmarkEnd w:id="182"/>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183" w:name="_Toc17002483"/>
      <w:bookmarkStart w:id="184" w:name="_Toc120355815"/>
      <w:r>
        <w:t xml:space="preserve">7. </w:t>
      </w:r>
      <w:r>
        <w:tab/>
        <w:t>Funds</w:t>
      </w:r>
      <w:bookmarkEnd w:id="183"/>
      <w:bookmarkEnd w:id="184"/>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185" w:name="_Toc17002484"/>
      <w:bookmarkStart w:id="186" w:name="_Toc120355816"/>
      <w:r>
        <w:t xml:space="preserve">8. </w:t>
      </w:r>
      <w:r>
        <w:tab/>
        <w:t>Annual report for part of a year</w:t>
      </w:r>
      <w:bookmarkEnd w:id="185"/>
      <w:bookmarkEnd w:id="186"/>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187" w:name="_Toc17002485"/>
      <w:bookmarkStart w:id="188" w:name="_Toc120355817"/>
      <w:r>
        <w:t xml:space="preserve">9. </w:t>
      </w:r>
      <w:r>
        <w:tab/>
        <w:t>Completion of things commenced</w:t>
      </w:r>
      <w:bookmarkEnd w:id="187"/>
      <w:bookmarkEnd w:id="188"/>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189" w:name="_Toc17002486"/>
      <w:bookmarkStart w:id="190" w:name="_Toc120355818"/>
      <w:r>
        <w:t xml:space="preserve">10. </w:t>
      </w:r>
      <w:r>
        <w:tab/>
        <w:t>Continuing effect of things done</w:t>
      </w:r>
      <w:bookmarkEnd w:id="189"/>
      <w:bookmarkEnd w:id="190"/>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191" w:name="_Toc17002487"/>
      <w:bookmarkStart w:id="192" w:name="_Toc120355819"/>
      <w:r>
        <w:t xml:space="preserve">11. </w:t>
      </w:r>
      <w:r>
        <w:tab/>
        <w:t>Immunity to continue</w:t>
      </w:r>
      <w:bookmarkEnd w:id="191"/>
      <w:bookmarkEnd w:id="192"/>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193" w:name="_Toc17002488"/>
      <w:bookmarkStart w:id="194" w:name="_Toc120355820"/>
      <w:r>
        <w:t xml:space="preserve">12. </w:t>
      </w:r>
      <w:r>
        <w:tab/>
        <w:t>Agreements and instruments generally</w:t>
      </w:r>
      <w:bookmarkEnd w:id="193"/>
      <w:bookmarkEnd w:id="194"/>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195" w:name="_Toc17002489"/>
      <w:bookmarkStart w:id="196" w:name="_Toc120355821"/>
      <w:r>
        <w:t xml:space="preserve">13. </w:t>
      </w:r>
      <w:r>
        <w:tab/>
        <w:t>Further transitional provision may be made</w:t>
      </w:r>
      <w:bookmarkEnd w:id="195"/>
      <w:bookmarkEnd w:id="196"/>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197" w:name="_Toc17002490"/>
      <w:bookmarkStart w:id="198" w:name="_Toc120355822"/>
      <w:r>
        <w:t xml:space="preserve">14. </w:t>
      </w:r>
      <w:r>
        <w:tab/>
        <w:t>Exemption from State tax</w:t>
      </w:r>
      <w:bookmarkEnd w:id="197"/>
      <w:bookmarkEnd w:id="198"/>
      <w: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199" w:name="_Toc17002491"/>
      <w:bookmarkStart w:id="200" w:name="_Toc120355823"/>
      <w:r>
        <w:t xml:space="preserve">15. </w:t>
      </w:r>
      <w:r>
        <w:tab/>
        <w:t>Registration of documents</w:t>
      </w:r>
      <w:bookmarkEnd w:id="199"/>
      <w:bookmarkEnd w:id="200"/>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201" w:name="_Toc17002492"/>
      <w:bookmarkStart w:id="202" w:name="_Toc120355824"/>
      <w:r>
        <w:t xml:space="preserve">16. </w:t>
      </w:r>
      <w:r>
        <w:tab/>
        <w:t>Saving</w:t>
      </w:r>
      <w:bookmarkEnd w:id="201"/>
      <w:bookmarkEnd w:id="202"/>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ection"/>
      </w:pPr>
      <w:r>
        <w:t>[Schedule 3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3" w:name="_Toc72573593"/>
      <w:bookmarkStart w:id="204" w:name="_Toc120341452"/>
      <w:bookmarkStart w:id="205" w:name="_Toc120355825"/>
      <w:r>
        <w:t>Notes</w:t>
      </w:r>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6" w:name="_Toc120355826"/>
      <w:r>
        <w:rPr>
          <w:snapToGrid w:val="0"/>
        </w:rP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4"/>
            <w:tcBorders>
              <w:bottom w:val="single" w:sz="4" w:space="0" w:color="auto"/>
            </w:tcBorders>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Borders>
              <w:bottom w:val="single" w:sz="4" w:space="0" w:color="auto"/>
            </w:tcBorders>
          </w:tcPr>
          <w:p>
            <w:pPr>
              <w:pStyle w:val="nTable"/>
              <w:spacing w:before="100"/>
            </w:pPr>
            <w:r>
              <w:rPr>
                <w:spacing w:val="-2"/>
                <w:sz w:val="19"/>
              </w:rPr>
              <w:t>15 Sep 2003 (see r. 2)</w:t>
            </w:r>
          </w:p>
        </w:tc>
      </w:tr>
    </w:tbl>
    <w:p/>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07" w:name="_Toc511102521"/>
      <w:bookmarkStart w:id="208" w:name="_Toc17002352"/>
      <w:bookmarkStart w:id="209" w:name="_Toc120340603"/>
      <w:bookmarkStart w:id="210" w:name="_Toc120355827"/>
      <w:r>
        <w:rPr>
          <w:snapToGrid w:val="0"/>
        </w:rPr>
        <w:t>Provisions that have not come into operation</w:t>
      </w:r>
      <w:bookmarkEnd w:id="207"/>
      <w:bookmarkEnd w:id="208"/>
      <w:bookmarkEnd w:id="209"/>
      <w:bookmarkEnd w:id="2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3 </w:t>
            </w:r>
            <w:r>
              <w:rPr>
                <w:snapToGrid w:val="0"/>
                <w:sz w:val="19"/>
                <w:vertAlign w:val="superscript"/>
                <w:lang w:val="en-US"/>
              </w:rPr>
              <w:t>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Pt. 3: 1 Jan 2006 (see s. 2(3))</w:t>
            </w:r>
          </w:p>
        </w:tc>
      </w:tr>
    </w:tbl>
    <w:p>
      <w:pPr>
        <w:pStyle w:val="nSubsection"/>
      </w:pPr>
      <w:r>
        <w:rPr>
          <w:vertAlign w:val="superscript"/>
        </w:rPr>
        <w:t>2</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3 had not come into operation.  It read as follows:</w:t>
      </w:r>
    </w:p>
    <w:p>
      <w:pPr>
        <w:pStyle w:val="MiscOpen"/>
      </w:pPr>
      <w:r>
        <w:t>“</w:t>
      </w:r>
    </w:p>
    <w:p>
      <w:pPr>
        <w:pStyle w:val="nzHeading2"/>
      </w:pPr>
      <w:bookmarkStart w:id="211" w:name="_Toc110061731"/>
      <w:bookmarkStart w:id="212" w:name="_Toc110066810"/>
      <w:bookmarkStart w:id="213" w:name="_Toc110072789"/>
      <w:bookmarkStart w:id="214" w:name="_Toc110073575"/>
      <w:bookmarkStart w:id="215" w:name="_Toc110587817"/>
      <w:bookmarkStart w:id="216" w:name="_Toc110588212"/>
      <w:bookmarkStart w:id="217" w:name="_Toc110662554"/>
      <w:bookmarkStart w:id="218" w:name="_Toc110739279"/>
      <w:bookmarkStart w:id="219" w:name="_Toc110740435"/>
      <w:bookmarkStart w:id="220" w:name="_Toc111956684"/>
      <w:bookmarkStart w:id="221" w:name="_Toc111956774"/>
      <w:bookmarkStart w:id="222" w:name="_Toc111958770"/>
      <w:bookmarkStart w:id="223" w:name="_Toc119906450"/>
      <w:bookmarkStart w:id="224" w:name="_Toc119906540"/>
      <w:bookmarkStart w:id="225" w:name="_Toc109019534"/>
      <w:bookmarkStart w:id="226" w:name="_Toc109202796"/>
      <w:bookmarkStart w:id="227" w:name="_Toc109280684"/>
      <w:bookmarkStart w:id="228" w:name="_Toc109288306"/>
      <w:bookmarkStart w:id="229" w:name="_Toc109296122"/>
      <w:bookmarkStart w:id="230" w:name="_Toc109363102"/>
      <w:bookmarkStart w:id="231" w:name="_Toc109369255"/>
      <w:bookmarkStart w:id="232" w:name="_Toc109370051"/>
      <w:bookmarkStart w:id="233" w:name="_Toc109375192"/>
      <w:bookmarkStart w:id="234" w:name="_Toc109448430"/>
      <w:bookmarkStart w:id="235" w:name="_Toc109448991"/>
      <w:bookmarkStart w:id="236" w:name="_Toc109455601"/>
      <w:bookmarkStart w:id="237" w:name="_Toc109462796"/>
      <w:bookmarkStart w:id="238" w:name="_Toc109980241"/>
      <w:bookmarkStart w:id="239" w:name="_Toc109981842"/>
      <w:bookmarkStart w:id="240" w:name="_Toc109985270"/>
      <w:bookmarkStart w:id="241" w:name="_Toc109987910"/>
      <w:bookmarkStart w:id="242" w:name="_Toc109988577"/>
      <w:bookmarkStart w:id="243" w:name="_Toc110055708"/>
      <w:r>
        <w:t>Part 3 — Amendments to provide for the keeping of student records by the Curriculum Council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5"/>
        <w:rPr>
          <w:snapToGrid w:val="0"/>
        </w:rPr>
      </w:pPr>
      <w:bookmarkStart w:id="244" w:name="_Toc105837400"/>
      <w:bookmarkStart w:id="245" w:name="_Toc110740436"/>
      <w:bookmarkStart w:id="246" w:name="_Toc119906541"/>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Sectno"/>
        </w:rPr>
        <w:t>41</w:t>
      </w:r>
      <w:r>
        <w:t>.</w:t>
      </w:r>
      <w:r>
        <w:tab/>
      </w:r>
      <w:r>
        <w:rPr>
          <w:snapToGrid w:val="0"/>
        </w:rPr>
        <w:t>The Act amended</w:t>
      </w:r>
      <w:bookmarkEnd w:id="244"/>
      <w:bookmarkEnd w:id="245"/>
      <w:bookmarkEnd w:id="246"/>
    </w:p>
    <w:p>
      <w:pPr>
        <w:pStyle w:val="nzSubsection"/>
      </w:pPr>
      <w:r>
        <w:tab/>
      </w:r>
      <w:r>
        <w:tab/>
        <w:t xml:space="preserve">The amendments in this Part are to the </w:t>
      </w:r>
      <w:r>
        <w:rPr>
          <w:i/>
          <w:iCs/>
        </w:rPr>
        <w:t>Curriculum Council Act 1997</w:t>
      </w:r>
      <w:r>
        <w:t>.</w:t>
      </w:r>
    </w:p>
    <w:p>
      <w:pPr>
        <w:pStyle w:val="nzHeading5"/>
      </w:pPr>
      <w:bookmarkStart w:id="247" w:name="_Toc105837401"/>
      <w:bookmarkStart w:id="248" w:name="_Toc110740437"/>
      <w:bookmarkStart w:id="249" w:name="_Toc119906542"/>
      <w:r>
        <w:rPr>
          <w:rStyle w:val="CharSectno"/>
        </w:rPr>
        <w:t>42</w:t>
      </w:r>
      <w:r>
        <w:t>.</w:t>
      </w:r>
      <w:r>
        <w:tab/>
        <w:t>Long title amended</w:t>
      </w:r>
      <w:bookmarkEnd w:id="247"/>
      <w:bookmarkEnd w:id="248"/>
      <w:bookmarkEnd w:id="249"/>
    </w:p>
    <w:p>
      <w:pPr>
        <w:pStyle w:val="nzSubsection"/>
        <w:rPr>
          <w:snapToGrid w:val="0"/>
        </w:rPr>
      </w:pPr>
      <w:r>
        <w:tab/>
      </w:r>
      <w:r>
        <w:tab/>
        <w:t>The long title is amended by inserting after “</w:t>
      </w:r>
      <w:r>
        <w:rPr>
          <w:snapToGrid w:val="0"/>
        </w:rPr>
        <w:t xml:space="preserve">achievement,” — </w:t>
      </w:r>
    </w:p>
    <w:p>
      <w:pPr>
        <w:pStyle w:val="MiscOpen"/>
      </w:pPr>
      <w:r>
        <w:t xml:space="preserve">“    </w:t>
      </w:r>
    </w:p>
    <w:p>
      <w:pPr>
        <w:pStyle w:val="nzLongTitle"/>
      </w:pPr>
      <w:r>
        <w:t>to provide for a database relating to participation in education, training or employment by children during their secondary school years,</w:t>
      </w:r>
    </w:p>
    <w:p>
      <w:pPr>
        <w:pStyle w:val="MiscClose"/>
        <w:ind w:right="575"/>
      </w:pPr>
      <w:r>
        <w:t xml:space="preserve">    ”.</w:t>
      </w:r>
    </w:p>
    <w:p>
      <w:pPr>
        <w:pStyle w:val="nzHeading5"/>
      </w:pPr>
      <w:bookmarkStart w:id="250" w:name="_Toc110740438"/>
      <w:bookmarkStart w:id="251" w:name="_Toc119906543"/>
      <w:r>
        <w:rPr>
          <w:rStyle w:val="CharSectno"/>
        </w:rPr>
        <w:t>43</w:t>
      </w:r>
      <w:r>
        <w:t>.</w:t>
      </w:r>
      <w:r>
        <w:tab/>
        <w:t>Section 3 amended</w:t>
      </w:r>
      <w:bookmarkEnd w:id="250"/>
      <w:bookmarkEnd w:id="251"/>
    </w:p>
    <w:p>
      <w:pPr>
        <w:pStyle w:val="nzSubsection"/>
      </w:pPr>
      <w:r>
        <w:tab/>
      </w:r>
      <w:r>
        <w:tab/>
        <w:t xml:space="preserve">Section 3 is amended by inserting after the definition of “committee” — </w:t>
      </w:r>
    </w:p>
    <w:p>
      <w:pPr>
        <w:pStyle w:val="MiscOpen"/>
        <w:ind w:left="880"/>
      </w:pPr>
      <w:r>
        <w:t xml:space="preserve">“    </w:t>
      </w:r>
    </w:p>
    <w:p>
      <w:pPr>
        <w:pStyle w:val="nzDefstart"/>
      </w:pPr>
      <w:r>
        <w:rPr>
          <w:b/>
        </w:rPr>
        <w:tab/>
        <w:t>“</w:t>
      </w:r>
      <w:r>
        <w:rPr>
          <w:rStyle w:val="CharDefText"/>
        </w:rPr>
        <w:t>compulsory education period</w:t>
      </w:r>
      <w:r>
        <w:rPr>
          <w:b/>
        </w:rPr>
        <w:t>”</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nzDefpara"/>
      </w:pPr>
      <w:r>
        <w:tab/>
        <w:t>(a)</w:t>
      </w:r>
      <w:r>
        <w:tab/>
        <w:t xml:space="preserve">enrolment at a school occurs as soon as is required by section 9 of </w:t>
      </w:r>
      <w:r>
        <w:rPr>
          <w:bCs/>
        </w:rPr>
        <w:t>that Act</w:t>
      </w:r>
      <w:r>
        <w:t>; and</w:t>
      </w:r>
    </w:p>
    <w:p>
      <w:pPr>
        <w:pStyle w:val="nzDefpara"/>
      </w:pPr>
      <w:r>
        <w:tab/>
        <w:t>(b)</w:t>
      </w:r>
      <w:r>
        <w:tab/>
        <w:t>schooling progresses normally through each year until the end of the compulsory education period under that Act;</w:t>
      </w:r>
    </w:p>
    <w:p>
      <w:pPr>
        <w:pStyle w:val="MiscClose"/>
        <w:ind w:right="575"/>
      </w:pPr>
      <w:r>
        <w:t xml:space="preserve">    ”.</w:t>
      </w:r>
    </w:p>
    <w:p>
      <w:pPr>
        <w:pStyle w:val="nzHeading5"/>
      </w:pPr>
      <w:bookmarkStart w:id="252" w:name="_Toc105837402"/>
      <w:bookmarkStart w:id="253" w:name="_Toc110740439"/>
      <w:bookmarkStart w:id="254" w:name="_Toc119906544"/>
      <w:r>
        <w:rPr>
          <w:rStyle w:val="CharSectno"/>
        </w:rPr>
        <w:t>44</w:t>
      </w:r>
      <w:r>
        <w:t>.</w:t>
      </w:r>
      <w:r>
        <w:tab/>
        <w:t>Section 4 amended</w:t>
      </w:r>
      <w:bookmarkEnd w:id="252"/>
      <w:bookmarkEnd w:id="253"/>
      <w:bookmarkEnd w:id="254"/>
    </w:p>
    <w:p>
      <w:pPr>
        <w:pStyle w:val="nzSubsection"/>
      </w:pPr>
      <w:r>
        <w:tab/>
      </w:r>
      <w:r>
        <w:tab/>
        <w:t>Section 4 is amended as follows:</w:t>
      </w:r>
    </w:p>
    <w:p>
      <w:pPr>
        <w:pStyle w:val="nzIndenta"/>
      </w:pPr>
      <w:r>
        <w:tab/>
        <w:t>(a)</w:t>
      </w:r>
      <w:r>
        <w:tab/>
        <w:t>in paragraph (c) by deleting “post</w:t>
      </w:r>
      <w:r>
        <w:noBreakHyphen/>
        <w:t xml:space="preserve">compulsory” and inserting instead — </w:t>
      </w:r>
    </w:p>
    <w:p>
      <w:pPr>
        <w:pStyle w:val="nzIndenta"/>
      </w:pPr>
      <w:r>
        <w:tab/>
      </w:r>
      <w:r>
        <w:tab/>
        <w:t>“    senior secondary    ”;</w:t>
      </w:r>
    </w:p>
    <w:p>
      <w:pPr>
        <w:pStyle w:val="nzIndenta"/>
      </w:pPr>
      <w:r>
        <w:tab/>
        <w:t>(b)</w:t>
      </w:r>
      <w:r>
        <w:tab/>
        <w:t>after paragraph (c) by deleting “and”;</w:t>
      </w:r>
    </w:p>
    <w:p>
      <w:pPr>
        <w:pStyle w:val="nzIndenta"/>
      </w:pPr>
      <w:r>
        <w:tab/>
        <w:t>(c)</w:t>
      </w:r>
      <w:r>
        <w:tab/>
        <w:t xml:space="preserve">by deleting the full stop at the end of paragraph (d) and inserting — </w:t>
      </w:r>
    </w:p>
    <w:p>
      <w:pPr>
        <w:pStyle w:val="nzIndenta"/>
      </w:pPr>
      <w:r>
        <w:tab/>
      </w:r>
      <w:r>
        <w:tab/>
        <w:t>“    ; and    ”;</w:t>
      </w:r>
    </w:p>
    <w:p>
      <w:pPr>
        <w:pStyle w:val="nzIndenta"/>
      </w:pPr>
      <w:r>
        <w:tab/>
        <w:t>(d)</w:t>
      </w:r>
      <w:r>
        <w:tab/>
        <w:t xml:space="preserve">by inserting after paragraph (d) the following paragraph — </w:t>
      </w:r>
    </w:p>
    <w:p>
      <w:pPr>
        <w:pStyle w:val="MiscOpen"/>
        <w:ind w:left="1340"/>
      </w:pPr>
      <w:r>
        <w:t xml:space="preserve">“    </w:t>
      </w:r>
    </w:p>
    <w:p>
      <w:pPr>
        <w:pStyle w:val="nz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MiscClose"/>
        <w:ind w:right="575"/>
      </w:pPr>
      <w:r>
        <w:t xml:space="preserve">    ”.</w:t>
      </w:r>
    </w:p>
    <w:p>
      <w:pPr>
        <w:pStyle w:val="nzHeading5"/>
      </w:pPr>
      <w:bookmarkStart w:id="255" w:name="_Toc110740440"/>
      <w:bookmarkStart w:id="256" w:name="_Toc119906545"/>
      <w:r>
        <w:rPr>
          <w:rStyle w:val="CharSectno"/>
        </w:rPr>
        <w:t>45</w:t>
      </w:r>
      <w:r>
        <w:t>.</w:t>
      </w:r>
      <w:r>
        <w:tab/>
        <w:t>Section 12 amended</w:t>
      </w:r>
      <w:bookmarkEnd w:id="255"/>
      <w:bookmarkEnd w:id="256"/>
    </w:p>
    <w:p>
      <w:pPr>
        <w:pStyle w:val="nzSubsection"/>
      </w:pPr>
      <w:r>
        <w:tab/>
        <w:t>(1)</w:t>
      </w:r>
      <w:r>
        <w:tab/>
        <w:t xml:space="preserve">After the heading to section 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MiscClose"/>
        <w:ind w:right="575"/>
      </w:pPr>
      <w:r>
        <w:t xml:space="preserve">    ”.</w:t>
      </w:r>
    </w:p>
    <w:p>
      <w:pPr>
        <w:pStyle w:val="nzSubsection"/>
      </w:pPr>
      <w:r>
        <w:tab/>
        <w:t>(2)</w:t>
      </w:r>
      <w:r>
        <w:tab/>
        <w:t>Section 12 is amended as follows:</w:t>
      </w:r>
    </w:p>
    <w:p>
      <w:pPr>
        <w:pStyle w:val="nzIndenta"/>
      </w:pPr>
      <w:r>
        <w:tab/>
        <w:t>(a)</w:t>
      </w:r>
      <w:r>
        <w:tab/>
        <w:t>by inserting before “It is a function” the subsection designation “(2)”;</w:t>
      </w:r>
    </w:p>
    <w:p>
      <w:pPr>
        <w:pStyle w:val="nzIndenta"/>
      </w:pPr>
      <w:r>
        <w:tab/>
        <w:t>(b)</w:t>
      </w:r>
      <w:r>
        <w:tab/>
        <w:t>in paragraphs (a), (c) and (d)(i) by deleting “post</w:t>
      </w:r>
      <w:r>
        <w:noBreakHyphen/>
        <w:t xml:space="preserve">compulsory” in each place where it occurs and inserting instead — </w:t>
      </w:r>
    </w:p>
    <w:p>
      <w:pPr>
        <w:pStyle w:val="nzIndenta"/>
      </w:pPr>
      <w:r>
        <w:tab/>
      </w:r>
      <w:r>
        <w:tab/>
        <w:t>“    senior secondary    ”.</w:t>
      </w:r>
    </w:p>
    <w:p>
      <w:pPr>
        <w:pStyle w:val="nzHeading5"/>
      </w:pPr>
      <w:bookmarkStart w:id="257" w:name="_Toc105837403"/>
      <w:bookmarkStart w:id="258" w:name="_Toc110740441"/>
      <w:bookmarkStart w:id="259" w:name="_Toc119906546"/>
      <w:r>
        <w:rPr>
          <w:rStyle w:val="CharSectno"/>
        </w:rPr>
        <w:t>46</w:t>
      </w:r>
      <w:r>
        <w:t>.</w:t>
      </w:r>
      <w:r>
        <w:tab/>
        <w:t>Section 19 amended</w:t>
      </w:r>
      <w:bookmarkEnd w:id="257"/>
      <w:bookmarkEnd w:id="258"/>
      <w:bookmarkEnd w:id="259"/>
    </w:p>
    <w:p>
      <w:pPr>
        <w:pStyle w:val="nzSubsection"/>
      </w:pPr>
      <w:r>
        <w:tab/>
      </w:r>
      <w:r>
        <w:tab/>
        <w:t xml:space="preserve">Section 19(4) is amended in the definition of “information” by deleting “Council.” and inserting instead — </w:t>
      </w:r>
    </w:p>
    <w:p>
      <w:pPr>
        <w:pStyle w:val="MiscOpen"/>
        <w:ind w:left="580"/>
      </w:pPr>
      <w:r>
        <w:t xml:space="preserve">“    </w:t>
      </w:r>
    </w:p>
    <w:p>
      <w:pPr>
        <w:pStyle w:val="nzDefstart"/>
      </w:pPr>
      <w:r>
        <w:t>Council, but does not include the information to which section 19L or 19M applies.</w:t>
      </w:r>
    </w:p>
    <w:p>
      <w:pPr>
        <w:pStyle w:val="MiscClose"/>
        <w:ind w:right="575"/>
      </w:pPr>
      <w:r>
        <w:t xml:space="preserve">    ”.</w:t>
      </w:r>
    </w:p>
    <w:p>
      <w:pPr>
        <w:pStyle w:val="nzHeading5"/>
      </w:pPr>
      <w:bookmarkStart w:id="260" w:name="_Toc105837404"/>
      <w:bookmarkStart w:id="261" w:name="_Toc110740442"/>
      <w:bookmarkStart w:id="262" w:name="_Toc119906547"/>
      <w:r>
        <w:rPr>
          <w:rStyle w:val="CharSectno"/>
        </w:rPr>
        <w:t>47</w:t>
      </w:r>
      <w:r>
        <w:t>.</w:t>
      </w:r>
      <w:r>
        <w:tab/>
        <w:t>Part 3A inserted</w:t>
      </w:r>
      <w:bookmarkEnd w:id="260"/>
      <w:bookmarkEnd w:id="261"/>
      <w:bookmarkEnd w:id="262"/>
    </w:p>
    <w:p>
      <w:pPr>
        <w:pStyle w:val="nzSubsection"/>
      </w:pPr>
      <w:r>
        <w:tab/>
      </w:r>
      <w:r>
        <w:tab/>
        <w:t xml:space="preserve">After section 19 the following Part is inserted — </w:t>
      </w:r>
    </w:p>
    <w:p>
      <w:pPr>
        <w:pStyle w:val="MiscOpen"/>
      </w:pPr>
      <w:r>
        <w:t xml:space="preserve">“    </w:t>
      </w:r>
    </w:p>
    <w:p>
      <w:pPr>
        <w:pStyle w:val="nzHeading2"/>
      </w:pPr>
      <w:bookmarkStart w:id="263" w:name="_Toc107644463"/>
      <w:bookmarkStart w:id="264" w:name="_Toc111956692"/>
      <w:bookmarkStart w:id="265" w:name="_Toc111956782"/>
      <w:bookmarkStart w:id="266" w:name="_Toc111958778"/>
      <w:bookmarkStart w:id="267" w:name="_Toc119906458"/>
      <w:bookmarkStart w:id="268" w:name="_Toc119906548"/>
      <w:r>
        <w:t>Part 3A</w:t>
      </w:r>
      <w:r>
        <w:rPr>
          <w:b w:val="0"/>
        </w:rPr>
        <w:t> </w:t>
      </w:r>
      <w:r>
        <w:t>—</w:t>
      </w:r>
      <w:r>
        <w:rPr>
          <w:b w:val="0"/>
        </w:rPr>
        <w:t> </w:t>
      </w:r>
      <w:r>
        <w:t>Student records</w:t>
      </w:r>
      <w:bookmarkEnd w:id="263"/>
      <w:bookmarkEnd w:id="264"/>
      <w:bookmarkEnd w:id="265"/>
      <w:bookmarkEnd w:id="266"/>
      <w:bookmarkEnd w:id="267"/>
      <w:bookmarkEnd w:id="268"/>
    </w:p>
    <w:p>
      <w:pPr>
        <w:pStyle w:val="nzHeading5"/>
      </w:pPr>
      <w:bookmarkStart w:id="269" w:name="_Toc119906549"/>
      <w:r>
        <w:t>19A.</w:t>
      </w:r>
      <w:r>
        <w:tab/>
        <w:t>Terms used in this Part</w:t>
      </w:r>
      <w:bookmarkEnd w:id="269"/>
    </w:p>
    <w:p>
      <w:pPr>
        <w:pStyle w:val="nzSubsection"/>
      </w:pPr>
      <w:r>
        <w:tab/>
        <w:t>(1)</w:t>
      </w:r>
      <w:r>
        <w:tab/>
        <w:t xml:space="preserve">In this Part, unless the contrary intention appears — </w:t>
      </w:r>
    </w:p>
    <w:p>
      <w:pPr>
        <w:pStyle w:val="nzDefstart"/>
      </w:pPr>
      <w:r>
        <w:rPr>
          <w:b/>
        </w:rPr>
        <w:tab/>
        <w:t>“aggregated form”</w:t>
      </w:r>
      <w:r>
        <w:rPr>
          <w:bCs/>
        </w:rPr>
        <w:t>, in relation to information,</w:t>
      </w:r>
      <w:r>
        <w:t xml:space="preserve"> means in a form that could not reasonably be expected to result in the identification of any of the persons to whom the information relates;</w:t>
      </w:r>
    </w:p>
    <w:p>
      <w:pPr>
        <w:pStyle w:val="nzDefstart"/>
      </w:pPr>
      <w:r>
        <w:rPr>
          <w:b/>
        </w:rPr>
        <w:tab/>
        <w:t>“educational programme</w:t>
      </w:r>
      <w:r>
        <w:t>”, “</w:t>
      </w:r>
      <w:r>
        <w:rPr>
          <w:b/>
        </w:rPr>
        <w:t>principal</w:t>
      </w:r>
      <w:r>
        <w:t>” and “</w:t>
      </w:r>
      <w:r>
        <w:rPr>
          <w:b/>
        </w:rPr>
        <w:t>school”</w:t>
      </w:r>
      <w:r>
        <w:t xml:space="preserve"> have the meanings given to those terms in section 4 of the School Education Act;</w:t>
      </w:r>
    </w:p>
    <w:p>
      <w:pPr>
        <w:pStyle w:val="nzDefstart"/>
      </w:pPr>
      <w:r>
        <w:rPr>
          <w:b/>
        </w:rPr>
        <w:tab/>
        <w:t>“exempt child”</w:t>
      </w:r>
      <w:r>
        <w:t xml:space="preserve"> means a child </w:t>
      </w:r>
      <w:r>
        <w:rPr>
          <w:bCs/>
        </w:rPr>
        <w:t xml:space="preserve">who is exempted under section 11 </w:t>
      </w:r>
      <w:r>
        <w:t>of the School Education Act;</w:t>
      </w:r>
    </w:p>
    <w:p>
      <w:pPr>
        <w:pStyle w:val="nzDefstart"/>
      </w:pPr>
      <w:r>
        <w:rPr>
          <w:b/>
        </w:rPr>
        <w:tab/>
        <w:t>“Minister”</w:t>
      </w:r>
      <w:r>
        <w:t xml:space="preserve"> means the Minister responsible for the administration of the School Education Act;</w:t>
      </w:r>
    </w:p>
    <w:p>
      <w:pPr>
        <w:pStyle w:val="nzDefstart"/>
      </w:pPr>
      <w:r>
        <w:rPr>
          <w:b/>
        </w:rPr>
        <w:tab/>
        <w:t>“provider”</w:t>
      </w:r>
      <w:r>
        <w:t xml:space="preserve"> has the meaning given to that term in subsection (2);</w:t>
      </w:r>
    </w:p>
    <w:p>
      <w:pPr>
        <w:pStyle w:val="nzDefstart"/>
      </w:pPr>
      <w:r>
        <w:rPr>
          <w:b/>
        </w:rPr>
        <w:tab/>
      </w:r>
      <w:r>
        <w:t>“</w:t>
      </w:r>
      <w:r>
        <w:rPr>
          <w:b/>
        </w:rPr>
        <w:t>School Education Act”</w:t>
      </w:r>
      <w:r>
        <w:t xml:space="preserve"> means the </w:t>
      </w:r>
      <w:r>
        <w:rPr>
          <w:bCs/>
          <w:i/>
          <w:iCs/>
        </w:rPr>
        <w:t>School Education Act 1999</w:t>
      </w:r>
      <w:r>
        <w:rPr>
          <w:bCs/>
        </w:rPr>
        <w:t>;</w:t>
      </w:r>
    </w:p>
    <w:p>
      <w:pPr>
        <w:pStyle w:val="nzDefstart"/>
      </w:pPr>
      <w:r>
        <w:rPr>
          <w:b/>
        </w:rPr>
        <w:tab/>
      </w:r>
      <w:r>
        <w:t>“</w:t>
      </w:r>
      <w:r>
        <w:rPr>
          <w:b/>
        </w:rPr>
        <w:t>student</w:t>
      </w:r>
      <w:r>
        <w:t xml:space="preserve">” includes — </w:t>
      </w:r>
    </w:p>
    <w:p>
      <w:pPr>
        <w:pStyle w:val="nz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nzDefpara"/>
      </w:pPr>
      <w:r>
        <w:tab/>
        <w:t>(b)</w:t>
      </w:r>
      <w:r>
        <w:tab/>
        <w:t>an exempt child;</w:t>
      </w:r>
    </w:p>
    <w:p>
      <w:pPr>
        <w:pStyle w:val="nzDefstart"/>
      </w:pPr>
      <w:r>
        <w:tab/>
      </w:r>
      <w:r>
        <w:rPr>
          <w:b/>
          <w:bCs/>
        </w:rPr>
        <w:t>“</w:t>
      </w:r>
      <w:r>
        <w:rPr>
          <w:b/>
        </w:rPr>
        <w:t>student record”</w:t>
      </w:r>
      <w:r>
        <w:t xml:space="preserve">, in relation to a student, means a record of — </w:t>
      </w:r>
    </w:p>
    <w:p>
      <w:pPr>
        <w:pStyle w:val="nzDefpara"/>
      </w:pPr>
      <w:r>
        <w:tab/>
        <w:t>(a)</w:t>
      </w:r>
      <w:r>
        <w:tab/>
        <w:t xml:space="preserve">any educational programme in which the student is or has been enrolled, or that is being or has been provided to the student by a home educator; </w:t>
      </w:r>
    </w:p>
    <w:p>
      <w:pPr>
        <w:pStyle w:val="nzDefpara"/>
      </w:pPr>
      <w:r>
        <w:tab/>
        <w:t>(b)</w:t>
      </w:r>
      <w:r>
        <w:tab/>
        <w:t xml:space="preserve">any option under section 11B of the School Education Act notified under this Part to the Council by a provider in respect of the student;  </w:t>
      </w:r>
    </w:p>
    <w:p>
      <w:pPr>
        <w:pStyle w:val="nzDefpara"/>
      </w:pPr>
      <w:r>
        <w:tab/>
        <w:t>(c)</w:t>
      </w:r>
      <w:r>
        <w:tab/>
        <w:t xml:space="preserve">any achievement or other result on the part of the student in relation to — </w:t>
      </w:r>
    </w:p>
    <w:p>
      <w:pPr>
        <w:pStyle w:val="nzDefsubpara"/>
      </w:pPr>
      <w:r>
        <w:tab/>
        <w:t>(i)</w:t>
      </w:r>
      <w:r>
        <w:tab/>
        <w:t>an educational programme referred to in paragraph (a); or</w:t>
      </w:r>
    </w:p>
    <w:p>
      <w:pPr>
        <w:pStyle w:val="nzDefsubpara"/>
      </w:pPr>
      <w:r>
        <w:tab/>
        <w:t>(ii)</w:t>
      </w:r>
      <w:r>
        <w:tab/>
        <w:t>a course, programme, activity or employment that comes within paragraph (b);</w:t>
      </w:r>
    </w:p>
    <w:p>
      <w:pPr>
        <w:pStyle w:val="nzDefpara"/>
      </w:pPr>
      <w:r>
        <w:tab/>
      </w:r>
      <w:r>
        <w:tab/>
        <w:t>and</w:t>
      </w:r>
    </w:p>
    <w:p>
      <w:pPr>
        <w:pStyle w:val="nzDefpara"/>
      </w:pPr>
      <w:r>
        <w:tab/>
        <w:t>(d)</w:t>
      </w:r>
      <w:r>
        <w:tab/>
        <w:t>any information in respect of the student required to be given to the Council under this Part.</w:t>
      </w:r>
    </w:p>
    <w:p>
      <w:pPr>
        <w:pStyle w:val="nzSubsection"/>
      </w:pPr>
      <w:r>
        <w:tab/>
        <w:t>(2)</w:t>
      </w:r>
      <w:r>
        <w:tab/>
        <w:t>In this Part —</w:t>
      </w:r>
    </w:p>
    <w:p>
      <w:pPr>
        <w:pStyle w:val="nzDefstart"/>
      </w:pPr>
      <w:r>
        <w:rPr>
          <w:b/>
        </w:rPr>
        <w:tab/>
      </w:r>
      <w:r>
        <w:t>“</w:t>
      </w:r>
      <w:r>
        <w:rPr>
          <w:b/>
        </w:rPr>
        <w:t>provider”</w:t>
      </w:r>
      <w:r>
        <w:t>, in relation to a person who comes within a description in the first column of the Table to this definition, means a person or body specified in the second column of the Table opposite that description.</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nzTable"/>
            </w:pPr>
            <w:r>
              <w:t>1.</w:t>
            </w:r>
          </w:p>
        </w:tc>
        <w:tc>
          <w:tcPr>
            <w:tcW w:w="2772" w:type="dxa"/>
          </w:tcPr>
          <w:p>
            <w:pPr>
              <w:pStyle w:val="nzTable"/>
            </w:pPr>
            <w:r>
              <w:t>A student enrolled in an educational programme at a school.</w:t>
            </w:r>
          </w:p>
        </w:tc>
        <w:tc>
          <w:tcPr>
            <w:tcW w:w="2438" w:type="dxa"/>
          </w:tcPr>
          <w:p>
            <w:pPr>
              <w:pStyle w:val="nzTable"/>
            </w:pPr>
            <w:r>
              <w:t>The principal of the school.</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2.</w:t>
            </w:r>
          </w:p>
        </w:tc>
        <w:tc>
          <w:tcPr>
            <w:tcW w:w="2772" w:type="dxa"/>
          </w:tcPr>
          <w:p>
            <w:pPr>
              <w:pStyle w:val="nzTable"/>
            </w:pPr>
            <w:r>
              <w:t>A student undertaking a course of study at a university.</w:t>
            </w:r>
          </w:p>
        </w:tc>
        <w:tc>
          <w:tcPr>
            <w:tcW w:w="2438" w:type="dxa"/>
          </w:tcPr>
          <w:p>
            <w:pPr>
              <w:pStyle w:val="nzTable"/>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3.</w:t>
            </w:r>
          </w:p>
        </w:tc>
        <w:tc>
          <w:tcPr>
            <w:tcW w:w="2772" w:type="dxa"/>
          </w:tcPr>
          <w:p>
            <w:pPr>
              <w:pStyle w:val="nzTable"/>
            </w:pPr>
            <w:r>
              <w:t xml:space="preserve">A student undertaking a higher education course registered under section 23 of the </w:t>
            </w:r>
            <w:r>
              <w:rPr>
                <w:i/>
                <w:iCs/>
              </w:rPr>
              <w:t>Higher Education Act 2004</w:t>
            </w:r>
            <w:r>
              <w:t>.</w:t>
            </w:r>
          </w:p>
        </w:tc>
        <w:tc>
          <w:tcPr>
            <w:tcW w:w="2438" w:type="dxa"/>
          </w:tcPr>
          <w:p>
            <w:pPr>
              <w:pStyle w:val="nzTable"/>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4.</w:t>
            </w:r>
          </w:p>
        </w:tc>
        <w:tc>
          <w:tcPr>
            <w:tcW w:w="2772" w:type="dxa"/>
          </w:tcPr>
          <w:p>
            <w:pPr>
              <w:pStyle w:val="nzTable"/>
            </w:pPr>
            <w:r>
              <w:t xml:space="preserve">A student undertaking a course or skills training programme accredited under the </w:t>
            </w:r>
            <w:r>
              <w:rPr>
                <w:i/>
                <w:iCs/>
              </w:rPr>
              <w:t>Vocational Education and Training Act 1996</w:t>
            </w:r>
            <w:r>
              <w:t>.</w:t>
            </w:r>
          </w:p>
        </w:tc>
        <w:tc>
          <w:tcPr>
            <w:tcW w:w="2438" w:type="dxa"/>
          </w:tcPr>
          <w:p>
            <w:pPr>
              <w:pStyle w:val="nzTable"/>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5.</w:t>
            </w:r>
          </w:p>
        </w:tc>
        <w:tc>
          <w:tcPr>
            <w:tcW w:w="2772" w:type="dxa"/>
          </w:tcPr>
          <w:p>
            <w:pPr>
              <w:pStyle w:val="nzTable"/>
            </w:pPr>
            <w:r>
              <w:t>An apprentice or trainee (as mentioned in section 11B(1)(c) of the School Education Act) or other employee.</w:t>
            </w:r>
          </w:p>
        </w:tc>
        <w:tc>
          <w:tcPr>
            <w:tcW w:w="2438" w:type="dxa"/>
          </w:tcPr>
          <w:p>
            <w:pPr>
              <w:pStyle w:val="nzTable"/>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nzTable"/>
            </w:pPr>
          </w:p>
        </w:tc>
      </w:tr>
      <w:tr>
        <w:trPr>
          <w:cantSplit/>
        </w:trPr>
        <w:tc>
          <w:tcPr>
            <w:tcW w:w="567" w:type="dxa"/>
          </w:tcPr>
          <w:p>
            <w:pPr>
              <w:pStyle w:val="nzTable"/>
            </w:pPr>
            <w:r>
              <w:t>6.</w:t>
            </w:r>
          </w:p>
        </w:tc>
        <w:tc>
          <w:tcPr>
            <w:tcW w:w="2772" w:type="dxa"/>
          </w:tcPr>
          <w:p>
            <w:pPr>
              <w:pStyle w:val="nzTable"/>
            </w:pPr>
            <w:r>
              <w:t>A student undertaking a course, programme or activity prescribed by order made under section 11B(2) of the School Education Act.</w:t>
            </w:r>
          </w:p>
        </w:tc>
        <w:tc>
          <w:tcPr>
            <w:tcW w:w="2438" w:type="dxa"/>
          </w:tcPr>
          <w:p>
            <w:pPr>
              <w:pStyle w:val="nzTable"/>
            </w:pPr>
            <w:r>
              <w:t>The provider specified in the order in respect of the course, programme or activity.</w:t>
            </w:r>
          </w:p>
        </w:tc>
      </w:tr>
    </w:tbl>
    <w:p>
      <w:pPr>
        <w:pStyle w:val="nzHeading5"/>
      </w:pPr>
      <w:bookmarkStart w:id="270" w:name="_Toc119906550"/>
      <w:r>
        <w:t>19B.</w:t>
      </w:r>
      <w:r>
        <w:tab/>
        <w:t>Application of this Part to overseas students</w:t>
      </w:r>
      <w:bookmarkEnd w:id="270"/>
    </w:p>
    <w:p>
      <w:pPr>
        <w:pStyle w:val="nzSubsection"/>
      </w:pPr>
      <w:r>
        <w:tab/>
        <w:t>(1)</w:t>
      </w:r>
      <w:r>
        <w:tab/>
        <w:t xml:space="preserve">In this section — </w:t>
      </w:r>
    </w:p>
    <w:p>
      <w:pPr>
        <w:pStyle w:val="nzDefstart"/>
      </w:pPr>
      <w:r>
        <w:rPr>
          <w:b/>
        </w:rPr>
        <w:tab/>
      </w:r>
      <w:r>
        <w:t>“</w:t>
      </w:r>
      <w:r>
        <w:rPr>
          <w:b/>
        </w:rPr>
        <w:t>overseas student</w:t>
      </w:r>
      <w:r>
        <w:t xml:space="preserve">” means a person who holds a student visa issued under the </w:t>
      </w:r>
      <w:r>
        <w:rPr>
          <w:i/>
          <w:iCs/>
        </w:rPr>
        <w:t>Migration Act 1958</w:t>
      </w:r>
      <w:r>
        <w:t xml:space="preserve"> of the Commonwealth.</w:t>
      </w:r>
    </w:p>
    <w:p>
      <w:pPr>
        <w:pStyle w:val="nzSubsection"/>
      </w:pPr>
      <w:r>
        <w:tab/>
        <w:t>(2)</w:t>
      </w:r>
      <w:r>
        <w:tab/>
        <w:t>Sections 19C and 19D do not apply to an overseas student unless the student consents to a record being opened for the student.</w:t>
      </w:r>
    </w:p>
    <w:p>
      <w:pPr>
        <w:pStyle w:val="nzHeading5"/>
      </w:pPr>
      <w:bookmarkStart w:id="271" w:name="_Toc119906551"/>
      <w:r>
        <w:t>19C.</w:t>
      </w:r>
      <w:r>
        <w:tab/>
        <w:t>When student record to be opened</w:t>
      </w:r>
      <w:bookmarkEnd w:id="271"/>
    </w:p>
    <w:p>
      <w:pPr>
        <w:pStyle w:val="nzSubsection"/>
      </w:pPr>
      <w:r>
        <w:tab/>
      </w:r>
      <w:r>
        <w:tab/>
        <w:t>A student record must be opened for every student who is in the 8</w:t>
      </w:r>
      <w:r>
        <w:rPr>
          <w:vertAlign w:val="superscript"/>
        </w:rPr>
        <w:t>th</w:t>
      </w:r>
      <w:r>
        <w:t xml:space="preserve"> year of the compulsory education period — </w:t>
      </w:r>
    </w:p>
    <w:p>
      <w:pPr>
        <w:pStyle w:val="nzIndenta"/>
      </w:pPr>
      <w:r>
        <w:tab/>
        <w:t>(a)</w:t>
      </w:r>
      <w:r>
        <w:tab/>
        <w:t>by the principal of the school at which the student is enrolled at the beginning of the school year; or</w:t>
      </w:r>
    </w:p>
    <w:p>
      <w:pPr>
        <w:pStyle w:val="nzIndenta"/>
      </w:pPr>
      <w:r>
        <w:tab/>
        <w:t>(b)</w:t>
      </w:r>
      <w:r>
        <w:tab/>
        <w:t xml:space="preserve">in the case of a student who at that time — </w:t>
      </w:r>
    </w:p>
    <w:p>
      <w:pPr>
        <w:pStyle w:val="nzIndenti"/>
      </w:pPr>
      <w:r>
        <w:tab/>
        <w:t>(i)</w:t>
      </w:r>
      <w:r>
        <w:tab/>
        <w:t xml:space="preserve">is receiving home education; or </w:t>
      </w:r>
    </w:p>
    <w:p>
      <w:pPr>
        <w:pStyle w:val="nzIndenti"/>
      </w:pPr>
      <w:r>
        <w:tab/>
        <w:t>(ii)</w:t>
      </w:r>
      <w:r>
        <w:tab/>
        <w:t>is an exempt child,</w:t>
      </w:r>
    </w:p>
    <w:p>
      <w:pPr>
        <w:pStyle w:val="nzIndenta"/>
      </w:pPr>
      <w:r>
        <w:tab/>
      </w:r>
      <w:r>
        <w:tab/>
        <w:t>by the chief executive officer referred to in section 229 of the School Education Act.</w:t>
      </w:r>
    </w:p>
    <w:p>
      <w:pPr>
        <w:pStyle w:val="nzHeading5"/>
      </w:pPr>
      <w:bookmarkStart w:id="272" w:name="_Toc119906552"/>
      <w:r>
        <w:t>19D.</w:t>
      </w:r>
      <w:r>
        <w:tab/>
        <w:t>Provider may be directed to open student record</w:t>
      </w:r>
      <w:bookmarkEnd w:id="272"/>
    </w:p>
    <w:p>
      <w:pPr>
        <w:pStyle w:val="nzSubsection"/>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nzPenstart"/>
      </w:pPr>
      <w:r>
        <w:tab/>
        <w:t>Penalty: $1 500.</w:t>
      </w:r>
    </w:p>
    <w:p>
      <w:pPr>
        <w:pStyle w:val="nzHeading5"/>
      </w:pPr>
      <w:bookmarkStart w:id="273" w:name="_Toc119906553"/>
      <w:r>
        <w:t>19E.</w:t>
      </w:r>
      <w:r>
        <w:tab/>
        <w:t>How student record is opened</w:t>
      </w:r>
      <w:bookmarkEnd w:id="273"/>
    </w:p>
    <w:p>
      <w:pPr>
        <w:pStyle w:val="nzSubsection"/>
      </w:pPr>
      <w:r>
        <w:tab/>
      </w:r>
      <w:r>
        <w:tab/>
        <w:t xml:space="preserve">A student record is opened by the giving of the following information to the Council, in accordance with section 19H, in respect of a student — </w:t>
      </w:r>
    </w:p>
    <w:p>
      <w:pPr>
        <w:pStyle w:val="nzIndenta"/>
      </w:pPr>
      <w:r>
        <w:tab/>
        <w:t>(a)</w:t>
      </w:r>
      <w:r>
        <w:tab/>
        <w:t xml:space="preserve">the student’s — </w:t>
      </w:r>
    </w:p>
    <w:p>
      <w:pPr>
        <w:pStyle w:val="nzIndenti"/>
      </w:pPr>
      <w:r>
        <w:tab/>
        <w:t>(i)</w:t>
      </w:r>
      <w:r>
        <w:tab/>
        <w:t>name, including any previous name;</w:t>
      </w:r>
    </w:p>
    <w:p>
      <w:pPr>
        <w:pStyle w:val="nzIndenti"/>
      </w:pPr>
      <w:r>
        <w:tab/>
        <w:t>(ii)</w:t>
      </w:r>
      <w:r>
        <w:tab/>
        <w:t>address; and</w:t>
      </w:r>
    </w:p>
    <w:p>
      <w:pPr>
        <w:pStyle w:val="nzIndenti"/>
      </w:pPr>
      <w:r>
        <w:tab/>
        <w:t>(iii)</w:t>
      </w:r>
      <w:r>
        <w:tab/>
        <w:t>date of birth;</w:t>
      </w:r>
    </w:p>
    <w:p>
      <w:pPr>
        <w:pStyle w:val="nzIndenta"/>
      </w:pPr>
      <w:r>
        <w:tab/>
        <w:t>(b)</w:t>
      </w:r>
      <w:r>
        <w:tab/>
        <w:t xml:space="preserve">particulars of — </w:t>
      </w:r>
    </w:p>
    <w:p>
      <w:pPr>
        <w:pStyle w:val="nzIndenti"/>
      </w:pPr>
      <w:r>
        <w:tab/>
        <w:t>(i)</w:t>
      </w:r>
      <w:r>
        <w:tab/>
        <w:t>any educational programme in which the student is enrolled or that is being provided to the student; or</w:t>
      </w:r>
    </w:p>
    <w:p>
      <w:pPr>
        <w:pStyle w:val="nzIndenti"/>
      </w:pPr>
      <w:r>
        <w:tab/>
        <w:t>(ii)</w:t>
      </w:r>
      <w:r>
        <w:tab/>
        <w:t>any option under section 11B of the School Education Act for which participation arrangements have been made in respect of the student,</w:t>
      </w:r>
    </w:p>
    <w:p>
      <w:pPr>
        <w:pStyle w:val="nzIndenta"/>
      </w:pPr>
      <w:r>
        <w:tab/>
      </w:r>
      <w:r>
        <w:tab/>
        <w:t xml:space="preserve">at the time when the record is opened, or in the case of an exempt child, particulars of the exemption; and </w:t>
      </w:r>
    </w:p>
    <w:p>
      <w:pPr>
        <w:pStyle w:val="nzIndenta"/>
      </w:pPr>
      <w:r>
        <w:tab/>
        <w:t>(c)</w:t>
      </w:r>
      <w:r>
        <w:tab/>
        <w:t>any other prescribed information.</w:t>
      </w:r>
    </w:p>
    <w:p>
      <w:pPr>
        <w:pStyle w:val="nzHeading5"/>
      </w:pPr>
      <w:bookmarkStart w:id="274" w:name="_Toc119906554"/>
      <w:r>
        <w:t>19F.</w:t>
      </w:r>
      <w:r>
        <w:tab/>
        <w:t>Notifications relating to enrolment and employment</w:t>
      </w:r>
      <w:bookmarkEnd w:id="274"/>
    </w:p>
    <w:p>
      <w:pPr>
        <w:pStyle w:val="nzSubsection"/>
      </w:pPr>
      <w:r>
        <w:tab/>
        <w:t>(1)</w:t>
      </w:r>
      <w:r>
        <w:tab/>
        <w:t xml:space="preserve">In this section — </w:t>
      </w:r>
    </w:p>
    <w:p>
      <w:pPr>
        <w:pStyle w:val="nzDefstart"/>
      </w:pPr>
      <w:r>
        <w:rPr>
          <w:b/>
        </w:rPr>
        <w:tab/>
      </w:r>
      <w:r>
        <w:t>“</w:t>
      </w:r>
      <w:r>
        <w:rPr>
          <w:b/>
        </w:rPr>
        <w:t>apprentice</w:t>
      </w:r>
      <w:r>
        <w:t xml:space="preserve">” has the meaning given by the </w:t>
      </w:r>
      <w:r>
        <w:rPr>
          <w:i/>
          <w:iCs/>
        </w:rPr>
        <w:t>Industrial Training Act 1975</w:t>
      </w:r>
      <w:r>
        <w:t>;</w:t>
      </w:r>
    </w:p>
    <w:p>
      <w:pPr>
        <w:pStyle w:val="nzDefstart"/>
      </w:pPr>
      <w:r>
        <w:rPr>
          <w:b/>
        </w:rPr>
        <w:tab/>
      </w:r>
      <w:r>
        <w:t>“</w:t>
      </w:r>
      <w:r>
        <w:rPr>
          <w:b/>
        </w:rPr>
        <w:t>employed”</w:t>
      </w:r>
      <w:r>
        <w:t xml:space="preserve"> includes employed as an apprentice or trainee;</w:t>
      </w:r>
    </w:p>
    <w:p>
      <w:pPr>
        <w:pStyle w:val="nzDefstart"/>
      </w:pPr>
      <w:r>
        <w:rPr>
          <w:b/>
        </w:rPr>
        <w:tab/>
      </w:r>
      <w:r>
        <w:t>“</w:t>
      </w:r>
      <w:r>
        <w:rPr>
          <w:b/>
        </w:rPr>
        <w:t>trainee</w:t>
      </w:r>
      <w:r>
        <w:t xml:space="preserve">” means a trainee under a traineeship scheme as defined in the </w:t>
      </w:r>
      <w:r>
        <w:rPr>
          <w:i/>
          <w:iCs/>
        </w:rPr>
        <w:t>Industrial Training Act 1975</w:t>
      </w:r>
      <w:r>
        <w:t>.</w:t>
      </w:r>
    </w:p>
    <w:p>
      <w:pPr>
        <w:pStyle w:val="nzSubsection"/>
      </w:pPr>
      <w:r>
        <w:tab/>
        <w:t>(2)</w:t>
      </w:r>
      <w:r>
        <w:tab/>
        <w:t xml:space="preserve">Where — </w:t>
      </w:r>
    </w:p>
    <w:p>
      <w:pPr>
        <w:pStyle w:val="nzIndenta"/>
      </w:pPr>
      <w:r>
        <w:tab/>
        <w:t>(a)</w:t>
      </w:r>
      <w:r>
        <w:tab/>
        <w:t>a student record has been opened by the principal of a school; and</w:t>
      </w:r>
    </w:p>
    <w:p>
      <w:pPr>
        <w:pStyle w:val="nzIndenta"/>
      </w:pPr>
      <w:r>
        <w:tab/>
        <w:t>(b)</w:t>
      </w:r>
      <w:r>
        <w:tab/>
        <w:t>the student concerned is enrolled with, or becomes employed by, another provider,</w:t>
      </w:r>
    </w:p>
    <w:p>
      <w:pPr>
        <w:pStyle w:val="nzSubsection"/>
      </w:pPr>
      <w:r>
        <w:tab/>
      </w:r>
      <w:r>
        <w:tab/>
        <w:t>the provider mentioned in paragraph (b) is to inform the Council, in accordance with section 19H, of the enrolment or employment.</w:t>
      </w:r>
    </w:p>
    <w:p>
      <w:pPr>
        <w:pStyle w:val="nz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nz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nzSubsection"/>
      </w:pPr>
      <w:r>
        <w:tab/>
        <w:t>(5)</w:t>
      </w:r>
      <w:r>
        <w:tab/>
        <w:t>Where a student ceases to be enrolled with, or employed by, a provider, the provider is to inform the Council, in accordance with section 19H, of the cessation and when it occurred.</w:t>
      </w:r>
    </w:p>
    <w:p>
      <w:pPr>
        <w:pStyle w:val="nzPenstart"/>
      </w:pPr>
      <w:r>
        <w:tab/>
        <w:t>Penalty applicable to subsections (2), (3), (4) and (5): $1 500.</w:t>
      </w:r>
    </w:p>
    <w:p>
      <w:pPr>
        <w:pStyle w:val="nzHeading5"/>
      </w:pPr>
      <w:bookmarkStart w:id="275" w:name="_Toc119906555"/>
      <w:r>
        <w:t>19G.</w:t>
      </w:r>
      <w:r>
        <w:tab/>
        <w:t>Notification of achievements</w:t>
      </w:r>
      <w:bookmarkEnd w:id="275"/>
    </w:p>
    <w:p>
      <w:pPr>
        <w:pStyle w:val="nzSubsection"/>
      </w:pPr>
      <w:r>
        <w:tab/>
      </w:r>
      <w:r>
        <w:tab/>
        <w:t>A provider must, in accordance with section 19H, give to the Council such information as may be prescribed in respect of results achieved, or not achieved, by a student for whom a student record has been opened.</w:t>
      </w:r>
    </w:p>
    <w:p>
      <w:pPr>
        <w:pStyle w:val="nzPenstart"/>
      </w:pPr>
      <w:r>
        <w:tab/>
        <w:t>Penalty: $1 500.</w:t>
      </w:r>
    </w:p>
    <w:p>
      <w:pPr>
        <w:pStyle w:val="nzHeading5"/>
      </w:pPr>
      <w:bookmarkStart w:id="276" w:name="_Toc119906556"/>
      <w:r>
        <w:t>19H.</w:t>
      </w:r>
      <w:r>
        <w:tab/>
        <w:t>Further provisions relating to information</w:t>
      </w:r>
      <w:bookmarkEnd w:id="276"/>
    </w:p>
    <w:p>
      <w:pPr>
        <w:pStyle w:val="nzSubsection"/>
      </w:pPr>
      <w:r>
        <w:tab/>
        <w:t>(1)</w:t>
      </w:r>
      <w:r>
        <w:tab/>
        <w:t xml:space="preserve">Information is to be given to the Council under this Part — </w:t>
      </w:r>
    </w:p>
    <w:p>
      <w:pPr>
        <w:pStyle w:val="nzIndenta"/>
      </w:pPr>
      <w:r>
        <w:tab/>
        <w:t>(a)</w:t>
      </w:r>
      <w:r>
        <w:tab/>
        <w:t>in a form of notice; or</w:t>
      </w:r>
    </w:p>
    <w:p>
      <w:pPr>
        <w:pStyle w:val="nzIndenta"/>
      </w:pPr>
      <w:r>
        <w:tab/>
        <w:t>(b)</w:t>
      </w:r>
      <w:r>
        <w:tab/>
        <w:t>by an electronic means of communication,</w:t>
      </w:r>
    </w:p>
    <w:p>
      <w:pPr>
        <w:pStyle w:val="nzSubsection"/>
      </w:pPr>
      <w:r>
        <w:tab/>
      </w:r>
      <w:r>
        <w:tab/>
        <w:t>as approved by the Council for the purposes of the provision under which the information is given.</w:t>
      </w:r>
    </w:p>
    <w:p>
      <w:pPr>
        <w:pStyle w:val="nzSubsection"/>
      </w:pPr>
      <w:r>
        <w:tab/>
        <w:t>(2)</w:t>
      </w:r>
      <w:r>
        <w:tab/>
        <w:t>Such information is also to be given in accordance with any provision made by the regulations, including provision as to the time or times at which the information is to be given.</w:t>
      </w:r>
    </w:p>
    <w:p>
      <w:pPr>
        <w:pStyle w:val="nzSubsection"/>
      </w:pPr>
      <w:r>
        <w:tab/>
        <w:t>(3)</w:t>
      </w:r>
      <w:r>
        <w:tab/>
        <w:t>Without limiting its powers under section 19I(3) or 19K, the Council is not required to satisfy itself as to the validity or correctness of information given to it under this Part.</w:t>
      </w:r>
    </w:p>
    <w:p>
      <w:pPr>
        <w:pStyle w:val="nzHeading5"/>
      </w:pPr>
      <w:bookmarkStart w:id="277" w:name="_Toc119906557"/>
      <w:r>
        <w:t>19I.</w:t>
      </w:r>
      <w:r>
        <w:tab/>
        <w:t>Database of student records and use of information by Council</w:t>
      </w:r>
      <w:bookmarkEnd w:id="277"/>
    </w:p>
    <w:p>
      <w:pPr>
        <w:pStyle w:val="nzSubsection"/>
      </w:pPr>
      <w:r>
        <w:tab/>
        <w:t>(1)</w:t>
      </w:r>
      <w:r>
        <w:tab/>
        <w:t xml:space="preserve">It is a function of the Council to maintain a database containing — </w:t>
      </w:r>
    </w:p>
    <w:p>
      <w:pPr>
        <w:pStyle w:val="nz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nzIndenta"/>
      </w:pPr>
      <w:r>
        <w:tab/>
        <w:t>(b)</w:t>
      </w:r>
      <w:r>
        <w:tab/>
        <w:t xml:space="preserve">the information relating to student records given to it under this Part; and </w:t>
      </w:r>
    </w:p>
    <w:p>
      <w:pPr>
        <w:pStyle w:val="nzIndenta"/>
      </w:pPr>
      <w:r>
        <w:tab/>
        <w:t>(c)</w:t>
      </w:r>
      <w:r>
        <w:tab/>
        <w:t>other information relating to student records received by the Council.</w:t>
      </w:r>
    </w:p>
    <w:p>
      <w:pPr>
        <w:pStyle w:val="nzSubsection"/>
      </w:pPr>
      <w:r>
        <w:tab/>
        <w:t>(2)</w:t>
      </w:r>
      <w:r>
        <w:tab/>
        <w:t>The database is to be maintained in such manner and form as the Council thinks fit.</w:t>
      </w:r>
    </w:p>
    <w:p>
      <w:pPr>
        <w:pStyle w:val="nzSubsection"/>
      </w:pPr>
      <w:r>
        <w:tab/>
        <w:t>(3)</w:t>
      </w:r>
      <w:r>
        <w:tab/>
        <w:t>The Council may at any time change information in the database to correct any error or omission.</w:t>
      </w:r>
    </w:p>
    <w:p>
      <w:pPr>
        <w:pStyle w:val="nzSubsection"/>
      </w:pPr>
      <w:r>
        <w:tab/>
        <w:t>(4)</w:t>
      </w:r>
      <w:r>
        <w:tab/>
        <w:t>The Council may use the database for the purpose of keeping the records of assessment and the register of courses referred to in section 14(1)(a).</w:t>
      </w:r>
    </w:p>
    <w:p>
      <w:pPr>
        <w:pStyle w:val="nzSubsection"/>
      </w:pPr>
      <w:r>
        <w:tab/>
        <w:t>(5)</w:t>
      </w:r>
      <w:r>
        <w:tab/>
        <w:t>The Council may use information in the database for the purpose of performing the functions mentioned in section 14(1)(c), (2) and (3).</w:t>
      </w:r>
    </w:p>
    <w:p>
      <w:pPr>
        <w:pStyle w:val="nzHeading5"/>
      </w:pPr>
      <w:bookmarkStart w:id="278" w:name="_Toc119906558"/>
      <w:r>
        <w:t>19J.</w:t>
      </w:r>
      <w:r>
        <w:tab/>
        <w:t>Provision of information to student concerned</w:t>
      </w:r>
      <w:bookmarkEnd w:id="278"/>
    </w:p>
    <w:p>
      <w:pPr>
        <w:pStyle w:val="nzSubsection"/>
      </w:pPr>
      <w:r>
        <w:tab/>
        <w:t>(1)</w:t>
      </w:r>
      <w:r>
        <w:tab/>
        <w:t>The Council is to provide to a person who makes a request under subsection (2) and pays the prescribed fee, if any, a copy of the student record kept by the Council in respect of a student.</w:t>
      </w:r>
    </w:p>
    <w:p>
      <w:pPr>
        <w:pStyle w:val="nzSubsection"/>
        <w:rPr>
          <w:b/>
          <w:i/>
        </w:rPr>
      </w:pPr>
      <w:r>
        <w:tab/>
        <w:t>(2)</w:t>
      </w:r>
      <w:r>
        <w:tab/>
        <w:t>A request may be made for a copy of a student record only by the student concerned or a person who is authorised in writing by the student to obtain such a copy.</w:t>
      </w:r>
    </w:p>
    <w:p>
      <w:pPr>
        <w:pStyle w:val="nzHeading5"/>
      </w:pPr>
      <w:bookmarkStart w:id="279" w:name="_Toc119906559"/>
      <w:r>
        <w:t>19K.</w:t>
      </w:r>
      <w:r>
        <w:tab/>
        <w:t>Disclosure by Council for checking purposes</w:t>
      </w:r>
      <w:bookmarkEnd w:id="279"/>
    </w:p>
    <w:p>
      <w:pPr>
        <w:pStyle w:val="nzSubsection"/>
      </w:pPr>
      <w:r>
        <w:tab/>
      </w:r>
      <w:r>
        <w:tab/>
        <w:t>The Council may disclose to a provider information given to it under this Part in respect of a student for the purpose of ensuring that the information is accurate.</w:t>
      </w:r>
    </w:p>
    <w:p>
      <w:pPr>
        <w:pStyle w:val="nzHeading5"/>
      </w:pPr>
      <w:bookmarkStart w:id="280" w:name="_Toc119906560"/>
      <w:r>
        <w:t>19L.</w:t>
      </w:r>
      <w:r>
        <w:tab/>
        <w:t>Provision of information to Minister for planning purposes</w:t>
      </w:r>
      <w:bookmarkEnd w:id="280"/>
    </w:p>
    <w:p>
      <w:pPr>
        <w:pStyle w:val="nz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nzHeading5"/>
      </w:pPr>
      <w:bookmarkStart w:id="281" w:name="_Toc119906561"/>
      <w:r>
        <w:t>19M.</w:t>
      </w:r>
      <w:r>
        <w:tab/>
        <w:t>Provision of information to Minister for monitoring and assisting compliance and participation</w:t>
      </w:r>
      <w:bookmarkEnd w:id="281"/>
    </w:p>
    <w:p>
      <w:pPr>
        <w:pStyle w:val="nzSubsection"/>
      </w:pPr>
      <w:r>
        <w:tab/>
        <w:t>(1)</w:t>
      </w:r>
      <w:r>
        <w:tab/>
        <w:t xml:space="preserve">In subsection (2) — </w:t>
      </w:r>
    </w:p>
    <w:p>
      <w:pPr>
        <w:pStyle w:val="nzDefstart"/>
      </w:pPr>
      <w:r>
        <w:rPr>
          <w:b/>
        </w:rPr>
        <w:tab/>
      </w:r>
      <w:r>
        <w:t>“</w:t>
      </w:r>
      <w:r>
        <w:rPr>
          <w:b/>
        </w:rPr>
        <w:t>allowed information”</w:t>
      </w:r>
      <w:r>
        <w:rPr>
          <w:bCs/>
        </w:rPr>
        <w:t>, in relation to a child,</w:t>
      </w:r>
      <w:r>
        <w:t xml:space="preserve"> means — </w:t>
      </w:r>
    </w:p>
    <w:p>
      <w:pPr>
        <w:pStyle w:val="nzDefpara"/>
      </w:pPr>
      <w:r>
        <w:tab/>
        <w:t>(a)</w:t>
      </w:r>
      <w:r>
        <w:tab/>
        <w:t xml:space="preserve">the child’s — </w:t>
      </w:r>
    </w:p>
    <w:p>
      <w:pPr>
        <w:pStyle w:val="nzDefsubpara"/>
      </w:pPr>
      <w:r>
        <w:tab/>
        <w:t>(i)</w:t>
      </w:r>
      <w:r>
        <w:tab/>
        <w:t>name, including any previous name;</w:t>
      </w:r>
    </w:p>
    <w:p>
      <w:pPr>
        <w:pStyle w:val="nzDefsubpara"/>
      </w:pPr>
      <w:r>
        <w:tab/>
        <w:t>(ii)</w:t>
      </w:r>
      <w:r>
        <w:tab/>
        <w:t xml:space="preserve">address; and </w:t>
      </w:r>
    </w:p>
    <w:p>
      <w:pPr>
        <w:pStyle w:val="nzDefsubpara"/>
      </w:pPr>
      <w:r>
        <w:tab/>
        <w:t>(iii)</w:t>
      </w:r>
      <w:r>
        <w:tab/>
        <w:t>date of birth;</w:t>
      </w:r>
    </w:p>
    <w:p>
      <w:pPr>
        <w:pStyle w:val="nzDefpara"/>
      </w:pPr>
      <w:r>
        <w:tab/>
      </w:r>
      <w:r>
        <w:tab/>
        <w:t>and</w:t>
      </w:r>
    </w:p>
    <w:p>
      <w:pPr>
        <w:pStyle w:val="nzDefpara"/>
      </w:pPr>
      <w:r>
        <w:tab/>
        <w:t>(b)</w:t>
      </w:r>
      <w:r>
        <w:tab/>
        <w:t xml:space="preserve">the details shown in the child’s student record of — </w:t>
      </w:r>
    </w:p>
    <w:p>
      <w:pPr>
        <w:pStyle w:val="nzDefsubpara"/>
      </w:pPr>
      <w:r>
        <w:tab/>
        <w:t>(i)</w:t>
      </w:r>
      <w:r>
        <w:tab/>
        <w:t>the educational programme in or for which the child was most recently enrolled or receiving home education; or</w:t>
      </w:r>
    </w:p>
    <w:p>
      <w:pPr>
        <w:pStyle w:val="nzDefsubpara"/>
      </w:pPr>
      <w:r>
        <w:tab/>
        <w:t>(ii)</w:t>
      </w:r>
      <w:r>
        <w:tab/>
        <w:t>the option, or combination of options, under section 11B of the School Education Act, in which the child was most recently a participant.</w:t>
      </w:r>
    </w:p>
    <w:p>
      <w:pPr>
        <w:pStyle w:val="nzSubsection"/>
      </w:pPr>
      <w:r>
        <w:tab/>
        <w:t>(2)</w:t>
      </w:r>
      <w:r>
        <w:tab/>
        <w:t>The Minister may, for a purpose referred to in subsection (5), in writing request the Council to provide the Minister with the allowed information in respect of children to whom this section applies.</w:t>
      </w:r>
    </w:p>
    <w:p>
      <w:pPr>
        <w:pStyle w:val="nzSubsection"/>
      </w:pPr>
      <w:r>
        <w:tab/>
        <w:t>(3)</w:t>
      </w:r>
      <w:r>
        <w:tab/>
        <w:t>The Council is to comply with a request made under subsection (2).</w:t>
      </w:r>
    </w:p>
    <w:p>
      <w:pPr>
        <w:pStyle w:val="nzSubsection"/>
      </w:pPr>
      <w:r>
        <w:tab/>
        <w:t>(4)</w:t>
      </w:r>
      <w:r>
        <w:tab/>
        <w:t xml:space="preserve">This section applies to a child if the student record for the child shows that he or she is or appears to be a child who — </w:t>
      </w:r>
    </w:p>
    <w:p>
      <w:pPr>
        <w:pStyle w:val="nzIndenta"/>
      </w:pPr>
      <w:r>
        <w:tab/>
        <w:t>(a)</w:t>
      </w:r>
      <w:r>
        <w:tab/>
        <w:t>is required by section 9 of the School Education Act to be enrolled in an educational programme or receiving home education, but is not so enrolled or receiving such education; or</w:t>
      </w:r>
    </w:p>
    <w:p>
      <w:pPr>
        <w:pStyle w:val="nzIndenta"/>
      </w:pPr>
      <w:r>
        <w:tab/>
        <w:t>(b)</w:t>
      </w:r>
      <w:r>
        <w:tab/>
        <w:t>is required by section 11I of that Act to be participating in an option or a combination of options under section 11B of that Act, but is not so participating.</w:t>
      </w:r>
    </w:p>
    <w:p>
      <w:pPr>
        <w:pStyle w:val="nzSubsection"/>
      </w:pPr>
      <w:r>
        <w:tab/>
        <w:t>(5)</w:t>
      </w:r>
      <w:r>
        <w:tab/>
        <w:t xml:space="preserve">A request may only be made by the Minister under subsection (2) — </w:t>
      </w:r>
    </w:p>
    <w:p>
      <w:pPr>
        <w:pStyle w:val="nzIndenta"/>
      </w:pPr>
      <w:r>
        <w:tab/>
        <w:t>(a)</w:t>
      </w:r>
      <w:r>
        <w:tab/>
        <w:t>in respect of children referred to in subsection (4)(a), for the purpose of monitoring or investigating compliance with section 9 of the School Education Act or assisting or securing such compliance; or</w:t>
      </w:r>
    </w:p>
    <w:p>
      <w:pPr>
        <w:pStyle w:val="nzIndenta"/>
      </w:pPr>
      <w:r>
        <w:tab/>
        <w:t>(b)</w:t>
      </w:r>
      <w:r>
        <w:tab/>
        <w:t xml:space="preserve">in respect of children referred to in subsection (4)(b), for the purpose of — </w:t>
      </w:r>
    </w:p>
    <w:p>
      <w:pPr>
        <w:pStyle w:val="nz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nzIndenti"/>
      </w:pPr>
      <w:r>
        <w:tab/>
        <w:t>(ii)</w:t>
      </w:r>
      <w:r>
        <w:tab/>
        <w:t>giving such children information about school education and the options that are available under that Act; and</w:t>
      </w:r>
    </w:p>
    <w:p>
      <w:pPr>
        <w:pStyle w:val="nzIndenti"/>
      </w:pPr>
      <w:r>
        <w:tab/>
        <w:t>(iii)</w:t>
      </w:r>
      <w:r>
        <w:tab/>
        <w:t>encouraging and helping parents in relation to the matters referred to in subparagraphs (i) and (ii).</w:t>
      </w:r>
    </w:p>
    <w:p>
      <w:pPr>
        <w:pStyle w:val="nzHeading5"/>
      </w:pPr>
      <w:bookmarkStart w:id="282" w:name="_Toc119906562"/>
      <w:r>
        <w:t>19N.</w:t>
      </w:r>
      <w:r>
        <w:tab/>
        <w:t>Disclosure of information by Minister</w:t>
      </w:r>
      <w:bookmarkEnd w:id="282"/>
    </w:p>
    <w:p>
      <w:pPr>
        <w:pStyle w:val="nzSubsection"/>
      </w:pPr>
      <w:r>
        <w:tab/>
        <w:t>(1)</w:t>
      </w:r>
      <w:r>
        <w:tab/>
        <w:t>This section applies to information provided to the Minister under section 19M in respect of a child to whom that section applies.</w:t>
      </w:r>
    </w:p>
    <w:p>
      <w:pPr>
        <w:pStyle w:val="nz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nzSubsection"/>
      </w:pPr>
      <w:r>
        <w:tab/>
        <w:t>(3)</w:t>
      </w:r>
      <w:r>
        <w:tab/>
        <w:t>Such a disclosure may only be made by the Minister for a purpose referred to in section 19M(5).</w:t>
      </w:r>
    </w:p>
    <w:p>
      <w:pPr>
        <w:pStyle w:val="nz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nzPenstart"/>
      </w:pPr>
      <w:r>
        <w:tab/>
        <w:t>Penalty: $10 000 and imprisonment for 12 months.</w:t>
      </w:r>
    </w:p>
    <w:p>
      <w:pPr>
        <w:pStyle w:val="nzHeading5"/>
      </w:pPr>
      <w:bookmarkStart w:id="283" w:name="_Toc119906563"/>
      <w:r>
        <w:t>19O.</w:t>
      </w:r>
      <w:r>
        <w:tab/>
        <w:t>Delegation and subdelegation</w:t>
      </w:r>
      <w:bookmarkEnd w:id="283"/>
    </w:p>
    <w:p>
      <w:pPr>
        <w:pStyle w:val="nzSubsection"/>
      </w:pPr>
      <w:r>
        <w:tab/>
      </w:r>
      <w:r>
        <w:tab/>
        <w:t>Sections 224 and 225 of the School Education Act apply in respect of the functions of the Minister under sections 19L, 19M and 19N in the same way as they apply to the functions of the Minister under that Act.</w:t>
      </w:r>
    </w:p>
    <w:p>
      <w:pPr>
        <w:pStyle w:val="nzHeading5"/>
      </w:pPr>
      <w:bookmarkStart w:id="284" w:name="_Toc119906564"/>
      <w:r>
        <w:t>19P.</w:t>
      </w:r>
      <w:r>
        <w:tab/>
        <w:t>Provision of information to certain entities</w:t>
      </w:r>
      <w:bookmarkEnd w:id="284"/>
    </w:p>
    <w:p>
      <w:pPr>
        <w:pStyle w:val="nzSubsection"/>
      </w:pPr>
      <w:r>
        <w:tab/>
        <w:t>(1)</w:t>
      </w:r>
      <w:r>
        <w:tab/>
        <w:t xml:space="preserve">The Council is to provide each of — </w:t>
      </w:r>
    </w:p>
    <w:p>
      <w:pPr>
        <w:pStyle w:val="nzIndenta"/>
      </w:pPr>
      <w:r>
        <w:tab/>
        <w:t>(a)</w:t>
      </w:r>
      <w:r>
        <w:tab/>
        <w:t>the Director of Catholic Education in Western Australia; and</w:t>
      </w:r>
    </w:p>
    <w:p>
      <w:pPr>
        <w:pStyle w:val="nzIndenta"/>
      </w:pPr>
      <w:r>
        <w:tab/>
        <w:t>(b)</w:t>
      </w:r>
      <w:r>
        <w:tab/>
        <w:t>the Association of Independent Schools of Western Australia (Inc.),</w:t>
      </w:r>
    </w:p>
    <w:p>
      <w:pPr>
        <w:pStyle w:val="nzSubsection"/>
      </w:pPr>
      <w:r>
        <w:tab/>
      </w:r>
      <w:r>
        <w:tab/>
        <w:t>with the information prescribed in respect of that body being information that comprises, includes or is derived from information given under this Part.</w:t>
      </w:r>
    </w:p>
    <w:p>
      <w:pPr>
        <w:pStyle w:val="nzSubsection"/>
      </w:pPr>
      <w:r>
        <w:tab/>
        <w:t>(2)</w:t>
      </w:r>
      <w:r>
        <w:tab/>
        <w:t>The information is to be in aggregated form and given at the prescribed times.</w:t>
      </w:r>
    </w:p>
    <w:p>
      <w:pPr>
        <w:pStyle w:val="MiscClose"/>
        <w:ind w:right="575"/>
      </w:pPr>
      <w:r>
        <w:t xml:space="preserve">    ”.</w:t>
      </w:r>
    </w:p>
    <w:p>
      <w:pPr>
        <w:pStyle w:val="nzHeading5"/>
      </w:pPr>
      <w:bookmarkStart w:id="285" w:name="_Toc105837405"/>
      <w:bookmarkStart w:id="286" w:name="_Toc110740443"/>
      <w:bookmarkStart w:id="287" w:name="_Toc119906565"/>
      <w:r>
        <w:rPr>
          <w:rStyle w:val="CharSectno"/>
        </w:rPr>
        <w:t>48</w:t>
      </w:r>
      <w:r>
        <w:t>.</w:t>
      </w:r>
      <w:r>
        <w:tab/>
        <w:t>Section 32 amended</w:t>
      </w:r>
      <w:bookmarkEnd w:id="285"/>
      <w:bookmarkEnd w:id="286"/>
      <w:bookmarkEnd w:id="287"/>
    </w:p>
    <w:p>
      <w:pPr>
        <w:pStyle w:val="nzSubsection"/>
      </w:pPr>
      <w:r>
        <w:tab/>
      </w:r>
      <w:r>
        <w:tab/>
        <w:t xml:space="preserve">After section 32(2) the following subsection is inserted — </w:t>
      </w:r>
    </w:p>
    <w:p>
      <w:pPr>
        <w:pStyle w:val="MiscOpen"/>
        <w:ind w:left="600"/>
      </w:pPr>
      <w:r>
        <w:t xml:space="preserve">“    </w:t>
      </w:r>
    </w:p>
    <w:p>
      <w:pPr>
        <w:pStyle w:val="nz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nzIndenta"/>
      </w:pPr>
      <w:r>
        <w:tab/>
        <w:t>(a)</w:t>
      </w:r>
      <w:r>
        <w:tab/>
        <w:t>the chief executive officer under section 229 of that Act; and</w:t>
      </w:r>
    </w:p>
    <w:p>
      <w:pPr>
        <w:pStyle w:val="nzIndenta"/>
      </w:pPr>
      <w:r>
        <w:tab/>
        <w:t>(b)</w:t>
      </w:r>
      <w:r>
        <w:tab/>
        <w:t>the persons referred to in section 235(1) of that Act.</w:t>
      </w:r>
    </w:p>
    <w:p>
      <w:pPr>
        <w:pStyle w:val="MiscClose"/>
        <w:ind w:right="575"/>
      </w:pPr>
      <w:r>
        <w:t xml:space="preserve">    ”.</w:t>
      </w:r>
    </w:p>
    <w:p>
      <w:pPr>
        <w:pStyle w:val="nzHeading5"/>
      </w:pPr>
      <w:bookmarkStart w:id="288" w:name="_Toc105837406"/>
      <w:bookmarkStart w:id="289" w:name="_Toc110740444"/>
      <w:bookmarkStart w:id="290" w:name="_Toc119906566"/>
      <w:r>
        <w:rPr>
          <w:rStyle w:val="CharSectno"/>
        </w:rPr>
        <w:t>49</w:t>
      </w:r>
      <w:r>
        <w:t>.</w:t>
      </w:r>
      <w:r>
        <w:tab/>
        <w:t>Section 33 amended</w:t>
      </w:r>
      <w:bookmarkEnd w:id="288"/>
      <w:bookmarkEnd w:id="289"/>
      <w:bookmarkEnd w:id="290"/>
    </w:p>
    <w:p>
      <w:pPr>
        <w:pStyle w:val="nzSubsection"/>
      </w:pPr>
      <w:r>
        <w:tab/>
      </w:r>
      <w:r>
        <w:tab/>
        <w:t xml:space="preserve">After section 33(3) the following subsection is inserted — </w:t>
      </w:r>
    </w:p>
    <w:p>
      <w:pPr>
        <w:pStyle w:val="MiscOpen"/>
        <w:ind w:left="600"/>
      </w:pPr>
      <w:r>
        <w:t xml:space="preserve">“    </w:t>
      </w:r>
    </w:p>
    <w:p>
      <w:pPr>
        <w:pStyle w:val="nzSubsection"/>
      </w:pPr>
      <w:r>
        <w:tab/>
        <w:t>(4)</w:t>
      </w:r>
      <w:r>
        <w:tab/>
        <w:t xml:space="preserve">Before the Minister recommends the making or amendment of a regulation for the purposes of section 19E(c), 19G, 19H(2) or 19P, the Minister is to consult with, and take into account the views of — </w:t>
      </w:r>
    </w:p>
    <w:p>
      <w:pPr>
        <w:pStyle w:val="nzIndenta"/>
      </w:pPr>
      <w:r>
        <w:tab/>
        <w:t>(a)</w:t>
      </w:r>
      <w:r>
        <w:tab/>
        <w:t>the Director of Catholic Education in Western Australia; and</w:t>
      </w:r>
    </w:p>
    <w:p>
      <w:pPr>
        <w:pStyle w:val="nzIndenta"/>
      </w:pPr>
      <w:r>
        <w:tab/>
        <w:t>(b)</w:t>
      </w:r>
      <w:r>
        <w:tab/>
        <w:t>the Association of Independent Schools of Western Australia (Inc.).</w:t>
      </w:r>
    </w:p>
    <w:p>
      <w:pPr>
        <w:pStyle w:val="MiscClose"/>
        <w:ind w:right="575"/>
      </w:pP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84D1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6447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061C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18FA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027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3E36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18CB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AAAC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A06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2061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310F77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17"/>
    <w:docVar w:name="WAFER_20151210092717" w:val="RemoveTrackChanges"/>
    <w:docVar w:name="WAFER_20151210092717_GUID" w:val="9270dd3f-7313-4c8c-b3ea-9924eda0c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11226</Words>
  <Characters>55124</Characters>
  <Application>Microsoft Office Word</Application>
  <DocSecurity>0</DocSecurity>
  <Lines>1574</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1997 - 01-c0-04</dc:title>
  <dc:subject/>
  <dc:creator/>
  <cp:keywords/>
  <dc:description/>
  <cp:lastModifiedBy>svcMRProcess</cp:lastModifiedBy>
  <cp:revision>4</cp:revision>
  <cp:lastPrinted>2003-04-15T02:00:00Z</cp:lastPrinted>
  <dcterms:created xsi:type="dcterms:W3CDTF">2018-08-26T05:03:00Z</dcterms:created>
  <dcterms:modified xsi:type="dcterms:W3CDTF">2018-08-26T05:03:00Z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20051118</vt:lpwstr>
  </property>
  <property fmtid="{D5CDD505-2E9C-101B-9397-08002B2CF9AE}" pid="4" name="DocumentType">
    <vt:lpwstr>Act</vt:lpwstr>
  </property>
  <property fmtid="{D5CDD505-2E9C-101B-9397-08002B2CF9AE}" pid="5" name="OwlsUID">
    <vt:i4>1813</vt:i4>
  </property>
  <property fmtid="{D5CDD505-2E9C-101B-9397-08002B2CF9AE}" pid="6" name="AsAtDate">
    <vt:lpwstr>18 Nov 2005</vt:lpwstr>
  </property>
  <property fmtid="{D5CDD505-2E9C-101B-9397-08002B2CF9AE}" pid="7" name="Suffix">
    <vt:lpwstr>01-c0-04</vt:lpwstr>
  </property>
</Properties>
</file>